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039" w14:textId="59E51050" w:rsidR="00C8049B" w:rsidRPr="002F1487" w:rsidRDefault="004771F3" w:rsidP="002F1487">
      <w:pPr>
        <w:jc w:val="center"/>
        <w:rPr>
          <w:rFonts w:ascii="Calibri" w:hAnsi="Calibri" w:cs="Calibri"/>
          <w:b/>
          <w:bCs/>
          <w:caps/>
          <w:sz w:val="28"/>
          <w:szCs w:val="28"/>
        </w:rPr>
      </w:pPr>
      <w:r w:rsidRPr="002F1487">
        <w:rPr>
          <w:rFonts w:ascii="Calibri" w:hAnsi="Calibri" w:cs="Calibri"/>
          <w:b/>
          <w:bCs/>
          <w:caps/>
          <w:sz w:val="28"/>
          <w:szCs w:val="28"/>
        </w:rPr>
        <w:t xml:space="preserve">Response to Nous Review Recommendations </w:t>
      </w:r>
      <w:r w:rsidR="00A16E46" w:rsidRPr="002F1487">
        <w:rPr>
          <w:rFonts w:ascii="Calibri" w:hAnsi="Calibri" w:cs="Calibri"/>
          <w:b/>
          <w:bCs/>
          <w:caps/>
          <w:sz w:val="28"/>
          <w:szCs w:val="28"/>
        </w:rPr>
        <w:t>–</w:t>
      </w:r>
      <w:r w:rsidR="00330585" w:rsidRPr="002F1487">
        <w:rPr>
          <w:rFonts w:ascii="Calibri" w:hAnsi="Calibri" w:cs="Calibri"/>
          <w:b/>
          <w:bCs/>
          <w:caps/>
          <w:sz w:val="28"/>
          <w:szCs w:val="28"/>
        </w:rPr>
        <w:t xml:space="preserve"> </w:t>
      </w:r>
      <w:r w:rsidR="00A16E46" w:rsidRPr="002F1487">
        <w:rPr>
          <w:rFonts w:ascii="Calibri" w:hAnsi="Calibri" w:cs="Calibri"/>
          <w:b/>
          <w:bCs/>
          <w:caps/>
          <w:sz w:val="28"/>
          <w:szCs w:val="28"/>
        </w:rPr>
        <w:t>Cape York Land Council (CYLC)</w:t>
      </w:r>
    </w:p>
    <w:tbl>
      <w:tblPr>
        <w:tblStyle w:val="TableGrid"/>
        <w:tblW w:w="0" w:type="auto"/>
        <w:tblLook w:val="04A0" w:firstRow="1" w:lastRow="0" w:firstColumn="1" w:lastColumn="0" w:noHBand="0" w:noVBand="1"/>
      </w:tblPr>
      <w:tblGrid>
        <w:gridCol w:w="9016"/>
      </w:tblGrid>
      <w:tr w:rsidR="004771F3" w14:paraId="4DEA21B5" w14:textId="77777777" w:rsidTr="00594576">
        <w:tc>
          <w:tcPr>
            <w:tcW w:w="9016" w:type="dxa"/>
            <w:shd w:val="clear" w:color="auto" w:fill="C1E4F5" w:themeFill="accent1" w:themeFillTint="33"/>
          </w:tcPr>
          <w:p w14:paraId="384BC5A5" w14:textId="4DA35385" w:rsidR="004771F3" w:rsidRDefault="004771F3" w:rsidP="00594576">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p>
        </w:tc>
      </w:tr>
      <w:tr w:rsidR="004771F3" w14:paraId="0FC42064" w14:textId="77777777" w:rsidTr="004771F3">
        <w:tc>
          <w:tcPr>
            <w:tcW w:w="9016" w:type="dxa"/>
          </w:tcPr>
          <w:p w14:paraId="2A1C03A2" w14:textId="427516A3" w:rsidR="004771F3" w:rsidRPr="008C54EF" w:rsidRDefault="00A1601B" w:rsidP="00594576">
            <w:pPr>
              <w:jc w:val="both"/>
            </w:pPr>
            <w:r w:rsidRPr="00A1601B">
              <w:rPr>
                <w:rFonts w:ascii="Calibri" w:hAnsi="Calibri" w:cs="Calibri"/>
                <w:b/>
                <w:bCs/>
                <w:lang w:val="en-US"/>
              </w:rPr>
              <w:t>Rec</w:t>
            </w:r>
            <w:r>
              <w:rPr>
                <w:rFonts w:ascii="Calibri" w:hAnsi="Calibri" w:cs="Calibri"/>
                <w:lang w:val="en-US"/>
              </w:rPr>
              <w:t xml:space="preserve"> </w:t>
            </w:r>
            <w:r w:rsidR="008C54EF" w:rsidRPr="008C54EF">
              <w:rPr>
                <w:rFonts w:ascii="Calibri" w:hAnsi="Calibri" w:cs="Calibri"/>
                <w:lang w:val="en-US"/>
              </w:rPr>
              <w:t>Nil</w:t>
            </w:r>
          </w:p>
        </w:tc>
      </w:tr>
      <w:tr w:rsidR="00AB2C53" w14:paraId="49BC6AD0" w14:textId="77777777" w:rsidTr="006276A1">
        <w:tc>
          <w:tcPr>
            <w:tcW w:w="9016" w:type="dxa"/>
            <w:shd w:val="clear" w:color="auto" w:fill="C1E4F5" w:themeFill="accent1" w:themeFillTint="33"/>
          </w:tcPr>
          <w:p w14:paraId="4C28867E" w14:textId="3D9688F3" w:rsidR="00AB2C53" w:rsidRDefault="006276A1" w:rsidP="00594576">
            <w:pPr>
              <w:jc w:val="both"/>
              <w:rPr>
                <w:rFonts w:ascii="Calibri" w:hAnsi="Calibri" w:cs="Calibri"/>
                <w:lang w:val="en-US"/>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p>
        </w:tc>
      </w:tr>
      <w:tr w:rsidR="00AB2C53" w14:paraId="1689F6EA" w14:textId="77777777" w:rsidTr="000F1B07">
        <w:trPr>
          <w:trHeight w:val="348"/>
        </w:trPr>
        <w:tc>
          <w:tcPr>
            <w:tcW w:w="9016" w:type="dxa"/>
          </w:tcPr>
          <w:p w14:paraId="16460066" w14:textId="0B46D180" w:rsidR="00AB2C53" w:rsidRDefault="00B17761" w:rsidP="00594576">
            <w:pPr>
              <w:jc w:val="both"/>
              <w:rPr>
                <w:rFonts w:ascii="Calibri" w:hAnsi="Calibri" w:cs="Calibri"/>
                <w:lang w:val="en-US"/>
              </w:rPr>
            </w:pPr>
            <w:r w:rsidRPr="000F1B07">
              <w:rPr>
                <w:rFonts w:ascii="Calibri" w:hAnsi="Calibri" w:cs="Calibri"/>
                <w:b/>
                <w:bCs/>
                <w:lang w:val="en-US"/>
              </w:rPr>
              <w:t>Rec</w:t>
            </w:r>
            <w:r w:rsidRPr="00FF0F49">
              <w:rPr>
                <w:rFonts w:ascii="Calibri" w:hAnsi="Calibri" w:cs="Calibri"/>
                <w:lang w:val="en-US"/>
              </w:rPr>
              <w:t xml:space="preserve"> </w:t>
            </w:r>
            <w:r w:rsidR="0029597E" w:rsidRPr="00FF0F49">
              <w:rPr>
                <w:rFonts w:ascii="Calibri" w:hAnsi="Calibri" w:cs="Calibri"/>
                <w:lang w:val="en-US"/>
              </w:rPr>
              <w:t>Nil</w:t>
            </w:r>
            <w:r w:rsidR="0029597E">
              <w:rPr>
                <w:rFonts w:ascii="Calibri" w:hAnsi="Calibri" w:cs="Calibri"/>
                <w:lang w:val="en-US"/>
              </w:rPr>
              <w:t xml:space="preserve"> </w:t>
            </w:r>
          </w:p>
        </w:tc>
      </w:tr>
      <w:tr w:rsidR="00AB2C53" w14:paraId="20E5EB0D" w14:textId="77777777" w:rsidTr="000F1B07">
        <w:tc>
          <w:tcPr>
            <w:tcW w:w="9016" w:type="dxa"/>
            <w:shd w:val="clear" w:color="auto" w:fill="C1E4F5" w:themeFill="accent1" w:themeFillTint="33"/>
          </w:tcPr>
          <w:p w14:paraId="2A7335DB" w14:textId="04558364" w:rsidR="00AB2C53" w:rsidRDefault="00EF408B" w:rsidP="00594576">
            <w:pPr>
              <w:jc w:val="both"/>
              <w:rPr>
                <w:rFonts w:ascii="Calibri" w:hAnsi="Calibri" w:cs="Calibri"/>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2F1487" w:rsidRPr="002F1487">
              <w:rPr>
                <w:rFonts w:ascii="Calibri" w:hAnsi="Calibri" w:cs="Calibri"/>
                <w:b/>
                <w:bCs/>
                <w:lang w:val="en-GB"/>
              </w:rPr>
              <w:t>(Rec 1-</w:t>
            </w:r>
            <w:r w:rsidR="002F1487">
              <w:rPr>
                <w:rFonts w:ascii="Calibri" w:hAnsi="Calibri" w:cs="Calibri"/>
                <w:b/>
                <w:bCs/>
                <w:lang w:val="en-GB"/>
              </w:rPr>
              <w:t>3</w:t>
            </w:r>
            <w:r w:rsidR="002F1487" w:rsidRPr="002F1487">
              <w:rPr>
                <w:rFonts w:ascii="Calibri" w:hAnsi="Calibri" w:cs="Calibri"/>
                <w:b/>
                <w:bCs/>
                <w:lang w:val="en-GB"/>
              </w:rPr>
              <w:t>)</w:t>
            </w:r>
          </w:p>
        </w:tc>
      </w:tr>
      <w:tr w:rsidR="00AB2C53" w14:paraId="000EE5F2" w14:textId="77777777" w:rsidTr="004771F3">
        <w:tc>
          <w:tcPr>
            <w:tcW w:w="9016" w:type="dxa"/>
          </w:tcPr>
          <w:p w14:paraId="070904EE" w14:textId="459A168A" w:rsidR="00AB2C53" w:rsidRPr="00940F82" w:rsidRDefault="003D503B" w:rsidP="00940F82">
            <w:pPr>
              <w:jc w:val="both"/>
              <w:rPr>
                <w:rFonts w:ascii="Calibri" w:hAnsi="Calibri" w:cs="Calibri"/>
                <w:lang w:val="en-US"/>
              </w:rPr>
            </w:pPr>
            <w:r w:rsidRPr="00940F82">
              <w:rPr>
                <w:rFonts w:ascii="Calibri" w:hAnsi="Calibri" w:cs="Calibri"/>
                <w:b/>
                <w:bCs/>
                <w:lang w:val="en-US"/>
              </w:rPr>
              <w:t xml:space="preserve">Rec </w:t>
            </w:r>
            <w:r w:rsidR="00B22E97" w:rsidRPr="00940F82">
              <w:rPr>
                <w:rFonts w:ascii="Calibri" w:hAnsi="Calibri" w:cs="Calibri"/>
                <w:b/>
                <w:bCs/>
                <w:lang w:val="en-US"/>
              </w:rPr>
              <w:t>1</w:t>
            </w:r>
            <w:r w:rsidRPr="00940F82">
              <w:rPr>
                <w:rFonts w:ascii="Calibri" w:hAnsi="Calibri" w:cs="Calibri"/>
                <w:lang w:val="en-US"/>
              </w:rPr>
              <w:t xml:space="preserve"> </w:t>
            </w:r>
            <w:r w:rsidR="00940F82" w:rsidRPr="00940F82">
              <w:rPr>
                <w:rFonts w:ascii="Calibri" w:hAnsi="Calibri" w:cs="Calibri"/>
              </w:rPr>
              <w:t>Increase connection with local communities in the RATSIB area through: identifying ways to enhance on the ground local staff or identifying opportunities to increase the number of client groups represented in CYLC's staff based in Cairns (appreciating that this needs to be considered alongside the relevant skills required for roles). </w:t>
            </w:r>
          </w:p>
        </w:tc>
      </w:tr>
      <w:tr w:rsidR="00AB2C53" w14:paraId="23E28911" w14:textId="77777777" w:rsidTr="004771F3">
        <w:tc>
          <w:tcPr>
            <w:tcW w:w="9016" w:type="dxa"/>
          </w:tcPr>
          <w:p w14:paraId="0EF20531"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69DA66A" w14:textId="4B52373C" w:rsidR="005365A9" w:rsidRDefault="00940F82" w:rsidP="005365A9">
            <w:pPr>
              <w:rPr>
                <w:rFonts w:ascii="Calibri" w:hAnsi="Calibri" w:cs="Calibri"/>
                <w:lang w:val="en-US"/>
              </w:rPr>
            </w:pPr>
            <w:r>
              <w:rPr>
                <w:rFonts w:ascii="Calibri" w:hAnsi="Calibri" w:cs="Calibri"/>
                <w:lang w:val="en-US"/>
              </w:rPr>
              <w:t>Accepted.</w:t>
            </w:r>
          </w:p>
          <w:p w14:paraId="79062252" w14:textId="77777777" w:rsidR="005365A9" w:rsidRDefault="005365A9" w:rsidP="005365A9">
            <w:pPr>
              <w:rPr>
                <w:rFonts w:ascii="Calibri" w:hAnsi="Calibri" w:cs="Calibri"/>
                <w:lang w:val="en-US"/>
              </w:rPr>
            </w:pPr>
            <w:r>
              <w:rPr>
                <w:rFonts w:ascii="Calibri" w:hAnsi="Calibri" w:cs="Calibri"/>
                <w:lang w:val="en-US"/>
              </w:rPr>
              <w:t xml:space="preserve">Implemented. </w:t>
            </w:r>
          </w:p>
          <w:p w14:paraId="7B5FA09E" w14:textId="77777777" w:rsidR="005365A9" w:rsidRDefault="005365A9" w:rsidP="005365A9">
            <w:pPr>
              <w:rPr>
                <w:rFonts w:ascii="Calibri" w:hAnsi="Calibri" w:cs="Calibri"/>
                <w:lang w:val="en-US"/>
              </w:rPr>
            </w:pPr>
          </w:p>
          <w:p w14:paraId="27F6031F" w14:textId="6E006AE5" w:rsidR="00AB2C53" w:rsidRDefault="00BD1D50" w:rsidP="005365A9">
            <w:pPr>
              <w:jc w:val="both"/>
              <w:rPr>
                <w:rFonts w:ascii="Calibri" w:hAnsi="Calibri" w:cs="Calibri"/>
                <w:lang w:val="en-US"/>
              </w:rPr>
            </w:pPr>
            <w:r w:rsidRPr="00BD1D50">
              <w:rPr>
                <w:rFonts w:ascii="Calibri" w:hAnsi="Calibri" w:cs="Calibri"/>
              </w:rPr>
              <w:t>Since the review period CYLC has introduced a dedicated Community Relations Unit consisting wholly of Traditional Owners to increase the connection between CYLC and our stakeholders within the region. The unit assists with connection to our region as well as any other tasks needed e.g. pre-engagement for important meetings in communities. </w:t>
            </w:r>
          </w:p>
        </w:tc>
      </w:tr>
      <w:tr w:rsidR="00AB2C53" w14:paraId="406DF6D4" w14:textId="77777777" w:rsidTr="004771F3">
        <w:tc>
          <w:tcPr>
            <w:tcW w:w="9016" w:type="dxa"/>
          </w:tcPr>
          <w:p w14:paraId="5717A050" w14:textId="2DD5A84C" w:rsidR="00AB2C53" w:rsidRDefault="00DA7E3C" w:rsidP="00594576">
            <w:pPr>
              <w:jc w:val="both"/>
              <w:rPr>
                <w:rFonts w:ascii="Calibri" w:hAnsi="Calibri" w:cs="Calibri"/>
                <w:lang w:val="en-US"/>
              </w:rPr>
            </w:pPr>
            <w:r w:rsidRPr="00203CFF">
              <w:rPr>
                <w:rFonts w:ascii="Calibri" w:hAnsi="Calibri" w:cs="Calibri"/>
                <w:b/>
                <w:bCs/>
                <w:lang w:val="en-US"/>
              </w:rPr>
              <w:t xml:space="preserve">Rec </w:t>
            </w:r>
            <w:r w:rsidR="007B2A40">
              <w:rPr>
                <w:rFonts w:ascii="Calibri" w:hAnsi="Calibri" w:cs="Calibri"/>
                <w:b/>
                <w:bCs/>
                <w:lang w:val="en-US"/>
              </w:rPr>
              <w:t>2</w:t>
            </w:r>
            <w:r>
              <w:rPr>
                <w:rFonts w:ascii="Calibri" w:hAnsi="Calibri" w:cs="Calibri"/>
                <w:lang w:val="en-US"/>
              </w:rPr>
              <w:t xml:space="preserve"> </w:t>
            </w:r>
            <w:r w:rsidR="000A7229" w:rsidRPr="000A7229">
              <w:rPr>
                <w:rFonts w:ascii="Calibri" w:hAnsi="Calibri" w:cs="Calibri"/>
                <w:lang w:val="en-US"/>
              </w:rPr>
              <w:t xml:space="preserve">Improve digital and written communications through: improved communication including varied modes for notification of meetings and up-to-date information provided through newsletters and on digital platforms such as the website or Facebook; and updating the CYLC website to capture more clearly the current activities and </w:t>
            </w:r>
            <w:proofErr w:type="spellStart"/>
            <w:r w:rsidR="000A7229" w:rsidRPr="000A7229">
              <w:rPr>
                <w:rFonts w:ascii="Calibri" w:hAnsi="Calibri" w:cs="Calibri"/>
                <w:lang w:val="en-US"/>
              </w:rPr>
              <w:t>organisational</w:t>
            </w:r>
            <w:proofErr w:type="spellEnd"/>
            <w:r w:rsidR="000A7229" w:rsidRPr="000A7229">
              <w:rPr>
                <w:rFonts w:ascii="Calibri" w:hAnsi="Calibri" w:cs="Calibri"/>
                <w:lang w:val="en-US"/>
              </w:rPr>
              <w:t xml:space="preserve"> information.</w:t>
            </w:r>
            <w:r w:rsidR="000A7229" w:rsidRPr="000A7229">
              <w:rPr>
                <w:rFonts w:ascii="Calibri" w:hAnsi="Calibri" w:cs="Calibri"/>
              </w:rPr>
              <w:t> </w:t>
            </w:r>
          </w:p>
        </w:tc>
      </w:tr>
      <w:tr w:rsidR="00AB2C53" w14:paraId="525035E9" w14:textId="77777777" w:rsidTr="004771F3">
        <w:tc>
          <w:tcPr>
            <w:tcW w:w="9016" w:type="dxa"/>
          </w:tcPr>
          <w:p w14:paraId="107618E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485AD6B9" w14:textId="06DA8B9A" w:rsidR="00AC5DDF" w:rsidRDefault="00045087" w:rsidP="00AC5DDF">
            <w:pPr>
              <w:rPr>
                <w:rFonts w:ascii="Calibri" w:hAnsi="Calibri" w:cs="Calibri"/>
                <w:lang w:val="en-US"/>
              </w:rPr>
            </w:pPr>
            <w:r>
              <w:rPr>
                <w:rFonts w:ascii="Calibri" w:hAnsi="Calibri" w:cs="Calibri"/>
                <w:lang w:val="en-US"/>
              </w:rPr>
              <w:t>Accepted.</w:t>
            </w:r>
          </w:p>
          <w:p w14:paraId="07BD2D3C" w14:textId="77777777" w:rsidR="00AC5DDF" w:rsidRDefault="00AC5DDF" w:rsidP="00AC5DDF">
            <w:pPr>
              <w:rPr>
                <w:rFonts w:ascii="Calibri" w:hAnsi="Calibri" w:cs="Calibri"/>
                <w:lang w:val="en-US"/>
              </w:rPr>
            </w:pPr>
          </w:p>
          <w:p w14:paraId="6686895A" w14:textId="1D7FECF2" w:rsidR="00AB2C53" w:rsidRDefault="00D7316B" w:rsidP="00AC5DDF">
            <w:pPr>
              <w:jc w:val="both"/>
              <w:rPr>
                <w:rFonts w:ascii="Calibri" w:hAnsi="Calibri" w:cs="Calibri"/>
                <w:lang w:val="en-US"/>
              </w:rPr>
            </w:pPr>
            <w:r w:rsidRPr="00D7316B">
              <w:rPr>
                <w:rFonts w:ascii="Calibri" w:hAnsi="Calibri" w:cs="Calibri"/>
                <w:lang w:val="en-US"/>
              </w:rPr>
              <w:t>CYLC has implemented notifications not only by mail but by Facebook and on its website. The CYLC website has undergone an update to meet the needs moving forward.</w:t>
            </w:r>
            <w:r w:rsidRPr="00D7316B">
              <w:rPr>
                <w:rFonts w:ascii="Calibri" w:hAnsi="Calibri" w:cs="Calibri"/>
              </w:rPr>
              <w:t> </w:t>
            </w:r>
          </w:p>
        </w:tc>
      </w:tr>
      <w:tr w:rsidR="00D7316B" w14:paraId="519CDC2C" w14:textId="77777777" w:rsidTr="004771F3">
        <w:tc>
          <w:tcPr>
            <w:tcW w:w="9016" w:type="dxa"/>
          </w:tcPr>
          <w:p w14:paraId="52779BB2" w14:textId="7FD996D5" w:rsidR="00D7316B" w:rsidRPr="007009A2" w:rsidRDefault="00D7316B" w:rsidP="007009A2">
            <w:pPr>
              <w:jc w:val="both"/>
              <w:rPr>
                <w:rFonts w:ascii="Calibri" w:hAnsi="Calibri" w:cs="Calibri"/>
                <w:b/>
                <w:bCs/>
                <w:lang w:val="en-US"/>
              </w:rPr>
            </w:pPr>
            <w:r>
              <w:rPr>
                <w:rFonts w:ascii="Calibri" w:hAnsi="Calibri" w:cs="Calibri"/>
                <w:b/>
                <w:bCs/>
                <w:lang w:val="en-US"/>
              </w:rPr>
              <w:t xml:space="preserve">Rec 3 </w:t>
            </w:r>
            <w:r w:rsidR="00EF2789" w:rsidRPr="008F638C">
              <w:rPr>
                <w:rFonts w:ascii="Calibri" w:hAnsi="Calibri" w:cs="Calibri"/>
              </w:rPr>
              <w:t>Seek more client feedback and not just rely on the formal complaints process.</w:t>
            </w:r>
          </w:p>
        </w:tc>
      </w:tr>
      <w:tr w:rsidR="00A55CD5" w14:paraId="1613A197" w14:textId="77777777" w:rsidTr="004771F3">
        <w:tc>
          <w:tcPr>
            <w:tcW w:w="9016" w:type="dxa"/>
          </w:tcPr>
          <w:p w14:paraId="0E077D52" w14:textId="77777777" w:rsidR="00A55CD5" w:rsidRDefault="00A55CD5" w:rsidP="00A55CD5">
            <w:pPr>
              <w:rPr>
                <w:rFonts w:ascii="Calibri" w:hAnsi="Calibri" w:cs="Calibri"/>
                <w:lang w:val="en-US"/>
              </w:rPr>
            </w:pPr>
            <w:r>
              <w:rPr>
                <w:rFonts w:ascii="Calibri" w:hAnsi="Calibri" w:cs="Calibri"/>
                <w:lang w:val="en-US"/>
              </w:rPr>
              <w:t xml:space="preserve">Accepted. </w:t>
            </w:r>
          </w:p>
          <w:p w14:paraId="505F6D15" w14:textId="77777777" w:rsidR="00A55CD5" w:rsidRDefault="00A55CD5" w:rsidP="00A55CD5">
            <w:pPr>
              <w:rPr>
                <w:rFonts w:ascii="Calibri" w:hAnsi="Calibri" w:cs="Calibri"/>
                <w:lang w:val="en-US"/>
              </w:rPr>
            </w:pPr>
          </w:p>
          <w:p w14:paraId="57529464" w14:textId="77E8A49A" w:rsidR="00A55CD5" w:rsidRDefault="00A55CD5" w:rsidP="00A55CD5">
            <w:pPr>
              <w:jc w:val="both"/>
              <w:rPr>
                <w:rFonts w:ascii="Calibri" w:hAnsi="Calibri" w:cs="Calibri"/>
                <w:b/>
                <w:bCs/>
                <w:lang w:val="en-US"/>
              </w:rPr>
            </w:pPr>
            <w:r w:rsidRPr="00C94B85">
              <w:rPr>
                <w:rFonts w:ascii="Calibri" w:hAnsi="Calibri" w:cs="Calibri"/>
                <w:lang w:val="en-US"/>
              </w:rPr>
              <w:t>Our new Community Relations Unit seeks feedback in real world situations in the field that is passed on to CYLC relevant units and management.</w:t>
            </w:r>
          </w:p>
        </w:tc>
      </w:tr>
      <w:tr w:rsidR="00AB2C53" w14:paraId="2E1A14A7" w14:textId="77777777" w:rsidTr="007D4FCA">
        <w:tc>
          <w:tcPr>
            <w:tcW w:w="9016" w:type="dxa"/>
            <w:shd w:val="clear" w:color="auto" w:fill="C1E4F5" w:themeFill="accent1" w:themeFillTint="33"/>
          </w:tcPr>
          <w:p w14:paraId="7416E9F3" w14:textId="329686D4" w:rsidR="00AB2C53" w:rsidRDefault="007D4FCA" w:rsidP="00594576">
            <w:pPr>
              <w:jc w:val="both"/>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623035">
              <w:rPr>
                <w:rFonts w:ascii="Calibri" w:hAnsi="Calibri" w:cs="Calibri"/>
              </w:rPr>
              <w:t xml:space="preserve"> </w:t>
            </w:r>
            <w:r w:rsidR="00623035" w:rsidRPr="00623035">
              <w:rPr>
                <w:rFonts w:ascii="Calibri" w:hAnsi="Calibri" w:cs="Calibri"/>
                <w:b/>
                <w:bCs/>
              </w:rPr>
              <w:t>(Rec 4-5)</w:t>
            </w:r>
          </w:p>
        </w:tc>
      </w:tr>
      <w:tr w:rsidR="00AB2C53" w14:paraId="02BA3EFF" w14:textId="77777777" w:rsidTr="004771F3">
        <w:tc>
          <w:tcPr>
            <w:tcW w:w="9016" w:type="dxa"/>
          </w:tcPr>
          <w:p w14:paraId="310C49D8" w14:textId="77777777" w:rsidR="00AB2C53" w:rsidRDefault="003D643F" w:rsidP="00594576">
            <w:pPr>
              <w:jc w:val="both"/>
              <w:rPr>
                <w:rFonts w:ascii="Calibri" w:hAnsi="Calibri" w:cs="Calibri"/>
              </w:rPr>
            </w:pPr>
            <w:r w:rsidRPr="00F66D39">
              <w:rPr>
                <w:rFonts w:ascii="Calibri" w:hAnsi="Calibri" w:cs="Calibri"/>
                <w:b/>
                <w:bCs/>
              </w:rPr>
              <w:t>Rec 4</w:t>
            </w:r>
            <w:r>
              <w:rPr>
                <w:rFonts w:ascii="Calibri" w:hAnsi="Calibri" w:cs="Calibri"/>
              </w:rPr>
              <w:t xml:space="preserve"> </w:t>
            </w:r>
            <w:r w:rsidRPr="008F638C">
              <w:rPr>
                <w:rFonts w:ascii="Calibri" w:hAnsi="Calibri" w:cs="Calibri"/>
              </w:rPr>
              <w:t>Implement the newly development policies, including travel, and communicate them to all staff and board members.</w:t>
            </w:r>
          </w:p>
          <w:p w14:paraId="72780DE7" w14:textId="1CB02B2E" w:rsidR="005F08D1" w:rsidRDefault="005F08D1" w:rsidP="00594576">
            <w:pPr>
              <w:jc w:val="both"/>
              <w:rPr>
                <w:rFonts w:ascii="Calibri" w:hAnsi="Calibri" w:cs="Calibri"/>
                <w:lang w:val="en-US"/>
              </w:rPr>
            </w:pPr>
          </w:p>
        </w:tc>
      </w:tr>
      <w:tr w:rsidR="00310F46" w14:paraId="75A17A2E" w14:textId="77777777" w:rsidTr="004771F3">
        <w:tc>
          <w:tcPr>
            <w:tcW w:w="9016" w:type="dxa"/>
          </w:tcPr>
          <w:p w14:paraId="332BAE5F"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lastRenderedPageBreak/>
              <w:t>Response</w:t>
            </w:r>
          </w:p>
          <w:p w14:paraId="35307C86" w14:textId="77777777" w:rsidR="00827D8C" w:rsidRDefault="00827D8C" w:rsidP="00827D8C">
            <w:pPr>
              <w:rPr>
                <w:rFonts w:ascii="Calibri" w:hAnsi="Calibri" w:cs="Calibri"/>
                <w:lang w:val="en-US"/>
              </w:rPr>
            </w:pPr>
            <w:r>
              <w:rPr>
                <w:rFonts w:ascii="Calibri" w:hAnsi="Calibri" w:cs="Calibri"/>
                <w:lang w:val="en-US"/>
              </w:rPr>
              <w:t xml:space="preserve">Accepted. </w:t>
            </w:r>
          </w:p>
          <w:p w14:paraId="2025E4CB" w14:textId="77777777" w:rsidR="00827D8C" w:rsidRDefault="00827D8C" w:rsidP="00827D8C">
            <w:pPr>
              <w:rPr>
                <w:rFonts w:ascii="Calibri" w:hAnsi="Calibri" w:cs="Calibri"/>
                <w:lang w:val="en-US"/>
              </w:rPr>
            </w:pPr>
          </w:p>
          <w:p w14:paraId="335F99F1" w14:textId="0C5E80E6" w:rsidR="00310F46" w:rsidRPr="005F08D1" w:rsidRDefault="00827D8C" w:rsidP="005F08D1">
            <w:pPr>
              <w:rPr>
                <w:rFonts w:ascii="Calibri" w:hAnsi="Calibri" w:cs="Calibri"/>
              </w:rPr>
            </w:pPr>
            <w:r w:rsidRPr="000E469D">
              <w:rPr>
                <w:rFonts w:ascii="Calibri" w:hAnsi="Calibri" w:cs="Calibri"/>
                <w:lang w:val="en-US"/>
              </w:rPr>
              <w:t>All policies and procedures are reviewed regularly including Travel and communicated to all staff as well as the board when needed.</w:t>
            </w:r>
            <w:r w:rsidRPr="000E469D">
              <w:rPr>
                <w:rFonts w:ascii="Calibri" w:hAnsi="Calibri" w:cs="Calibri"/>
              </w:rPr>
              <w:t> </w:t>
            </w:r>
          </w:p>
        </w:tc>
      </w:tr>
      <w:tr w:rsidR="005F08D1" w14:paraId="3B820642" w14:textId="77777777" w:rsidTr="004771F3">
        <w:tc>
          <w:tcPr>
            <w:tcW w:w="9016" w:type="dxa"/>
          </w:tcPr>
          <w:p w14:paraId="78504C0A" w14:textId="5DF5525B" w:rsidR="005F08D1" w:rsidRPr="007009A2" w:rsidRDefault="005F08D1" w:rsidP="007009A2">
            <w:pPr>
              <w:jc w:val="both"/>
              <w:rPr>
                <w:rFonts w:ascii="Calibri" w:hAnsi="Calibri" w:cs="Calibri"/>
                <w:b/>
                <w:bCs/>
                <w:lang w:val="en-US"/>
              </w:rPr>
            </w:pPr>
            <w:r w:rsidRPr="00F66D39">
              <w:rPr>
                <w:rFonts w:ascii="Calibri" w:hAnsi="Calibri" w:cs="Calibri"/>
                <w:b/>
                <w:bCs/>
              </w:rPr>
              <w:t>Rec 5</w:t>
            </w:r>
            <w:r>
              <w:rPr>
                <w:rFonts w:ascii="Calibri" w:hAnsi="Calibri" w:cs="Calibri"/>
              </w:rPr>
              <w:t xml:space="preserve"> </w:t>
            </w:r>
            <w:r w:rsidRPr="004843E7">
              <w:rPr>
                <w:rFonts w:ascii="Calibri" w:hAnsi="Calibri" w:cs="Calibri"/>
              </w:rPr>
              <w:t>Indicate clear funding allocations for each unique operational unit, with clear allocation of funding for individual units and for split roles, allowing for greater accountability of function leads in managing unit finances. </w:t>
            </w:r>
          </w:p>
        </w:tc>
      </w:tr>
      <w:tr w:rsidR="005F08D1" w14:paraId="57452646" w14:textId="77777777" w:rsidTr="004771F3">
        <w:tc>
          <w:tcPr>
            <w:tcW w:w="9016" w:type="dxa"/>
          </w:tcPr>
          <w:p w14:paraId="58F52047" w14:textId="77777777" w:rsidR="005F08D1" w:rsidRDefault="005F08D1" w:rsidP="007009A2">
            <w:pPr>
              <w:jc w:val="both"/>
              <w:rPr>
                <w:rFonts w:ascii="Calibri" w:hAnsi="Calibri" w:cs="Calibri"/>
                <w:b/>
                <w:bCs/>
                <w:lang w:val="en-US"/>
              </w:rPr>
            </w:pPr>
            <w:r>
              <w:rPr>
                <w:rFonts w:ascii="Calibri" w:hAnsi="Calibri" w:cs="Calibri"/>
                <w:b/>
                <w:bCs/>
                <w:lang w:val="en-US"/>
              </w:rPr>
              <w:t>Response</w:t>
            </w:r>
          </w:p>
          <w:p w14:paraId="4EE43BAD" w14:textId="77777777" w:rsidR="005F08D1" w:rsidRDefault="005F08D1" w:rsidP="005F08D1">
            <w:pPr>
              <w:rPr>
                <w:rFonts w:ascii="Calibri" w:hAnsi="Calibri" w:cs="Calibri"/>
              </w:rPr>
            </w:pPr>
            <w:r>
              <w:rPr>
                <w:rFonts w:ascii="Calibri" w:hAnsi="Calibri" w:cs="Calibri"/>
              </w:rPr>
              <w:t xml:space="preserve">Accepted. </w:t>
            </w:r>
          </w:p>
          <w:p w14:paraId="24D24DAA" w14:textId="77777777" w:rsidR="005F08D1" w:rsidRDefault="005F08D1" w:rsidP="005F08D1">
            <w:pPr>
              <w:rPr>
                <w:rFonts w:ascii="Calibri" w:hAnsi="Calibri" w:cs="Calibri"/>
              </w:rPr>
            </w:pPr>
          </w:p>
          <w:p w14:paraId="00FF2543" w14:textId="32FA493A" w:rsidR="005F08D1" w:rsidRPr="007009A2" w:rsidRDefault="005F08D1" w:rsidP="005F08D1">
            <w:pPr>
              <w:jc w:val="both"/>
              <w:rPr>
                <w:rFonts w:ascii="Calibri" w:hAnsi="Calibri" w:cs="Calibri"/>
                <w:b/>
                <w:bCs/>
                <w:lang w:val="en-US"/>
              </w:rPr>
            </w:pPr>
            <w:r w:rsidRPr="007B5371">
              <w:rPr>
                <w:rFonts w:ascii="Calibri" w:hAnsi="Calibri" w:cs="Calibri"/>
              </w:rPr>
              <w:t>Each unit within CYLC has their own budget to adhere to over the course of the financial year. Each unit Manager works closely with the CFO with regular monthly updates provided by the CFO on expenditure against budget. </w:t>
            </w:r>
          </w:p>
        </w:tc>
      </w:tr>
      <w:tr w:rsidR="00310F46" w14:paraId="1D01D827" w14:textId="77777777" w:rsidTr="00211EF0">
        <w:tc>
          <w:tcPr>
            <w:tcW w:w="9016" w:type="dxa"/>
            <w:shd w:val="clear" w:color="auto" w:fill="C1E4F5" w:themeFill="accent1" w:themeFillTint="33"/>
          </w:tcPr>
          <w:p w14:paraId="7C171808" w14:textId="04C26DDC" w:rsidR="00310F46" w:rsidRPr="009E6AF2" w:rsidRDefault="00211EF0" w:rsidP="00594576">
            <w:pPr>
              <w:jc w:val="both"/>
              <w:rPr>
                <w:rFonts w:ascii="Calibri" w:hAnsi="Calibri" w:cs="Calibri"/>
                <w:b/>
                <w:bCs/>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2F1487" w:rsidRPr="002F1487">
              <w:rPr>
                <w:rFonts w:ascii="Calibri" w:hAnsi="Calibri" w:cs="Calibri"/>
                <w:b/>
                <w:bCs/>
                <w:lang w:val="en-GB"/>
              </w:rPr>
              <w:t xml:space="preserve">(Rec </w:t>
            </w:r>
            <w:r w:rsidR="00F94333">
              <w:rPr>
                <w:rFonts w:ascii="Calibri" w:hAnsi="Calibri" w:cs="Calibri"/>
                <w:b/>
                <w:bCs/>
                <w:lang w:val="en-GB"/>
              </w:rPr>
              <w:t>6-10</w:t>
            </w:r>
            <w:r w:rsidR="002F1487" w:rsidRPr="002F1487">
              <w:rPr>
                <w:rFonts w:ascii="Calibri" w:hAnsi="Calibri" w:cs="Calibri"/>
                <w:b/>
                <w:bCs/>
                <w:lang w:val="en-GB"/>
              </w:rPr>
              <w:t>)</w:t>
            </w:r>
          </w:p>
        </w:tc>
      </w:tr>
      <w:tr w:rsidR="00310F46" w14:paraId="191A43C8" w14:textId="77777777" w:rsidTr="004771F3">
        <w:tc>
          <w:tcPr>
            <w:tcW w:w="9016" w:type="dxa"/>
          </w:tcPr>
          <w:p w14:paraId="013CEB44" w14:textId="03DDA2F1" w:rsidR="00310F46" w:rsidRPr="009E6AF2" w:rsidRDefault="008C7DDA" w:rsidP="00594576">
            <w:pPr>
              <w:jc w:val="both"/>
              <w:rPr>
                <w:rFonts w:ascii="Calibri" w:hAnsi="Calibri" w:cs="Calibri"/>
                <w:b/>
                <w:bCs/>
                <w:lang w:val="en-US"/>
              </w:rPr>
            </w:pPr>
            <w:r w:rsidRPr="00F66D39">
              <w:rPr>
                <w:rFonts w:ascii="Calibri" w:hAnsi="Calibri" w:cs="Calibri"/>
                <w:b/>
                <w:bCs/>
              </w:rPr>
              <w:t>Rec 6</w:t>
            </w:r>
            <w:r>
              <w:rPr>
                <w:rFonts w:ascii="Calibri" w:hAnsi="Calibri" w:cs="Calibri"/>
              </w:rPr>
              <w:t xml:space="preserve"> </w:t>
            </w:r>
            <w:r w:rsidRPr="004843E7">
              <w:rPr>
                <w:rFonts w:ascii="Calibri" w:hAnsi="Calibri" w:cs="Calibri"/>
              </w:rPr>
              <w:t xml:space="preserve">Work with relevant regional organisations - </w:t>
            </w:r>
            <w:proofErr w:type="spellStart"/>
            <w:r w:rsidRPr="004843E7">
              <w:rPr>
                <w:rFonts w:ascii="Calibri" w:hAnsi="Calibri" w:cs="Calibri"/>
              </w:rPr>
              <w:t>Balkanu</w:t>
            </w:r>
            <w:proofErr w:type="spellEnd"/>
            <w:r w:rsidRPr="004843E7">
              <w:rPr>
                <w:rFonts w:ascii="Calibri" w:hAnsi="Calibri" w:cs="Calibri"/>
              </w:rPr>
              <w:t xml:space="preserve"> and CYP - to develop a MOU that supports greater collaboration in achieving outcomes for the Cape York People.</w:t>
            </w:r>
          </w:p>
        </w:tc>
      </w:tr>
      <w:tr w:rsidR="00310F46" w14:paraId="7B323944" w14:textId="77777777" w:rsidTr="004771F3">
        <w:tc>
          <w:tcPr>
            <w:tcW w:w="9016" w:type="dxa"/>
          </w:tcPr>
          <w:p w14:paraId="35844690" w14:textId="77777777" w:rsidR="007009A2" w:rsidRPr="007009A2" w:rsidRDefault="007009A2" w:rsidP="007009A2">
            <w:pPr>
              <w:jc w:val="both"/>
              <w:rPr>
                <w:rFonts w:ascii="Calibri" w:hAnsi="Calibri" w:cs="Calibri"/>
                <w:b/>
                <w:bCs/>
                <w:lang w:val="en-US"/>
              </w:rPr>
            </w:pPr>
            <w:r w:rsidRPr="007009A2">
              <w:rPr>
                <w:rFonts w:ascii="Calibri" w:hAnsi="Calibri" w:cs="Calibri"/>
                <w:b/>
                <w:bCs/>
                <w:lang w:val="en-US"/>
              </w:rPr>
              <w:t>Response</w:t>
            </w:r>
          </w:p>
          <w:p w14:paraId="5A908C15" w14:textId="77777777" w:rsidR="00023BB7" w:rsidRDefault="00023BB7" w:rsidP="00023BB7">
            <w:pPr>
              <w:rPr>
                <w:rFonts w:ascii="Calibri" w:hAnsi="Calibri" w:cs="Calibri"/>
              </w:rPr>
            </w:pPr>
            <w:r>
              <w:rPr>
                <w:rFonts w:ascii="Calibri" w:hAnsi="Calibri" w:cs="Calibri"/>
              </w:rPr>
              <w:t xml:space="preserve">Accepted. </w:t>
            </w:r>
          </w:p>
          <w:p w14:paraId="765AE7E8" w14:textId="77777777" w:rsidR="00023BB7" w:rsidRDefault="00023BB7" w:rsidP="00023BB7">
            <w:pPr>
              <w:rPr>
                <w:rFonts w:ascii="Calibri" w:hAnsi="Calibri" w:cs="Calibri"/>
              </w:rPr>
            </w:pPr>
          </w:p>
          <w:p w14:paraId="66919C9E" w14:textId="187F9DCE" w:rsidR="00310F46" w:rsidRPr="00D83E0D" w:rsidRDefault="00023BB7" w:rsidP="00023BB7">
            <w:pPr>
              <w:rPr>
                <w:rFonts w:ascii="Calibri" w:hAnsi="Calibri" w:cs="Calibri"/>
              </w:rPr>
            </w:pPr>
            <w:r w:rsidRPr="007B5371">
              <w:rPr>
                <w:rFonts w:ascii="Calibri" w:hAnsi="Calibri" w:cs="Calibri"/>
              </w:rPr>
              <w:t xml:space="preserve">CYLC has sub-contracted to CYP implementation of a Cape York Summit in the first half of the calendar year 2025 and has a MOU with them. Our working relationship with </w:t>
            </w:r>
            <w:proofErr w:type="spellStart"/>
            <w:r w:rsidRPr="007B5371">
              <w:rPr>
                <w:rFonts w:ascii="Calibri" w:hAnsi="Calibri" w:cs="Calibri"/>
              </w:rPr>
              <w:t>Balkanu</w:t>
            </w:r>
            <w:proofErr w:type="spellEnd"/>
            <w:r w:rsidRPr="007B5371">
              <w:rPr>
                <w:rFonts w:ascii="Calibri" w:hAnsi="Calibri" w:cs="Calibri"/>
              </w:rPr>
              <w:t xml:space="preserve"> has recently been strained but with new management in place in the second half of the 2024 year it is CYLC’s intention to rebuild this relationship. In general, CYLC works closely with other organisations within the Cape York Region. An over-arching MOU with these organisations will be a work in progress. </w:t>
            </w:r>
          </w:p>
        </w:tc>
      </w:tr>
      <w:tr w:rsidR="003D1F6A" w14:paraId="1F91ADA7" w14:textId="77777777" w:rsidTr="004771F3">
        <w:tc>
          <w:tcPr>
            <w:tcW w:w="9016" w:type="dxa"/>
          </w:tcPr>
          <w:p w14:paraId="63E69291" w14:textId="5E940974" w:rsidR="003D1F6A" w:rsidRPr="00023BB7" w:rsidRDefault="003D1F6A" w:rsidP="003D1F6A">
            <w:pPr>
              <w:rPr>
                <w:rFonts w:ascii="Calibri" w:hAnsi="Calibri" w:cs="Calibri"/>
                <w:lang w:val="en-US"/>
              </w:rPr>
            </w:pPr>
            <w:r w:rsidRPr="00F66D39">
              <w:rPr>
                <w:rFonts w:ascii="Calibri" w:hAnsi="Calibri" w:cs="Calibri"/>
                <w:b/>
                <w:bCs/>
              </w:rPr>
              <w:t>Rec 7</w:t>
            </w:r>
            <w:r>
              <w:rPr>
                <w:rFonts w:ascii="Calibri" w:hAnsi="Calibri" w:cs="Calibri"/>
              </w:rPr>
              <w:t xml:space="preserve"> </w:t>
            </w:r>
            <w:r w:rsidRPr="00860407">
              <w:rPr>
                <w:rFonts w:ascii="Calibri" w:hAnsi="Calibri" w:cs="Calibri"/>
              </w:rPr>
              <w:t>Review and update relevant HR policies to be more clearly aligned to the strategic and operational business of CYLC, for example demonstrating examples of types of conflict of interest that may arise in native title to explicitly demonstrate CYLC’s approach.</w:t>
            </w:r>
          </w:p>
        </w:tc>
      </w:tr>
      <w:tr w:rsidR="003D1F6A" w14:paraId="28DFBD24" w14:textId="77777777" w:rsidTr="004771F3">
        <w:tc>
          <w:tcPr>
            <w:tcW w:w="9016" w:type="dxa"/>
          </w:tcPr>
          <w:p w14:paraId="7607BD27" w14:textId="77777777" w:rsidR="003D1F6A" w:rsidRPr="007009A2" w:rsidRDefault="003D1F6A" w:rsidP="003D1F6A">
            <w:pPr>
              <w:jc w:val="both"/>
              <w:rPr>
                <w:rFonts w:ascii="Calibri" w:hAnsi="Calibri" w:cs="Calibri"/>
                <w:b/>
                <w:bCs/>
                <w:lang w:val="en-US"/>
              </w:rPr>
            </w:pPr>
            <w:r w:rsidRPr="007009A2">
              <w:rPr>
                <w:rFonts w:ascii="Calibri" w:hAnsi="Calibri" w:cs="Calibri"/>
                <w:b/>
                <w:bCs/>
                <w:lang w:val="en-US"/>
              </w:rPr>
              <w:t>Response</w:t>
            </w:r>
          </w:p>
          <w:p w14:paraId="569C4EA0" w14:textId="77777777" w:rsidR="00AC09AD" w:rsidRDefault="00AC09AD" w:rsidP="00AC09AD">
            <w:pPr>
              <w:rPr>
                <w:rFonts w:ascii="Calibri" w:hAnsi="Calibri" w:cs="Calibri"/>
                <w:lang w:val="en-US"/>
              </w:rPr>
            </w:pPr>
            <w:r>
              <w:rPr>
                <w:rFonts w:ascii="Calibri" w:hAnsi="Calibri" w:cs="Calibri"/>
                <w:lang w:val="en-US"/>
              </w:rPr>
              <w:t xml:space="preserve">Accepted. </w:t>
            </w:r>
          </w:p>
          <w:p w14:paraId="45812B17" w14:textId="77777777" w:rsidR="00AC09AD" w:rsidRDefault="00AC09AD" w:rsidP="00AC09AD">
            <w:pPr>
              <w:rPr>
                <w:rFonts w:ascii="Calibri" w:hAnsi="Calibri" w:cs="Calibri"/>
                <w:lang w:val="en-US"/>
              </w:rPr>
            </w:pPr>
          </w:p>
          <w:p w14:paraId="7D3D046D" w14:textId="075ED877" w:rsidR="003D1F6A" w:rsidRDefault="00AC09AD" w:rsidP="00AC09AD">
            <w:pPr>
              <w:rPr>
                <w:rFonts w:ascii="Calibri" w:hAnsi="Calibri" w:cs="Calibri"/>
                <w:lang w:val="en-US"/>
              </w:rPr>
            </w:pPr>
            <w:r w:rsidRPr="002B5F8F">
              <w:rPr>
                <w:rFonts w:ascii="Calibri" w:hAnsi="Calibri" w:cs="Calibri"/>
                <w:lang w:val="en-US"/>
              </w:rPr>
              <w:t>All policies are reviewed and updated on a regular basis.</w:t>
            </w:r>
            <w:r w:rsidRPr="002B5F8F">
              <w:rPr>
                <w:rFonts w:ascii="Calibri" w:hAnsi="Calibri" w:cs="Calibri"/>
              </w:rPr>
              <w:t> </w:t>
            </w:r>
          </w:p>
        </w:tc>
      </w:tr>
      <w:tr w:rsidR="003D1F6A" w14:paraId="1757361F" w14:textId="77777777" w:rsidTr="004771F3">
        <w:tc>
          <w:tcPr>
            <w:tcW w:w="9016" w:type="dxa"/>
          </w:tcPr>
          <w:p w14:paraId="6A03300C" w14:textId="0CA60A2B" w:rsidR="003D1F6A" w:rsidRDefault="003D1F6A" w:rsidP="003D1F6A">
            <w:pPr>
              <w:rPr>
                <w:rFonts w:ascii="Calibri" w:hAnsi="Calibri" w:cs="Calibri"/>
                <w:lang w:val="en-US"/>
              </w:rPr>
            </w:pPr>
            <w:r w:rsidRPr="00FF14C1">
              <w:rPr>
                <w:rFonts w:ascii="Calibri" w:hAnsi="Calibri" w:cs="Calibri"/>
                <w:b/>
                <w:bCs/>
              </w:rPr>
              <w:t xml:space="preserve">Rec </w:t>
            </w:r>
            <w:r w:rsidR="00F90201">
              <w:rPr>
                <w:rFonts w:ascii="Calibri" w:hAnsi="Calibri" w:cs="Calibri"/>
                <w:b/>
                <w:bCs/>
              </w:rPr>
              <w:t>8</w:t>
            </w:r>
            <w:r w:rsidR="00951063">
              <w:rPr>
                <w:rFonts w:ascii="Calibri" w:hAnsi="Calibri" w:cs="Calibri"/>
              </w:rPr>
              <w:t xml:space="preserve"> </w:t>
            </w:r>
            <w:r w:rsidR="00951063" w:rsidRPr="00860407">
              <w:rPr>
                <w:rFonts w:ascii="Calibri" w:hAnsi="Calibri" w:cs="Calibri"/>
              </w:rPr>
              <w:t>Implement a short staff survey to understand CYLC's staff experience and engagement, provide staff with an avenue for offering feedback and identify opportunities for improvement. </w:t>
            </w:r>
          </w:p>
        </w:tc>
      </w:tr>
      <w:tr w:rsidR="00B12293" w14:paraId="013EF8FB" w14:textId="77777777" w:rsidTr="004771F3">
        <w:tc>
          <w:tcPr>
            <w:tcW w:w="9016" w:type="dxa"/>
          </w:tcPr>
          <w:p w14:paraId="1B87B2A8" w14:textId="00B6363B" w:rsidR="00B12293" w:rsidRPr="00B12293" w:rsidRDefault="00B12293" w:rsidP="00B12293">
            <w:pPr>
              <w:rPr>
                <w:rFonts w:ascii="Calibri" w:hAnsi="Calibri" w:cs="Calibri"/>
                <w:b/>
                <w:bCs/>
              </w:rPr>
            </w:pPr>
            <w:r w:rsidRPr="00B12293">
              <w:rPr>
                <w:rFonts w:ascii="Calibri" w:hAnsi="Calibri" w:cs="Calibri"/>
                <w:b/>
                <w:bCs/>
              </w:rPr>
              <w:t>Response</w:t>
            </w:r>
          </w:p>
          <w:p w14:paraId="73D4524A" w14:textId="21BAEFA1" w:rsidR="00B12293" w:rsidRDefault="00B12293" w:rsidP="00B12293">
            <w:pPr>
              <w:rPr>
                <w:rFonts w:ascii="Calibri" w:hAnsi="Calibri" w:cs="Calibri"/>
              </w:rPr>
            </w:pPr>
            <w:r>
              <w:rPr>
                <w:rFonts w:ascii="Calibri" w:hAnsi="Calibri" w:cs="Calibri"/>
              </w:rPr>
              <w:t xml:space="preserve">Accepted. </w:t>
            </w:r>
          </w:p>
          <w:p w14:paraId="3365CCEE" w14:textId="77777777" w:rsidR="00B12293" w:rsidRDefault="00B12293" w:rsidP="00B12293">
            <w:pPr>
              <w:rPr>
                <w:rFonts w:ascii="Calibri" w:hAnsi="Calibri" w:cs="Calibri"/>
              </w:rPr>
            </w:pPr>
          </w:p>
          <w:p w14:paraId="04D1D758" w14:textId="63739D9A" w:rsidR="00B12293" w:rsidRDefault="00B12293" w:rsidP="00B12293">
            <w:pPr>
              <w:rPr>
                <w:rFonts w:ascii="Calibri" w:hAnsi="Calibri" w:cs="Calibri"/>
                <w:lang w:val="en-US"/>
              </w:rPr>
            </w:pPr>
            <w:r w:rsidRPr="004B78A7">
              <w:rPr>
                <w:rFonts w:ascii="Calibri" w:hAnsi="Calibri" w:cs="Calibri"/>
              </w:rPr>
              <w:t xml:space="preserve">To date, we have not implemented this recommendation, as recent times, have been challenging. Our office sustained significant damage from Tropical Cyclone Jasper in December 2023, requiring staff to work from home and hot desk at various locations during the first 6 months of 2024. This continued until the office was deemed suitable for occupancy again in June 2024. To conduct a survey during such a period would not be </w:t>
            </w:r>
            <w:r w:rsidRPr="004B78A7">
              <w:rPr>
                <w:rFonts w:ascii="Calibri" w:hAnsi="Calibri" w:cs="Calibri"/>
              </w:rPr>
              <w:lastRenderedPageBreak/>
              <w:t>helpful as it doesn't give a true indication of where CYLC could improve. It is CYLC’s intention to implement this recommendation in the future. </w:t>
            </w:r>
          </w:p>
        </w:tc>
      </w:tr>
      <w:tr w:rsidR="00B12293" w14:paraId="3264707D" w14:textId="77777777" w:rsidTr="004771F3">
        <w:tc>
          <w:tcPr>
            <w:tcW w:w="9016" w:type="dxa"/>
          </w:tcPr>
          <w:p w14:paraId="1FBABC3E" w14:textId="77777777" w:rsidR="006E12F1" w:rsidRPr="00805C5E" w:rsidRDefault="00B12293" w:rsidP="006E12F1">
            <w:pPr>
              <w:rPr>
                <w:rFonts w:ascii="Calibri" w:hAnsi="Calibri" w:cs="Calibri"/>
              </w:rPr>
            </w:pPr>
            <w:r w:rsidRPr="006B0A39">
              <w:rPr>
                <w:rFonts w:ascii="Calibri" w:hAnsi="Calibri" w:cs="Calibri"/>
                <w:b/>
                <w:bCs/>
                <w:lang w:val="en-US"/>
              </w:rPr>
              <w:lastRenderedPageBreak/>
              <w:t xml:space="preserve">Rec </w:t>
            </w:r>
            <w:r>
              <w:rPr>
                <w:rFonts w:ascii="Calibri" w:hAnsi="Calibri" w:cs="Calibri"/>
                <w:b/>
                <w:bCs/>
                <w:lang w:val="en-US"/>
              </w:rPr>
              <w:t>9</w:t>
            </w:r>
            <w:r>
              <w:rPr>
                <w:rFonts w:ascii="Calibri" w:hAnsi="Calibri" w:cs="Calibri"/>
                <w:lang w:val="en-US"/>
              </w:rPr>
              <w:t xml:space="preserve"> </w:t>
            </w:r>
            <w:r w:rsidR="006E12F1" w:rsidRPr="00805C5E">
              <w:rPr>
                <w:rFonts w:ascii="Calibri" w:hAnsi="Calibri" w:cs="Calibri"/>
                <w:lang w:val="en-US"/>
              </w:rPr>
              <w:t>Make changes to CYLC financial managements systems, to:</w:t>
            </w:r>
            <w:r w:rsidR="006E12F1" w:rsidRPr="00805C5E">
              <w:rPr>
                <w:rFonts w:ascii="Calibri" w:hAnsi="Calibri" w:cs="Calibri"/>
              </w:rPr>
              <w:t> </w:t>
            </w:r>
          </w:p>
          <w:p w14:paraId="59D464F9" w14:textId="77777777" w:rsidR="006E12F1" w:rsidRPr="00854D42" w:rsidRDefault="006E12F1" w:rsidP="006E12F1">
            <w:pPr>
              <w:pStyle w:val="ListParagraph"/>
              <w:numPr>
                <w:ilvl w:val="0"/>
                <w:numId w:val="11"/>
              </w:numPr>
              <w:rPr>
                <w:rFonts w:ascii="Calibri" w:hAnsi="Calibri" w:cs="Calibri"/>
              </w:rPr>
            </w:pPr>
            <w:r w:rsidRPr="00854D42">
              <w:rPr>
                <w:rFonts w:ascii="Calibri" w:hAnsi="Calibri" w:cs="Calibri"/>
                <w:lang w:val="en-US"/>
              </w:rPr>
              <w:t xml:space="preserve">Move from paper-based payroll and timesheets system to an electronic system which would save time and </w:t>
            </w:r>
            <w:proofErr w:type="spellStart"/>
            <w:r w:rsidRPr="00854D42">
              <w:rPr>
                <w:rFonts w:ascii="Calibri" w:hAnsi="Calibri" w:cs="Calibri"/>
                <w:lang w:val="en-US"/>
              </w:rPr>
              <w:t>minimise</w:t>
            </w:r>
            <w:proofErr w:type="spellEnd"/>
            <w:r w:rsidRPr="00854D42">
              <w:rPr>
                <w:rFonts w:ascii="Calibri" w:hAnsi="Calibri" w:cs="Calibri"/>
                <w:lang w:val="en-US"/>
              </w:rPr>
              <w:t xml:space="preserve"> the chance of error in manual inputs.</w:t>
            </w:r>
            <w:r w:rsidRPr="00854D42">
              <w:rPr>
                <w:rFonts w:ascii="Calibri" w:hAnsi="Calibri" w:cs="Calibri"/>
              </w:rPr>
              <w:t> </w:t>
            </w:r>
          </w:p>
          <w:p w14:paraId="711E4C5D" w14:textId="4432851D" w:rsidR="00B12293" w:rsidRPr="006E12F1" w:rsidRDefault="006E12F1" w:rsidP="006E12F1">
            <w:pPr>
              <w:pStyle w:val="ListParagraph"/>
              <w:numPr>
                <w:ilvl w:val="0"/>
                <w:numId w:val="11"/>
              </w:numPr>
              <w:rPr>
                <w:rFonts w:ascii="Calibri" w:hAnsi="Calibri" w:cs="Calibri"/>
                <w:lang w:val="en-US"/>
              </w:rPr>
            </w:pPr>
            <w:r w:rsidRPr="006E12F1">
              <w:rPr>
                <w:rFonts w:ascii="Calibri" w:hAnsi="Calibri" w:cs="Calibri"/>
                <w:lang w:val="en-US"/>
              </w:rPr>
              <w:t xml:space="preserve">Move from a paper-based invoice and purchase order system to an electronic system which would </w:t>
            </w:r>
            <w:proofErr w:type="spellStart"/>
            <w:r w:rsidRPr="006E12F1">
              <w:rPr>
                <w:rFonts w:ascii="Calibri" w:hAnsi="Calibri" w:cs="Calibri"/>
                <w:lang w:val="en-US"/>
              </w:rPr>
              <w:t>minimise</w:t>
            </w:r>
            <w:proofErr w:type="spellEnd"/>
            <w:r w:rsidRPr="006E12F1">
              <w:rPr>
                <w:rFonts w:ascii="Calibri" w:hAnsi="Calibri" w:cs="Calibri"/>
                <w:lang w:val="en-US"/>
              </w:rPr>
              <w:t xml:space="preserve"> the chance of error in manual inputs and create a system that supports the easier approvals and tracking of spending (noting that the current process involves the CEO approving expenses after they have already been paid).</w:t>
            </w:r>
          </w:p>
        </w:tc>
      </w:tr>
      <w:tr w:rsidR="00B12293" w14:paraId="79F6C735" w14:textId="77777777" w:rsidTr="004771F3">
        <w:tc>
          <w:tcPr>
            <w:tcW w:w="9016" w:type="dxa"/>
          </w:tcPr>
          <w:p w14:paraId="2D8041E7" w14:textId="1503D6E1" w:rsidR="0020440A" w:rsidRPr="0020440A" w:rsidRDefault="0020440A" w:rsidP="0020440A">
            <w:pPr>
              <w:rPr>
                <w:rFonts w:ascii="Calibri" w:hAnsi="Calibri" w:cs="Calibri"/>
                <w:b/>
                <w:bCs/>
              </w:rPr>
            </w:pPr>
            <w:r w:rsidRPr="0020440A">
              <w:rPr>
                <w:rFonts w:ascii="Calibri" w:hAnsi="Calibri" w:cs="Calibri"/>
                <w:b/>
                <w:bCs/>
              </w:rPr>
              <w:t>Response</w:t>
            </w:r>
          </w:p>
          <w:p w14:paraId="71F8E95B" w14:textId="1AD30C01" w:rsidR="0020440A" w:rsidRDefault="0020440A" w:rsidP="0020440A">
            <w:pPr>
              <w:rPr>
                <w:rFonts w:ascii="Calibri" w:hAnsi="Calibri" w:cs="Calibri"/>
              </w:rPr>
            </w:pPr>
            <w:r>
              <w:rPr>
                <w:rFonts w:ascii="Calibri" w:hAnsi="Calibri" w:cs="Calibri"/>
              </w:rPr>
              <w:t xml:space="preserve">Accepted in part. </w:t>
            </w:r>
          </w:p>
          <w:p w14:paraId="751D4D81" w14:textId="77777777" w:rsidR="0020440A" w:rsidRDefault="0020440A" w:rsidP="0020440A">
            <w:pPr>
              <w:rPr>
                <w:rFonts w:ascii="Calibri" w:hAnsi="Calibri" w:cs="Calibri"/>
              </w:rPr>
            </w:pPr>
          </w:p>
          <w:p w14:paraId="5A15309C" w14:textId="00333B0A" w:rsidR="00B12293" w:rsidRPr="006B0A39" w:rsidRDefault="0020440A" w:rsidP="0020440A">
            <w:pPr>
              <w:rPr>
                <w:rFonts w:ascii="Calibri" w:hAnsi="Calibri" w:cs="Calibri"/>
                <w:b/>
                <w:bCs/>
                <w:lang w:val="en-US"/>
              </w:rPr>
            </w:pPr>
            <w:r w:rsidRPr="00BE71B1">
              <w:rPr>
                <w:rFonts w:ascii="Calibri" w:hAnsi="Calibri" w:cs="Calibri"/>
              </w:rPr>
              <w:t>CYLC has started the process on this and as per the timesheet recommendation we are now at the point of testing what has been set up. If all testing goes well, we will start with a digital timesheet submission process in 2025. We have also started the process of sourcing the correct software that suits CYLC needs to implement the digital purchasing ordering system. This process will happen after we have implemented the timesheet system. Regarding CEO approving expenses after the fact, this is in part correct, as the CEO signs off on invoices that have been paid but prior to that signature, there are protocols set in place which requires a Purchase Order to be signed by either the CEO or CFO before any expenditure is incurred by CYLC. At this stage, once an invoice is received, it is matched to the PO and signed off by the CFO or CEO. The final payment form is then also signed off by the CFO and CEO. No expenditure is incurred without the approval of either the CFO or CEO.</w:t>
            </w:r>
          </w:p>
        </w:tc>
      </w:tr>
      <w:tr w:rsidR="002D4928" w14:paraId="2704A157" w14:textId="77777777" w:rsidTr="004771F3">
        <w:tc>
          <w:tcPr>
            <w:tcW w:w="9016" w:type="dxa"/>
          </w:tcPr>
          <w:p w14:paraId="2E845D86" w14:textId="608330BB" w:rsidR="002D4928" w:rsidRPr="0020440A" w:rsidRDefault="00156EC2" w:rsidP="0020440A">
            <w:pPr>
              <w:rPr>
                <w:rFonts w:ascii="Calibri" w:hAnsi="Calibri" w:cs="Calibri"/>
                <w:b/>
                <w:bCs/>
              </w:rPr>
            </w:pPr>
            <w:r w:rsidRPr="00C3356E">
              <w:rPr>
                <w:rFonts w:ascii="Calibri" w:hAnsi="Calibri" w:cs="Calibri"/>
                <w:b/>
                <w:bCs/>
                <w:lang w:val="en-US"/>
              </w:rPr>
              <w:t>Rec 10</w:t>
            </w:r>
            <w:r>
              <w:rPr>
                <w:rFonts w:ascii="Calibri" w:hAnsi="Calibri" w:cs="Calibri"/>
                <w:lang w:val="en-US"/>
              </w:rPr>
              <w:t xml:space="preserve"> </w:t>
            </w:r>
            <w:r w:rsidRPr="00805C5E">
              <w:rPr>
                <w:rFonts w:ascii="Calibri" w:hAnsi="Calibri" w:cs="Calibri"/>
                <w:lang w:val="en-US"/>
              </w:rPr>
              <w:t xml:space="preserve">Invest in professional development opportunities for Executive staff - noting the CEO being new to the role - </w:t>
            </w:r>
            <w:proofErr w:type="spellStart"/>
            <w:r w:rsidRPr="00805C5E">
              <w:rPr>
                <w:rFonts w:ascii="Calibri" w:hAnsi="Calibri" w:cs="Calibri"/>
                <w:lang w:val="en-US"/>
              </w:rPr>
              <w:t>recognising</w:t>
            </w:r>
            <w:proofErr w:type="spellEnd"/>
            <w:r w:rsidRPr="00805C5E">
              <w:rPr>
                <w:rFonts w:ascii="Calibri" w:hAnsi="Calibri" w:cs="Calibri"/>
                <w:lang w:val="en-US"/>
              </w:rPr>
              <w:t xml:space="preserve"> the importance of the leadership for high - performing </w:t>
            </w:r>
            <w:proofErr w:type="spellStart"/>
            <w:r w:rsidRPr="00805C5E">
              <w:rPr>
                <w:rFonts w:ascii="Calibri" w:hAnsi="Calibri" w:cs="Calibri"/>
                <w:lang w:val="en-US"/>
              </w:rPr>
              <w:t>organisations</w:t>
            </w:r>
            <w:proofErr w:type="spellEnd"/>
            <w:r w:rsidRPr="00805C5E">
              <w:rPr>
                <w:rFonts w:ascii="Calibri" w:hAnsi="Calibri" w:cs="Calibri"/>
                <w:lang w:val="en-US"/>
              </w:rPr>
              <w:t>.</w:t>
            </w:r>
            <w:r w:rsidRPr="00805C5E">
              <w:rPr>
                <w:rFonts w:ascii="Calibri" w:hAnsi="Calibri" w:cs="Calibri"/>
              </w:rPr>
              <w:t> </w:t>
            </w:r>
          </w:p>
        </w:tc>
      </w:tr>
      <w:tr w:rsidR="00156EC2" w14:paraId="4CE4CCAB" w14:textId="77777777" w:rsidTr="004771F3">
        <w:tc>
          <w:tcPr>
            <w:tcW w:w="9016" w:type="dxa"/>
          </w:tcPr>
          <w:p w14:paraId="24DCD2B9" w14:textId="77777777" w:rsidR="00156EC2" w:rsidRDefault="00932ABA" w:rsidP="0020440A">
            <w:pPr>
              <w:rPr>
                <w:rFonts w:ascii="Calibri" w:hAnsi="Calibri" w:cs="Calibri"/>
                <w:b/>
                <w:bCs/>
                <w:lang w:val="en-US"/>
              </w:rPr>
            </w:pPr>
            <w:r>
              <w:rPr>
                <w:rFonts w:ascii="Calibri" w:hAnsi="Calibri" w:cs="Calibri"/>
                <w:b/>
                <w:bCs/>
                <w:lang w:val="en-US"/>
              </w:rPr>
              <w:t>Response</w:t>
            </w:r>
          </w:p>
          <w:p w14:paraId="468CC7FE" w14:textId="77777777" w:rsidR="00932ABA" w:rsidRDefault="00932ABA" w:rsidP="00932ABA">
            <w:pPr>
              <w:rPr>
                <w:rFonts w:ascii="Calibri" w:hAnsi="Calibri" w:cs="Calibri"/>
                <w:lang w:val="en-US"/>
              </w:rPr>
            </w:pPr>
            <w:r>
              <w:rPr>
                <w:rFonts w:ascii="Calibri" w:hAnsi="Calibri" w:cs="Calibri"/>
                <w:lang w:val="en-US"/>
              </w:rPr>
              <w:t xml:space="preserve">Accepted in part. </w:t>
            </w:r>
          </w:p>
          <w:p w14:paraId="21E12B60" w14:textId="77777777" w:rsidR="00932ABA" w:rsidRDefault="00932ABA" w:rsidP="00932ABA">
            <w:pPr>
              <w:rPr>
                <w:rFonts w:ascii="Calibri" w:hAnsi="Calibri" w:cs="Calibri"/>
                <w:lang w:val="en-US"/>
              </w:rPr>
            </w:pPr>
          </w:p>
          <w:p w14:paraId="5C553BD2" w14:textId="5649BC05" w:rsidR="00932ABA" w:rsidRPr="00C3356E" w:rsidRDefault="00932ABA" w:rsidP="00932ABA">
            <w:pPr>
              <w:rPr>
                <w:rFonts w:ascii="Calibri" w:hAnsi="Calibri" w:cs="Calibri"/>
                <w:b/>
                <w:bCs/>
                <w:lang w:val="en-US"/>
              </w:rPr>
            </w:pPr>
            <w:r w:rsidRPr="006B3750">
              <w:rPr>
                <w:rFonts w:ascii="Calibri" w:hAnsi="Calibri" w:cs="Calibri"/>
                <w:lang w:val="en-US"/>
              </w:rPr>
              <w:t xml:space="preserve">CYLC has a dedicated training budget accessible to all staff, including management and CEO roles. Please note that these recommendations specifically refer to the former CEO, who is no longer with the </w:t>
            </w:r>
            <w:proofErr w:type="spellStart"/>
            <w:r w:rsidRPr="006B3750">
              <w:rPr>
                <w:rFonts w:ascii="Calibri" w:hAnsi="Calibri" w:cs="Calibri"/>
                <w:lang w:val="en-US"/>
              </w:rPr>
              <w:t>organisation</w:t>
            </w:r>
            <w:proofErr w:type="spellEnd"/>
            <w:r w:rsidRPr="006B3750">
              <w:rPr>
                <w:rFonts w:ascii="Calibri" w:hAnsi="Calibri" w:cs="Calibri"/>
                <w:lang w:val="en-US"/>
              </w:rPr>
              <w:t>. Additionally, the CEO mentioned was not the CEO during the review period. Therefore, CYLC does not agree with this part of the recommendation. </w:t>
            </w:r>
            <w:r w:rsidRPr="006B3750">
              <w:rPr>
                <w:rFonts w:ascii="Calibri" w:hAnsi="Calibri" w:cs="Calibri"/>
              </w:rPr>
              <w:t> </w:t>
            </w:r>
          </w:p>
        </w:tc>
      </w:tr>
      <w:tr w:rsidR="00B12293" w14:paraId="0A5CC5B1" w14:textId="77777777" w:rsidTr="002A0C79">
        <w:tc>
          <w:tcPr>
            <w:tcW w:w="9016" w:type="dxa"/>
            <w:shd w:val="clear" w:color="auto" w:fill="C1E4F5" w:themeFill="accent1" w:themeFillTint="33"/>
          </w:tcPr>
          <w:p w14:paraId="767890ED" w14:textId="197BCA2C" w:rsidR="00B12293" w:rsidRPr="006B0A39" w:rsidRDefault="00B12293" w:rsidP="00B12293">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F94333" w:rsidRPr="00F94333">
              <w:rPr>
                <w:rFonts w:ascii="Calibri" w:hAnsi="Calibri" w:cs="Calibri"/>
                <w:b/>
                <w:bCs/>
                <w:lang w:val="en-GB"/>
              </w:rPr>
              <w:t xml:space="preserve">(Rec </w:t>
            </w:r>
            <w:r w:rsidR="00F94333">
              <w:rPr>
                <w:rFonts w:ascii="Calibri" w:hAnsi="Calibri" w:cs="Calibri"/>
                <w:b/>
                <w:bCs/>
                <w:lang w:val="en-GB"/>
              </w:rPr>
              <w:t>11-12</w:t>
            </w:r>
            <w:r w:rsidR="00F94333" w:rsidRPr="00F94333">
              <w:rPr>
                <w:rFonts w:ascii="Calibri" w:hAnsi="Calibri" w:cs="Calibri"/>
                <w:b/>
                <w:bCs/>
                <w:lang w:val="en-GB"/>
              </w:rPr>
              <w:t>)</w:t>
            </w:r>
          </w:p>
        </w:tc>
      </w:tr>
      <w:tr w:rsidR="00B12293" w14:paraId="242F7191" w14:textId="77777777" w:rsidTr="004771F3">
        <w:tc>
          <w:tcPr>
            <w:tcW w:w="9016" w:type="dxa"/>
          </w:tcPr>
          <w:p w14:paraId="68446DA6" w14:textId="3123CA29" w:rsidR="00B12293" w:rsidRPr="006B0A39" w:rsidRDefault="0080667C" w:rsidP="00B12293">
            <w:pPr>
              <w:rPr>
                <w:rFonts w:ascii="Calibri" w:hAnsi="Calibri" w:cs="Calibri"/>
                <w:b/>
                <w:bCs/>
                <w:lang w:val="en-US"/>
              </w:rPr>
            </w:pPr>
            <w:r w:rsidRPr="00C3356E">
              <w:rPr>
                <w:rFonts w:ascii="Calibri" w:hAnsi="Calibri" w:cs="Calibri"/>
                <w:b/>
                <w:bCs/>
                <w:lang w:val="en-US"/>
              </w:rPr>
              <w:t>Rec 11</w:t>
            </w:r>
            <w:r>
              <w:rPr>
                <w:rFonts w:ascii="Calibri" w:hAnsi="Calibri" w:cs="Calibri"/>
                <w:lang w:val="en-US"/>
              </w:rPr>
              <w:t xml:space="preserve"> </w:t>
            </w:r>
            <w:r w:rsidRPr="00BD1F57">
              <w:rPr>
                <w:rFonts w:ascii="Calibri" w:hAnsi="Calibri" w:cs="Calibri"/>
                <w:lang w:val="en-US"/>
              </w:rPr>
              <w:t>Implement service agreements with all client PBCs to strengthen the relationship between CYLC and the PBCs, and: enable CYLC to actively seek feedback from client PBCs on the type and quality of support provided; allow CYLC to better understand PBC needs and refine services to address the identified needs and improve satisfaction.</w:t>
            </w:r>
            <w:r w:rsidRPr="00BD1F57">
              <w:rPr>
                <w:rFonts w:ascii="Calibri" w:hAnsi="Calibri" w:cs="Calibri"/>
              </w:rPr>
              <w:t> </w:t>
            </w:r>
          </w:p>
        </w:tc>
      </w:tr>
      <w:tr w:rsidR="00B12293" w14:paraId="0294F5A6" w14:textId="77777777" w:rsidTr="004771F3">
        <w:tc>
          <w:tcPr>
            <w:tcW w:w="9016" w:type="dxa"/>
          </w:tcPr>
          <w:p w14:paraId="277F96E4" w14:textId="77777777" w:rsidR="00B12293" w:rsidRPr="007009A2" w:rsidRDefault="00B12293" w:rsidP="00B12293">
            <w:pPr>
              <w:jc w:val="both"/>
              <w:rPr>
                <w:rFonts w:ascii="Calibri" w:hAnsi="Calibri" w:cs="Calibri"/>
                <w:b/>
                <w:bCs/>
                <w:lang w:val="en-US"/>
              </w:rPr>
            </w:pPr>
            <w:r w:rsidRPr="007009A2">
              <w:rPr>
                <w:rFonts w:ascii="Calibri" w:hAnsi="Calibri" w:cs="Calibri"/>
                <w:b/>
                <w:bCs/>
                <w:lang w:val="en-US"/>
              </w:rPr>
              <w:t>Response</w:t>
            </w:r>
          </w:p>
          <w:p w14:paraId="5985F3B5" w14:textId="77777777" w:rsidR="00913850" w:rsidRDefault="00913850" w:rsidP="00913850">
            <w:pPr>
              <w:rPr>
                <w:rFonts w:ascii="Calibri" w:hAnsi="Calibri" w:cs="Calibri"/>
              </w:rPr>
            </w:pPr>
            <w:r>
              <w:rPr>
                <w:rFonts w:ascii="Calibri" w:hAnsi="Calibri" w:cs="Calibri"/>
              </w:rPr>
              <w:t xml:space="preserve">Not accepted in part. </w:t>
            </w:r>
          </w:p>
          <w:p w14:paraId="02E35F78" w14:textId="77777777" w:rsidR="00913850" w:rsidRDefault="00913850" w:rsidP="00913850">
            <w:pPr>
              <w:rPr>
                <w:rFonts w:ascii="Calibri" w:hAnsi="Calibri" w:cs="Calibri"/>
              </w:rPr>
            </w:pPr>
          </w:p>
          <w:p w14:paraId="54A61588" w14:textId="67D2239B" w:rsidR="00B12293" w:rsidRPr="006B0A39" w:rsidRDefault="00913850" w:rsidP="00913850">
            <w:pPr>
              <w:rPr>
                <w:rFonts w:ascii="Calibri" w:hAnsi="Calibri" w:cs="Calibri"/>
                <w:b/>
                <w:bCs/>
                <w:lang w:val="en-US"/>
              </w:rPr>
            </w:pPr>
            <w:r w:rsidRPr="002F2EF2">
              <w:rPr>
                <w:rFonts w:ascii="Calibri" w:hAnsi="Calibri" w:cs="Calibri"/>
              </w:rPr>
              <w:t xml:space="preserve">CYLC conducted a review of service agreements other NTRBs provided to their clients but found that these restricted us in the tasks/services we could offer. A review of the request for assistance system was then conducted and the Request for Assistance policy was </w:t>
            </w:r>
            <w:r w:rsidRPr="002F2EF2">
              <w:rPr>
                <w:rFonts w:ascii="Calibri" w:hAnsi="Calibri" w:cs="Calibri"/>
              </w:rPr>
              <w:lastRenderedPageBreak/>
              <w:t>developed for services outside our core functions which are Compliance, Governance, Basic Support Funding and Legal Advice and Service Delivery. We now clearly explain our role and services we can offer and the request for assistance form is completed for anything outside the scope of our normal services.  </w:t>
            </w:r>
          </w:p>
        </w:tc>
      </w:tr>
      <w:tr w:rsidR="00B12293" w14:paraId="09220C93" w14:textId="77777777" w:rsidTr="004771F3">
        <w:tc>
          <w:tcPr>
            <w:tcW w:w="9016" w:type="dxa"/>
          </w:tcPr>
          <w:p w14:paraId="588F3646" w14:textId="3638B9D3" w:rsidR="00B12293" w:rsidRPr="006B0A39" w:rsidRDefault="008012EF" w:rsidP="00B12293">
            <w:pPr>
              <w:rPr>
                <w:rFonts w:ascii="Calibri" w:hAnsi="Calibri" w:cs="Calibri"/>
                <w:b/>
                <w:bCs/>
                <w:lang w:val="en-US"/>
              </w:rPr>
            </w:pPr>
            <w:r w:rsidRPr="00625692">
              <w:rPr>
                <w:rFonts w:ascii="Calibri" w:hAnsi="Calibri" w:cs="Calibri"/>
                <w:b/>
                <w:bCs/>
                <w:lang w:val="en-US"/>
              </w:rPr>
              <w:lastRenderedPageBreak/>
              <w:t>Rec 12</w:t>
            </w:r>
            <w:r>
              <w:rPr>
                <w:rFonts w:ascii="Calibri" w:hAnsi="Calibri" w:cs="Calibri"/>
                <w:lang w:val="en-US"/>
              </w:rPr>
              <w:t xml:space="preserve"> </w:t>
            </w:r>
            <w:proofErr w:type="spellStart"/>
            <w:r w:rsidRPr="00BD1F57">
              <w:rPr>
                <w:rFonts w:ascii="Calibri" w:hAnsi="Calibri" w:cs="Calibri"/>
                <w:lang w:val="en-US"/>
              </w:rPr>
              <w:t>Formalise</w:t>
            </w:r>
            <w:proofErr w:type="spellEnd"/>
            <w:r w:rsidRPr="00BD1F57">
              <w:rPr>
                <w:rFonts w:ascii="Calibri" w:hAnsi="Calibri" w:cs="Calibri"/>
                <w:lang w:val="en-US"/>
              </w:rPr>
              <w:t xml:space="preserve"> policy for return of cultural material to Traditional Owners after claim determination, with policy emphasis on increasing visibility and communication of return timelines.</w:t>
            </w:r>
            <w:r w:rsidRPr="00BD1F57">
              <w:rPr>
                <w:rFonts w:ascii="Calibri" w:hAnsi="Calibri" w:cs="Calibri"/>
              </w:rPr>
              <w:t> </w:t>
            </w:r>
          </w:p>
        </w:tc>
      </w:tr>
      <w:tr w:rsidR="00305D2D" w14:paraId="71095D01" w14:textId="77777777" w:rsidTr="004771F3">
        <w:tc>
          <w:tcPr>
            <w:tcW w:w="9016" w:type="dxa"/>
          </w:tcPr>
          <w:p w14:paraId="15C45C05" w14:textId="5B84AF36" w:rsidR="00305D2D" w:rsidRPr="00305D2D" w:rsidRDefault="00305D2D" w:rsidP="00305D2D">
            <w:pPr>
              <w:rPr>
                <w:rFonts w:ascii="Calibri" w:hAnsi="Calibri" w:cs="Calibri"/>
                <w:b/>
                <w:bCs/>
              </w:rPr>
            </w:pPr>
            <w:r w:rsidRPr="00305D2D">
              <w:rPr>
                <w:rFonts w:ascii="Calibri" w:hAnsi="Calibri" w:cs="Calibri"/>
                <w:b/>
                <w:bCs/>
              </w:rPr>
              <w:t>Response</w:t>
            </w:r>
          </w:p>
          <w:p w14:paraId="535E8BD3" w14:textId="618711D7" w:rsidR="00305D2D" w:rsidRDefault="00305D2D" w:rsidP="00305D2D">
            <w:pPr>
              <w:rPr>
                <w:rFonts w:ascii="Calibri" w:hAnsi="Calibri" w:cs="Calibri"/>
              </w:rPr>
            </w:pPr>
            <w:r>
              <w:rPr>
                <w:rFonts w:ascii="Calibri" w:hAnsi="Calibri" w:cs="Calibri"/>
              </w:rPr>
              <w:t xml:space="preserve">Accepted. </w:t>
            </w:r>
          </w:p>
          <w:p w14:paraId="6D26EF52" w14:textId="77777777" w:rsidR="00305D2D" w:rsidRDefault="00305D2D" w:rsidP="00305D2D">
            <w:pPr>
              <w:rPr>
                <w:rFonts w:ascii="Calibri" w:hAnsi="Calibri" w:cs="Calibri"/>
              </w:rPr>
            </w:pPr>
          </w:p>
          <w:p w14:paraId="6297B50B" w14:textId="09B81C8C" w:rsidR="00305D2D" w:rsidRPr="006B0A39" w:rsidRDefault="00305D2D" w:rsidP="00305D2D">
            <w:pPr>
              <w:rPr>
                <w:rFonts w:ascii="Calibri" w:hAnsi="Calibri" w:cs="Calibri"/>
                <w:b/>
                <w:bCs/>
                <w:lang w:val="en-US"/>
              </w:rPr>
            </w:pPr>
            <w:r w:rsidRPr="002F2EF2">
              <w:rPr>
                <w:rFonts w:ascii="Calibri" w:hAnsi="Calibri" w:cs="Calibri"/>
              </w:rPr>
              <w:t>This is a work in progress as it is a very complex matter. CYLC recently had the head of the Anthropology unit leave who was the staff member addressing this matter. CYLC has replaced this role, and the new manager will be addressing the matter, but it is envisaged that this will take some time. </w:t>
            </w:r>
          </w:p>
        </w:tc>
      </w:tr>
      <w:tr w:rsidR="00B12293" w14:paraId="730408A2" w14:textId="77777777" w:rsidTr="00B34614">
        <w:tc>
          <w:tcPr>
            <w:tcW w:w="9016" w:type="dxa"/>
            <w:shd w:val="clear" w:color="auto" w:fill="C1E4F5" w:themeFill="accent1" w:themeFillTint="33"/>
          </w:tcPr>
          <w:p w14:paraId="18FB1291" w14:textId="16E17E4A" w:rsidR="00B12293" w:rsidRDefault="00B12293" w:rsidP="00B12293">
            <w:pPr>
              <w:rPr>
                <w:rFonts w:ascii="Calibri" w:hAnsi="Calibri" w:cs="Calibri"/>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F94333" w:rsidRPr="00F94333">
              <w:rPr>
                <w:rFonts w:ascii="Calibri" w:hAnsi="Calibri" w:cs="Calibri"/>
                <w:b/>
                <w:bCs/>
                <w:lang w:val="en-GB"/>
              </w:rPr>
              <w:t>(Rec 1</w:t>
            </w:r>
            <w:r w:rsidR="00F94333">
              <w:rPr>
                <w:rFonts w:ascii="Calibri" w:hAnsi="Calibri" w:cs="Calibri"/>
                <w:b/>
                <w:bCs/>
                <w:lang w:val="en-GB"/>
              </w:rPr>
              <w:t>3</w:t>
            </w:r>
            <w:r w:rsidR="00F94333" w:rsidRPr="00F94333">
              <w:rPr>
                <w:rFonts w:ascii="Calibri" w:hAnsi="Calibri" w:cs="Calibri"/>
                <w:b/>
                <w:bCs/>
                <w:lang w:val="en-GB"/>
              </w:rPr>
              <w:t>)</w:t>
            </w:r>
          </w:p>
        </w:tc>
      </w:tr>
      <w:tr w:rsidR="00B12293" w14:paraId="60DF38C9" w14:textId="77777777" w:rsidTr="004771F3">
        <w:tc>
          <w:tcPr>
            <w:tcW w:w="9016" w:type="dxa"/>
          </w:tcPr>
          <w:p w14:paraId="3EC32E97" w14:textId="3597EF56" w:rsidR="00B12293" w:rsidRDefault="00A319EC" w:rsidP="00B12293">
            <w:pPr>
              <w:rPr>
                <w:rFonts w:ascii="Calibri" w:hAnsi="Calibri" w:cs="Calibri"/>
                <w:lang w:val="en-US"/>
              </w:rPr>
            </w:pPr>
            <w:r w:rsidRPr="00625692">
              <w:rPr>
                <w:rFonts w:ascii="Calibri" w:hAnsi="Calibri" w:cs="Calibri"/>
                <w:b/>
                <w:bCs/>
                <w:lang w:val="en-US"/>
              </w:rPr>
              <w:t>Rec 13</w:t>
            </w:r>
            <w:r>
              <w:rPr>
                <w:rFonts w:ascii="Calibri" w:hAnsi="Calibri" w:cs="Calibri"/>
                <w:lang w:val="en-US"/>
              </w:rPr>
              <w:t xml:space="preserve"> </w:t>
            </w:r>
            <w:r w:rsidRPr="00BD1F57">
              <w:rPr>
                <w:rFonts w:ascii="Calibri" w:hAnsi="Calibri" w:cs="Calibri"/>
                <w:lang w:val="en-US"/>
              </w:rPr>
              <w:t>Develop a formal, detailed post-determination strategy based on extensive consultation with Traditional Owners in the Cape York RATSIB area and CYLC staff, Executive and Board</w:t>
            </w:r>
            <w:r w:rsidRPr="00BD1F57">
              <w:rPr>
                <w:rFonts w:ascii="Calibri" w:hAnsi="Calibri" w:cs="Calibri"/>
              </w:rPr>
              <w:t> </w:t>
            </w:r>
            <w:r>
              <w:rPr>
                <w:rFonts w:ascii="Calibri" w:hAnsi="Calibri" w:cs="Calibri"/>
                <w:lang w:val="en-US"/>
              </w:rPr>
              <w:t xml:space="preserve"> </w:t>
            </w:r>
          </w:p>
        </w:tc>
      </w:tr>
      <w:tr w:rsidR="00B12293" w14:paraId="777C150C" w14:textId="77777777" w:rsidTr="004771F3">
        <w:tc>
          <w:tcPr>
            <w:tcW w:w="9016" w:type="dxa"/>
          </w:tcPr>
          <w:p w14:paraId="59F8CB38" w14:textId="77777777" w:rsidR="00B12293" w:rsidRPr="007009A2" w:rsidRDefault="00B12293" w:rsidP="00B12293">
            <w:pPr>
              <w:jc w:val="both"/>
              <w:rPr>
                <w:rFonts w:ascii="Calibri" w:hAnsi="Calibri" w:cs="Calibri"/>
                <w:b/>
                <w:bCs/>
                <w:lang w:val="en-US"/>
              </w:rPr>
            </w:pPr>
            <w:r w:rsidRPr="007009A2">
              <w:rPr>
                <w:rFonts w:ascii="Calibri" w:hAnsi="Calibri" w:cs="Calibri"/>
                <w:b/>
                <w:bCs/>
                <w:lang w:val="en-US"/>
              </w:rPr>
              <w:t>Response</w:t>
            </w:r>
          </w:p>
          <w:p w14:paraId="38CC3464" w14:textId="77777777" w:rsidR="00033CBB" w:rsidRDefault="00033CBB" w:rsidP="00033CBB">
            <w:pPr>
              <w:rPr>
                <w:rFonts w:ascii="Calibri" w:hAnsi="Calibri" w:cs="Calibri"/>
                <w:lang w:val="en-US"/>
              </w:rPr>
            </w:pPr>
            <w:r>
              <w:rPr>
                <w:rFonts w:ascii="Calibri" w:hAnsi="Calibri" w:cs="Calibri"/>
                <w:lang w:val="en-US"/>
              </w:rPr>
              <w:t xml:space="preserve">Accepted. </w:t>
            </w:r>
          </w:p>
          <w:p w14:paraId="0D02B2AE" w14:textId="77777777" w:rsidR="00033CBB" w:rsidRDefault="00033CBB" w:rsidP="00033CBB">
            <w:pPr>
              <w:rPr>
                <w:rFonts w:ascii="Calibri" w:hAnsi="Calibri" w:cs="Calibri"/>
                <w:lang w:val="en-US"/>
              </w:rPr>
            </w:pPr>
          </w:p>
          <w:p w14:paraId="0087DED4" w14:textId="3B8D623A" w:rsidR="00B12293" w:rsidRDefault="00033CBB" w:rsidP="00033CBB">
            <w:pPr>
              <w:rPr>
                <w:rFonts w:ascii="Calibri" w:hAnsi="Calibri" w:cs="Calibri"/>
                <w:lang w:val="en-US"/>
              </w:rPr>
            </w:pPr>
            <w:r w:rsidRPr="002E3AA6">
              <w:rPr>
                <w:rFonts w:ascii="Calibri" w:hAnsi="Calibri" w:cs="Calibri"/>
                <w:lang w:val="en-US"/>
              </w:rPr>
              <w:t>This will form part of the new strategic plan moving forward post CYU#1 Claim and will be worked on over an extended period.</w:t>
            </w:r>
            <w:r w:rsidRPr="002E3AA6">
              <w:rPr>
                <w:rFonts w:ascii="Calibri" w:hAnsi="Calibri" w:cs="Calibri"/>
              </w:rPr>
              <w:t> </w:t>
            </w:r>
          </w:p>
        </w:tc>
      </w:tr>
    </w:tbl>
    <w:p w14:paraId="22B72C67" w14:textId="77777777" w:rsidR="004771F3" w:rsidRDefault="004771F3"/>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2828" w14:textId="77777777" w:rsidR="0017705A" w:rsidRDefault="0017705A" w:rsidP="004771F3">
      <w:pPr>
        <w:spacing w:after="0" w:line="240" w:lineRule="auto"/>
      </w:pPr>
      <w:r>
        <w:separator/>
      </w:r>
    </w:p>
  </w:endnote>
  <w:endnote w:type="continuationSeparator" w:id="0">
    <w:p w14:paraId="2254B97F" w14:textId="77777777" w:rsidR="0017705A" w:rsidRDefault="0017705A" w:rsidP="004771F3">
      <w:pPr>
        <w:spacing w:after="0" w:line="240" w:lineRule="auto"/>
      </w:pPr>
      <w:r>
        <w:continuationSeparator/>
      </w:r>
    </w:p>
  </w:endnote>
  <w:endnote w:type="continuationNotice" w:id="1">
    <w:p w14:paraId="357E9213" w14:textId="77777777" w:rsidR="0017705A" w:rsidRDefault="00177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4F085F48"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3C261" w14:textId="4DBD6B4D" w:rsidR="004771F3" w:rsidRDefault="00DD79EC">
    <w:pPr>
      <w:pStyle w:val="Footer"/>
    </w:pPr>
    <w:r w:rsidRPr="00DD79EC">
      <w:t xml:space="preserve">Cape York Land Council </w:t>
    </w:r>
    <w:r w:rsidR="00CB2290">
      <w:t>R</w:t>
    </w:r>
    <w:r w:rsidR="00F441AC">
      <w:t>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763B" w14:textId="77777777" w:rsidR="0017705A" w:rsidRDefault="0017705A" w:rsidP="004771F3">
      <w:pPr>
        <w:spacing w:after="0" w:line="240" w:lineRule="auto"/>
      </w:pPr>
      <w:r>
        <w:separator/>
      </w:r>
    </w:p>
  </w:footnote>
  <w:footnote w:type="continuationSeparator" w:id="0">
    <w:p w14:paraId="3C9A7A46" w14:textId="77777777" w:rsidR="0017705A" w:rsidRDefault="0017705A" w:rsidP="004771F3">
      <w:pPr>
        <w:spacing w:after="0" w:line="240" w:lineRule="auto"/>
      </w:pPr>
      <w:r>
        <w:continuationSeparator/>
      </w:r>
    </w:p>
  </w:footnote>
  <w:footnote w:type="continuationNotice" w:id="1">
    <w:p w14:paraId="0DA45299" w14:textId="77777777" w:rsidR="0017705A" w:rsidRDefault="00177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1D7C28"/>
    <w:multiLevelType w:val="hybridMultilevel"/>
    <w:tmpl w:val="B2365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92F32"/>
    <w:multiLevelType w:val="hybridMultilevel"/>
    <w:tmpl w:val="DAD81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849302">
    <w:abstractNumId w:val="10"/>
  </w:num>
  <w:num w:numId="2" w16cid:durableId="1127285451">
    <w:abstractNumId w:val="5"/>
  </w:num>
  <w:num w:numId="3" w16cid:durableId="461190126">
    <w:abstractNumId w:val="3"/>
  </w:num>
  <w:num w:numId="4" w16cid:durableId="1277173127">
    <w:abstractNumId w:val="6"/>
  </w:num>
  <w:num w:numId="5" w16cid:durableId="740759474">
    <w:abstractNumId w:val="4"/>
  </w:num>
  <w:num w:numId="6" w16cid:durableId="652680975">
    <w:abstractNumId w:val="7"/>
  </w:num>
  <w:num w:numId="7" w16cid:durableId="1568302850">
    <w:abstractNumId w:val="0"/>
  </w:num>
  <w:num w:numId="8" w16cid:durableId="957180694">
    <w:abstractNumId w:val="8"/>
  </w:num>
  <w:num w:numId="9" w16cid:durableId="940835993">
    <w:abstractNumId w:val="2"/>
  </w:num>
  <w:num w:numId="10" w16cid:durableId="357857398">
    <w:abstractNumId w:val="9"/>
  </w:num>
  <w:num w:numId="11" w16cid:durableId="97710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10D0D"/>
    <w:rsid w:val="00023BB7"/>
    <w:rsid w:val="00033CBB"/>
    <w:rsid w:val="00033FDE"/>
    <w:rsid w:val="00042F44"/>
    <w:rsid w:val="00045087"/>
    <w:rsid w:val="00087CB6"/>
    <w:rsid w:val="000A029E"/>
    <w:rsid w:val="000A420B"/>
    <w:rsid w:val="000A7229"/>
    <w:rsid w:val="000B6659"/>
    <w:rsid w:val="000F1B07"/>
    <w:rsid w:val="00130141"/>
    <w:rsid w:val="00156EC2"/>
    <w:rsid w:val="0017705A"/>
    <w:rsid w:val="0020440A"/>
    <w:rsid w:val="00211EF0"/>
    <w:rsid w:val="00247196"/>
    <w:rsid w:val="00251033"/>
    <w:rsid w:val="0029597E"/>
    <w:rsid w:val="002A0C79"/>
    <w:rsid w:val="002D4928"/>
    <w:rsid w:val="002F1487"/>
    <w:rsid w:val="00305D2D"/>
    <w:rsid w:val="00310C11"/>
    <w:rsid w:val="00310F46"/>
    <w:rsid w:val="00330585"/>
    <w:rsid w:val="003771F8"/>
    <w:rsid w:val="00390005"/>
    <w:rsid w:val="003A45F7"/>
    <w:rsid w:val="003D1F6A"/>
    <w:rsid w:val="003D503B"/>
    <w:rsid w:val="003D643F"/>
    <w:rsid w:val="003F21C6"/>
    <w:rsid w:val="00467620"/>
    <w:rsid w:val="00474F50"/>
    <w:rsid w:val="004771F3"/>
    <w:rsid w:val="00492BE1"/>
    <w:rsid w:val="004F1D6A"/>
    <w:rsid w:val="005365A9"/>
    <w:rsid w:val="00594576"/>
    <w:rsid w:val="005F08D1"/>
    <w:rsid w:val="005F5748"/>
    <w:rsid w:val="006077C5"/>
    <w:rsid w:val="006154BA"/>
    <w:rsid w:val="00623035"/>
    <w:rsid w:val="006276A1"/>
    <w:rsid w:val="0068009F"/>
    <w:rsid w:val="006A7195"/>
    <w:rsid w:val="006D0692"/>
    <w:rsid w:val="006E12F1"/>
    <w:rsid w:val="006E5894"/>
    <w:rsid w:val="007009A2"/>
    <w:rsid w:val="00740895"/>
    <w:rsid w:val="00766DAE"/>
    <w:rsid w:val="007A2219"/>
    <w:rsid w:val="007B2A40"/>
    <w:rsid w:val="007C4B32"/>
    <w:rsid w:val="007D4FCA"/>
    <w:rsid w:val="007E580A"/>
    <w:rsid w:val="008012EF"/>
    <w:rsid w:val="0080667C"/>
    <w:rsid w:val="00816493"/>
    <w:rsid w:val="0082142C"/>
    <w:rsid w:val="00827D8C"/>
    <w:rsid w:val="00872D60"/>
    <w:rsid w:val="008737A2"/>
    <w:rsid w:val="00894FFB"/>
    <w:rsid w:val="008C54EF"/>
    <w:rsid w:val="008C7DDA"/>
    <w:rsid w:val="00913850"/>
    <w:rsid w:val="00926FC6"/>
    <w:rsid w:val="00932ABA"/>
    <w:rsid w:val="00934114"/>
    <w:rsid w:val="00940F82"/>
    <w:rsid w:val="009501B6"/>
    <w:rsid w:val="00951063"/>
    <w:rsid w:val="00976A33"/>
    <w:rsid w:val="009A2C59"/>
    <w:rsid w:val="009A6308"/>
    <w:rsid w:val="00A018F4"/>
    <w:rsid w:val="00A10CF9"/>
    <w:rsid w:val="00A1601B"/>
    <w:rsid w:val="00A16E46"/>
    <w:rsid w:val="00A319EC"/>
    <w:rsid w:val="00A55CD5"/>
    <w:rsid w:val="00A96533"/>
    <w:rsid w:val="00AB2C53"/>
    <w:rsid w:val="00AC05D7"/>
    <w:rsid w:val="00AC09AD"/>
    <w:rsid w:val="00AC5DDF"/>
    <w:rsid w:val="00B12293"/>
    <w:rsid w:val="00B17761"/>
    <w:rsid w:val="00B22E97"/>
    <w:rsid w:val="00B34614"/>
    <w:rsid w:val="00B44CF1"/>
    <w:rsid w:val="00B532BA"/>
    <w:rsid w:val="00BC1744"/>
    <w:rsid w:val="00BD1D50"/>
    <w:rsid w:val="00C062E1"/>
    <w:rsid w:val="00C47A39"/>
    <w:rsid w:val="00C672D7"/>
    <w:rsid w:val="00C8049B"/>
    <w:rsid w:val="00C8255C"/>
    <w:rsid w:val="00CB2290"/>
    <w:rsid w:val="00CB571F"/>
    <w:rsid w:val="00CB6837"/>
    <w:rsid w:val="00D266B5"/>
    <w:rsid w:val="00D7316B"/>
    <w:rsid w:val="00D83E0D"/>
    <w:rsid w:val="00D910B0"/>
    <w:rsid w:val="00D96EB1"/>
    <w:rsid w:val="00DA7E3C"/>
    <w:rsid w:val="00DD79EC"/>
    <w:rsid w:val="00E15BC3"/>
    <w:rsid w:val="00E630FB"/>
    <w:rsid w:val="00E759B4"/>
    <w:rsid w:val="00E9137B"/>
    <w:rsid w:val="00E91C0E"/>
    <w:rsid w:val="00EF2789"/>
    <w:rsid w:val="00EF408B"/>
    <w:rsid w:val="00F041D0"/>
    <w:rsid w:val="00F277BE"/>
    <w:rsid w:val="00F441AC"/>
    <w:rsid w:val="00F55ECC"/>
    <w:rsid w:val="00F7606E"/>
    <w:rsid w:val="00F90201"/>
    <w:rsid w:val="00F94333"/>
    <w:rsid w:val="00FB014F"/>
    <w:rsid w:val="00FD061A"/>
    <w:rsid w:val="00FD7D15"/>
    <w:rsid w:val="00FE28BA"/>
    <w:rsid w:val="00FF0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2025-10-23T00:26:00Z</dcterms:created>
  <dcterms:modified xsi:type="dcterms:W3CDTF">2025-10-23T00:26:00Z</dcterms:modified>
</cp:coreProperties>
</file>