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B039" w14:textId="675F4850" w:rsidR="00C8049B" w:rsidRPr="00EB3755" w:rsidRDefault="004771F3" w:rsidP="00330585">
      <w:pPr>
        <w:jc w:val="center"/>
        <w:rPr>
          <w:rFonts w:ascii="Calibri" w:hAnsi="Calibri" w:cs="Calibri"/>
          <w:b/>
          <w:bCs/>
          <w:caps/>
          <w:sz w:val="28"/>
          <w:szCs w:val="28"/>
        </w:rPr>
      </w:pPr>
      <w:r w:rsidRPr="00EB3755">
        <w:rPr>
          <w:rFonts w:ascii="Calibri" w:hAnsi="Calibri" w:cs="Calibri"/>
          <w:b/>
          <w:bCs/>
          <w:caps/>
          <w:sz w:val="28"/>
          <w:szCs w:val="28"/>
        </w:rPr>
        <w:t>Response to Nous Review Recommendations -</w:t>
      </w:r>
      <w:r w:rsidR="00330585" w:rsidRPr="00EB3755">
        <w:rPr>
          <w:rFonts w:ascii="Calibri" w:hAnsi="Calibri" w:cs="Calibri"/>
          <w:b/>
          <w:bCs/>
          <w:caps/>
          <w:sz w:val="28"/>
          <w:szCs w:val="28"/>
        </w:rPr>
        <w:t xml:space="preserve"> </w:t>
      </w:r>
      <w:r w:rsidRPr="00EB3755">
        <w:rPr>
          <w:rFonts w:ascii="Calibri" w:hAnsi="Calibri" w:cs="Calibri"/>
          <w:b/>
          <w:bCs/>
          <w:caps/>
          <w:sz w:val="28"/>
          <w:szCs w:val="28"/>
        </w:rPr>
        <w:t>First Nations Legal and Research Services (FNLRS)</w:t>
      </w:r>
    </w:p>
    <w:tbl>
      <w:tblPr>
        <w:tblStyle w:val="TableGrid"/>
        <w:tblW w:w="0" w:type="auto"/>
        <w:tblLook w:val="04A0" w:firstRow="1" w:lastRow="0" w:firstColumn="1" w:lastColumn="0" w:noHBand="0" w:noVBand="1"/>
      </w:tblPr>
      <w:tblGrid>
        <w:gridCol w:w="9016"/>
      </w:tblGrid>
      <w:tr w:rsidR="004771F3" w14:paraId="4DEA21B5" w14:textId="77777777" w:rsidTr="00EB3755">
        <w:trPr>
          <w:cantSplit/>
        </w:trPr>
        <w:tc>
          <w:tcPr>
            <w:tcW w:w="9016" w:type="dxa"/>
            <w:shd w:val="clear" w:color="auto" w:fill="C1E4F5" w:themeFill="accent1" w:themeFillTint="33"/>
          </w:tcPr>
          <w:p w14:paraId="384BC5A5" w14:textId="67433608" w:rsidR="004771F3" w:rsidRDefault="004771F3" w:rsidP="00594576">
            <w:pPr>
              <w:jc w:val="both"/>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r w:rsidR="00B556A8">
              <w:rPr>
                <w:rFonts w:ascii="Calibri" w:hAnsi="Calibri" w:cs="Calibri"/>
                <w:lang w:val="en-GB"/>
              </w:rPr>
              <w:t xml:space="preserve"> </w:t>
            </w:r>
            <w:r w:rsidR="00B556A8" w:rsidRPr="00B556A8">
              <w:rPr>
                <w:rFonts w:ascii="Calibri" w:hAnsi="Calibri" w:cs="Calibri"/>
                <w:b/>
                <w:bCs/>
              </w:rPr>
              <w:t>(Rec 1-</w:t>
            </w:r>
            <w:r w:rsidR="00B556A8">
              <w:rPr>
                <w:rFonts w:ascii="Calibri" w:hAnsi="Calibri" w:cs="Calibri"/>
                <w:b/>
                <w:bCs/>
              </w:rPr>
              <w:t>2</w:t>
            </w:r>
            <w:r w:rsidR="00B556A8" w:rsidRPr="00B556A8">
              <w:rPr>
                <w:rFonts w:ascii="Calibri" w:hAnsi="Calibri" w:cs="Calibri"/>
                <w:b/>
                <w:bCs/>
              </w:rPr>
              <w:t>)</w:t>
            </w:r>
          </w:p>
        </w:tc>
      </w:tr>
      <w:tr w:rsidR="004771F3" w14:paraId="0FC42064" w14:textId="77777777" w:rsidTr="00EB3755">
        <w:trPr>
          <w:cantSplit/>
        </w:trPr>
        <w:tc>
          <w:tcPr>
            <w:tcW w:w="9016" w:type="dxa"/>
          </w:tcPr>
          <w:p w14:paraId="2A1C03A2" w14:textId="0A0A8D54" w:rsidR="004771F3" w:rsidRDefault="004771F3" w:rsidP="00594576">
            <w:pPr>
              <w:jc w:val="both"/>
            </w:pPr>
            <w:r w:rsidRPr="00E620BF">
              <w:rPr>
                <w:rFonts w:ascii="Calibri" w:hAnsi="Calibri" w:cs="Calibri"/>
                <w:b/>
                <w:bCs/>
                <w:lang w:val="en-US"/>
              </w:rPr>
              <w:t>Rec 1</w:t>
            </w:r>
            <w:r>
              <w:rPr>
                <w:rFonts w:ascii="Calibri" w:hAnsi="Calibri" w:cs="Calibri"/>
                <w:lang w:val="en-US"/>
              </w:rPr>
              <w:t xml:space="preserve"> </w:t>
            </w:r>
            <w:r w:rsidRPr="00E620BF">
              <w:rPr>
                <w:rFonts w:ascii="Calibri" w:hAnsi="Calibri" w:cs="Calibri"/>
                <w:lang w:val="en-US"/>
              </w:rPr>
              <w:t>Continue to build on the steps it has already taken to improve Traditional Owner awareness of changes in the Victorian land rights landscape (noting the emergence of Treaty) to increase Traditional Owners’ understanding of the different forms of recognition and FNLRS’s role as an NTSP in the changing Victorian landscape.</w:t>
            </w:r>
            <w:r w:rsidRPr="00E620BF">
              <w:rPr>
                <w:rFonts w:ascii="Calibri" w:hAnsi="Calibri" w:cs="Calibri"/>
              </w:rPr>
              <w:t> </w:t>
            </w:r>
          </w:p>
        </w:tc>
      </w:tr>
      <w:tr w:rsidR="004771F3" w14:paraId="1E864FDA" w14:textId="77777777" w:rsidTr="00EB3755">
        <w:trPr>
          <w:cantSplit/>
        </w:trPr>
        <w:tc>
          <w:tcPr>
            <w:tcW w:w="9016" w:type="dxa"/>
          </w:tcPr>
          <w:p w14:paraId="0767FA3E" w14:textId="77777777" w:rsidR="007009A2" w:rsidRPr="007009A2" w:rsidRDefault="007009A2" w:rsidP="00594576">
            <w:pPr>
              <w:jc w:val="both"/>
              <w:rPr>
                <w:rFonts w:ascii="Calibri" w:hAnsi="Calibri" w:cs="Calibri"/>
                <w:b/>
                <w:bCs/>
                <w:lang w:val="en-US"/>
              </w:rPr>
            </w:pPr>
            <w:r w:rsidRPr="007009A2">
              <w:rPr>
                <w:rFonts w:ascii="Calibri" w:hAnsi="Calibri" w:cs="Calibri"/>
                <w:b/>
                <w:bCs/>
                <w:lang w:val="en-US"/>
              </w:rPr>
              <w:t>Response</w:t>
            </w:r>
          </w:p>
          <w:p w14:paraId="6B0279B7" w14:textId="02A0E75C" w:rsidR="004771F3" w:rsidRDefault="004771F3" w:rsidP="00594576">
            <w:pPr>
              <w:jc w:val="both"/>
              <w:rPr>
                <w:rFonts w:ascii="Calibri" w:hAnsi="Calibri" w:cs="Calibri"/>
                <w:lang w:val="en-US"/>
              </w:rPr>
            </w:pPr>
            <w:r>
              <w:rPr>
                <w:rFonts w:ascii="Calibri" w:hAnsi="Calibri" w:cs="Calibri"/>
                <w:lang w:val="en-US"/>
              </w:rPr>
              <w:t>Agreed.</w:t>
            </w:r>
          </w:p>
          <w:p w14:paraId="5904497B" w14:textId="77777777" w:rsidR="004771F3" w:rsidRDefault="004771F3" w:rsidP="00594576">
            <w:pPr>
              <w:jc w:val="both"/>
              <w:rPr>
                <w:rFonts w:ascii="Calibri" w:hAnsi="Calibri" w:cs="Calibri"/>
                <w:lang w:val="en-US"/>
              </w:rPr>
            </w:pPr>
            <w:r>
              <w:rPr>
                <w:rFonts w:ascii="Calibri" w:hAnsi="Calibri" w:cs="Calibri"/>
                <w:lang w:val="en-US"/>
              </w:rPr>
              <w:t>Implemented.</w:t>
            </w:r>
          </w:p>
          <w:p w14:paraId="1483D205" w14:textId="77777777" w:rsidR="004771F3" w:rsidRDefault="004771F3" w:rsidP="00594576">
            <w:pPr>
              <w:jc w:val="both"/>
              <w:rPr>
                <w:rFonts w:ascii="Calibri" w:hAnsi="Calibri" w:cs="Calibri"/>
                <w:lang w:val="en-US"/>
              </w:rPr>
            </w:pPr>
          </w:p>
          <w:p w14:paraId="721B5B31" w14:textId="201CD798" w:rsidR="004771F3" w:rsidRDefault="004771F3" w:rsidP="00594576">
            <w:pPr>
              <w:jc w:val="both"/>
            </w:pPr>
            <w:r w:rsidRPr="00ED6DCC">
              <w:rPr>
                <w:rFonts w:ascii="Calibri" w:hAnsi="Calibri" w:cs="Calibri"/>
              </w:rPr>
              <w:t>FNLRS sees this as a priority and actively promotes understanding of options and how they intersect with each other and the role FNLRS can play in assisting Traditional Owners participate in the various processes. Further FNLRS is working closely with the First Peoples’ Assembly of Victoria, the Treaty Authority, the Self Determination Fund and the State to ensure greater understanding and alignment of the intersection of formal recognition processes.</w:t>
            </w:r>
          </w:p>
        </w:tc>
      </w:tr>
      <w:tr w:rsidR="004771F3" w14:paraId="4B2E192F" w14:textId="77777777" w:rsidTr="00EB3755">
        <w:trPr>
          <w:cantSplit/>
        </w:trPr>
        <w:tc>
          <w:tcPr>
            <w:tcW w:w="9016" w:type="dxa"/>
          </w:tcPr>
          <w:p w14:paraId="555B5072" w14:textId="77777777" w:rsidR="004771F3" w:rsidRDefault="004771F3" w:rsidP="00594576">
            <w:pPr>
              <w:jc w:val="both"/>
              <w:rPr>
                <w:rFonts w:ascii="Calibri" w:hAnsi="Calibri" w:cs="Calibri"/>
              </w:rPr>
            </w:pPr>
            <w:r w:rsidRPr="00E2131D">
              <w:rPr>
                <w:rFonts w:ascii="Calibri" w:hAnsi="Calibri" w:cs="Calibri"/>
                <w:b/>
                <w:bCs/>
                <w:lang w:val="en-US"/>
              </w:rPr>
              <w:t>Rec 2</w:t>
            </w:r>
            <w:r>
              <w:rPr>
                <w:rFonts w:ascii="Calibri" w:hAnsi="Calibri" w:cs="Calibri"/>
                <w:lang w:val="en-US"/>
              </w:rPr>
              <w:t xml:space="preserve"> </w:t>
            </w:r>
            <w:r w:rsidRPr="00E2131D">
              <w:rPr>
                <w:rFonts w:ascii="Calibri" w:hAnsi="Calibri" w:cs="Calibri"/>
                <w:lang w:val="en-US"/>
              </w:rPr>
              <w:t>This Review endorses the following recommendations of the Strategic Review:</w:t>
            </w:r>
            <w:r w:rsidRPr="00E2131D">
              <w:rPr>
                <w:rFonts w:ascii="Calibri" w:hAnsi="Calibri" w:cs="Calibri"/>
              </w:rPr>
              <w:t> </w:t>
            </w:r>
          </w:p>
          <w:p w14:paraId="2B2A03C0" w14:textId="77777777" w:rsidR="004771F3" w:rsidRPr="00E2131D" w:rsidRDefault="004771F3" w:rsidP="00594576">
            <w:pPr>
              <w:jc w:val="both"/>
              <w:rPr>
                <w:rFonts w:ascii="Calibri" w:hAnsi="Calibri" w:cs="Calibri"/>
              </w:rPr>
            </w:pPr>
          </w:p>
          <w:p w14:paraId="255CD258" w14:textId="77777777" w:rsidR="00B17761" w:rsidRPr="00714D10" w:rsidRDefault="004771F3" w:rsidP="000F1B07">
            <w:pPr>
              <w:pStyle w:val="ListParagraph"/>
              <w:numPr>
                <w:ilvl w:val="0"/>
                <w:numId w:val="10"/>
              </w:numPr>
              <w:jc w:val="both"/>
              <w:rPr>
                <w:rFonts w:ascii="Calibri" w:hAnsi="Calibri" w:cs="Calibri"/>
              </w:rPr>
            </w:pPr>
            <w:r w:rsidRPr="00816493">
              <w:rPr>
                <w:rFonts w:ascii="Calibri" w:hAnsi="Calibri" w:cs="Calibri"/>
                <w:lang w:val="en-US"/>
              </w:rPr>
              <w:t>FNLRS should adopt more neutral positioning in active legal disputes between and internal to Traditional Owner groups, instead placing greater reliance on third party legal service providers.</w:t>
            </w:r>
            <w:r w:rsidRPr="00816493">
              <w:rPr>
                <w:rFonts w:ascii="Calibri" w:hAnsi="Calibri" w:cs="Calibri"/>
              </w:rPr>
              <w:t> </w:t>
            </w:r>
          </w:p>
          <w:p w14:paraId="611202DF" w14:textId="77777777" w:rsidR="004771F3" w:rsidRDefault="00B17761">
            <w:pPr>
              <w:pStyle w:val="ListParagraph"/>
              <w:numPr>
                <w:ilvl w:val="0"/>
                <w:numId w:val="10"/>
              </w:numPr>
              <w:jc w:val="both"/>
              <w:rPr>
                <w:rFonts w:ascii="Calibri" w:hAnsi="Calibri" w:cs="Calibri"/>
              </w:rPr>
            </w:pPr>
            <w:r w:rsidRPr="00816493">
              <w:rPr>
                <w:rFonts w:ascii="Calibri" w:hAnsi="Calibri" w:cs="Calibri"/>
              </w:rPr>
              <w:t xml:space="preserve">In repositioning to rely more on third party legal services providers, FNLRS should not move too quickly </w:t>
            </w:r>
            <w:proofErr w:type="gramStart"/>
            <w:r w:rsidRPr="00816493">
              <w:rPr>
                <w:rFonts w:ascii="Calibri" w:hAnsi="Calibri" w:cs="Calibri"/>
              </w:rPr>
              <w:t>so as to</w:t>
            </w:r>
            <w:proofErr w:type="gramEnd"/>
            <w:r w:rsidRPr="00816493">
              <w:rPr>
                <w:rFonts w:ascii="Calibri" w:hAnsi="Calibri" w:cs="Calibri"/>
              </w:rPr>
              <w:t xml:space="preserve"> deplete existing services and potentially alienate the users of those services.</w:t>
            </w:r>
            <w:r w:rsidRPr="00C47A39">
              <w:rPr>
                <w:rFonts w:ascii="Calibri" w:hAnsi="Calibri" w:cs="Calibri"/>
              </w:rPr>
              <w:t> </w:t>
            </w:r>
          </w:p>
          <w:p w14:paraId="21B22B26" w14:textId="21636602" w:rsidR="00766DAE" w:rsidRPr="000F1B07" w:rsidRDefault="006A7195" w:rsidP="000F1B07">
            <w:pPr>
              <w:pStyle w:val="ListParagraph"/>
              <w:numPr>
                <w:ilvl w:val="0"/>
                <w:numId w:val="10"/>
              </w:numPr>
              <w:jc w:val="both"/>
              <w:rPr>
                <w:rFonts w:ascii="Calibri" w:hAnsi="Calibri" w:cs="Calibri"/>
              </w:rPr>
            </w:pPr>
            <w:r w:rsidRPr="0068114E">
              <w:rPr>
                <w:rFonts w:ascii="Calibri" w:hAnsi="Calibri" w:cs="Calibri"/>
              </w:rPr>
              <w:t>FNLRS should continue to seek to externalise politically charged decisions or research outcomes, and/or support the authority of such decisions/positions by reference to external and independent expertise.</w:t>
            </w:r>
          </w:p>
        </w:tc>
      </w:tr>
      <w:tr w:rsidR="004771F3" w14:paraId="1E9478E7" w14:textId="77777777" w:rsidTr="00EB3755">
        <w:trPr>
          <w:cantSplit/>
        </w:trPr>
        <w:tc>
          <w:tcPr>
            <w:tcW w:w="9016" w:type="dxa"/>
          </w:tcPr>
          <w:p w14:paraId="2C849DD2" w14:textId="20B31A1A" w:rsidR="00B17761" w:rsidRDefault="007009A2" w:rsidP="00594576">
            <w:pPr>
              <w:jc w:val="both"/>
              <w:rPr>
                <w:rFonts w:ascii="Calibri" w:hAnsi="Calibri" w:cs="Calibri"/>
                <w:lang w:val="en-US"/>
              </w:rPr>
            </w:pPr>
            <w:r w:rsidRPr="007009A2">
              <w:rPr>
                <w:rFonts w:ascii="Calibri" w:hAnsi="Calibri" w:cs="Calibri"/>
                <w:b/>
                <w:bCs/>
                <w:lang w:val="en-US"/>
              </w:rPr>
              <w:lastRenderedPageBreak/>
              <w:t>Response</w:t>
            </w:r>
            <w:r w:rsidR="00B17761">
              <w:rPr>
                <w:rFonts w:ascii="Calibri" w:hAnsi="Calibri" w:cs="Calibri"/>
                <w:b/>
                <w:bCs/>
                <w:lang w:val="en-US"/>
              </w:rPr>
              <w:t xml:space="preserve"> </w:t>
            </w:r>
          </w:p>
          <w:p w14:paraId="00D61C6C" w14:textId="4FB6A27E" w:rsidR="004771F3" w:rsidRDefault="004771F3" w:rsidP="00594576">
            <w:pPr>
              <w:jc w:val="both"/>
              <w:rPr>
                <w:rFonts w:ascii="Calibri" w:hAnsi="Calibri" w:cs="Calibri"/>
                <w:lang w:val="en-US"/>
              </w:rPr>
            </w:pPr>
            <w:r>
              <w:rPr>
                <w:rFonts w:ascii="Calibri" w:hAnsi="Calibri" w:cs="Calibri"/>
                <w:lang w:val="en-US"/>
              </w:rPr>
              <w:t xml:space="preserve">Agreed. </w:t>
            </w:r>
          </w:p>
          <w:p w14:paraId="310D1A7A" w14:textId="77777777" w:rsidR="004771F3" w:rsidRDefault="004771F3" w:rsidP="00594576">
            <w:pPr>
              <w:jc w:val="both"/>
              <w:rPr>
                <w:rFonts w:ascii="Calibri" w:hAnsi="Calibri" w:cs="Calibri"/>
                <w:lang w:val="en-US"/>
              </w:rPr>
            </w:pPr>
            <w:r>
              <w:rPr>
                <w:rFonts w:ascii="Calibri" w:hAnsi="Calibri" w:cs="Calibri"/>
                <w:lang w:val="en-US"/>
              </w:rPr>
              <w:t xml:space="preserve">Implemented. </w:t>
            </w:r>
          </w:p>
          <w:p w14:paraId="5EBD797C" w14:textId="77777777" w:rsidR="004771F3" w:rsidRDefault="004771F3" w:rsidP="00594576">
            <w:pPr>
              <w:jc w:val="both"/>
              <w:rPr>
                <w:rFonts w:ascii="Calibri" w:hAnsi="Calibri" w:cs="Calibri"/>
                <w:lang w:val="en-US"/>
              </w:rPr>
            </w:pPr>
          </w:p>
          <w:p w14:paraId="74C9D635" w14:textId="1003B237" w:rsidR="00C8255C" w:rsidRPr="000F1B07" w:rsidRDefault="004771F3" w:rsidP="000F1B07">
            <w:pPr>
              <w:pStyle w:val="ListParagraph"/>
              <w:numPr>
                <w:ilvl w:val="0"/>
                <w:numId w:val="9"/>
              </w:numPr>
              <w:jc w:val="both"/>
              <w:rPr>
                <w:rFonts w:ascii="Calibri" w:hAnsi="Calibri" w:cs="Calibri"/>
              </w:rPr>
            </w:pPr>
            <w:r w:rsidRPr="000F1B07">
              <w:rPr>
                <w:rFonts w:ascii="Calibri" w:hAnsi="Calibri" w:cs="Calibri"/>
              </w:rPr>
              <w:t>FNLRS has established a board subcommittee (the Facilitation and Assistance Request Assessment Committee (FARAC)) with an independent expert member to make s203BB decisions. </w:t>
            </w:r>
          </w:p>
          <w:p w14:paraId="7F3EEB9A" w14:textId="77777777" w:rsidR="00C8255C" w:rsidRPr="000F1B07" w:rsidRDefault="00C8255C" w:rsidP="000F1B07">
            <w:pPr>
              <w:pStyle w:val="ListParagraph"/>
              <w:jc w:val="both"/>
              <w:rPr>
                <w:rFonts w:ascii="Calibri" w:hAnsi="Calibri" w:cs="Calibri"/>
              </w:rPr>
            </w:pPr>
          </w:p>
          <w:p w14:paraId="5E83AE7F" w14:textId="77777777" w:rsidR="004771F3" w:rsidRPr="000F1B07" w:rsidRDefault="004771F3" w:rsidP="000F1B07">
            <w:pPr>
              <w:pStyle w:val="ListParagraph"/>
              <w:jc w:val="both"/>
              <w:rPr>
                <w:rFonts w:ascii="Calibri" w:hAnsi="Calibri" w:cs="Calibri"/>
              </w:rPr>
            </w:pPr>
            <w:r w:rsidRPr="000F1B07">
              <w:rPr>
                <w:rFonts w:ascii="Calibri" w:hAnsi="Calibri" w:cs="Calibri"/>
              </w:rPr>
              <w:t>Additionally, FNLRS has created Third Party Provider Panels for lawyers and consultants. Practitioners on the panel are eligible to receive s203BB funding on a brief out basis, subject to approval by FARAC.  The creation of the panels provides a level of quality assurance for Traditional Owner groups wishing to engage private practitioners and access NIAA funding (through FNLRS).  </w:t>
            </w:r>
          </w:p>
          <w:p w14:paraId="14D1FAA9" w14:textId="77777777" w:rsidR="00B17761" w:rsidRPr="009A6308" w:rsidRDefault="00B17761" w:rsidP="00594576">
            <w:pPr>
              <w:jc w:val="both"/>
              <w:rPr>
                <w:rFonts w:ascii="Calibri" w:hAnsi="Calibri" w:cs="Calibri"/>
              </w:rPr>
            </w:pPr>
          </w:p>
          <w:p w14:paraId="541C1930" w14:textId="77777777" w:rsidR="000F1B07" w:rsidRPr="000F1B07" w:rsidRDefault="00B17761">
            <w:pPr>
              <w:pStyle w:val="ListParagraph"/>
              <w:numPr>
                <w:ilvl w:val="0"/>
                <w:numId w:val="9"/>
              </w:numPr>
              <w:jc w:val="both"/>
              <w:rPr>
                <w:rFonts w:ascii="Calibri" w:hAnsi="Calibri" w:cs="Calibri"/>
              </w:rPr>
            </w:pPr>
            <w:r w:rsidRPr="000F1B07">
              <w:rPr>
                <w:rFonts w:ascii="Calibri" w:hAnsi="Calibri" w:cs="Calibri"/>
                <w:lang w:val="en-US"/>
              </w:rPr>
              <w:t>FNLRS continues to provide services directly to Traditional Owner groups at their request and is striking a balance between direct service delivery and briefing out. </w:t>
            </w:r>
          </w:p>
          <w:p w14:paraId="2F9EE2BF" w14:textId="77777777" w:rsidR="000F1B07" w:rsidRPr="000F1B07" w:rsidRDefault="000F1B07" w:rsidP="000F1B07">
            <w:pPr>
              <w:pStyle w:val="ListParagraph"/>
              <w:jc w:val="both"/>
              <w:rPr>
                <w:rFonts w:ascii="Calibri" w:hAnsi="Calibri" w:cs="Calibri"/>
              </w:rPr>
            </w:pPr>
          </w:p>
          <w:p w14:paraId="4726E251" w14:textId="77777777" w:rsidR="000F1B07" w:rsidRPr="000F1B07" w:rsidRDefault="000F1B07" w:rsidP="000F1B07">
            <w:pPr>
              <w:pStyle w:val="ListParagraph"/>
              <w:numPr>
                <w:ilvl w:val="0"/>
                <w:numId w:val="9"/>
              </w:numPr>
              <w:rPr>
                <w:rFonts w:ascii="Calibri" w:hAnsi="Calibri" w:cs="Calibri"/>
              </w:rPr>
            </w:pPr>
            <w:r w:rsidRPr="000F1B07">
              <w:rPr>
                <w:rFonts w:ascii="Calibri" w:hAnsi="Calibri" w:cs="Calibri"/>
              </w:rPr>
              <w:t>FNLRS has increased our use of consultant researchers to peer review our internally produced research reports and instituted co-authorship of reports where appropriate. </w:t>
            </w:r>
          </w:p>
          <w:p w14:paraId="39C50DD3" w14:textId="77777777" w:rsidR="000F1B07" w:rsidRPr="00B82316" w:rsidRDefault="000F1B07" w:rsidP="000F1B07">
            <w:pPr>
              <w:rPr>
                <w:rFonts w:ascii="Calibri" w:hAnsi="Calibri" w:cs="Calibri"/>
              </w:rPr>
            </w:pPr>
          </w:p>
          <w:p w14:paraId="42890BBF" w14:textId="21340E7D" w:rsidR="004771F3" w:rsidRPr="00B556A8" w:rsidRDefault="000F1B07" w:rsidP="00B556A8">
            <w:pPr>
              <w:pStyle w:val="ListParagraph"/>
              <w:jc w:val="both"/>
              <w:rPr>
                <w:rFonts w:ascii="Calibri" w:hAnsi="Calibri" w:cs="Calibri"/>
              </w:rPr>
            </w:pPr>
            <w:r w:rsidRPr="00B82316">
              <w:rPr>
                <w:rFonts w:ascii="Calibri" w:hAnsi="Calibri" w:cs="Calibri"/>
              </w:rPr>
              <w:t>FNLRS regularly engages counsel to provide advice, including prospects of success advice and other advice as required, particularly on contentious matters. </w:t>
            </w:r>
            <w:r w:rsidR="00B17761" w:rsidRPr="000F1B07">
              <w:rPr>
                <w:rFonts w:ascii="Calibri" w:hAnsi="Calibri" w:cs="Calibri"/>
              </w:rPr>
              <w:t> </w:t>
            </w:r>
          </w:p>
        </w:tc>
      </w:tr>
      <w:tr w:rsidR="00AB2C53" w14:paraId="49BC6AD0" w14:textId="77777777" w:rsidTr="00EB3755">
        <w:trPr>
          <w:cantSplit/>
        </w:trPr>
        <w:tc>
          <w:tcPr>
            <w:tcW w:w="9016" w:type="dxa"/>
            <w:shd w:val="clear" w:color="auto" w:fill="C1E4F5" w:themeFill="accent1" w:themeFillTint="33"/>
          </w:tcPr>
          <w:p w14:paraId="4C28867E" w14:textId="3D9688F3" w:rsidR="00AB2C53" w:rsidRDefault="006276A1" w:rsidP="00594576">
            <w:pPr>
              <w:jc w:val="both"/>
              <w:rPr>
                <w:rFonts w:ascii="Calibri" w:hAnsi="Calibri" w:cs="Calibri"/>
                <w:lang w:val="en-US"/>
              </w:rPr>
            </w:pPr>
            <w:r w:rsidRPr="00C922AF">
              <w:rPr>
                <w:rFonts w:ascii="Calibri" w:hAnsi="Calibri" w:cs="Calibri"/>
                <w:b/>
                <w:bCs/>
                <w:lang w:val="en-US"/>
              </w:rPr>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p>
        </w:tc>
      </w:tr>
      <w:tr w:rsidR="00AB2C53" w14:paraId="1689F6EA" w14:textId="77777777" w:rsidTr="00EB3755">
        <w:trPr>
          <w:cantSplit/>
          <w:trHeight w:val="348"/>
        </w:trPr>
        <w:tc>
          <w:tcPr>
            <w:tcW w:w="9016" w:type="dxa"/>
          </w:tcPr>
          <w:p w14:paraId="16460066" w14:textId="4B9AD5F9" w:rsidR="00AB2C53" w:rsidRDefault="00B17761" w:rsidP="00594576">
            <w:pPr>
              <w:jc w:val="both"/>
              <w:rPr>
                <w:rFonts w:ascii="Calibri" w:hAnsi="Calibri" w:cs="Calibri"/>
                <w:lang w:val="en-US"/>
              </w:rPr>
            </w:pPr>
            <w:r w:rsidRPr="000F1B07">
              <w:rPr>
                <w:rFonts w:ascii="Calibri" w:hAnsi="Calibri" w:cs="Calibri"/>
                <w:b/>
                <w:bCs/>
                <w:lang w:val="en-US"/>
              </w:rPr>
              <w:t>Rec</w:t>
            </w:r>
            <w:r w:rsidRPr="00FF0F49">
              <w:rPr>
                <w:rFonts w:ascii="Calibri" w:hAnsi="Calibri" w:cs="Calibri"/>
                <w:lang w:val="en-US"/>
              </w:rPr>
              <w:t xml:space="preserve"> </w:t>
            </w:r>
            <w:r w:rsidR="0029597E" w:rsidRPr="00FF0F49">
              <w:rPr>
                <w:rFonts w:ascii="Calibri" w:hAnsi="Calibri" w:cs="Calibri"/>
                <w:lang w:val="en-US"/>
              </w:rPr>
              <w:t>Nil</w:t>
            </w:r>
            <w:r w:rsidR="0029597E">
              <w:rPr>
                <w:rFonts w:ascii="Calibri" w:hAnsi="Calibri" w:cs="Calibri"/>
                <w:lang w:val="en-US"/>
              </w:rPr>
              <w:t xml:space="preserve"> </w:t>
            </w:r>
            <w:r w:rsidR="00A97263">
              <w:rPr>
                <w:rFonts w:ascii="Calibri" w:hAnsi="Calibri" w:cs="Calibri"/>
                <w:lang w:val="en-US"/>
              </w:rPr>
              <w:t>recommendations</w:t>
            </w:r>
          </w:p>
        </w:tc>
      </w:tr>
      <w:tr w:rsidR="00AB2C53" w14:paraId="20E5EB0D" w14:textId="77777777" w:rsidTr="00EB3755">
        <w:trPr>
          <w:cantSplit/>
        </w:trPr>
        <w:tc>
          <w:tcPr>
            <w:tcW w:w="9016" w:type="dxa"/>
            <w:shd w:val="clear" w:color="auto" w:fill="C1E4F5" w:themeFill="accent1" w:themeFillTint="33"/>
          </w:tcPr>
          <w:p w14:paraId="2A7335DB" w14:textId="7E8F7872" w:rsidR="00AB2C53" w:rsidRDefault="00EF408B" w:rsidP="00594576">
            <w:pPr>
              <w:jc w:val="both"/>
              <w:rPr>
                <w:rFonts w:ascii="Calibri" w:hAnsi="Calibri" w:cs="Calibri"/>
                <w:lang w:val="en-U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B556A8" w:rsidRPr="00B556A8">
              <w:rPr>
                <w:rFonts w:ascii="Calibri" w:hAnsi="Calibri" w:cs="Calibri"/>
                <w:b/>
                <w:bCs/>
              </w:rPr>
              <w:t xml:space="preserve">(Rec </w:t>
            </w:r>
            <w:r w:rsidR="00B556A8">
              <w:rPr>
                <w:rFonts w:ascii="Calibri" w:hAnsi="Calibri" w:cs="Calibri"/>
                <w:b/>
                <w:bCs/>
              </w:rPr>
              <w:t>3-4</w:t>
            </w:r>
            <w:r w:rsidR="00B556A8" w:rsidRPr="00B556A8">
              <w:rPr>
                <w:rFonts w:ascii="Calibri" w:hAnsi="Calibri" w:cs="Calibri"/>
                <w:b/>
                <w:bCs/>
              </w:rPr>
              <w:t>)</w:t>
            </w:r>
          </w:p>
        </w:tc>
      </w:tr>
      <w:tr w:rsidR="00AB2C53" w14:paraId="000EE5F2" w14:textId="77777777" w:rsidTr="00EB3755">
        <w:trPr>
          <w:cantSplit/>
        </w:trPr>
        <w:tc>
          <w:tcPr>
            <w:tcW w:w="9016" w:type="dxa"/>
          </w:tcPr>
          <w:p w14:paraId="3D19D5E5" w14:textId="77777777" w:rsidR="003D503B" w:rsidRPr="003D503B" w:rsidRDefault="003D503B" w:rsidP="003D503B">
            <w:pPr>
              <w:jc w:val="both"/>
              <w:rPr>
                <w:rFonts w:ascii="Calibri" w:hAnsi="Calibri" w:cs="Calibri"/>
                <w:lang w:val="en-US"/>
              </w:rPr>
            </w:pPr>
            <w:r w:rsidRPr="003D503B">
              <w:rPr>
                <w:rFonts w:ascii="Calibri" w:hAnsi="Calibri" w:cs="Calibri"/>
                <w:b/>
                <w:bCs/>
                <w:lang w:val="en-US"/>
              </w:rPr>
              <w:t>Rec 3</w:t>
            </w:r>
            <w:r w:rsidRPr="003D503B">
              <w:rPr>
                <w:rFonts w:ascii="Calibri" w:hAnsi="Calibri" w:cs="Calibri"/>
                <w:lang w:val="en-US"/>
              </w:rPr>
              <w:t xml:space="preserve"> This Review endorses the following recommendation of the Strategic Review: </w:t>
            </w:r>
          </w:p>
          <w:p w14:paraId="232F7481" w14:textId="77777777" w:rsidR="003D503B" w:rsidRPr="003D503B" w:rsidRDefault="003D503B" w:rsidP="003D503B">
            <w:pPr>
              <w:ind w:firstLine="720"/>
              <w:jc w:val="both"/>
              <w:rPr>
                <w:rFonts w:ascii="Calibri" w:hAnsi="Calibri" w:cs="Calibri"/>
                <w:lang w:val="en-US"/>
              </w:rPr>
            </w:pPr>
          </w:p>
          <w:p w14:paraId="070904EE" w14:textId="57853E9F" w:rsidR="00AB2C53" w:rsidRPr="003D503B" w:rsidRDefault="003D503B" w:rsidP="000F1B07">
            <w:pPr>
              <w:pStyle w:val="ListParagraph"/>
              <w:numPr>
                <w:ilvl w:val="0"/>
                <w:numId w:val="9"/>
              </w:numPr>
              <w:jc w:val="both"/>
              <w:rPr>
                <w:rFonts w:ascii="Calibri" w:hAnsi="Calibri" w:cs="Calibri"/>
                <w:lang w:val="en-US"/>
              </w:rPr>
            </w:pPr>
            <w:r w:rsidRPr="003D503B">
              <w:rPr>
                <w:rFonts w:ascii="Calibri" w:hAnsi="Calibri" w:cs="Calibri"/>
                <w:lang w:val="en-US"/>
              </w:rPr>
              <w:t>FNLRS should increase communication with the Victorian Traditional Owner communities and celebrate its work and success more openly.</w:t>
            </w:r>
          </w:p>
        </w:tc>
      </w:tr>
      <w:tr w:rsidR="00AB2C53" w14:paraId="23E28911" w14:textId="77777777" w:rsidTr="00EB3755">
        <w:trPr>
          <w:cantSplit/>
        </w:trPr>
        <w:tc>
          <w:tcPr>
            <w:tcW w:w="9016" w:type="dxa"/>
          </w:tcPr>
          <w:p w14:paraId="0EF20531"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569DA66A" w14:textId="77777777" w:rsidR="005365A9" w:rsidRDefault="005365A9" w:rsidP="005365A9">
            <w:pPr>
              <w:rPr>
                <w:rFonts w:ascii="Calibri" w:hAnsi="Calibri" w:cs="Calibri"/>
                <w:lang w:val="en-US"/>
              </w:rPr>
            </w:pPr>
            <w:r>
              <w:rPr>
                <w:rFonts w:ascii="Calibri" w:hAnsi="Calibri" w:cs="Calibri"/>
                <w:lang w:val="en-US"/>
              </w:rPr>
              <w:t>Agreed.</w:t>
            </w:r>
          </w:p>
          <w:p w14:paraId="79062252" w14:textId="77777777" w:rsidR="005365A9" w:rsidRDefault="005365A9" w:rsidP="005365A9">
            <w:pPr>
              <w:rPr>
                <w:rFonts w:ascii="Calibri" w:hAnsi="Calibri" w:cs="Calibri"/>
                <w:lang w:val="en-US"/>
              </w:rPr>
            </w:pPr>
            <w:r>
              <w:rPr>
                <w:rFonts w:ascii="Calibri" w:hAnsi="Calibri" w:cs="Calibri"/>
                <w:lang w:val="en-US"/>
              </w:rPr>
              <w:t xml:space="preserve">Implemented. </w:t>
            </w:r>
          </w:p>
          <w:p w14:paraId="7B5FA09E" w14:textId="77777777" w:rsidR="005365A9" w:rsidRDefault="005365A9" w:rsidP="005365A9">
            <w:pPr>
              <w:rPr>
                <w:rFonts w:ascii="Calibri" w:hAnsi="Calibri" w:cs="Calibri"/>
                <w:lang w:val="en-US"/>
              </w:rPr>
            </w:pPr>
          </w:p>
          <w:p w14:paraId="1EA1BEEB" w14:textId="77777777" w:rsidR="005365A9" w:rsidRPr="007238F6" w:rsidRDefault="005365A9" w:rsidP="005365A9">
            <w:pPr>
              <w:rPr>
                <w:rFonts w:ascii="Calibri" w:hAnsi="Calibri" w:cs="Calibri"/>
              </w:rPr>
            </w:pPr>
            <w:r w:rsidRPr="007238F6">
              <w:rPr>
                <w:rFonts w:ascii="Calibri" w:hAnsi="Calibri" w:cs="Calibri"/>
                <w:lang w:val="en-US"/>
              </w:rPr>
              <w:t>Recently FNLRS has increased its social media presence with regular posts in relation to our activities and matters relevant to Victorian Traditional Owners. </w:t>
            </w:r>
            <w:r w:rsidRPr="007238F6">
              <w:rPr>
                <w:rFonts w:ascii="Calibri" w:hAnsi="Calibri" w:cs="Calibri"/>
              </w:rPr>
              <w:t> </w:t>
            </w:r>
          </w:p>
          <w:p w14:paraId="3E25F80A" w14:textId="77777777" w:rsidR="005365A9" w:rsidRPr="007238F6" w:rsidRDefault="005365A9" w:rsidP="005365A9">
            <w:pPr>
              <w:rPr>
                <w:rFonts w:ascii="Calibri" w:hAnsi="Calibri" w:cs="Calibri"/>
              </w:rPr>
            </w:pPr>
            <w:r w:rsidRPr="007238F6">
              <w:rPr>
                <w:rFonts w:ascii="Calibri" w:hAnsi="Calibri" w:cs="Calibri"/>
              </w:rPr>
              <w:t> </w:t>
            </w:r>
          </w:p>
          <w:p w14:paraId="27F6031F" w14:textId="51A97A16" w:rsidR="00AB2C53" w:rsidRDefault="005365A9" w:rsidP="005365A9">
            <w:pPr>
              <w:jc w:val="both"/>
              <w:rPr>
                <w:rFonts w:ascii="Calibri" w:hAnsi="Calibri" w:cs="Calibri"/>
                <w:lang w:val="en-US"/>
              </w:rPr>
            </w:pPr>
            <w:r w:rsidRPr="007238F6">
              <w:rPr>
                <w:rFonts w:ascii="Calibri" w:hAnsi="Calibri" w:cs="Calibri"/>
              </w:rPr>
              <w:t>In August 2024 we hosted a major event to mark our 21</w:t>
            </w:r>
            <w:r w:rsidRPr="007238F6">
              <w:rPr>
                <w:rFonts w:ascii="Calibri" w:hAnsi="Calibri" w:cs="Calibri"/>
                <w:vertAlign w:val="superscript"/>
              </w:rPr>
              <w:t>St</w:t>
            </w:r>
            <w:r w:rsidRPr="007238F6">
              <w:rPr>
                <w:rFonts w:ascii="Calibri" w:hAnsi="Calibri" w:cs="Calibri"/>
              </w:rPr>
              <w:t xml:space="preserve"> birthday and launched our new strategic plan. This event was attended by over 150 people and provided a significant opportunity for FNLRS to showcase our successes and signal our intentions for the future. </w:t>
            </w:r>
          </w:p>
        </w:tc>
      </w:tr>
      <w:tr w:rsidR="00AB2C53" w14:paraId="406DF6D4" w14:textId="77777777" w:rsidTr="00EB3755">
        <w:trPr>
          <w:cantSplit/>
        </w:trPr>
        <w:tc>
          <w:tcPr>
            <w:tcW w:w="9016" w:type="dxa"/>
          </w:tcPr>
          <w:p w14:paraId="5717A050" w14:textId="25D37D76" w:rsidR="00AB2C53" w:rsidRDefault="00DA7E3C" w:rsidP="00594576">
            <w:pPr>
              <w:jc w:val="both"/>
              <w:rPr>
                <w:rFonts w:ascii="Calibri" w:hAnsi="Calibri" w:cs="Calibri"/>
                <w:lang w:val="en-US"/>
              </w:rPr>
            </w:pPr>
            <w:r w:rsidRPr="00203CFF">
              <w:rPr>
                <w:rFonts w:ascii="Calibri" w:hAnsi="Calibri" w:cs="Calibri"/>
                <w:b/>
                <w:bCs/>
                <w:lang w:val="en-US"/>
              </w:rPr>
              <w:t>Rec 4</w:t>
            </w:r>
            <w:r>
              <w:rPr>
                <w:rFonts w:ascii="Calibri" w:hAnsi="Calibri" w:cs="Calibri"/>
                <w:lang w:val="en-US"/>
              </w:rPr>
              <w:t xml:space="preserve"> </w:t>
            </w:r>
            <w:r w:rsidRPr="00203CFF">
              <w:rPr>
                <w:rFonts w:ascii="Calibri" w:hAnsi="Calibri" w:cs="Calibri"/>
                <w:lang w:val="en-US"/>
              </w:rPr>
              <w:t>Review the CLO role position description and explore how it can be evolved to go beyond administrative tasks to focus more on building relationships with community and education activities.</w:t>
            </w:r>
            <w:r w:rsidRPr="00203CFF">
              <w:rPr>
                <w:rFonts w:ascii="Calibri" w:hAnsi="Calibri" w:cs="Calibri"/>
              </w:rPr>
              <w:t> </w:t>
            </w:r>
          </w:p>
        </w:tc>
      </w:tr>
      <w:tr w:rsidR="00AB2C53" w14:paraId="525035E9" w14:textId="77777777" w:rsidTr="00EB3755">
        <w:trPr>
          <w:cantSplit/>
        </w:trPr>
        <w:tc>
          <w:tcPr>
            <w:tcW w:w="9016" w:type="dxa"/>
          </w:tcPr>
          <w:p w14:paraId="107618EF"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lastRenderedPageBreak/>
              <w:t>Response</w:t>
            </w:r>
          </w:p>
          <w:p w14:paraId="485AD6B9" w14:textId="77777777" w:rsidR="00AC5DDF" w:rsidRDefault="00AC5DDF" w:rsidP="00AC5DDF">
            <w:pPr>
              <w:rPr>
                <w:rFonts w:ascii="Calibri" w:hAnsi="Calibri" w:cs="Calibri"/>
                <w:lang w:val="en-US"/>
              </w:rPr>
            </w:pPr>
            <w:r>
              <w:rPr>
                <w:rFonts w:ascii="Calibri" w:hAnsi="Calibri" w:cs="Calibri"/>
                <w:lang w:val="en-US"/>
              </w:rPr>
              <w:t xml:space="preserve">Agreed. </w:t>
            </w:r>
          </w:p>
          <w:p w14:paraId="5FEC4FC5" w14:textId="77777777" w:rsidR="00AC5DDF" w:rsidRDefault="00AC5DDF" w:rsidP="00AC5DDF">
            <w:pPr>
              <w:rPr>
                <w:rFonts w:ascii="Calibri" w:hAnsi="Calibri" w:cs="Calibri"/>
                <w:lang w:val="en-US"/>
              </w:rPr>
            </w:pPr>
            <w:r>
              <w:rPr>
                <w:rFonts w:ascii="Calibri" w:hAnsi="Calibri" w:cs="Calibri"/>
                <w:lang w:val="en-US"/>
              </w:rPr>
              <w:t xml:space="preserve">Implemented. </w:t>
            </w:r>
          </w:p>
          <w:p w14:paraId="07BD2D3C" w14:textId="77777777" w:rsidR="00AC5DDF" w:rsidRDefault="00AC5DDF" w:rsidP="00AC5DDF">
            <w:pPr>
              <w:rPr>
                <w:rFonts w:ascii="Calibri" w:hAnsi="Calibri" w:cs="Calibri"/>
                <w:lang w:val="en-US"/>
              </w:rPr>
            </w:pPr>
          </w:p>
          <w:p w14:paraId="6686895A" w14:textId="7F7D0327" w:rsidR="00AB2C53" w:rsidRDefault="00AC5DDF" w:rsidP="00AC5DDF">
            <w:pPr>
              <w:jc w:val="both"/>
              <w:rPr>
                <w:rFonts w:ascii="Calibri" w:hAnsi="Calibri" w:cs="Calibri"/>
                <w:lang w:val="en-US"/>
              </w:rPr>
            </w:pPr>
            <w:r w:rsidRPr="00440784">
              <w:rPr>
                <w:rFonts w:ascii="Calibri" w:hAnsi="Calibri" w:cs="Calibri"/>
                <w:lang w:val="en-US"/>
              </w:rPr>
              <w:t>In October 2024 we restructured the community liaison function so that it is now embedded within the legal team. This will ensure the CLOs take on greater responsibilities and provide opportunities for professional development</w:t>
            </w:r>
            <w:r>
              <w:rPr>
                <w:rFonts w:ascii="Calibri" w:hAnsi="Calibri" w:cs="Calibri"/>
                <w:lang w:val="en-US"/>
              </w:rPr>
              <w:t>.</w:t>
            </w:r>
            <w:r w:rsidRPr="00440784">
              <w:rPr>
                <w:rFonts w:ascii="Calibri" w:hAnsi="Calibri" w:cs="Calibri"/>
              </w:rPr>
              <w:t> </w:t>
            </w:r>
          </w:p>
        </w:tc>
      </w:tr>
      <w:tr w:rsidR="00AB2C53" w14:paraId="2E1A14A7" w14:textId="77777777" w:rsidTr="00EB3755">
        <w:trPr>
          <w:cantSplit/>
        </w:trPr>
        <w:tc>
          <w:tcPr>
            <w:tcW w:w="9016" w:type="dxa"/>
            <w:shd w:val="clear" w:color="auto" w:fill="C1E4F5" w:themeFill="accent1" w:themeFillTint="33"/>
          </w:tcPr>
          <w:p w14:paraId="7416E9F3" w14:textId="3FA12D03" w:rsidR="00AB2C53" w:rsidRDefault="007D4FCA" w:rsidP="00594576">
            <w:pPr>
              <w:jc w:val="both"/>
              <w:rPr>
                <w:rFonts w:ascii="Calibri" w:hAnsi="Calibri" w:cs="Calibri"/>
                <w:lang w:val="en-U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r w:rsidRPr="00C922AF">
              <w:rPr>
                <w:rFonts w:ascii="Calibri" w:hAnsi="Calibri" w:cs="Calibri"/>
              </w:rPr>
              <w:t> </w:t>
            </w:r>
            <w:r w:rsidR="00B556A8" w:rsidRPr="00B556A8">
              <w:rPr>
                <w:rFonts w:ascii="Calibri" w:hAnsi="Calibri" w:cs="Calibri"/>
                <w:b/>
                <w:bCs/>
              </w:rPr>
              <w:t xml:space="preserve">(Rec </w:t>
            </w:r>
            <w:r w:rsidR="00B556A8">
              <w:rPr>
                <w:rFonts w:ascii="Calibri" w:hAnsi="Calibri" w:cs="Calibri"/>
                <w:b/>
                <w:bCs/>
              </w:rPr>
              <w:t>5</w:t>
            </w:r>
            <w:r w:rsidR="00B556A8" w:rsidRPr="00B556A8">
              <w:rPr>
                <w:rFonts w:ascii="Calibri" w:hAnsi="Calibri" w:cs="Calibri"/>
                <w:b/>
                <w:bCs/>
              </w:rPr>
              <w:t>)</w:t>
            </w:r>
          </w:p>
        </w:tc>
      </w:tr>
      <w:tr w:rsidR="00AB2C53" w14:paraId="02BA3EFF" w14:textId="77777777" w:rsidTr="00EB3755">
        <w:trPr>
          <w:cantSplit/>
        </w:trPr>
        <w:tc>
          <w:tcPr>
            <w:tcW w:w="9016" w:type="dxa"/>
          </w:tcPr>
          <w:p w14:paraId="72780DE7" w14:textId="23AECB11" w:rsidR="00AB2C53" w:rsidRDefault="00E759B4" w:rsidP="00594576">
            <w:pPr>
              <w:jc w:val="both"/>
              <w:rPr>
                <w:rFonts w:ascii="Calibri" w:hAnsi="Calibri" w:cs="Calibri"/>
                <w:lang w:val="en-US"/>
              </w:rPr>
            </w:pPr>
            <w:r w:rsidRPr="009E6AF2">
              <w:rPr>
                <w:rFonts w:ascii="Calibri" w:hAnsi="Calibri" w:cs="Calibri"/>
                <w:b/>
                <w:bCs/>
                <w:lang w:val="en-US"/>
              </w:rPr>
              <w:t>Rec 5</w:t>
            </w:r>
            <w:r>
              <w:rPr>
                <w:rFonts w:ascii="Calibri" w:hAnsi="Calibri" w:cs="Calibri"/>
                <w:lang w:val="en-US"/>
              </w:rPr>
              <w:t xml:space="preserve"> </w:t>
            </w:r>
            <w:r w:rsidRPr="009E6AF2">
              <w:rPr>
                <w:rFonts w:ascii="Calibri" w:hAnsi="Calibri" w:cs="Calibri"/>
                <w:lang w:val="en-US"/>
              </w:rPr>
              <w:t>Document cost-saving policies for all relevant categories of expenditure.</w:t>
            </w:r>
            <w:r w:rsidRPr="009E6AF2">
              <w:rPr>
                <w:rFonts w:ascii="Calibri" w:hAnsi="Calibri" w:cs="Calibri"/>
              </w:rPr>
              <w:t> </w:t>
            </w:r>
          </w:p>
        </w:tc>
      </w:tr>
      <w:tr w:rsidR="00310F46" w14:paraId="75A17A2E" w14:textId="77777777" w:rsidTr="00EB3755">
        <w:trPr>
          <w:cantSplit/>
        </w:trPr>
        <w:tc>
          <w:tcPr>
            <w:tcW w:w="9016" w:type="dxa"/>
          </w:tcPr>
          <w:p w14:paraId="332BAE5F"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50CBE262" w14:textId="77777777" w:rsidR="00310F46" w:rsidRDefault="00310F46" w:rsidP="00310F46">
            <w:pPr>
              <w:rPr>
                <w:rFonts w:ascii="Calibri" w:hAnsi="Calibri" w:cs="Calibri"/>
                <w:lang w:val="en-US"/>
              </w:rPr>
            </w:pPr>
            <w:r>
              <w:rPr>
                <w:rFonts w:ascii="Calibri" w:hAnsi="Calibri" w:cs="Calibri"/>
                <w:lang w:val="en-US"/>
              </w:rPr>
              <w:t>Agreed.</w:t>
            </w:r>
          </w:p>
          <w:p w14:paraId="38B8AD08" w14:textId="77777777" w:rsidR="00310F46" w:rsidRDefault="00310F46" w:rsidP="00310F46">
            <w:pPr>
              <w:rPr>
                <w:rFonts w:ascii="Calibri" w:hAnsi="Calibri" w:cs="Calibri"/>
                <w:lang w:val="en-US"/>
              </w:rPr>
            </w:pPr>
            <w:r>
              <w:rPr>
                <w:rFonts w:ascii="Calibri" w:hAnsi="Calibri" w:cs="Calibri"/>
                <w:lang w:val="en-US"/>
              </w:rPr>
              <w:t xml:space="preserve">Implemented. </w:t>
            </w:r>
          </w:p>
          <w:p w14:paraId="1FD2E72C" w14:textId="77777777" w:rsidR="00310F46" w:rsidRDefault="00310F46" w:rsidP="00310F46">
            <w:pPr>
              <w:rPr>
                <w:rFonts w:ascii="Calibri" w:hAnsi="Calibri" w:cs="Calibri"/>
                <w:lang w:val="en-US"/>
              </w:rPr>
            </w:pPr>
          </w:p>
          <w:p w14:paraId="335F99F1" w14:textId="78FB3F99" w:rsidR="00310F46" w:rsidRPr="009E6AF2" w:rsidRDefault="00310F46" w:rsidP="00310F46">
            <w:pPr>
              <w:jc w:val="both"/>
              <w:rPr>
                <w:rFonts w:ascii="Calibri" w:hAnsi="Calibri" w:cs="Calibri"/>
                <w:b/>
                <w:bCs/>
                <w:lang w:val="en-US"/>
              </w:rPr>
            </w:pPr>
            <w:r w:rsidRPr="00E969B3">
              <w:rPr>
                <w:rFonts w:ascii="Calibri" w:hAnsi="Calibri" w:cs="Calibri"/>
                <w:lang w:val="en-US"/>
              </w:rPr>
              <w:t>The Corporate Services team is developing cost-savings policies.</w:t>
            </w:r>
            <w:r w:rsidRPr="00E969B3">
              <w:rPr>
                <w:rFonts w:ascii="Calibri" w:hAnsi="Calibri" w:cs="Calibri"/>
              </w:rPr>
              <w:t> </w:t>
            </w:r>
          </w:p>
        </w:tc>
      </w:tr>
      <w:tr w:rsidR="00310F46" w14:paraId="1D01D827" w14:textId="77777777" w:rsidTr="00EB3755">
        <w:trPr>
          <w:cantSplit/>
        </w:trPr>
        <w:tc>
          <w:tcPr>
            <w:tcW w:w="9016" w:type="dxa"/>
            <w:shd w:val="clear" w:color="auto" w:fill="C1E4F5" w:themeFill="accent1" w:themeFillTint="33"/>
          </w:tcPr>
          <w:p w14:paraId="7C171808" w14:textId="0AC094D6" w:rsidR="00310F46" w:rsidRPr="009E6AF2" w:rsidRDefault="00211EF0" w:rsidP="00594576">
            <w:pPr>
              <w:jc w:val="both"/>
              <w:rPr>
                <w:rFonts w:ascii="Calibri" w:hAnsi="Calibri" w:cs="Calibri"/>
                <w:b/>
                <w:bCs/>
                <w:lang w:val="en-US"/>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B556A8" w:rsidRPr="00B556A8">
              <w:rPr>
                <w:rFonts w:ascii="Calibri" w:hAnsi="Calibri" w:cs="Calibri"/>
                <w:b/>
                <w:bCs/>
              </w:rPr>
              <w:t xml:space="preserve">(Rec </w:t>
            </w:r>
            <w:r w:rsidR="00B556A8">
              <w:rPr>
                <w:rFonts w:ascii="Calibri" w:hAnsi="Calibri" w:cs="Calibri"/>
                <w:b/>
                <w:bCs/>
              </w:rPr>
              <w:t>6-8</w:t>
            </w:r>
            <w:r w:rsidR="00B556A8" w:rsidRPr="00B556A8">
              <w:rPr>
                <w:rFonts w:ascii="Calibri" w:hAnsi="Calibri" w:cs="Calibri"/>
                <w:b/>
                <w:bCs/>
              </w:rPr>
              <w:t>)</w:t>
            </w:r>
          </w:p>
        </w:tc>
      </w:tr>
      <w:tr w:rsidR="00310F46" w14:paraId="191A43C8" w14:textId="77777777" w:rsidTr="00EB3755">
        <w:trPr>
          <w:cantSplit/>
        </w:trPr>
        <w:tc>
          <w:tcPr>
            <w:tcW w:w="9016" w:type="dxa"/>
          </w:tcPr>
          <w:p w14:paraId="258E78F1" w14:textId="77777777" w:rsidR="00D83E0D" w:rsidRDefault="00D83E0D" w:rsidP="00D83E0D">
            <w:pPr>
              <w:rPr>
                <w:rFonts w:ascii="Calibri" w:hAnsi="Calibri" w:cs="Calibri"/>
              </w:rPr>
            </w:pPr>
            <w:r w:rsidRPr="00E969B3">
              <w:rPr>
                <w:rFonts w:ascii="Calibri" w:hAnsi="Calibri" w:cs="Calibri"/>
                <w:b/>
                <w:bCs/>
                <w:lang w:val="en-US"/>
              </w:rPr>
              <w:t>Rec 6</w:t>
            </w:r>
            <w:r>
              <w:rPr>
                <w:rFonts w:ascii="Calibri" w:hAnsi="Calibri" w:cs="Calibri"/>
                <w:lang w:val="en-US"/>
              </w:rPr>
              <w:t xml:space="preserve"> </w:t>
            </w:r>
            <w:r w:rsidRPr="00E969B3">
              <w:rPr>
                <w:rFonts w:ascii="Calibri" w:hAnsi="Calibri" w:cs="Calibri"/>
                <w:lang w:val="en-US"/>
              </w:rPr>
              <w:t>This Review endorses the following recommendations made by the Strategic Review:</w:t>
            </w:r>
            <w:r w:rsidRPr="00E969B3">
              <w:rPr>
                <w:rFonts w:ascii="Calibri" w:hAnsi="Calibri" w:cs="Calibri"/>
              </w:rPr>
              <w:t> </w:t>
            </w:r>
          </w:p>
          <w:p w14:paraId="262CF3B7" w14:textId="77777777" w:rsidR="00D83E0D" w:rsidRDefault="00D83E0D" w:rsidP="00D83E0D">
            <w:pPr>
              <w:rPr>
                <w:rFonts w:ascii="Calibri" w:hAnsi="Calibri" w:cs="Calibri"/>
              </w:rPr>
            </w:pPr>
          </w:p>
          <w:p w14:paraId="1A286573" w14:textId="563ABB36" w:rsidR="00492BE1" w:rsidRDefault="00492BE1" w:rsidP="000F1B07">
            <w:pPr>
              <w:pStyle w:val="ListParagraph"/>
              <w:numPr>
                <w:ilvl w:val="0"/>
                <w:numId w:val="9"/>
              </w:numPr>
              <w:rPr>
                <w:rFonts w:ascii="Calibri" w:hAnsi="Calibri" w:cs="Calibri"/>
              </w:rPr>
            </w:pPr>
            <w:r w:rsidRPr="000F1B07">
              <w:rPr>
                <w:rFonts w:ascii="Calibri" w:hAnsi="Calibri" w:cs="Calibri"/>
              </w:rPr>
              <w:t>FNLRS should seek to diversify the composition and skills of its Board to a wider variety of people and skillsets (for example, this could be achieved by advertising for Directors more proactively and widely using formal advertisement channels and possibly recruiters). </w:t>
            </w:r>
          </w:p>
          <w:p w14:paraId="5AF6CD66" w14:textId="77777777" w:rsidR="008A79FF" w:rsidRDefault="008A79FF" w:rsidP="008A79FF">
            <w:pPr>
              <w:pStyle w:val="ListParagraph"/>
              <w:rPr>
                <w:rFonts w:ascii="Calibri" w:hAnsi="Calibri" w:cs="Calibri"/>
              </w:rPr>
            </w:pPr>
          </w:p>
          <w:p w14:paraId="013CEB44" w14:textId="0870614B" w:rsidR="00310F46" w:rsidRPr="008A79FF" w:rsidRDefault="004A63D5" w:rsidP="008A79FF">
            <w:pPr>
              <w:pStyle w:val="ListParagraph"/>
              <w:numPr>
                <w:ilvl w:val="0"/>
                <w:numId w:val="9"/>
              </w:numPr>
              <w:rPr>
                <w:rFonts w:ascii="Calibri" w:hAnsi="Calibri" w:cs="Calibri"/>
              </w:rPr>
            </w:pPr>
            <w:r w:rsidRPr="00AC05D7">
              <w:rPr>
                <w:rFonts w:ascii="Calibri" w:hAnsi="Calibri" w:cs="Calibri"/>
                <w:lang w:val="en-US"/>
              </w:rPr>
              <w:t>FNLRS should better communicate its current governance structure and Board membership (this could be achieved by profiling the current Board members on relevant channels including FNLRS’s website, social media channels, events).</w:t>
            </w:r>
          </w:p>
        </w:tc>
      </w:tr>
      <w:tr w:rsidR="00310F46" w14:paraId="7B323944" w14:textId="77777777" w:rsidTr="00EB3755">
        <w:trPr>
          <w:cantSplit/>
        </w:trPr>
        <w:tc>
          <w:tcPr>
            <w:tcW w:w="9016" w:type="dxa"/>
          </w:tcPr>
          <w:p w14:paraId="35844690"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1101FC21" w14:textId="77777777" w:rsidR="00C062E1" w:rsidRDefault="00C062E1" w:rsidP="00C062E1">
            <w:pPr>
              <w:rPr>
                <w:rFonts w:ascii="Calibri" w:hAnsi="Calibri" w:cs="Calibri"/>
                <w:lang w:val="en-US"/>
              </w:rPr>
            </w:pPr>
            <w:r>
              <w:rPr>
                <w:rFonts w:ascii="Calibri" w:hAnsi="Calibri" w:cs="Calibri"/>
                <w:lang w:val="en-US"/>
              </w:rPr>
              <w:t>Agreed.</w:t>
            </w:r>
          </w:p>
          <w:p w14:paraId="143235E3" w14:textId="77777777" w:rsidR="00C062E1" w:rsidRDefault="00C062E1" w:rsidP="00C062E1">
            <w:pPr>
              <w:rPr>
                <w:rFonts w:ascii="Calibri" w:hAnsi="Calibri" w:cs="Calibri"/>
                <w:lang w:val="en-US"/>
              </w:rPr>
            </w:pPr>
            <w:r>
              <w:rPr>
                <w:rFonts w:ascii="Calibri" w:hAnsi="Calibri" w:cs="Calibri"/>
                <w:lang w:val="en-US"/>
              </w:rPr>
              <w:t xml:space="preserve">Partially implemented. </w:t>
            </w:r>
          </w:p>
          <w:p w14:paraId="654A0C45" w14:textId="77777777" w:rsidR="00C062E1" w:rsidRDefault="00C062E1" w:rsidP="00C062E1">
            <w:pPr>
              <w:rPr>
                <w:rFonts w:ascii="Calibri" w:hAnsi="Calibri" w:cs="Calibri"/>
                <w:lang w:val="en-US"/>
              </w:rPr>
            </w:pPr>
          </w:p>
          <w:p w14:paraId="44989686" w14:textId="77777777" w:rsidR="00310F46" w:rsidRPr="008A79FF" w:rsidRDefault="00C062E1" w:rsidP="008A79FF">
            <w:pPr>
              <w:pStyle w:val="ListParagraph"/>
              <w:numPr>
                <w:ilvl w:val="0"/>
                <w:numId w:val="12"/>
              </w:numPr>
              <w:rPr>
                <w:rFonts w:ascii="Calibri" w:hAnsi="Calibri" w:cs="Calibri"/>
              </w:rPr>
            </w:pPr>
            <w:r w:rsidRPr="008A79FF">
              <w:rPr>
                <w:rFonts w:ascii="Calibri" w:hAnsi="Calibri" w:cs="Calibri"/>
              </w:rPr>
              <w:t>New director recruitment has commenced, with one new director likely to be appointed at the November 2024 AGM. </w:t>
            </w:r>
          </w:p>
          <w:p w14:paraId="46DFD183" w14:textId="77777777" w:rsidR="008A79FF" w:rsidRDefault="008A79FF" w:rsidP="00D83E0D">
            <w:pPr>
              <w:rPr>
                <w:rFonts w:ascii="Calibri" w:hAnsi="Calibri" w:cs="Calibri"/>
              </w:rPr>
            </w:pPr>
          </w:p>
          <w:p w14:paraId="13757372" w14:textId="77777777" w:rsidR="008A79FF" w:rsidRDefault="008A79FF" w:rsidP="008A79FF">
            <w:pPr>
              <w:rPr>
                <w:rFonts w:ascii="Calibri" w:hAnsi="Calibri" w:cs="Calibri"/>
              </w:rPr>
            </w:pPr>
            <w:r>
              <w:rPr>
                <w:rFonts w:ascii="Calibri" w:hAnsi="Calibri" w:cs="Calibri"/>
              </w:rPr>
              <w:t>Agreed.</w:t>
            </w:r>
          </w:p>
          <w:p w14:paraId="1BDAA2A0" w14:textId="77777777" w:rsidR="008A79FF" w:rsidRDefault="008A79FF" w:rsidP="008A79FF">
            <w:pPr>
              <w:rPr>
                <w:rFonts w:ascii="Calibri" w:hAnsi="Calibri" w:cs="Calibri"/>
              </w:rPr>
            </w:pPr>
            <w:r>
              <w:rPr>
                <w:rFonts w:ascii="Calibri" w:hAnsi="Calibri" w:cs="Calibri"/>
              </w:rPr>
              <w:t xml:space="preserve">Implemented. </w:t>
            </w:r>
          </w:p>
          <w:p w14:paraId="2D9D8F2C" w14:textId="77777777" w:rsidR="008A79FF" w:rsidRDefault="008A79FF" w:rsidP="008A79FF">
            <w:pPr>
              <w:rPr>
                <w:rFonts w:ascii="Calibri" w:hAnsi="Calibri" w:cs="Calibri"/>
              </w:rPr>
            </w:pPr>
          </w:p>
          <w:p w14:paraId="66919C9E" w14:textId="108A438F" w:rsidR="008A79FF" w:rsidRPr="008A79FF" w:rsidRDefault="008A79FF" w:rsidP="008A79FF">
            <w:pPr>
              <w:pStyle w:val="ListParagraph"/>
              <w:numPr>
                <w:ilvl w:val="0"/>
                <w:numId w:val="12"/>
              </w:numPr>
              <w:rPr>
                <w:rFonts w:ascii="Calibri" w:hAnsi="Calibri" w:cs="Calibri"/>
              </w:rPr>
            </w:pPr>
            <w:r w:rsidRPr="008A79FF">
              <w:rPr>
                <w:rFonts w:ascii="Calibri" w:hAnsi="Calibri" w:cs="Calibri"/>
              </w:rPr>
              <w:t>We have developed a new website that now includes detailed biographies of all board members. During our 21st anniversary event, our Chairperson, Ken Stewart, delivered a keynote address, further spotlighting our leadership. Additionally, we plan to continue profiling our board members via social media over the next six months to improve public awareness of our Board's expertise and contributions. </w:t>
            </w:r>
          </w:p>
        </w:tc>
      </w:tr>
      <w:tr w:rsidR="00C062E1" w14:paraId="1757361F" w14:textId="77777777" w:rsidTr="00EB3755">
        <w:trPr>
          <w:cantSplit/>
        </w:trPr>
        <w:tc>
          <w:tcPr>
            <w:tcW w:w="9016" w:type="dxa"/>
          </w:tcPr>
          <w:p w14:paraId="6A03300C" w14:textId="602B25FD" w:rsidR="00C062E1" w:rsidRDefault="00F55ECC" w:rsidP="00C062E1">
            <w:pPr>
              <w:rPr>
                <w:rFonts w:ascii="Calibri" w:hAnsi="Calibri" w:cs="Calibri"/>
                <w:lang w:val="en-US"/>
              </w:rPr>
            </w:pPr>
            <w:r w:rsidRPr="00FF14C1">
              <w:rPr>
                <w:rFonts w:ascii="Calibri" w:hAnsi="Calibri" w:cs="Calibri"/>
                <w:b/>
                <w:bCs/>
              </w:rPr>
              <w:t>Rec 7</w:t>
            </w:r>
            <w:r>
              <w:rPr>
                <w:rFonts w:ascii="Calibri" w:hAnsi="Calibri" w:cs="Calibri"/>
              </w:rPr>
              <w:t xml:space="preserve"> </w:t>
            </w:r>
            <w:r w:rsidRPr="00FF14C1">
              <w:rPr>
                <w:rFonts w:ascii="Calibri" w:hAnsi="Calibri" w:cs="Calibri"/>
              </w:rPr>
              <w:t>Implement a mechanism for collecting, understanding and responding to community feedback, which should then be reported to the Board. </w:t>
            </w:r>
          </w:p>
        </w:tc>
      </w:tr>
      <w:tr w:rsidR="00C062E1" w14:paraId="013EF8FB" w14:textId="77777777" w:rsidTr="00EB3755">
        <w:trPr>
          <w:cantSplit/>
        </w:trPr>
        <w:tc>
          <w:tcPr>
            <w:tcW w:w="9016" w:type="dxa"/>
          </w:tcPr>
          <w:p w14:paraId="2094C2CC"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lastRenderedPageBreak/>
              <w:t>Response</w:t>
            </w:r>
          </w:p>
          <w:p w14:paraId="3EEF1589" w14:textId="77777777" w:rsidR="00926FC6" w:rsidRDefault="00926FC6" w:rsidP="00926FC6">
            <w:pPr>
              <w:rPr>
                <w:rFonts w:ascii="Calibri" w:hAnsi="Calibri" w:cs="Calibri"/>
                <w:lang w:val="en-US"/>
              </w:rPr>
            </w:pPr>
            <w:r>
              <w:rPr>
                <w:rFonts w:ascii="Calibri" w:hAnsi="Calibri" w:cs="Calibri"/>
                <w:lang w:val="en-US"/>
              </w:rPr>
              <w:t xml:space="preserve">Agreed. </w:t>
            </w:r>
          </w:p>
          <w:p w14:paraId="751A0D65" w14:textId="77777777" w:rsidR="00926FC6" w:rsidRDefault="00926FC6" w:rsidP="00926FC6">
            <w:pPr>
              <w:rPr>
                <w:rFonts w:ascii="Calibri" w:hAnsi="Calibri" w:cs="Calibri"/>
                <w:lang w:val="en-US"/>
              </w:rPr>
            </w:pPr>
            <w:r>
              <w:rPr>
                <w:rFonts w:ascii="Calibri" w:hAnsi="Calibri" w:cs="Calibri"/>
                <w:lang w:val="en-US"/>
              </w:rPr>
              <w:t xml:space="preserve">Yet to be implemented. </w:t>
            </w:r>
          </w:p>
          <w:p w14:paraId="0380D9BA" w14:textId="77777777" w:rsidR="00926FC6" w:rsidRDefault="00926FC6" w:rsidP="00926FC6">
            <w:pPr>
              <w:rPr>
                <w:rFonts w:ascii="Calibri" w:hAnsi="Calibri" w:cs="Calibri"/>
                <w:lang w:val="en-US"/>
              </w:rPr>
            </w:pPr>
          </w:p>
          <w:p w14:paraId="04D1D758" w14:textId="012D55C5" w:rsidR="00C062E1" w:rsidRDefault="00926FC6" w:rsidP="00926FC6">
            <w:pPr>
              <w:rPr>
                <w:rFonts w:ascii="Calibri" w:hAnsi="Calibri" w:cs="Calibri"/>
                <w:lang w:val="en-US"/>
              </w:rPr>
            </w:pPr>
            <w:r w:rsidRPr="00F33C53">
              <w:rPr>
                <w:rFonts w:ascii="Calibri" w:hAnsi="Calibri" w:cs="Calibri"/>
                <w:lang w:val="en-US"/>
              </w:rPr>
              <w:t>The board will consider a community feedback strategy in early 2025.</w:t>
            </w:r>
            <w:r w:rsidRPr="00F33C53">
              <w:rPr>
                <w:rFonts w:ascii="Calibri" w:hAnsi="Calibri" w:cs="Calibri"/>
              </w:rPr>
              <w:t> </w:t>
            </w:r>
          </w:p>
        </w:tc>
      </w:tr>
      <w:tr w:rsidR="00C062E1" w14:paraId="3264707D" w14:textId="77777777" w:rsidTr="00EB3755">
        <w:trPr>
          <w:cantSplit/>
        </w:trPr>
        <w:tc>
          <w:tcPr>
            <w:tcW w:w="9016" w:type="dxa"/>
          </w:tcPr>
          <w:p w14:paraId="711E4C5D" w14:textId="1435DE4A" w:rsidR="00C062E1" w:rsidRDefault="00894FFB" w:rsidP="00C062E1">
            <w:pPr>
              <w:rPr>
                <w:rFonts w:ascii="Calibri" w:hAnsi="Calibri" w:cs="Calibri"/>
                <w:lang w:val="en-US"/>
              </w:rPr>
            </w:pPr>
            <w:r w:rsidRPr="006B0A39">
              <w:rPr>
                <w:rFonts w:ascii="Calibri" w:hAnsi="Calibri" w:cs="Calibri"/>
                <w:b/>
                <w:bCs/>
                <w:lang w:val="en-US"/>
              </w:rPr>
              <w:t>Rec 8</w:t>
            </w:r>
            <w:r>
              <w:rPr>
                <w:rFonts w:ascii="Calibri" w:hAnsi="Calibri" w:cs="Calibri"/>
                <w:lang w:val="en-US"/>
              </w:rPr>
              <w:t xml:space="preserve"> </w:t>
            </w:r>
            <w:r w:rsidRPr="006B0A39">
              <w:rPr>
                <w:rFonts w:ascii="Calibri" w:hAnsi="Calibri" w:cs="Calibri"/>
                <w:lang w:val="en-US"/>
              </w:rPr>
              <w:t xml:space="preserve">Enhance </w:t>
            </w:r>
            <w:proofErr w:type="spellStart"/>
            <w:r w:rsidRPr="006B0A39">
              <w:rPr>
                <w:rFonts w:ascii="Calibri" w:hAnsi="Calibri" w:cs="Calibri"/>
                <w:lang w:val="en-US"/>
              </w:rPr>
              <w:t>organisational</w:t>
            </w:r>
            <w:proofErr w:type="spellEnd"/>
            <w:r w:rsidRPr="006B0A39">
              <w:rPr>
                <w:rFonts w:ascii="Calibri" w:hAnsi="Calibri" w:cs="Calibri"/>
                <w:lang w:val="en-US"/>
              </w:rPr>
              <w:t xml:space="preserve"> collaboration by implementing activities that encourage the different teams within FNLRS to work together.</w:t>
            </w:r>
            <w:r w:rsidRPr="006B0A39">
              <w:rPr>
                <w:rFonts w:ascii="Calibri" w:hAnsi="Calibri" w:cs="Calibri"/>
              </w:rPr>
              <w:t> </w:t>
            </w:r>
          </w:p>
        </w:tc>
      </w:tr>
      <w:tr w:rsidR="00B532BA" w14:paraId="79F6C735" w14:textId="77777777" w:rsidTr="00EB3755">
        <w:trPr>
          <w:cantSplit/>
        </w:trPr>
        <w:tc>
          <w:tcPr>
            <w:tcW w:w="9016" w:type="dxa"/>
          </w:tcPr>
          <w:p w14:paraId="10445F72"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30A1CE11" w14:textId="77777777" w:rsidR="00B532BA" w:rsidRDefault="00B532BA" w:rsidP="00B532BA">
            <w:pPr>
              <w:rPr>
                <w:rFonts w:ascii="Calibri" w:hAnsi="Calibri" w:cs="Calibri"/>
                <w:lang w:val="en-US"/>
              </w:rPr>
            </w:pPr>
            <w:r>
              <w:rPr>
                <w:rFonts w:ascii="Calibri" w:hAnsi="Calibri" w:cs="Calibri"/>
                <w:lang w:val="en-US"/>
              </w:rPr>
              <w:t>Agreed.</w:t>
            </w:r>
          </w:p>
          <w:p w14:paraId="0ECA988D" w14:textId="5F06EB59" w:rsidR="00B532BA" w:rsidRDefault="00B532BA" w:rsidP="00B532BA">
            <w:pPr>
              <w:rPr>
                <w:rFonts w:ascii="Calibri" w:hAnsi="Calibri" w:cs="Calibri"/>
                <w:lang w:val="en-US"/>
              </w:rPr>
            </w:pPr>
            <w:r>
              <w:rPr>
                <w:rFonts w:ascii="Calibri" w:hAnsi="Calibri" w:cs="Calibri"/>
                <w:lang w:val="en-US"/>
              </w:rPr>
              <w:t xml:space="preserve">Ongoing. </w:t>
            </w:r>
          </w:p>
          <w:p w14:paraId="0D4B1338" w14:textId="77777777" w:rsidR="00B532BA" w:rsidRPr="00802411" w:rsidRDefault="00B532BA" w:rsidP="00B532BA">
            <w:pPr>
              <w:rPr>
                <w:rFonts w:ascii="Calibri" w:hAnsi="Calibri" w:cs="Calibri"/>
              </w:rPr>
            </w:pPr>
            <w:r w:rsidRPr="00802411">
              <w:rPr>
                <w:rFonts w:ascii="Calibri" w:hAnsi="Calibri" w:cs="Calibri"/>
                <w:lang w:val="en-US"/>
              </w:rPr>
              <w:t xml:space="preserve">FNLRS hosts a yearly two-day residential staff retreat that focuses on team building and </w:t>
            </w:r>
            <w:proofErr w:type="spellStart"/>
            <w:r w:rsidRPr="00802411">
              <w:rPr>
                <w:rFonts w:ascii="Calibri" w:hAnsi="Calibri" w:cs="Calibri"/>
                <w:lang w:val="en-US"/>
              </w:rPr>
              <w:t>organisational</w:t>
            </w:r>
            <w:proofErr w:type="spellEnd"/>
            <w:r w:rsidRPr="00802411">
              <w:rPr>
                <w:rFonts w:ascii="Calibri" w:hAnsi="Calibri" w:cs="Calibri"/>
                <w:lang w:val="en-US"/>
              </w:rPr>
              <w:t xml:space="preserve"> and professional development activities.</w:t>
            </w:r>
            <w:r w:rsidRPr="00802411">
              <w:rPr>
                <w:rFonts w:ascii="Calibri" w:hAnsi="Calibri" w:cs="Calibri"/>
              </w:rPr>
              <w:t> </w:t>
            </w:r>
          </w:p>
          <w:p w14:paraId="142D1573" w14:textId="77777777" w:rsidR="00B532BA" w:rsidRPr="00802411" w:rsidRDefault="00B532BA" w:rsidP="00B532BA">
            <w:pPr>
              <w:rPr>
                <w:rFonts w:ascii="Calibri" w:hAnsi="Calibri" w:cs="Calibri"/>
              </w:rPr>
            </w:pPr>
            <w:r w:rsidRPr="00802411">
              <w:rPr>
                <w:rFonts w:ascii="Calibri" w:hAnsi="Calibri" w:cs="Calibri"/>
              </w:rPr>
              <w:t> </w:t>
            </w:r>
          </w:p>
          <w:p w14:paraId="209CA8E8" w14:textId="77777777" w:rsidR="00B532BA" w:rsidRPr="00802411" w:rsidRDefault="00B532BA" w:rsidP="00B532BA">
            <w:pPr>
              <w:rPr>
                <w:rFonts w:ascii="Calibri" w:hAnsi="Calibri" w:cs="Calibri"/>
              </w:rPr>
            </w:pPr>
            <w:r w:rsidRPr="00802411">
              <w:rPr>
                <w:rFonts w:ascii="Calibri" w:hAnsi="Calibri" w:cs="Calibri"/>
                <w:lang w:val="en-US"/>
              </w:rPr>
              <w:t xml:space="preserve">We have recently instituted two activities to boost inter-team relations: 1. team presentations to our monthly staff meetings; 2. In-office lunches and morning teas to encourage staff to </w:t>
            </w:r>
            <w:proofErr w:type="spellStart"/>
            <w:r w:rsidRPr="00802411">
              <w:rPr>
                <w:rFonts w:ascii="Calibri" w:hAnsi="Calibri" w:cs="Calibri"/>
                <w:lang w:val="en-US"/>
              </w:rPr>
              <w:t>socialise</w:t>
            </w:r>
            <w:proofErr w:type="spellEnd"/>
            <w:r w:rsidRPr="00802411">
              <w:rPr>
                <w:rFonts w:ascii="Calibri" w:hAnsi="Calibri" w:cs="Calibri"/>
                <w:lang w:val="en-US"/>
              </w:rPr>
              <w:t xml:space="preserve"> with each other.</w:t>
            </w:r>
            <w:r w:rsidRPr="00802411">
              <w:rPr>
                <w:rFonts w:ascii="Calibri" w:hAnsi="Calibri" w:cs="Calibri"/>
              </w:rPr>
              <w:t> </w:t>
            </w:r>
          </w:p>
          <w:p w14:paraId="350894BD" w14:textId="77777777" w:rsidR="00B532BA" w:rsidRPr="00802411" w:rsidRDefault="00B532BA" w:rsidP="00B532BA">
            <w:pPr>
              <w:rPr>
                <w:rFonts w:ascii="Calibri" w:hAnsi="Calibri" w:cs="Calibri"/>
              </w:rPr>
            </w:pPr>
            <w:r w:rsidRPr="00802411">
              <w:rPr>
                <w:rFonts w:ascii="Calibri" w:hAnsi="Calibri" w:cs="Calibri"/>
              </w:rPr>
              <w:t> </w:t>
            </w:r>
          </w:p>
          <w:p w14:paraId="5A15309C" w14:textId="081F218F" w:rsidR="00B532BA" w:rsidRPr="006B0A39" w:rsidRDefault="00B532BA" w:rsidP="00B532BA">
            <w:pPr>
              <w:rPr>
                <w:rFonts w:ascii="Calibri" w:hAnsi="Calibri" w:cs="Calibri"/>
                <w:b/>
                <w:bCs/>
                <w:lang w:val="en-US"/>
              </w:rPr>
            </w:pPr>
            <w:r w:rsidRPr="00802411">
              <w:rPr>
                <w:rFonts w:ascii="Calibri" w:hAnsi="Calibri" w:cs="Calibri"/>
                <w:lang w:val="en-US"/>
              </w:rPr>
              <w:t>Further, since the review, we have moved into open-plan offices thereby creating more informal interaction between colleagues and teams</w:t>
            </w:r>
            <w:r>
              <w:rPr>
                <w:rFonts w:ascii="Calibri" w:hAnsi="Calibri" w:cs="Calibri"/>
                <w:lang w:val="en-US"/>
              </w:rPr>
              <w:t>.</w:t>
            </w:r>
          </w:p>
        </w:tc>
      </w:tr>
      <w:tr w:rsidR="00B532BA" w14:paraId="0A5CC5B1" w14:textId="77777777" w:rsidTr="00EB3755">
        <w:trPr>
          <w:cantSplit/>
        </w:trPr>
        <w:tc>
          <w:tcPr>
            <w:tcW w:w="9016" w:type="dxa"/>
            <w:shd w:val="clear" w:color="auto" w:fill="C1E4F5" w:themeFill="accent1" w:themeFillTint="33"/>
          </w:tcPr>
          <w:p w14:paraId="767890ED" w14:textId="4470E2D8" w:rsidR="00B532BA" w:rsidRPr="006B0A39" w:rsidRDefault="000A420B" w:rsidP="00C062E1">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880288">
              <w:rPr>
                <w:rFonts w:ascii="Calibri" w:hAnsi="Calibri" w:cs="Calibri"/>
                <w:b/>
                <w:bCs/>
              </w:rPr>
              <w:t> </w:t>
            </w:r>
            <w:r w:rsidR="00880288" w:rsidRPr="00880288">
              <w:rPr>
                <w:rFonts w:ascii="Calibri" w:hAnsi="Calibri" w:cs="Calibri"/>
                <w:b/>
                <w:bCs/>
              </w:rPr>
              <w:t>(Rec 9-12)</w:t>
            </w:r>
          </w:p>
        </w:tc>
      </w:tr>
      <w:tr w:rsidR="00B532BA" w14:paraId="242F7191" w14:textId="77777777" w:rsidTr="00EB3755">
        <w:trPr>
          <w:cantSplit/>
        </w:trPr>
        <w:tc>
          <w:tcPr>
            <w:tcW w:w="9016" w:type="dxa"/>
          </w:tcPr>
          <w:p w14:paraId="68446DA6" w14:textId="49274DFB" w:rsidR="00B532BA" w:rsidRPr="006B0A39" w:rsidRDefault="006D0692" w:rsidP="00C062E1">
            <w:pPr>
              <w:rPr>
                <w:rFonts w:ascii="Calibri" w:hAnsi="Calibri" w:cs="Calibri"/>
                <w:b/>
                <w:bCs/>
                <w:lang w:val="en-US"/>
              </w:rPr>
            </w:pPr>
            <w:r w:rsidRPr="004C2F10">
              <w:rPr>
                <w:rFonts w:ascii="Calibri" w:hAnsi="Calibri" w:cs="Calibri"/>
                <w:b/>
                <w:bCs/>
              </w:rPr>
              <w:t>Rec 9</w:t>
            </w:r>
            <w:r>
              <w:rPr>
                <w:rFonts w:ascii="Calibri" w:hAnsi="Calibri" w:cs="Calibri"/>
              </w:rPr>
              <w:t xml:space="preserve"> </w:t>
            </w:r>
            <w:r w:rsidRPr="004C2F10">
              <w:rPr>
                <w:rFonts w:ascii="Calibri" w:hAnsi="Calibri" w:cs="Calibri"/>
              </w:rPr>
              <w:t>Implement a mechanism to collect client feedback from PBCs and TOGEs on an ongoing basis and improve the way the organisation collects, monitors and responds to informal feedback and issues. </w:t>
            </w:r>
          </w:p>
        </w:tc>
      </w:tr>
      <w:tr w:rsidR="00B532BA" w14:paraId="0294F5A6" w14:textId="77777777" w:rsidTr="00EB3755">
        <w:trPr>
          <w:cantSplit/>
        </w:trPr>
        <w:tc>
          <w:tcPr>
            <w:tcW w:w="9016" w:type="dxa"/>
          </w:tcPr>
          <w:p w14:paraId="277F96E4"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6702B896" w14:textId="77777777" w:rsidR="00FB014F" w:rsidRDefault="00FB014F" w:rsidP="00FB014F">
            <w:pPr>
              <w:rPr>
                <w:rFonts w:ascii="Calibri" w:hAnsi="Calibri" w:cs="Calibri"/>
                <w:lang w:val="en-US"/>
              </w:rPr>
            </w:pPr>
            <w:r>
              <w:rPr>
                <w:rFonts w:ascii="Calibri" w:hAnsi="Calibri" w:cs="Calibri"/>
                <w:lang w:val="en-US"/>
              </w:rPr>
              <w:t xml:space="preserve">Agreed. </w:t>
            </w:r>
          </w:p>
          <w:p w14:paraId="6E704FFF" w14:textId="77777777" w:rsidR="00FB014F" w:rsidRDefault="00FB014F" w:rsidP="00FB014F">
            <w:pPr>
              <w:rPr>
                <w:rFonts w:ascii="Calibri" w:hAnsi="Calibri" w:cs="Calibri"/>
                <w:lang w:val="en-US"/>
              </w:rPr>
            </w:pPr>
            <w:r>
              <w:rPr>
                <w:rFonts w:ascii="Calibri" w:hAnsi="Calibri" w:cs="Calibri"/>
                <w:lang w:val="en-US"/>
              </w:rPr>
              <w:t xml:space="preserve">Yet to be implemented. </w:t>
            </w:r>
          </w:p>
          <w:p w14:paraId="65B9D874" w14:textId="77777777" w:rsidR="00FB014F" w:rsidRDefault="00FB014F" w:rsidP="00FB014F">
            <w:pPr>
              <w:rPr>
                <w:rFonts w:ascii="Calibri" w:hAnsi="Calibri" w:cs="Calibri"/>
                <w:lang w:val="en-US"/>
              </w:rPr>
            </w:pPr>
          </w:p>
          <w:p w14:paraId="54A61588" w14:textId="25B1CCDC" w:rsidR="00B532BA" w:rsidRPr="006B0A39" w:rsidRDefault="00FB014F" w:rsidP="00FB014F">
            <w:pPr>
              <w:rPr>
                <w:rFonts w:ascii="Calibri" w:hAnsi="Calibri" w:cs="Calibri"/>
                <w:b/>
                <w:bCs/>
                <w:lang w:val="en-US"/>
              </w:rPr>
            </w:pPr>
            <w:r w:rsidRPr="00D17F37">
              <w:rPr>
                <w:rFonts w:ascii="Calibri" w:hAnsi="Calibri" w:cs="Calibri"/>
                <w:lang w:val="en-US"/>
              </w:rPr>
              <w:t>The board will consider a community feedback strategy in early 2025.</w:t>
            </w:r>
            <w:r w:rsidRPr="00D17F37">
              <w:rPr>
                <w:rFonts w:ascii="Calibri" w:hAnsi="Calibri" w:cs="Calibri"/>
              </w:rPr>
              <w:t> </w:t>
            </w:r>
          </w:p>
        </w:tc>
      </w:tr>
      <w:tr w:rsidR="00B532BA" w14:paraId="09220C93" w14:textId="77777777" w:rsidTr="00EB3755">
        <w:trPr>
          <w:cantSplit/>
        </w:trPr>
        <w:tc>
          <w:tcPr>
            <w:tcW w:w="9016" w:type="dxa"/>
          </w:tcPr>
          <w:p w14:paraId="588F3646" w14:textId="1FE1D8BB" w:rsidR="00B532BA" w:rsidRPr="006B0A39" w:rsidRDefault="0082142C" w:rsidP="00C062E1">
            <w:pPr>
              <w:rPr>
                <w:rFonts w:ascii="Calibri" w:hAnsi="Calibri" w:cs="Calibri"/>
                <w:b/>
                <w:bCs/>
                <w:lang w:val="en-US"/>
              </w:rPr>
            </w:pPr>
            <w:r w:rsidRPr="00D17F37">
              <w:rPr>
                <w:rFonts w:ascii="Calibri" w:hAnsi="Calibri" w:cs="Calibri"/>
                <w:b/>
                <w:bCs/>
                <w:lang w:val="en-US"/>
              </w:rPr>
              <w:t>Rec 10</w:t>
            </w:r>
            <w:r>
              <w:rPr>
                <w:rFonts w:ascii="Calibri" w:hAnsi="Calibri" w:cs="Calibri"/>
                <w:lang w:val="en-US"/>
              </w:rPr>
              <w:t xml:space="preserve"> </w:t>
            </w:r>
            <w:r w:rsidRPr="00D17F37">
              <w:rPr>
                <w:rFonts w:ascii="Calibri" w:hAnsi="Calibri" w:cs="Calibri"/>
                <w:lang w:val="en-US"/>
              </w:rPr>
              <w:t>Develop clear communications around the service offering for PBC and TOGE support that outline which services FNLRS offers on a fee-for-service basis.</w:t>
            </w:r>
            <w:r w:rsidRPr="00D17F37">
              <w:rPr>
                <w:rFonts w:ascii="Calibri" w:hAnsi="Calibri" w:cs="Calibri"/>
              </w:rPr>
              <w:t> </w:t>
            </w:r>
          </w:p>
        </w:tc>
      </w:tr>
      <w:tr w:rsidR="00B532BA" w14:paraId="71095D01" w14:textId="77777777" w:rsidTr="00EB3755">
        <w:trPr>
          <w:cantSplit/>
        </w:trPr>
        <w:tc>
          <w:tcPr>
            <w:tcW w:w="9016" w:type="dxa"/>
          </w:tcPr>
          <w:p w14:paraId="11D80D2A"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796AB267" w14:textId="77777777" w:rsidR="00B44CF1" w:rsidRDefault="00B44CF1" w:rsidP="00B44CF1">
            <w:pPr>
              <w:rPr>
                <w:rFonts w:ascii="Calibri" w:hAnsi="Calibri" w:cs="Calibri"/>
                <w:lang w:val="en-US"/>
              </w:rPr>
            </w:pPr>
            <w:r>
              <w:rPr>
                <w:rFonts w:ascii="Calibri" w:hAnsi="Calibri" w:cs="Calibri"/>
                <w:lang w:val="en-US"/>
              </w:rPr>
              <w:t xml:space="preserve">Agreed. </w:t>
            </w:r>
          </w:p>
          <w:p w14:paraId="0D4B2157" w14:textId="77777777" w:rsidR="00B44CF1" w:rsidRDefault="00B44CF1" w:rsidP="00B44CF1">
            <w:pPr>
              <w:rPr>
                <w:rFonts w:ascii="Calibri" w:hAnsi="Calibri" w:cs="Calibri"/>
                <w:lang w:val="en-US"/>
              </w:rPr>
            </w:pPr>
            <w:r>
              <w:rPr>
                <w:rFonts w:ascii="Calibri" w:hAnsi="Calibri" w:cs="Calibri"/>
                <w:lang w:val="en-US"/>
              </w:rPr>
              <w:t xml:space="preserve">Partially implemented. </w:t>
            </w:r>
          </w:p>
          <w:p w14:paraId="164ACD44" w14:textId="77777777" w:rsidR="00B44CF1" w:rsidRDefault="00B44CF1" w:rsidP="00B44CF1">
            <w:pPr>
              <w:rPr>
                <w:rFonts w:ascii="Calibri" w:hAnsi="Calibri" w:cs="Calibri"/>
              </w:rPr>
            </w:pPr>
          </w:p>
          <w:p w14:paraId="4EB16831" w14:textId="77777777" w:rsidR="00B44CF1" w:rsidRPr="00863409" w:rsidRDefault="00B44CF1" w:rsidP="00B44CF1">
            <w:pPr>
              <w:rPr>
                <w:rFonts w:ascii="Calibri" w:hAnsi="Calibri" w:cs="Calibri"/>
              </w:rPr>
            </w:pPr>
            <w:r w:rsidRPr="00863409">
              <w:rPr>
                <w:rFonts w:ascii="Calibri" w:hAnsi="Calibri" w:cs="Calibri"/>
              </w:rPr>
              <w:t>We already have service agreements templates that identify fee for service offerings. </w:t>
            </w:r>
          </w:p>
          <w:p w14:paraId="06F70C60" w14:textId="77777777" w:rsidR="00B44CF1" w:rsidRPr="00863409" w:rsidRDefault="00B44CF1" w:rsidP="00B44CF1">
            <w:pPr>
              <w:rPr>
                <w:rFonts w:ascii="Calibri" w:hAnsi="Calibri" w:cs="Calibri"/>
              </w:rPr>
            </w:pPr>
            <w:r w:rsidRPr="00863409">
              <w:rPr>
                <w:rFonts w:ascii="Calibri" w:hAnsi="Calibri" w:cs="Calibri"/>
              </w:rPr>
              <w:t> </w:t>
            </w:r>
          </w:p>
          <w:p w14:paraId="6297B50B" w14:textId="4EA279EB" w:rsidR="00B532BA" w:rsidRPr="006B0A39" w:rsidRDefault="00B44CF1" w:rsidP="00B44CF1">
            <w:pPr>
              <w:rPr>
                <w:rFonts w:ascii="Calibri" w:hAnsi="Calibri" w:cs="Calibri"/>
                <w:b/>
                <w:bCs/>
                <w:lang w:val="en-US"/>
              </w:rPr>
            </w:pPr>
            <w:r w:rsidRPr="00863409">
              <w:rPr>
                <w:rFonts w:ascii="Calibri" w:hAnsi="Calibri" w:cs="Calibri"/>
              </w:rPr>
              <w:t>Fee for service offerings will also be identified on our website. </w:t>
            </w:r>
          </w:p>
        </w:tc>
      </w:tr>
      <w:tr w:rsidR="00B532BA" w14:paraId="16803BC4" w14:textId="77777777" w:rsidTr="00EB3755">
        <w:trPr>
          <w:cantSplit/>
        </w:trPr>
        <w:tc>
          <w:tcPr>
            <w:tcW w:w="9016" w:type="dxa"/>
          </w:tcPr>
          <w:p w14:paraId="700BF9EF" w14:textId="7E039875" w:rsidR="00B532BA" w:rsidRPr="006B0A39" w:rsidRDefault="00976A33" w:rsidP="00C062E1">
            <w:pPr>
              <w:rPr>
                <w:rFonts w:ascii="Calibri" w:hAnsi="Calibri" w:cs="Calibri"/>
                <w:b/>
                <w:bCs/>
                <w:lang w:val="en-US"/>
              </w:rPr>
            </w:pPr>
            <w:r w:rsidRPr="0000617B">
              <w:rPr>
                <w:rFonts w:ascii="Calibri" w:hAnsi="Calibri" w:cs="Calibri"/>
                <w:b/>
                <w:bCs/>
                <w:lang w:val="en-US"/>
              </w:rPr>
              <w:t>Rec 11</w:t>
            </w:r>
            <w:r>
              <w:rPr>
                <w:rFonts w:ascii="Calibri" w:hAnsi="Calibri" w:cs="Calibri"/>
                <w:lang w:val="en-US"/>
              </w:rPr>
              <w:t xml:space="preserve"> </w:t>
            </w:r>
            <w:r w:rsidRPr="0000617B">
              <w:rPr>
                <w:rFonts w:ascii="Calibri" w:hAnsi="Calibri" w:cs="Calibri"/>
                <w:lang w:val="en-US"/>
              </w:rPr>
              <w:t>Clarify with the NIAA its intentions to provide base PBC funding in the future to all PBCs.</w:t>
            </w:r>
            <w:r w:rsidRPr="0000617B">
              <w:rPr>
                <w:rFonts w:ascii="Calibri" w:hAnsi="Calibri" w:cs="Calibri"/>
              </w:rPr>
              <w:t> </w:t>
            </w:r>
          </w:p>
        </w:tc>
      </w:tr>
      <w:tr w:rsidR="00B532BA" w14:paraId="21DEF9BE" w14:textId="77777777" w:rsidTr="00EB3755">
        <w:trPr>
          <w:cantSplit/>
        </w:trPr>
        <w:tc>
          <w:tcPr>
            <w:tcW w:w="9016" w:type="dxa"/>
          </w:tcPr>
          <w:p w14:paraId="78498CA0"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2BC6B815" w14:textId="77777777" w:rsidR="00FD061A" w:rsidRDefault="00FD061A" w:rsidP="00FD061A">
            <w:pPr>
              <w:rPr>
                <w:rFonts w:ascii="Calibri" w:hAnsi="Calibri" w:cs="Calibri"/>
                <w:lang w:val="en-US"/>
              </w:rPr>
            </w:pPr>
            <w:r>
              <w:rPr>
                <w:rFonts w:ascii="Calibri" w:hAnsi="Calibri" w:cs="Calibri"/>
                <w:lang w:val="en-US"/>
              </w:rPr>
              <w:t xml:space="preserve">Agreed. </w:t>
            </w:r>
          </w:p>
          <w:p w14:paraId="0190B9A7" w14:textId="77777777" w:rsidR="00FD061A" w:rsidRDefault="00FD061A" w:rsidP="00FD061A">
            <w:pPr>
              <w:rPr>
                <w:rFonts w:ascii="Calibri" w:hAnsi="Calibri" w:cs="Calibri"/>
                <w:lang w:val="en-US"/>
              </w:rPr>
            </w:pPr>
            <w:r>
              <w:rPr>
                <w:rFonts w:ascii="Calibri" w:hAnsi="Calibri" w:cs="Calibri"/>
                <w:lang w:val="en-US"/>
              </w:rPr>
              <w:t>Implemented.</w:t>
            </w:r>
          </w:p>
          <w:p w14:paraId="282EDBBD" w14:textId="77777777" w:rsidR="00FD061A" w:rsidRDefault="00FD061A" w:rsidP="00FD061A">
            <w:pPr>
              <w:rPr>
                <w:rFonts w:ascii="Calibri" w:hAnsi="Calibri" w:cs="Calibri"/>
                <w:lang w:val="en-US"/>
              </w:rPr>
            </w:pPr>
          </w:p>
          <w:p w14:paraId="12CEC818" w14:textId="28B0B19D" w:rsidR="00B532BA" w:rsidRPr="006B0A39" w:rsidRDefault="00FD061A" w:rsidP="00FD061A">
            <w:pPr>
              <w:rPr>
                <w:rFonts w:ascii="Calibri" w:hAnsi="Calibri" w:cs="Calibri"/>
                <w:b/>
                <w:bCs/>
                <w:lang w:val="en-US"/>
              </w:rPr>
            </w:pPr>
            <w:r w:rsidRPr="00243451">
              <w:rPr>
                <w:rFonts w:ascii="Calibri" w:hAnsi="Calibri" w:cs="Calibri"/>
                <w:lang w:val="en-US"/>
              </w:rPr>
              <w:t>Have met with NIAA staff and confirmed eligibility for Victorian PBCs and communicated this to the PBCs.</w:t>
            </w:r>
            <w:r w:rsidRPr="00243451">
              <w:rPr>
                <w:rFonts w:ascii="Calibri" w:hAnsi="Calibri" w:cs="Calibri"/>
              </w:rPr>
              <w:t> </w:t>
            </w:r>
          </w:p>
        </w:tc>
      </w:tr>
      <w:tr w:rsidR="00B532BA" w14:paraId="3F943F96" w14:textId="77777777" w:rsidTr="00EB3755">
        <w:trPr>
          <w:cantSplit/>
        </w:trPr>
        <w:tc>
          <w:tcPr>
            <w:tcW w:w="9016" w:type="dxa"/>
          </w:tcPr>
          <w:p w14:paraId="1232D621" w14:textId="77777777" w:rsidR="00A018F4" w:rsidRDefault="00A018F4" w:rsidP="00A018F4">
            <w:pPr>
              <w:rPr>
                <w:rFonts w:ascii="Calibri" w:hAnsi="Calibri" w:cs="Calibri"/>
                <w:lang w:val="en-US"/>
              </w:rPr>
            </w:pPr>
            <w:r w:rsidRPr="00243451">
              <w:rPr>
                <w:rFonts w:ascii="Calibri" w:hAnsi="Calibri" w:cs="Calibri"/>
                <w:b/>
                <w:bCs/>
                <w:lang w:val="en-US"/>
              </w:rPr>
              <w:lastRenderedPageBreak/>
              <w:t>Rec 12</w:t>
            </w:r>
            <w:r>
              <w:rPr>
                <w:rFonts w:ascii="Calibri" w:hAnsi="Calibri" w:cs="Calibri"/>
                <w:lang w:val="en-US"/>
              </w:rPr>
              <w:t xml:space="preserve"> </w:t>
            </w:r>
            <w:r w:rsidRPr="00243451">
              <w:rPr>
                <w:rFonts w:ascii="Calibri" w:hAnsi="Calibri" w:cs="Calibri"/>
                <w:lang w:val="en-US"/>
              </w:rPr>
              <w:t>This Review endorses the following recommendation of the Strategic Review:</w:t>
            </w:r>
          </w:p>
          <w:p w14:paraId="434D6B7B" w14:textId="77777777" w:rsidR="00A018F4" w:rsidRDefault="00A018F4" w:rsidP="00A018F4">
            <w:pPr>
              <w:rPr>
                <w:rFonts w:ascii="Calibri" w:hAnsi="Calibri" w:cs="Calibri"/>
              </w:rPr>
            </w:pPr>
          </w:p>
          <w:p w14:paraId="13D3CE0B" w14:textId="0C213011" w:rsidR="00B532BA" w:rsidRPr="006B0A39" w:rsidRDefault="00A018F4" w:rsidP="00A018F4">
            <w:pPr>
              <w:rPr>
                <w:rFonts w:ascii="Calibri" w:hAnsi="Calibri" w:cs="Calibri"/>
                <w:b/>
                <w:bCs/>
                <w:lang w:val="en-US"/>
              </w:rPr>
            </w:pPr>
            <w:r w:rsidRPr="00585C01">
              <w:rPr>
                <w:rFonts w:ascii="Calibri" w:hAnsi="Calibri" w:cs="Calibri"/>
                <w:lang w:val="en-US"/>
              </w:rPr>
              <w:t>FNLRS should assess current research practices and consent forms to ensure they provide informants the option for their information to contribute to Treaty negotiations.</w:t>
            </w:r>
          </w:p>
        </w:tc>
      </w:tr>
      <w:tr w:rsidR="00B532BA" w14:paraId="296C08FE" w14:textId="77777777" w:rsidTr="00EB3755">
        <w:trPr>
          <w:cantSplit/>
        </w:trPr>
        <w:tc>
          <w:tcPr>
            <w:tcW w:w="9016" w:type="dxa"/>
          </w:tcPr>
          <w:p w14:paraId="22D11387" w14:textId="38A9824E"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5C1793FE" w14:textId="4958F930" w:rsidR="003F21C6" w:rsidRDefault="007009A2" w:rsidP="003F21C6">
            <w:pPr>
              <w:rPr>
                <w:rFonts w:ascii="Calibri" w:hAnsi="Calibri" w:cs="Calibri"/>
                <w:lang w:val="en-US"/>
              </w:rPr>
            </w:pPr>
            <w:r>
              <w:rPr>
                <w:rFonts w:ascii="Calibri" w:hAnsi="Calibri" w:cs="Calibri"/>
                <w:lang w:val="en-US"/>
              </w:rPr>
              <w:t>A</w:t>
            </w:r>
            <w:r w:rsidR="003F21C6">
              <w:rPr>
                <w:rFonts w:ascii="Calibri" w:hAnsi="Calibri" w:cs="Calibri"/>
                <w:lang w:val="en-US"/>
              </w:rPr>
              <w:t>greed.</w:t>
            </w:r>
          </w:p>
          <w:p w14:paraId="0F9560B3" w14:textId="77777777" w:rsidR="003F21C6" w:rsidRDefault="003F21C6" w:rsidP="003F21C6">
            <w:pPr>
              <w:rPr>
                <w:rFonts w:ascii="Calibri" w:hAnsi="Calibri" w:cs="Calibri"/>
                <w:lang w:val="en-US"/>
              </w:rPr>
            </w:pPr>
            <w:r>
              <w:rPr>
                <w:rFonts w:ascii="Calibri" w:hAnsi="Calibri" w:cs="Calibri"/>
                <w:lang w:val="en-US"/>
              </w:rPr>
              <w:t xml:space="preserve">Implemented. </w:t>
            </w:r>
          </w:p>
          <w:p w14:paraId="70AB7C4E" w14:textId="77777777" w:rsidR="003F21C6" w:rsidRDefault="003F21C6" w:rsidP="003F21C6">
            <w:pPr>
              <w:rPr>
                <w:rFonts w:ascii="Calibri" w:hAnsi="Calibri" w:cs="Calibri"/>
                <w:lang w:val="en-US"/>
              </w:rPr>
            </w:pPr>
          </w:p>
          <w:p w14:paraId="7DCCAEE6" w14:textId="77777777" w:rsidR="003F21C6" w:rsidRPr="00E12FEB" w:rsidRDefault="003F21C6" w:rsidP="003F21C6">
            <w:pPr>
              <w:rPr>
                <w:rFonts w:ascii="Calibri" w:hAnsi="Calibri" w:cs="Calibri"/>
              </w:rPr>
            </w:pPr>
            <w:r w:rsidRPr="00E12FEB">
              <w:rPr>
                <w:rFonts w:ascii="Calibri" w:hAnsi="Calibri" w:cs="Calibri"/>
                <w:lang w:val="en-US"/>
              </w:rPr>
              <w:t>All our activity in areas without formal recognition is undertaken on the basis that groups can chose from the different recognition pathways, including native title and treaty. </w:t>
            </w:r>
            <w:r w:rsidRPr="00E12FEB">
              <w:rPr>
                <w:rFonts w:ascii="Calibri" w:hAnsi="Calibri" w:cs="Calibri"/>
              </w:rPr>
              <w:t> </w:t>
            </w:r>
          </w:p>
          <w:p w14:paraId="11168EAC" w14:textId="39B00F12" w:rsidR="00B532BA" w:rsidRPr="006B0A39" w:rsidRDefault="003F21C6" w:rsidP="00087CB6">
            <w:pPr>
              <w:rPr>
                <w:rFonts w:ascii="Calibri" w:hAnsi="Calibri" w:cs="Calibri"/>
                <w:b/>
                <w:bCs/>
                <w:lang w:val="en-US"/>
              </w:rPr>
            </w:pPr>
            <w:r w:rsidRPr="00E12FEB">
              <w:rPr>
                <w:rFonts w:ascii="Calibri" w:hAnsi="Calibri" w:cs="Calibri"/>
              </w:rPr>
              <w:t>Research information is collected with these options in mind and the appropriate consents sought.</w:t>
            </w:r>
          </w:p>
        </w:tc>
      </w:tr>
      <w:tr w:rsidR="00872D60" w14:paraId="730408A2" w14:textId="77777777" w:rsidTr="00EB3755">
        <w:trPr>
          <w:cantSplit/>
        </w:trPr>
        <w:tc>
          <w:tcPr>
            <w:tcW w:w="9016" w:type="dxa"/>
            <w:shd w:val="clear" w:color="auto" w:fill="C1E4F5" w:themeFill="accent1" w:themeFillTint="33"/>
          </w:tcPr>
          <w:p w14:paraId="18FB1291" w14:textId="6315E0F0" w:rsidR="00872D60" w:rsidRDefault="00B34614" w:rsidP="003F21C6">
            <w:pPr>
              <w:rPr>
                <w:rFonts w:ascii="Calibri" w:hAnsi="Calibri" w:cs="Calibri"/>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Pr="00C922AF">
              <w:rPr>
                <w:rFonts w:ascii="Calibri" w:hAnsi="Calibri" w:cs="Calibri"/>
              </w:rPr>
              <w:t> </w:t>
            </w:r>
            <w:r w:rsidR="00880288" w:rsidRPr="00880288">
              <w:rPr>
                <w:rFonts w:ascii="Calibri" w:hAnsi="Calibri" w:cs="Calibri"/>
                <w:b/>
                <w:bCs/>
              </w:rPr>
              <w:t>(Rec 13-14)</w:t>
            </w:r>
          </w:p>
        </w:tc>
      </w:tr>
      <w:tr w:rsidR="00872D60" w14:paraId="60DF38C9" w14:textId="77777777" w:rsidTr="00EB3755">
        <w:trPr>
          <w:cantSplit/>
        </w:trPr>
        <w:tc>
          <w:tcPr>
            <w:tcW w:w="9016" w:type="dxa"/>
          </w:tcPr>
          <w:p w14:paraId="7985D59A" w14:textId="77777777" w:rsidR="00390005" w:rsidRDefault="00390005" w:rsidP="00390005">
            <w:pPr>
              <w:rPr>
                <w:rFonts w:ascii="Calibri" w:hAnsi="Calibri" w:cs="Calibri"/>
              </w:rPr>
            </w:pPr>
            <w:r w:rsidRPr="00877C17">
              <w:rPr>
                <w:rFonts w:ascii="Calibri" w:hAnsi="Calibri" w:cs="Calibri"/>
                <w:b/>
                <w:bCs/>
                <w:lang w:val="en-US"/>
              </w:rPr>
              <w:t>Rec 13</w:t>
            </w:r>
            <w:r>
              <w:rPr>
                <w:rFonts w:ascii="Calibri" w:hAnsi="Calibri" w:cs="Calibri"/>
                <w:lang w:val="en-US"/>
              </w:rPr>
              <w:t xml:space="preserve"> </w:t>
            </w:r>
            <w:r w:rsidRPr="00877C17">
              <w:rPr>
                <w:rFonts w:ascii="Calibri" w:hAnsi="Calibri" w:cs="Calibri"/>
                <w:lang w:val="en-US"/>
              </w:rPr>
              <w:t>This Review endorses the recommendations of the Strategic Review:</w:t>
            </w:r>
            <w:r w:rsidRPr="00877C17">
              <w:rPr>
                <w:rFonts w:ascii="Calibri" w:hAnsi="Calibri" w:cs="Calibri"/>
              </w:rPr>
              <w:t> </w:t>
            </w:r>
          </w:p>
          <w:p w14:paraId="1E60699D" w14:textId="77777777" w:rsidR="00390005" w:rsidRPr="00877C17" w:rsidRDefault="00390005" w:rsidP="00390005">
            <w:pPr>
              <w:rPr>
                <w:rFonts w:ascii="Calibri" w:hAnsi="Calibri" w:cs="Calibri"/>
              </w:rPr>
            </w:pPr>
          </w:p>
          <w:p w14:paraId="36006AA9" w14:textId="77777777" w:rsidR="00872D60" w:rsidRDefault="00390005" w:rsidP="003F21C6">
            <w:pPr>
              <w:pStyle w:val="ListParagraph"/>
              <w:numPr>
                <w:ilvl w:val="0"/>
                <w:numId w:val="13"/>
              </w:numPr>
              <w:rPr>
                <w:rFonts w:ascii="Calibri" w:hAnsi="Calibri" w:cs="Calibri"/>
              </w:rPr>
            </w:pPr>
            <w:r w:rsidRPr="00BC1744">
              <w:rPr>
                <w:rFonts w:ascii="Calibri" w:hAnsi="Calibri" w:cs="Calibri"/>
              </w:rPr>
              <w:t>FNLRS should avoid any significant re-structure until the Treaty process and its associated institutions are more fully established, to avoid locking into unsuitable or inflexible arrangements that do not serve Traditional Owner needs. </w:t>
            </w:r>
          </w:p>
          <w:p w14:paraId="3EC32E97" w14:textId="4908A019" w:rsidR="00A97263" w:rsidRPr="00880288" w:rsidRDefault="00A97263" w:rsidP="003F21C6">
            <w:pPr>
              <w:pStyle w:val="ListParagraph"/>
              <w:numPr>
                <w:ilvl w:val="0"/>
                <w:numId w:val="13"/>
              </w:numPr>
              <w:rPr>
                <w:rFonts w:ascii="Calibri" w:hAnsi="Calibri" w:cs="Calibri"/>
              </w:rPr>
            </w:pPr>
            <w:r w:rsidRPr="00BC1744">
              <w:rPr>
                <w:rFonts w:ascii="Calibri" w:hAnsi="Calibri" w:cs="Calibri"/>
                <w:lang w:val="en-US"/>
              </w:rPr>
              <w:t>FNLRS should strengthen and build ties with emerging Treaty institutions and remain agile and ready to reflect their needs as new spaces develop.</w:t>
            </w:r>
            <w:r w:rsidRPr="00BC1744">
              <w:rPr>
                <w:rFonts w:ascii="Calibri" w:hAnsi="Calibri" w:cs="Calibri"/>
              </w:rPr>
              <w:t> </w:t>
            </w:r>
          </w:p>
        </w:tc>
      </w:tr>
      <w:tr w:rsidR="00872D60" w14:paraId="777C150C" w14:textId="77777777" w:rsidTr="00EB3755">
        <w:trPr>
          <w:cantSplit/>
        </w:trPr>
        <w:tc>
          <w:tcPr>
            <w:tcW w:w="9016" w:type="dxa"/>
          </w:tcPr>
          <w:p w14:paraId="59F8CB38"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1F2656C4" w14:textId="77777777" w:rsidR="000A029E" w:rsidRDefault="000A029E" w:rsidP="000A029E">
            <w:pPr>
              <w:rPr>
                <w:rFonts w:ascii="Calibri" w:hAnsi="Calibri" w:cs="Calibri"/>
              </w:rPr>
            </w:pPr>
            <w:r>
              <w:rPr>
                <w:rFonts w:ascii="Calibri" w:hAnsi="Calibri" w:cs="Calibri"/>
              </w:rPr>
              <w:t>Agreed.</w:t>
            </w:r>
          </w:p>
          <w:p w14:paraId="1CDB63F1" w14:textId="77777777" w:rsidR="000A029E" w:rsidRDefault="000A029E" w:rsidP="000A029E">
            <w:pPr>
              <w:rPr>
                <w:rFonts w:ascii="Calibri" w:hAnsi="Calibri" w:cs="Calibri"/>
              </w:rPr>
            </w:pPr>
            <w:r>
              <w:rPr>
                <w:rFonts w:ascii="Calibri" w:hAnsi="Calibri" w:cs="Calibri"/>
              </w:rPr>
              <w:t>Implemented.</w:t>
            </w:r>
          </w:p>
          <w:p w14:paraId="2795CAA7" w14:textId="77777777" w:rsidR="000A029E" w:rsidRDefault="000A029E" w:rsidP="000A029E">
            <w:pPr>
              <w:rPr>
                <w:rFonts w:ascii="Calibri" w:hAnsi="Calibri" w:cs="Calibri"/>
              </w:rPr>
            </w:pPr>
          </w:p>
          <w:p w14:paraId="7D39E111" w14:textId="77777777" w:rsidR="00872D60" w:rsidRDefault="000A029E" w:rsidP="00A97263">
            <w:pPr>
              <w:pStyle w:val="ListParagraph"/>
              <w:numPr>
                <w:ilvl w:val="0"/>
                <w:numId w:val="15"/>
              </w:numPr>
              <w:rPr>
                <w:rFonts w:ascii="Calibri" w:hAnsi="Calibri" w:cs="Calibri"/>
              </w:rPr>
            </w:pPr>
            <w:r w:rsidRPr="00A97263">
              <w:rPr>
                <w:rFonts w:ascii="Calibri" w:hAnsi="Calibri" w:cs="Calibri"/>
              </w:rPr>
              <w:t>No restructure has occurred or is planned.</w:t>
            </w:r>
          </w:p>
          <w:p w14:paraId="21C2FCF9" w14:textId="77777777" w:rsidR="00A97263" w:rsidRPr="00A97263" w:rsidRDefault="00A97263" w:rsidP="00A97263">
            <w:pPr>
              <w:pStyle w:val="ListParagraph"/>
              <w:numPr>
                <w:ilvl w:val="0"/>
                <w:numId w:val="15"/>
              </w:numPr>
              <w:rPr>
                <w:rFonts w:ascii="Calibri" w:hAnsi="Calibri" w:cs="Calibri"/>
              </w:rPr>
            </w:pPr>
            <w:r w:rsidRPr="00A97263">
              <w:rPr>
                <w:rFonts w:ascii="Calibri" w:hAnsi="Calibri" w:cs="Calibri"/>
              </w:rPr>
              <w:t>We are continually engaging with the treaty institutions (Treaty Authority, First Peoples’ Assembly of Victoria and the Self Determination Fund) at officer and executive level and supporting the treaty institutions’ engagement with First Nations groups.  </w:t>
            </w:r>
          </w:p>
          <w:p w14:paraId="506FA0DE" w14:textId="77777777" w:rsidR="00A97263" w:rsidRPr="002D61DE" w:rsidRDefault="00A97263" w:rsidP="00A97263">
            <w:pPr>
              <w:rPr>
                <w:rFonts w:ascii="Calibri" w:hAnsi="Calibri" w:cs="Calibri"/>
              </w:rPr>
            </w:pPr>
            <w:r w:rsidRPr="002D61DE">
              <w:rPr>
                <w:rFonts w:ascii="Calibri" w:hAnsi="Calibri" w:cs="Calibri"/>
              </w:rPr>
              <w:t> </w:t>
            </w:r>
          </w:p>
          <w:p w14:paraId="3F86644F" w14:textId="657B3844" w:rsidR="00A97263" w:rsidRPr="00A97263" w:rsidRDefault="00A97263" w:rsidP="00A97263">
            <w:pPr>
              <w:pStyle w:val="ListParagraph"/>
              <w:rPr>
                <w:rFonts w:ascii="Calibri" w:hAnsi="Calibri" w:cs="Calibri"/>
              </w:rPr>
            </w:pPr>
            <w:r w:rsidRPr="002D61DE">
              <w:rPr>
                <w:rFonts w:ascii="Calibri" w:hAnsi="Calibri" w:cs="Calibri"/>
              </w:rPr>
              <w:t>Further, in August 2024 we facilitated a meeting with the treaty institutions, the State and the Federal Court and all parties have agreed to meet regularly</w:t>
            </w:r>
            <w:r>
              <w:rPr>
                <w:rFonts w:ascii="Calibri" w:hAnsi="Calibri" w:cs="Calibri"/>
              </w:rPr>
              <w:t>.</w:t>
            </w:r>
          </w:p>
          <w:p w14:paraId="0087DED4" w14:textId="388C21B0" w:rsidR="00A97263" w:rsidRDefault="00A97263" w:rsidP="000A029E">
            <w:pPr>
              <w:rPr>
                <w:rFonts w:ascii="Calibri" w:hAnsi="Calibri" w:cs="Calibri"/>
                <w:lang w:val="en-US"/>
              </w:rPr>
            </w:pPr>
          </w:p>
        </w:tc>
      </w:tr>
      <w:tr w:rsidR="00872D60" w14:paraId="70122A9B" w14:textId="77777777" w:rsidTr="00EB3755">
        <w:trPr>
          <w:cantSplit/>
        </w:trPr>
        <w:tc>
          <w:tcPr>
            <w:tcW w:w="9016" w:type="dxa"/>
          </w:tcPr>
          <w:p w14:paraId="7DCB01D4" w14:textId="706DB0D8" w:rsidR="00872D60" w:rsidRDefault="00474F50" w:rsidP="003F21C6">
            <w:pPr>
              <w:rPr>
                <w:rFonts w:ascii="Calibri" w:hAnsi="Calibri" w:cs="Calibri"/>
                <w:lang w:val="en-US"/>
              </w:rPr>
            </w:pPr>
            <w:r w:rsidRPr="00433FEF">
              <w:rPr>
                <w:rFonts w:ascii="Calibri" w:hAnsi="Calibri" w:cs="Calibri"/>
                <w:b/>
                <w:bCs/>
              </w:rPr>
              <w:t>Rec 14</w:t>
            </w:r>
            <w:r>
              <w:rPr>
                <w:rFonts w:ascii="Calibri" w:hAnsi="Calibri" w:cs="Calibri"/>
              </w:rPr>
              <w:t xml:space="preserve"> </w:t>
            </w:r>
            <w:r w:rsidRPr="00433FEF">
              <w:rPr>
                <w:rFonts w:ascii="Calibri" w:hAnsi="Calibri" w:cs="Calibri"/>
              </w:rPr>
              <w:t>As part of the development of FNLRS’s next Strategic Plan (post-2024), engage with staff and clients to develop clear objectives for post-determination and post-settlement activities for each PBC and TOGE, and for FNLRS as an organisation. </w:t>
            </w:r>
          </w:p>
        </w:tc>
      </w:tr>
      <w:tr w:rsidR="00872D60" w14:paraId="6518072A" w14:textId="77777777" w:rsidTr="00EB3755">
        <w:trPr>
          <w:cantSplit/>
        </w:trPr>
        <w:tc>
          <w:tcPr>
            <w:tcW w:w="9016" w:type="dxa"/>
          </w:tcPr>
          <w:p w14:paraId="6E89A71F"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0AC0AF47" w14:textId="008ADB21" w:rsidR="00FD7D15" w:rsidRDefault="00FD7D15" w:rsidP="00FD7D15">
            <w:pPr>
              <w:rPr>
                <w:rFonts w:ascii="Calibri" w:hAnsi="Calibri" w:cs="Calibri"/>
                <w:lang w:val="en-US"/>
              </w:rPr>
            </w:pPr>
            <w:r>
              <w:rPr>
                <w:rFonts w:ascii="Calibri" w:hAnsi="Calibri" w:cs="Calibri"/>
                <w:lang w:val="en-US"/>
              </w:rPr>
              <w:t xml:space="preserve">Partially agreed. </w:t>
            </w:r>
          </w:p>
          <w:p w14:paraId="1D10F8BB" w14:textId="77777777" w:rsidR="00FD7D15" w:rsidRDefault="00FD7D15" w:rsidP="00FD7D15">
            <w:pPr>
              <w:rPr>
                <w:rFonts w:ascii="Calibri" w:hAnsi="Calibri" w:cs="Calibri"/>
                <w:lang w:val="en-US"/>
              </w:rPr>
            </w:pPr>
            <w:r>
              <w:rPr>
                <w:rFonts w:ascii="Calibri" w:hAnsi="Calibri" w:cs="Calibri"/>
                <w:lang w:val="en-US"/>
              </w:rPr>
              <w:t xml:space="preserve">Yet to be implemented. </w:t>
            </w:r>
          </w:p>
          <w:p w14:paraId="2F22F1C8" w14:textId="77777777" w:rsidR="00FD7D15" w:rsidRDefault="00FD7D15" w:rsidP="00FD7D15">
            <w:pPr>
              <w:rPr>
                <w:rFonts w:ascii="Calibri" w:hAnsi="Calibri" w:cs="Calibri"/>
                <w:lang w:val="en-US"/>
              </w:rPr>
            </w:pPr>
          </w:p>
          <w:p w14:paraId="15EDF68C" w14:textId="6AA242F2" w:rsidR="00872D60" w:rsidRDefault="00FD7D15" w:rsidP="00FD7D15">
            <w:pPr>
              <w:tabs>
                <w:tab w:val="left" w:pos="1356"/>
              </w:tabs>
              <w:rPr>
                <w:rFonts w:ascii="Calibri" w:hAnsi="Calibri" w:cs="Calibri"/>
                <w:lang w:val="en-US"/>
              </w:rPr>
            </w:pPr>
            <w:r w:rsidRPr="00946636">
              <w:rPr>
                <w:rFonts w:ascii="Calibri" w:hAnsi="Calibri" w:cs="Calibri"/>
              </w:rPr>
              <w:t xml:space="preserve">We have completed the 2025-2028 strategic plan already and this level of detail is not included. Further the detail proposed relating to each PBC and TOGE in the recommendation is not appropriate for a strategic plan. Notwithstanding </w:t>
            </w:r>
            <w:proofErr w:type="gramStart"/>
            <w:r w:rsidRPr="00946636">
              <w:rPr>
                <w:rFonts w:ascii="Calibri" w:hAnsi="Calibri" w:cs="Calibri"/>
              </w:rPr>
              <w:t>year by year</w:t>
            </w:r>
            <w:proofErr w:type="gramEnd"/>
            <w:r w:rsidRPr="00946636">
              <w:rPr>
                <w:rFonts w:ascii="Calibri" w:hAnsi="Calibri" w:cs="Calibri"/>
              </w:rPr>
              <w:t xml:space="preserve"> operational plans can include the recommended information. </w:t>
            </w:r>
          </w:p>
        </w:tc>
      </w:tr>
    </w:tbl>
    <w:p w14:paraId="67456EE2" w14:textId="77777777" w:rsidR="007009A2" w:rsidRDefault="007009A2" w:rsidP="00B25B28"/>
    <w:sectPr w:rsidR="007009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8054" w14:textId="77777777" w:rsidR="006C5F50" w:rsidRDefault="006C5F50" w:rsidP="004771F3">
      <w:pPr>
        <w:spacing w:after="0" w:line="240" w:lineRule="auto"/>
      </w:pPr>
      <w:r>
        <w:separator/>
      </w:r>
    </w:p>
  </w:endnote>
  <w:endnote w:type="continuationSeparator" w:id="0">
    <w:p w14:paraId="380CB440" w14:textId="77777777" w:rsidR="006C5F50" w:rsidRDefault="006C5F50" w:rsidP="004771F3">
      <w:pPr>
        <w:spacing w:after="0" w:line="240" w:lineRule="auto"/>
      </w:pPr>
      <w:r>
        <w:continuationSeparator/>
      </w:r>
    </w:p>
  </w:endnote>
  <w:endnote w:type="continuationNotice" w:id="1">
    <w:p w14:paraId="75286D0B" w14:textId="77777777" w:rsidR="006C5F50" w:rsidRDefault="006C5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7E8" w14:textId="2E33778B" w:rsidR="004771F3" w:rsidRDefault="004771F3">
    <w:pPr>
      <w:pStyle w:val="Footer"/>
    </w:pPr>
    <w:r>
      <w:rPr>
        <w:noProof/>
      </w:rPr>
      <mc:AlternateContent>
        <mc:Choice Requires="wps">
          <w:drawing>
            <wp:anchor distT="0" distB="0" distL="0" distR="0" simplePos="0" relativeHeight="251658244" behindDoc="0" locked="0" layoutInCell="1" allowOverlap="1" wp14:anchorId="077DE777" wp14:editId="131A39B9">
              <wp:simplePos x="635" y="635"/>
              <wp:positionH relativeFrom="page">
                <wp:align>center</wp:align>
              </wp:positionH>
              <wp:positionV relativeFrom="page">
                <wp:align>bottom</wp:align>
              </wp:positionV>
              <wp:extent cx="686435" cy="393700"/>
              <wp:effectExtent l="0" t="0" r="18415" b="0"/>
              <wp:wrapNone/>
              <wp:docPr id="1026370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E777"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9046"/>
      <w:docPartObj>
        <w:docPartGallery w:val="Page Numbers (Bottom of Page)"/>
        <w:docPartUnique/>
      </w:docPartObj>
    </w:sdtPr>
    <w:sdtEndPr>
      <w:rPr>
        <w:noProof/>
      </w:rPr>
    </w:sdtEndPr>
    <w:sdtContent>
      <w:p w14:paraId="604C0820" w14:textId="15249D3E" w:rsidR="00934114" w:rsidRDefault="00934114">
        <w:pPr>
          <w:pStyle w:val="Footer"/>
          <w:jc w:val="right"/>
        </w:pPr>
        <w:r>
          <w:fldChar w:fldCharType="begin"/>
        </w:r>
        <w:r>
          <w:instrText xml:space="preserve"> PAGE   \* MERGEFORMAT </w:instrText>
        </w:r>
        <w:r>
          <w:fldChar w:fldCharType="separate"/>
        </w:r>
        <w:r>
          <w:rPr>
            <w:noProof/>
          </w:rPr>
          <w:t>2</w:t>
        </w:r>
        <w:r>
          <w:rPr>
            <w:noProof/>
          </w:rPr>
          <w:fldChar w:fldCharType="end"/>
        </w:r>
        <w:r w:rsidR="00A97263">
          <w:rPr>
            <w:noProof/>
          </w:rPr>
          <w:t>/5</w:t>
        </w:r>
      </w:p>
    </w:sdtContent>
  </w:sdt>
  <w:p w14:paraId="4093C261" w14:textId="241AF6B0" w:rsidR="004771F3" w:rsidRDefault="00CB2290">
    <w:pPr>
      <w:pStyle w:val="Footer"/>
    </w:pPr>
    <w:r>
      <w:t>First Nations Legal and Research Services R</w:t>
    </w:r>
    <w:r w:rsidR="00F441AC">
      <w:t>esponse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9EC" w14:textId="0E2E4BB7" w:rsidR="004771F3" w:rsidRDefault="004771F3">
    <w:pPr>
      <w:pStyle w:val="Footer"/>
    </w:pPr>
    <w:r>
      <w:rPr>
        <w:noProof/>
      </w:rPr>
      <mc:AlternateContent>
        <mc:Choice Requires="wps">
          <w:drawing>
            <wp:anchor distT="0" distB="0" distL="0" distR="0" simplePos="0" relativeHeight="251658243" behindDoc="0" locked="0" layoutInCell="1" allowOverlap="1" wp14:anchorId="211B658D" wp14:editId="6A1E64DD">
              <wp:simplePos x="635" y="635"/>
              <wp:positionH relativeFrom="page">
                <wp:align>center</wp:align>
              </wp:positionH>
              <wp:positionV relativeFrom="page">
                <wp:align>bottom</wp:align>
              </wp:positionV>
              <wp:extent cx="686435" cy="393700"/>
              <wp:effectExtent l="0" t="0" r="18415" b="0"/>
              <wp:wrapNone/>
              <wp:docPr id="170950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658D"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CDE8" w14:textId="77777777" w:rsidR="006C5F50" w:rsidRDefault="006C5F50" w:rsidP="004771F3">
      <w:pPr>
        <w:spacing w:after="0" w:line="240" w:lineRule="auto"/>
      </w:pPr>
      <w:r>
        <w:separator/>
      </w:r>
    </w:p>
  </w:footnote>
  <w:footnote w:type="continuationSeparator" w:id="0">
    <w:p w14:paraId="1202DF71" w14:textId="77777777" w:rsidR="006C5F50" w:rsidRDefault="006C5F50" w:rsidP="004771F3">
      <w:pPr>
        <w:spacing w:after="0" w:line="240" w:lineRule="auto"/>
      </w:pPr>
      <w:r>
        <w:continuationSeparator/>
      </w:r>
    </w:p>
  </w:footnote>
  <w:footnote w:type="continuationNotice" w:id="1">
    <w:p w14:paraId="026FB435" w14:textId="77777777" w:rsidR="006C5F50" w:rsidRDefault="006C5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C0C" w14:textId="6D317A87" w:rsidR="004771F3" w:rsidRDefault="004771F3">
    <w:pPr>
      <w:pStyle w:val="Header"/>
    </w:pPr>
    <w:r>
      <w:rPr>
        <w:noProof/>
      </w:rPr>
      <mc:AlternateContent>
        <mc:Choice Requires="wps">
          <w:drawing>
            <wp:anchor distT="0" distB="0" distL="0" distR="0" simplePos="0" relativeHeight="251658241" behindDoc="0" locked="0" layoutInCell="1" allowOverlap="1" wp14:anchorId="1E367ABE" wp14:editId="1CF32629">
              <wp:simplePos x="635" y="635"/>
              <wp:positionH relativeFrom="page">
                <wp:align>center</wp:align>
              </wp:positionH>
              <wp:positionV relativeFrom="page">
                <wp:align>top</wp:align>
              </wp:positionV>
              <wp:extent cx="686435" cy="393700"/>
              <wp:effectExtent l="0" t="0" r="18415" b="6350"/>
              <wp:wrapNone/>
              <wp:docPr id="464533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7ABE"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1EB" w14:textId="5994E729" w:rsidR="004771F3" w:rsidRDefault="004771F3">
    <w:pPr>
      <w:pStyle w:val="Header"/>
    </w:pPr>
    <w:r>
      <w:rPr>
        <w:noProof/>
      </w:rPr>
      <mc:AlternateContent>
        <mc:Choice Requires="wps">
          <w:drawing>
            <wp:anchor distT="0" distB="0" distL="0" distR="0" simplePos="0" relativeHeight="251658242" behindDoc="0" locked="0" layoutInCell="1" allowOverlap="1" wp14:anchorId="4074E7A3" wp14:editId="52756002">
              <wp:simplePos x="914400" y="451757"/>
              <wp:positionH relativeFrom="margin">
                <wp:align>center</wp:align>
              </wp:positionH>
              <wp:positionV relativeFrom="page">
                <wp:align>top</wp:align>
              </wp:positionV>
              <wp:extent cx="686435" cy="337185"/>
              <wp:effectExtent l="0" t="0" r="18415" b="5715"/>
              <wp:wrapNone/>
              <wp:docPr id="640945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37185"/>
                      </a:xfrm>
                      <a:prstGeom prst="rect">
                        <a:avLst/>
                      </a:prstGeom>
                      <a:noFill/>
                      <a:ln>
                        <a:noFill/>
                      </a:ln>
                    </wps:spPr>
                    <wps:txbx>
                      <w:txbxContent>
                        <w:p w14:paraId="08ABE699" w14:textId="7BF0FE78" w:rsidR="004771F3" w:rsidRPr="004771F3" w:rsidRDefault="004771F3" w:rsidP="004771F3">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E7A3" id="_x0000_t202" coordsize="21600,21600" o:spt="202" path="m,l,21600r21600,l21600,xe">
              <v:stroke joinstyle="miter"/>
              <v:path gradientshapeok="t" o:connecttype="rect"/>
            </v:shapetype>
            <v:shape id="Text Box 3" o:spid="_x0000_s1027" type="#_x0000_t202" alt="OFFICIAL" style="position:absolute;margin-left:0;margin-top:0;width:54.05pt;height:26.55pt;z-index:251658242;visibility:visible;mso-wrap-style:none;mso-height-percent:0;mso-wrap-distance-left:0;mso-wrap-distance-top:0;mso-wrap-distance-right:0;mso-wrap-distance-bottom:0;mso-position-horizontal:center;mso-position-horizontal-relative:margin;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" filled="f" stroked="f">
              <v:textbox inset="0,15pt,0,0">
                <w:txbxContent>
                  <w:p w14:paraId="08ABE699" w14:textId="7BF0FE78" w:rsidR="004771F3" w:rsidRPr="004771F3" w:rsidRDefault="004771F3" w:rsidP="004771F3">
                    <w:pPr>
                      <w:spacing w:after="0"/>
                      <w:rPr>
                        <w:rFonts w:ascii="Arial" w:eastAsia="Arial" w:hAnsi="Arial" w:cs="Arial"/>
                        <w:noProof/>
                        <w:color w:val="FF0000"/>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D2C" w14:textId="3F406DC8" w:rsidR="004771F3" w:rsidRDefault="004771F3">
    <w:pPr>
      <w:pStyle w:val="Header"/>
    </w:pPr>
    <w:r>
      <w:rPr>
        <w:noProof/>
      </w:rPr>
      <mc:AlternateContent>
        <mc:Choice Requires="wps">
          <w:drawing>
            <wp:anchor distT="0" distB="0" distL="0" distR="0" simplePos="0" relativeHeight="251658240" behindDoc="0" locked="0" layoutInCell="1" allowOverlap="1" wp14:anchorId="25C07430" wp14:editId="2D4C5DEA">
              <wp:simplePos x="635" y="635"/>
              <wp:positionH relativeFrom="page">
                <wp:align>center</wp:align>
              </wp:positionH>
              <wp:positionV relativeFrom="page">
                <wp:align>top</wp:align>
              </wp:positionV>
              <wp:extent cx="686435" cy="393700"/>
              <wp:effectExtent l="0" t="0" r="18415" b="6350"/>
              <wp:wrapNone/>
              <wp:docPr id="1700673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07430"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58"/>
    <w:multiLevelType w:val="hybridMultilevel"/>
    <w:tmpl w:val="2C3200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4E7976"/>
    <w:multiLevelType w:val="hybridMultilevel"/>
    <w:tmpl w:val="C9BCC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F92F32"/>
    <w:multiLevelType w:val="hybridMultilevel"/>
    <w:tmpl w:val="DAD81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361E7D"/>
    <w:multiLevelType w:val="hybridMultilevel"/>
    <w:tmpl w:val="DBA83D2A"/>
    <w:lvl w:ilvl="0" w:tplc="F74E33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7866D8"/>
    <w:multiLevelType w:val="multilevel"/>
    <w:tmpl w:val="93524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6C439E0"/>
    <w:multiLevelType w:val="hybridMultilevel"/>
    <w:tmpl w:val="C0A4CA88"/>
    <w:lvl w:ilvl="0" w:tplc="9F8E78B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4904B3"/>
    <w:multiLevelType w:val="multilevel"/>
    <w:tmpl w:val="E7B82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D20BAE"/>
    <w:multiLevelType w:val="hybridMultilevel"/>
    <w:tmpl w:val="A4387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A10105"/>
    <w:multiLevelType w:val="multilevel"/>
    <w:tmpl w:val="9814B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7675348"/>
    <w:multiLevelType w:val="hybridMultilevel"/>
    <w:tmpl w:val="143220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A87BAC"/>
    <w:multiLevelType w:val="hybridMultilevel"/>
    <w:tmpl w:val="9034C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530832"/>
    <w:multiLevelType w:val="hybridMultilevel"/>
    <w:tmpl w:val="4AB42A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AA46FE"/>
    <w:multiLevelType w:val="hybridMultilevel"/>
    <w:tmpl w:val="24F2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40124D"/>
    <w:multiLevelType w:val="hybridMultilevel"/>
    <w:tmpl w:val="46E29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08050C"/>
    <w:multiLevelType w:val="hybridMultilevel"/>
    <w:tmpl w:val="7ABA9A30"/>
    <w:lvl w:ilvl="0" w:tplc="7570A5D6">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849302">
    <w:abstractNumId w:val="14"/>
  </w:num>
  <w:num w:numId="2" w16cid:durableId="1127285451">
    <w:abstractNumId w:val="5"/>
  </w:num>
  <w:num w:numId="3" w16cid:durableId="461190126">
    <w:abstractNumId w:val="3"/>
  </w:num>
  <w:num w:numId="4" w16cid:durableId="1277173127">
    <w:abstractNumId w:val="6"/>
  </w:num>
  <w:num w:numId="5" w16cid:durableId="740759474">
    <w:abstractNumId w:val="4"/>
  </w:num>
  <w:num w:numId="6" w16cid:durableId="652680975">
    <w:abstractNumId w:val="8"/>
  </w:num>
  <w:num w:numId="7" w16cid:durableId="1568302850">
    <w:abstractNumId w:val="0"/>
  </w:num>
  <w:num w:numId="8" w16cid:durableId="957180694">
    <w:abstractNumId w:val="9"/>
  </w:num>
  <w:num w:numId="9" w16cid:durableId="940835993">
    <w:abstractNumId w:val="2"/>
  </w:num>
  <w:num w:numId="10" w16cid:durableId="357857398">
    <w:abstractNumId w:val="11"/>
  </w:num>
  <w:num w:numId="11" w16cid:durableId="295531176">
    <w:abstractNumId w:val="10"/>
  </w:num>
  <w:num w:numId="12" w16cid:durableId="2116552630">
    <w:abstractNumId w:val="13"/>
  </w:num>
  <w:num w:numId="13" w16cid:durableId="1235503979">
    <w:abstractNumId w:val="1"/>
  </w:num>
  <w:num w:numId="14" w16cid:durableId="1840189388">
    <w:abstractNumId w:val="7"/>
  </w:num>
  <w:num w:numId="15" w16cid:durableId="121611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3"/>
    <w:rsid w:val="00010D0D"/>
    <w:rsid w:val="00033FDE"/>
    <w:rsid w:val="00042F44"/>
    <w:rsid w:val="00087CB6"/>
    <w:rsid w:val="000A029E"/>
    <w:rsid w:val="000A420B"/>
    <w:rsid w:val="000D5476"/>
    <w:rsid w:val="000F1B07"/>
    <w:rsid w:val="001277CE"/>
    <w:rsid w:val="001D1CE5"/>
    <w:rsid w:val="00211EF0"/>
    <w:rsid w:val="00247196"/>
    <w:rsid w:val="0029597E"/>
    <w:rsid w:val="002A0C79"/>
    <w:rsid w:val="00310F46"/>
    <w:rsid w:val="00330585"/>
    <w:rsid w:val="003771F8"/>
    <w:rsid w:val="00390005"/>
    <w:rsid w:val="003A45F7"/>
    <w:rsid w:val="003D503B"/>
    <w:rsid w:val="003F21C6"/>
    <w:rsid w:val="0040605E"/>
    <w:rsid w:val="00467620"/>
    <w:rsid w:val="00474F50"/>
    <w:rsid w:val="004771F3"/>
    <w:rsid w:val="00492BE1"/>
    <w:rsid w:val="004A63D5"/>
    <w:rsid w:val="005365A9"/>
    <w:rsid w:val="00594576"/>
    <w:rsid w:val="005F5748"/>
    <w:rsid w:val="006077C5"/>
    <w:rsid w:val="006276A1"/>
    <w:rsid w:val="0068009F"/>
    <w:rsid w:val="006A7195"/>
    <w:rsid w:val="006C5F50"/>
    <w:rsid w:val="006D0692"/>
    <w:rsid w:val="007009A2"/>
    <w:rsid w:val="00740895"/>
    <w:rsid w:val="00766DAE"/>
    <w:rsid w:val="007A2219"/>
    <w:rsid w:val="007C4B32"/>
    <w:rsid w:val="007D4FCA"/>
    <w:rsid w:val="007E580A"/>
    <w:rsid w:val="00816493"/>
    <w:rsid w:val="0082142C"/>
    <w:rsid w:val="00872D60"/>
    <w:rsid w:val="00880288"/>
    <w:rsid w:val="00894FFB"/>
    <w:rsid w:val="008A79FF"/>
    <w:rsid w:val="00910BE1"/>
    <w:rsid w:val="00926FC6"/>
    <w:rsid w:val="00934114"/>
    <w:rsid w:val="009501B6"/>
    <w:rsid w:val="00976A33"/>
    <w:rsid w:val="009A2C59"/>
    <w:rsid w:val="009A6308"/>
    <w:rsid w:val="00A018F4"/>
    <w:rsid w:val="00A10CF9"/>
    <w:rsid w:val="00A96533"/>
    <w:rsid w:val="00A97263"/>
    <w:rsid w:val="00AB2C53"/>
    <w:rsid w:val="00AC05D7"/>
    <w:rsid w:val="00AC5DDF"/>
    <w:rsid w:val="00B17761"/>
    <w:rsid w:val="00B25B28"/>
    <w:rsid w:val="00B34614"/>
    <w:rsid w:val="00B44CF1"/>
    <w:rsid w:val="00B532BA"/>
    <w:rsid w:val="00B556A8"/>
    <w:rsid w:val="00BC1744"/>
    <w:rsid w:val="00C062E1"/>
    <w:rsid w:val="00C47A39"/>
    <w:rsid w:val="00C672D7"/>
    <w:rsid w:val="00C8049B"/>
    <w:rsid w:val="00C8255C"/>
    <w:rsid w:val="00CB2290"/>
    <w:rsid w:val="00CB571F"/>
    <w:rsid w:val="00CB6837"/>
    <w:rsid w:val="00D835C8"/>
    <w:rsid w:val="00D83E0D"/>
    <w:rsid w:val="00D96EB1"/>
    <w:rsid w:val="00DA7E3C"/>
    <w:rsid w:val="00E15BC3"/>
    <w:rsid w:val="00E630FB"/>
    <w:rsid w:val="00E71E7E"/>
    <w:rsid w:val="00E759B4"/>
    <w:rsid w:val="00E9137B"/>
    <w:rsid w:val="00EB3755"/>
    <w:rsid w:val="00EF408B"/>
    <w:rsid w:val="00F041D0"/>
    <w:rsid w:val="00F277BE"/>
    <w:rsid w:val="00F441AC"/>
    <w:rsid w:val="00F55ECC"/>
    <w:rsid w:val="00F7606E"/>
    <w:rsid w:val="00FB014F"/>
    <w:rsid w:val="00FD061A"/>
    <w:rsid w:val="00FD7D15"/>
    <w:rsid w:val="00FE28BA"/>
    <w:rsid w:val="00FF0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F3"/>
    <w:rPr>
      <w:rFonts w:eastAsiaTheme="majorEastAsia" w:cstheme="majorBidi"/>
      <w:color w:val="272727" w:themeColor="text1" w:themeTint="D8"/>
    </w:rPr>
  </w:style>
  <w:style w:type="paragraph" w:styleId="Title">
    <w:name w:val="Title"/>
    <w:basedOn w:val="Normal"/>
    <w:next w:val="Normal"/>
    <w:link w:val="TitleChar"/>
    <w:uiPriority w:val="10"/>
    <w:qFormat/>
    <w:rsid w:val="0047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F3"/>
    <w:pPr>
      <w:spacing w:before="160"/>
      <w:jc w:val="center"/>
    </w:pPr>
    <w:rPr>
      <w:i/>
      <w:iCs/>
      <w:color w:val="404040" w:themeColor="text1" w:themeTint="BF"/>
    </w:rPr>
  </w:style>
  <w:style w:type="character" w:customStyle="1" w:styleId="QuoteChar">
    <w:name w:val="Quote Char"/>
    <w:basedOn w:val="DefaultParagraphFont"/>
    <w:link w:val="Quote"/>
    <w:uiPriority w:val="29"/>
    <w:rsid w:val="004771F3"/>
    <w:rPr>
      <w:i/>
      <w:iCs/>
      <w:color w:val="404040" w:themeColor="text1" w:themeTint="BF"/>
    </w:rPr>
  </w:style>
  <w:style w:type="paragraph" w:styleId="ListParagraph">
    <w:name w:val="List Paragraph"/>
    <w:basedOn w:val="Normal"/>
    <w:uiPriority w:val="34"/>
    <w:qFormat/>
    <w:rsid w:val="004771F3"/>
    <w:pPr>
      <w:ind w:left="720"/>
      <w:contextualSpacing/>
    </w:pPr>
  </w:style>
  <w:style w:type="character" w:styleId="IntenseEmphasis">
    <w:name w:val="Intense Emphasis"/>
    <w:basedOn w:val="DefaultParagraphFont"/>
    <w:uiPriority w:val="21"/>
    <w:qFormat/>
    <w:rsid w:val="004771F3"/>
    <w:rPr>
      <w:i/>
      <w:iCs/>
      <w:color w:val="0F4761" w:themeColor="accent1" w:themeShade="BF"/>
    </w:rPr>
  </w:style>
  <w:style w:type="paragraph" w:styleId="IntenseQuote">
    <w:name w:val="Intense Quote"/>
    <w:basedOn w:val="Normal"/>
    <w:next w:val="Normal"/>
    <w:link w:val="IntenseQuoteChar"/>
    <w:uiPriority w:val="30"/>
    <w:qFormat/>
    <w:rsid w:val="0047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F3"/>
    <w:rPr>
      <w:i/>
      <w:iCs/>
      <w:color w:val="0F4761" w:themeColor="accent1" w:themeShade="BF"/>
    </w:rPr>
  </w:style>
  <w:style w:type="character" w:styleId="IntenseReference">
    <w:name w:val="Intense Reference"/>
    <w:basedOn w:val="DefaultParagraphFont"/>
    <w:uiPriority w:val="32"/>
    <w:qFormat/>
    <w:rsid w:val="004771F3"/>
    <w:rPr>
      <w:b/>
      <w:bCs/>
      <w:smallCaps/>
      <w:color w:val="0F4761" w:themeColor="accent1" w:themeShade="BF"/>
      <w:spacing w:val="5"/>
    </w:rPr>
  </w:style>
  <w:style w:type="table" w:styleId="TableGrid">
    <w:name w:val="Table Grid"/>
    <w:basedOn w:val="TableNormal"/>
    <w:uiPriority w:val="39"/>
    <w:rsid w:val="0047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F3"/>
  </w:style>
  <w:style w:type="paragraph" w:styleId="Footer">
    <w:name w:val="footer"/>
    <w:basedOn w:val="Normal"/>
    <w:link w:val="FooterChar"/>
    <w:uiPriority w:val="99"/>
    <w:unhideWhenUsed/>
    <w:rsid w:val="0047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F3"/>
  </w:style>
  <w:style w:type="character" w:styleId="CommentReference">
    <w:name w:val="annotation reference"/>
    <w:basedOn w:val="DefaultParagraphFont"/>
    <w:uiPriority w:val="99"/>
    <w:semiHidden/>
    <w:unhideWhenUsed/>
    <w:rsid w:val="007A2219"/>
    <w:rPr>
      <w:sz w:val="16"/>
      <w:szCs w:val="16"/>
    </w:rPr>
  </w:style>
  <w:style w:type="paragraph" w:styleId="CommentText">
    <w:name w:val="annotation text"/>
    <w:basedOn w:val="Normal"/>
    <w:link w:val="CommentTextChar"/>
    <w:uiPriority w:val="99"/>
    <w:unhideWhenUsed/>
    <w:rsid w:val="007A2219"/>
    <w:pPr>
      <w:spacing w:line="240" w:lineRule="auto"/>
    </w:pPr>
    <w:rPr>
      <w:sz w:val="20"/>
      <w:szCs w:val="20"/>
    </w:rPr>
  </w:style>
  <w:style w:type="character" w:customStyle="1" w:styleId="CommentTextChar">
    <w:name w:val="Comment Text Char"/>
    <w:basedOn w:val="DefaultParagraphFont"/>
    <w:link w:val="CommentText"/>
    <w:uiPriority w:val="99"/>
    <w:rsid w:val="007A2219"/>
    <w:rPr>
      <w:sz w:val="20"/>
      <w:szCs w:val="20"/>
    </w:rPr>
  </w:style>
  <w:style w:type="paragraph" w:styleId="Revision">
    <w:name w:val="Revision"/>
    <w:hidden/>
    <w:uiPriority w:val="99"/>
    <w:semiHidden/>
    <w:rsid w:val="00B17761"/>
    <w:pPr>
      <w:spacing w:after="0" w:line="240" w:lineRule="auto"/>
    </w:pPr>
  </w:style>
  <w:style w:type="character" w:styleId="Hyperlink">
    <w:name w:val="Hyperlink"/>
    <w:basedOn w:val="DefaultParagraphFont"/>
    <w:uiPriority w:val="99"/>
    <w:unhideWhenUsed/>
    <w:rsid w:val="00B17761"/>
    <w:rPr>
      <w:color w:val="467886" w:themeColor="hyperlink"/>
      <w:u w:val="single"/>
    </w:rPr>
  </w:style>
  <w:style w:type="character" w:styleId="UnresolvedMention">
    <w:name w:val="Unresolved Mention"/>
    <w:basedOn w:val="DefaultParagraphFont"/>
    <w:uiPriority w:val="99"/>
    <w:semiHidden/>
    <w:unhideWhenUsed/>
    <w:rsid w:val="00B17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7761"/>
    <w:rPr>
      <w:b/>
      <w:bCs/>
    </w:rPr>
  </w:style>
  <w:style w:type="character" w:customStyle="1" w:styleId="CommentSubjectChar">
    <w:name w:val="Comment Subject Char"/>
    <w:basedOn w:val="CommentTextChar"/>
    <w:link w:val="CommentSubject"/>
    <w:uiPriority w:val="99"/>
    <w:semiHidden/>
    <w:rsid w:val="00B17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30">
      <w:bodyDiv w:val="1"/>
      <w:marLeft w:val="0"/>
      <w:marRight w:val="0"/>
      <w:marTop w:val="0"/>
      <w:marBottom w:val="0"/>
      <w:divBdr>
        <w:top w:val="none" w:sz="0" w:space="0" w:color="auto"/>
        <w:left w:val="none" w:sz="0" w:space="0" w:color="auto"/>
        <w:bottom w:val="none" w:sz="0" w:space="0" w:color="auto"/>
        <w:right w:val="none" w:sz="0" w:space="0" w:color="auto"/>
      </w:divBdr>
    </w:div>
    <w:div w:id="21073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1540</Words>
  <Characters>8950</Characters>
  <Application>Microsoft Office Word</Application>
  <DocSecurity>0</DocSecurity>
  <Lines>218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2025-10-23T01:04:00Z</dcterms:created>
  <dcterms:modified xsi:type="dcterms:W3CDTF">2025-10-23T01:04:00Z</dcterms:modified>
</cp:coreProperties>
</file>