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6CCBA" w14:textId="1A6D8B3F" w:rsidR="00C8049B" w:rsidRPr="00B04F93" w:rsidRDefault="00443919" w:rsidP="00B04F93">
      <w:pPr>
        <w:jc w:val="center"/>
        <w:rPr>
          <w:rFonts w:ascii="Calibri" w:hAnsi="Calibri" w:cs="Calibri"/>
          <w:b/>
          <w:bCs/>
          <w:caps/>
          <w:sz w:val="28"/>
          <w:szCs w:val="28"/>
        </w:rPr>
      </w:pPr>
      <w:r w:rsidRPr="00B04F93">
        <w:rPr>
          <w:rFonts w:ascii="Calibri" w:hAnsi="Calibri" w:cs="Calibri"/>
          <w:b/>
          <w:bCs/>
          <w:caps/>
          <w:sz w:val="28"/>
          <w:szCs w:val="28"/>
        </w:rPr>
        <w:t>Response to Nous Review Recommendations – Kimberl</w:t>
      </w:r>
      <w:r w:rsidR="00B04F93">
        <w:rPr>
          <w:rFonts w:ascii="Calibri" w:hAnsi="Calibri" w:cs="Calibri"/>
          <w:b/>
          <w:bCs/>
          <w:caps/>
          <w:sz w:val="28"/>
          <w:szCs w:val="28"/>
        </w:rPr>
        <w:t>e</w:t>
      </w:r>
      <w:r w:rsidRPr="00B04F93">
        <w:rPr>
          <w:rFonts w:ascii="Calibri" w:hAnsi="Calibri" w:cs="Calibri"/>
          <w:b/>
          <w:bCs/>
          <w:caps/>
          <w:sz w:val="28"/>
          <w:szCs w:val="28"/>
        </w:rPr>
        <w:t>y Land Council (KLC)</w:t>
      </w:r>
    </w:p>
    <w:tbl>
      <w:tblPr>
        <w:tblStyle w:val="TableGrid"/>
        <w:tblW w:w="0" w:type="auto"/>
        <w:tblLook w:val="04A0" w:firstRow="1" w:lastRow="0" w:firstColumn="1" w:lastColumn="0" w:noHBand="0" w:noVBand="1"/>
      </w:tblPr>
      <w:tblGrid>
        <w:gridCol w:w="9016"/>
      </w:tblGrid>
      <w:tr w:rsidR="0023185A" w14:paraId="7613B24F" w14:textId="77777777" w:rsidTr="000B7200">
        <w:trPr>
          <w:cantSplit/>
        </w:trPr>
        <w:tc>
          <w:tcPr>
            <w:tcW w:w="0" w:type="auto"/>
            <w:shd w:val="clear" w:color="auto" w:fill="C1E4F5" w:themeFill="accent1" w:themeFillTint="33"/>
          </w:tcPr>
          <w:p w14:paraId="1D2D8352" w14:textId="273DFAE1" w:rsidR="0023185A" w:rsidRDefault="00317BE0" w:rsidP="00317BE0">
            <w:pPr>
              <w:jc w:val="both"/>
              <w:rPr>
                <w:rFonts w:ascii="Calibri" w:hAnsi="Calibri" w:cs="Calibri"/>
              </w:rPr>
            </w:pPr>
            <w:r w:rsidRPr="00C922AF">
              <w:rPr>
                <w:rFonts w:ascii="Calibri" w:hAnsi="Calibri" w:cs="Calibri"/>
                <w:b/>
                <w:bCs/>
                <w:lang w:val="en-US"/>
              </w:rPr>
              <w:t>TOR 1</w:t>
            </w:r>
            <w:r w:rsidRPr="00C922AF">
              <w:rPr>
                <w:rFonts w:ascii="Calibri" w:hAnsi="Calibri" w:cs="Calibri"/>
                <w:lang w:val="en-US"/>
              </w:rPr>
              <w:t xml:space="preserve"> </w:t>
            </w:r>
            <w:r w:rsidRPr="00C922AF">
              <w:rPr>
                <w:rFonts w:ascii="Calibri" w:hAnsi="Calibri" w:cs="Calibri"/>
                <w:lang w:val="en-GB"/>
              </w:rPr>
              <w:t>Extent to which each organisation has achieved positive native title outcomes for persons who hold or may hold native title in its region taking account, where relevant, of disruptions caused by COVID-19.</w:t>
            </w:r>
            <w:r w:rsidRPr="00C922AF">
              <w:rPr>
                <w:rFonts w:ascii="Calibri" w:hAnsi="Calibri" w:cs="Calibri"/>
              </w:rPr>
              <w:t> </w:t>
            </w:r>
            <w:r w:rsidR="00B04F93" w:rsidRPr="00B04F93">
              <w:rPr>
                <w:rFonts w:ascii="Calibri" w:hAnsi="Calibri" w:cs="Calibri"/>
                <w:b/>
                <w:bCs/>
              </w:rPr>
              <w:t xml:space="preserve">(Rec </w:t>
            </w:r>
            <w:r w:rsidR="00B04F93">
              <w:rPr>
                <w:rFonts w:ascii="Calibri" w:hAnsi="Calibri" w:cs="Calibri"/>
                <w:b/>
                <w:bCs/>
              </w:rPr>
              <w:t>1</w:t>
            </w:r>
            <w:r w:rsidR="00B04F93" w:rsidRPr="00B04F93">
              <w:rPr>
                <w:rFonts w:ascii="Calibri" w:hAnsi="Calibri" w:cs="Calibri"/>
                <w:b/>
                <w:bCs/>
              </w:rPr>
              <w:t>)</w:t>
            </w:r>
          </w:p>
        </w:tc>
      </w:tr>
      <w:tr w:rsidR="0023185A" w14:paraId="2EB2087F" w14:textId="77777777" w:rsidTr="000B7200">
        <w:trPr>
          <w:cantSplit/>
        </w:trPr>
        <w:tc>
          <w:tcPr>
            <w:tcW w:w="0" w:type="auto"/>
          </w:tcPr>
          <w:p w14:paraId="6CAC7283" w14:textId="704D349F" w:rsidR="0023185A" w:rsidRDefault="00641EF6">
            <w:pPr>
              <w:rPr>
                <w:rFonts w:ascii="Calibri" w:hAnsi="Calibri" w:cs="Calibri"/>
              </w:rPr>
            </w:pPr>
            <w:r w:rsidRPr="000C5EF8">
              <w:rPr>
                <w:rFonts w:ascii="Calibri" w:hAnsi="Calibri" w:cs="Calibri"/>
                <w:b/>
                <w:bCs/>
              </w:rPr>
              <w:t>Rec 1</w:t>
            </w:r>
            <w:r>
              <w:rPr>
                <w:rFonts w:ascii="Calibri" w:hAnsi="Calibri" w:cs="Calibri"/>
              </w:rPr>
              <w:t xml:space="preserve"> </w:t>
            </w:r>
            <w:r w:rsidRPr="000C5EF8">
              <w:rPr>
                <w:rFonts w:ascii="Calibri" w:hAnsi="Calibri" w:cs="Calibri"/>
              </w:rPr>
              <w:t xml:space="preserve">The KLC should develop a document with options available to Traditional Owners who are concerned about the governance of their PBC to address the dissatisfaction of Traditional Owners where significant tensions between groups have arisen </w:t>
            </w:r>
            <w:proofErr w:type="gramStart"/>
            <w:r w:rsidRPr="000C5EF8">
              <w:rPr>
                <w:rFonts w:ascii="Calibri" w:hAnsi="Calibri" w:cs="Calibri"/>
              </w:rPr>
              <w:t>as a result of</w:t>
            </w:r>
            <w:proofErr w:type="gramEnd"/>
            <w:r w:rsidRPr="000C5EF8">
              <w:rPr>
                <w:rFonts w:ascii="Calibri" w:hAnsi="Calibri" w:cs="Calibri"/>
              </w:rPr>
              <w:t xml:space="preserve"> the claim process or determination. </w:t>
            </w:r>
          </w:p>
        </w:tc>
      </w:tr>
      <w:tr w:rsidR="0023185A" w14:paraId="41B25AF1" w14:textId="77777777" w:rsidTr="000B7200">
        <w:trPr>
          <w:cantSplit/>
        </w:trPr>
        <w:tc>
          <w:tcPr>
            <w:tcW w:w="0" w:type="auto"/>
          </w:tcPr>
          <w:p w14:paraId="12BF8BEE" w14:textId="77777777" w:rsidR="0023185A" w:rsidRPr="00DC399E" w:rsidRDefault="00DC399E">
            <w:pPr>
              <w:rPr>
                <w:rFonts w:ascii="Calibri" w:hAnsi="Calibri" w:cs="Calibri"/>
                <w:b/>
                <w:bCs/>
              </w:rPr>
            </w:pPr>
            <w:r w:rsidRPr="00DC399E">
              <w:rPr>
                <w:rFonts w:ascii="Calibri" w:hAnsi="Calibri" w:cs="Calibri"/>
                <w:b/>
                <w:bCs/>
              </w:rPr>
              <w:t>Response</w:t>
            </w:r>
          </w:p>
          <w:p w14:paraId="5967F0B7" w14:textId="77777777" w:rsidR="00DC399E" w:rsidRDefault="00DC399E" w:rsidP="00DC399E">
            <w:pPr>
              <w:rPr>
                <w:rFonts w:ascii="Calibri" w:hAnsi="Calibri" w:cs="Calibri"/>
                <w:lang w:val="en-US"/>
              </w:rPr>
            </w:pPr>
            <w:r>
              <w:rPr>
                <w:rFonts w:ascii="Calibri" w:hAnsi="Calibri" w:cs="Calibri"/>
                <w:lang w:val="en-US"/>
              </w:rPr>
              <w:t>Accepted.</w:t>
            </w:r>
          </w:p>
          <w:p w14:paraId="038A92B9" w14:textId="77777777" w:rsidR="00DC399E" w:rsidRDefault="00DC399E" w:rsidP="00DC399E">
            <w:pPr>
              <w:rPr>
                <w:rFonts w:ascii="Calibri" w:hAnsi="Calibri" w:cs="Calibri"/>
                <w:lang w:val="en-US"/>
              </w:rPr>
            </w:pPr>
            <w:r>
              <w:rPr>
                <w:rFonts w:ascii="Calibri" w:hAnsi="Calibri" w:cs="Calibri"/>
                <w:lang w:val="en-US"/>
              </w:rPr>
              <w:t>Implemented in part.</w:t>
            </w:r>
          </w:p>
          <w:p w14:paraId="762B6872" w14:textId="77777777" w:rsidR="00DC399E" w:rsidRDefault="00DC399E" w:rsidP="00DC399E">
            <w:pPr>
              <w:rPr>
                <w:rFonts w:ascii="Calibri" w:hAnsi="Calibri" w:cs="Calibri"/>
                <w:lang w:val="en-US"/>
              </w:rPr>
            </w:pPr>
          </w:p>
          <w:p w14:paraId="7A52C1D1" w14:textId="77777777" w:rsidR="00DC399E" w:rsidRPr="005160C1" w:rsidRDefault="00DC399E" w:rsidP="00DC399E">
            <w:pPr>
              <w:rPr>
                <w:rFonts w:ascii="Calibri" w:hAnsi="Calibri" w:cs="Calibri"/>
              </w:rPr>
            </w:pPr>
            <w:r w:rsidRPr="005160C1">
              <w:rPr>
                <w:rFonts w:ascii="Calibri" w:hAnsi="Calibri" w:cs="Calibri"/>
              </w:rPr>
              <w:t>Communications materials on this issue will be developed for distribution to PBCs and native title holders in the current financial year subject to funding being available. </w:t>
            </w:r>
          </w:p>
          <w:p w14:paraId="7EFCC22E" w14:textId="53E2580D" w:rsidR="00DC399E" w:rsidRDefault="00DC399E" w:rsidP="00DC399E">
            <w:pPr>
              <w:rPr>
                <w:rFonts w:ascii="Calibri" w:hAnsi="Calibri" w:cs="Calibri"/>
              </w:rPr>
            </w:pPr>
            <w:r w:rsidRPr="005160C1">
              <w:rPr>
                <w:rFonts w:ascii="Calibri" w:hAnsi="Calibri" w:cs="Calibri"/>
              </w:rPr>
              <w:t>KLC also notes that it has communicated with the Minister for Indigenous Affairs, ORIC and NIAA on reforms which are urgently required to improve the options available and their effectiveness.</w:t>
            </w:r>
          </w:p>
        </w:tc>
      </w:tr>
      <w:tr w:rsidR="0023185A" w14:paraId="28FBA823" w14:textId="77777777" w:rsidTr="000B7200">
        <w:trPr>
          <w:cantSplit/>
        </w:trPr>
        <w:tc>
          <w:tcPr>
            <w:tcW w:w="0" w:type="auto"/>
            <w:shd w:val="clear" w:color="auto" w:fill="C1E4F5" w:themeFill="accent1" w:themeFillTint="33"/>
          </w:tcPr>
          <w:p w14:paraId="7257AFAE" w14:textId="0DAD15AF" w:rsidR="0023185A" w:rsidRDefault="00AE6B19">
            <w:pPr>
              <w:rPr>
                <w:rFonts w:ascii="Calibri" w:hAnsi="Calibri" w:cs="Calibri"/>
              </w:rPr>
            </w:pPr>
            <w:r w:rsidRPr="00C922AF">
              <w:rPr>
                <w:rFonts w:ascii="Calibri" w:hAnsi="Calibri" w:cs="Calibri"/>
                <w:b/>
                <w:bCs/>
                <w:lang w:val="en-US"/>
              </w:rPr>
              <w:t>TOR 2</w:t>
            </w:r>
            <w:r w:rsidRPr="00C922AF">
              <w:rPr>
                <w:rFonts w:ascii="Calibri" w:hAnsi="Calibri" w:cs="Calibri"/>
                <w:lang w:val="en-US"/>
              </w:rPr>
              <w:t xml:space="preserve"> </w:t>
            </w:r>
            <w:r w:rsidRPr="00C922AF">
              <w:rPr>
                <w:rFonts w:ascii="Calibri" w:hAnsi="Calibri" w:cs="Calibri"/>
                <w:lang w:val="en-GB"/>
              </w:rPr>
              <w:t>Extent to which each organisation assesses and prioritises applications for assistance in a manner that is equitable, transparent, and robust</w:t>
            </w:r>
            <w:r>
              <w:rPr>
                <w:rFonts w:ascii="Calibri" w:hAnsi="Calibri" w:cs="Calibri"/>
                <w:lang w:val="en-GB"/>
              </w:rPr>
              <w:t>,</w:t>
            </w:r>
            <w:r w:rsidRPr="00C922AF">
              <w:rPr>
                <w:rFonts w:ascii="Calibri" w:hAnsi="Calibri" w:cs="Calibri"/>
                <w:lang w:val="en-GB"/>
              </w:rPr>
              <w:t xml:space="preserve"> and is well publicised and understood by clients and potential clients.</w:t>
            </w:r>
            <w:r w:rsidRPr="00C922AF">
              <w:rPr>
                <w:rFonts w:ascii="Calibri" w:hAnsi="Calibri" w:cs="Calibri"/>
              </w:rPr>
              <w:t> </w:t>
            </w:r>
            <w:r w:rsidR="00B04F93" w:rsidRPr="00B04F93">
              <w:rPr>
                <w:rFonts w:ascii="Calibri" w:hAnsi="Calibri" w:cs="Calibri"/>
                <w:b/>
                <w:bCs/>
              </w:rPr>
              <w:t>(Rec 2)</w:t>
            </w:r>
          </w:p>
        </w:tc>
      </w:tr>
      <w:tr w:rsidR="0023185A" w14:paraId="70B5BB53" w14:textId="77777777" w:rsidTr="000B7200">
        <w:trPr>
          <w:cantSplit/>
        </w:trPr>
        <w:tc>
          <w:tcPr>
            <w:tcW w:w="0" w:type="auto"/>
          </w:tcPr>
          <w:p w14:paraId="596E1F5B" w14:textId="3E8174AE" w:rsidR="0023185A" w:rsidRDefault="003F43B5">
            <w:pPr>
              <w:rPr>
                <w:rFonts w:ascii="Calibri" w:hAnsi="Calibri" w:cs="Calibri"/>
              </w:rPr>
            </w:pPr>
            <w:r w:rsidRPr="00726CF4">
              <w:rPr>
                <w:rFonts w:ascii="Calibri" w:hAnsi="Calibri" w:cs="Calibri"/>
                <w:b/>
                <w:bCs/>
              </w:rPr>
              <w:t>Rec 2</w:t>
            </w:r>
            <w:r>
              <w:rPr>
                <w:rFonts w:ascii="Calibri" w:hAnsi="Calibri" w:cs="Calibri"/>
              </w:rPr>
              <w:t xml:space="preserve"> </w:t>
            </w:r>
            <w:r w:rsidRPr="00726CF4">
              <w:rPr>
                <w:rFonts w:ascii="Calibri" w:hAnsi="Calibri" w:cs="Calibri"/>
              </w:rPr>
              <w:t>Ensure that where applications for assistance are refused, the applicants are always provided with an explanation of the prioritisation process and clearly articulated reasoning for the decision including an accurate plain English record of the decisions made and the reasoning behind them</w:t>
            </w:r>
            <w:r>
              <w:rPr>
                <w:rFonts w:ascii="Calibri" w:hAnsi="Calibri" w:cs="Calibri"/>
              </w:rPr>
              <w:t>.</w:t>
            </w:r>
          </w:p>
        </w:tc>
      </w:tr>
      <w:tr w:rsidR="0023185A" w14:paraId="6707CB34" w14:textId="77777777" w:rsidTr="000B7200">
        <w:trPr>
          <w:cantSplit/>
        </w:trPr>
        <w:tc>
          <w:tcPr>
            <w:tcW w:w="0" w:type="auto"/>
          </w:tcPr>
          <w:p w14:paraId="702DD81C" w14:textId="77777777" w:rsidR="0023185A" w:rsidRPr="009F1E19" w:rsidRDefault="003F43B5">
            <w:pPr>
              <w:rPr>
                <w:rFonts w:ascii="Calibri" w:hAnsi="Calibri" w:cs="Calibri"/>
                <w:b/>
                <w:bCs/>
              </w:rPr>
            </w:pPr>
            <w:r w:rsidRPr="009F1E19">
              <w:rPr>
                <w:rFonts w:ascii="Calibri" w:hAnsi="Calibri" w:cs="Calibri"/>
                <w:b/>
                <w:bCs/>
              </w:rPr>
              <w:t>Response</w:t>
            </w:r>
          </w:p>
          <w:p w14:paraId="2C797DCF" w14:textId="77777777" w:rsidR="009F1E19" w:rsidRDefault="009F1E19" w:rsidP="009F1E19">
            <w:pPr>
              <w:rPr>
                <w:rFonts w:ascii="Calibri" w:hAnsi="Calibri" w:cs="Calibri"/>
                <w:lang w:val="en-US"/>
              </w:rPr>
            </w:pPr>
            <w:r>
              <w:rPr>
                <w:rFonts w:ascii="Calibri" w:hAnsi="Calibri" w:cs="Calibri"/>
                <w:lang w:val="en-US"/>
              </w:rPr>
              <w:t>Accepted.</w:t>
            </w:r>
          </w:p>
          <w:p w14:paraId="4BDC3EAC" w14:textId="77777777" w:rsidR="009F1E19" w:rsidRDefault="009F1E19" w:rsidP="009F1E19">
            <w:pPr>
              <w:rPr>
                <w:rFonts w:ascii="Calibri" w:hAnsi="Calibri" w:cs="Calibri"/>
                <w:lang w:val="en-US"/>
              </w:rPr>
            </w:pPr>
            <w:r>
              <w:rPr>
                <w:rFonts w:ascii="Calibri" w:hAnsi="Calibri" w:cs="Calibri"/>
                <w:lang w:val="en-US"/>
              </w:rPr>
              <w:t>Implemented.</w:t>
            </w:r>
          </w:p>
          <w:p w14:paraId="5B5D2978" w14:textId="77777777" w:rsidR="009F1E19" w:rsidRDefault="009F1E19" w:rsidP="009F1E19">
            <w:pPr>
              <w:rPr>
                <w:rFonts w:ascii="Calibri" w:hAnsi="Calibri" w:cs="Calibri"/>
                <w:lang w:val="en-US"/>
              </w:rPr>
            </w:pPr>
          </w:p>
          <w:p w14:paraId="06E0541F" w14:textId="200CCA65" w:rsidR="003F43B5" w:rsidRDefault="009F1E19" w:rsidP="009F1E19">
            <w:pPr>
              <w:rPr>
                <w:rFonts w:ascii="Calibri" w:hAnsi="Calibri" w:cs="Calibri"/>
              </w:rPr>
            </w:pPr>
            <w:r w:rsidRPr="00521EEA">
              <w:rPr>
                <w:rFonts w:ascii="Calibri" w:hAnsi="Calibri" w:cs="Calibri"/>
              </w:rPr>
              <w:t>The KLC provides all applicants for assistance with written explanations of the decision regarding their application, communicated in plain English.  A process of continuous monitoring and improvement is in place to ensure these outcomes are communicated appropriately. </w:t>
            </w:r>
          </w:p>
        </w:tc>
      </w:tr>
      <w:tr w:rsidR="009F1E19" w14:paraId="3F742DAC" w14:textId="77777777" w:rsidTr="000B7200">
        <w:trPr>
          <w:cantSplit/>
        </w:trPr>
        <w:tc>
          <w:tcPr>
            <w:tcW w:w="0" w:type="auto"/>
            <w:shd w:val="clear" w:color="auto" w:fill="C1E4F5" w:themeFill="accent1" w:themeFillTint="33"/>
          </w:tcPr>
          <w:p w14:paraId="45ED6623" w14:textId="41195ED7" w:rsidR="009F1E19" w:rsidRPr="009F1E19" w:rsidRDefault="00EF5A32">
            <w:pPr>
              <w:rPr>
                <w:rFonts w:ascii="Calibri" w:hAnsi="Calibri" w:cs="Calibri"/>
                <w:b/>
                <w:bCs/>
              </w:rPr>
            </w:pPr>
            <w:r w:rsidRPr="00C922AF">
              <w:rPr>
                <w:rFonts w:ascii="Calibri" w:hAnsi="Calibri" w:cs="Calibri"/>
                <w:b/>
                <w:bCs/>
                <w:lang w:val="en-GB"/>
              </w:rPr>
              <w:t>TOR 3</w:t>
            </w:r>
            <w:r w:rsidRPr="00C922AF">
              <w:rPr>
                <w:rFonts w:ascii="Calibri" w:hAnsi="Calibri" w:cs="Calibri"/>
                <w:lang w:val="en-GB"/>
              </w:rPr>
              <w:t xml:space="preserve"> Extent to which each organisation deals respectfully, equitably, transparently and in a culturally appropriate manner with persons who hold or may hold native title in its region, including by adequately investigating and resolving complaints.</w:t>
            </w:r>
            <w:r w:rsidRPr="00C922AF">
              <w:rPr>
                <w:rFonts w:ascii="Calibri" w:hAnsi="Calibri" w:cs="Calibri"/>
              </w:rPr>
              <w:t> </w:t>
            </w:r>
            <w:r w:rsidR="00B04F93" w:rsidRPr="00B04F93">
              <w:rPr>
                <w:rFonts w:ascii="Calibri" w:hAnsi="Calibri" w:cs="Calibri"/>
                <w:b/>
                <w:bCs/>
              </w:rPr>
              <w:t>(Rec 3-4)</w:t>
            </w:r>
          </w:p>
        </w:tc>
      </w:tr>
      <w:tr w:rsidR="009F1E19" w14:paraId="79ECAFA2" w14:textId="77777777" w:rsidTr="000B7200">
        <w:trPr>
          <w:cantSplit/>
        </w:trPr>
        <w:tc>
          <w:tcPr>
            <w:tcW w:w="0" w:type="auto"/>
          </w:tcPr>
          <w:p w14:paraId="5E90F3FA" w14:textId="79212DA3" w:rsidR="009F1E19" w:rsidRPr="009F1E19" w:rsidRDefault="009B5015">
            <w:pPr>
              <w:rPr>
                <w:rFonts w:ascii="Calibri" w:hAnsi="Calibri" w:cs="Calibri"/>
                <w:b/>
                <w:bCs/>
              </w:rPr>
            </w:pPr>
            <w:r w:rsidRPr="00927DC7">
              <w:rPr>
                <w:rFonts w:ascii="Calibri" w:hAnsi="Calibri" w:cs="Calibri"/>
                <w:b/>
                <w:bCs/>
              </w:rPr>
              <w:t>Rec 3</w:t>
            </w:r>
            <w:r>
              <w:rPr>
                <w:rFonts w:ascii="Calibri" w:hAnsi="Calibri" w:cs="Calibri"/>
              </w:rPr>
              <w:t xml:space="preserve"> </w:t>
            </w:r>
            <w:r w:rsidRPr="00521EEA">
              <w:rPr>
                <w:rFonts w:ascii="Calibri" w:hAnsi="Calibri" w:cs="Calibri"/>
              </w:rPr>
              <w:t>Develop written protocols and guidelines to document the KLC’s culturally appropriate engagement strategies, including protocols by which meetings will be run. </w:t>
            </w:r>
          </w:p>
        </w:tc>
      </w:tr>
      <w:tr w:rsidR="009F1E19" w14:paraId="19FD3A88" w14:textId="77777777" w:rsidTr="000B7200">
        <w:trPr>
          <w:cantSplit/>
        </w:trPr>
        <w:tc>
          <w:tcPr>
            <w:tcW w:w="0" w:type="auto"/>
          </w:tcPr>
          <w:p w14:paraId="7DA2A8A1" w14:textId="77777777" w:rsidR="009F1E19" w:rsidRDefault="006F0725">
            <w:pPr>
              <w:rPr>
                <w:rFonts w:ascii="Calibri" w:hAnsi="Calibri" w:cs="Calibri"/>
                <w:b/>
                <w:bCs/>
              </w:rPr>
            </w:pPr>
            <w:r>
              <w:rPr>
                <w:rFonts w:ascii="Calibri" w:hAnsi="Calibri" w:cs="Calibri"/>
                <w:b/>
                <w:bCs/>
              </w:rPr>
              <w:t>Response</w:t>
            </w:r>
          </w:p>
          <w:p w14:paraId="7ACE4658" w14:textId="77777777" w:rsidR="00CD29E9" w:rsidRDefault="00CD29E9" w:rsidP="00CD29E9">
            <w:pPr>
              <w:rPr>
                <w:rFonts w:ascii="Calibri" w:hAnsi="Calibri" w:cs="Calibri"/>
                <w:lang w:val="en-US"/>
              </w:rPr>
            </w:pPr>
            <w:r>
              <w:rPr>
                <w:rFonts w:ascii="Calibri" w:hAnsi="Calibri" w:cs="Calibri"/>
                <w:lang w:val="en-US"/>
              </w:rPr>
              <w:t>Accepted.</w:t>
            </w:r>
          </w:p>
          <w:p w14:paraId="566DA24B" w14:textId="77777777" w:rsidR="00CD29E9" w:rsidRDefault="00CD29E9" w:rsidP="00CD29E9">
            <w:pPr>
              <w:rPr>
                <w:rFonts w:ascii="Calibri" w:hAnsi="Calibri" w:cs="Calibri"/>
                <w:lang w:val="en-US"/>
              </w:rPr>
            </w:pPr>
            <w:r>
              <w:rPr>
                <w:rFonts w:ascii="Calibri" w:hAnsi="Calibri" w:cs="Calibri"/>
                <w:lang w:val="en-US"/>
              </w:rPr>
              <w:t xml:space="preserve">Implemented. </w:t>
            </w:r>
          </w:p>
          <w:p w14:paraId="46F7E8B1" w14:textId="77777777" w:rsidR="00CD29E9" w:rsidRDefault="00CD29E9" w:rsidP="00CD29E9">
            <w:pPr>
              <w:rPr>
                <w:rFonts w:ascii="Calibri" w:hAnsi="Calibri" w:cs="Calibri"/>
                <w:lang w:val="en-US"/>
              </w:rPr>
            </w:pPr>
          </w:p>
          <w:p w14:paraId="08AAC2BB" w14:textId="2FA6B926" w:rsidR="006F0725" w:rsidRPr="009F1E19" w:rsidRDefault="00CD29E9" w:rsidP="00CD29E9">
            <w:pPr>
              <w:rPr>
                <w:rFonts w:ascii="Calibri" w:hAnsi="Calibri" w:cs="Calibri"/>
                <w:b/>
                <w:bCs/>
              </w:rPr>
            </w:pPr>
            <w:r w:rsidRPr="00541CAA">
              <w:rPr>
                <w:rFonts w:ascii="Calibri" w:hAnsi="Calibri" w:cs="Calibri"/>
              </w:rPr>
              <w:t>KLC’s Native Title Services Unit has comprehensive internal guidelines and protocols regarding the organisation, planning and implementation of a broad range of on-ground activities, including native title claim group meetings, PBC AGMs, PBC directors’ meeting, and other forms of community engagement. </w:t>
            </w:r>
          </w:p>
        </w:tc>
      </w:tr>
      <w:tr w:rsidR="00CD29E9" w14:paraId="776D8191" w14:textId="77777777" w:rsidTr="000B7200">
        <w:trPr>
          <w:cantSplit/>
        </w:trPr>
        <w:tc>
          <w:tcPr>
            <w:tcW w:w="0" w:type="auto"/>
          </w:tcPr>
          <w:p w14:paraId="7C58D843" w14:textId="07A0D872" w:rsidR="00CD29E9" w:rsidRDefault="00FD0306">
            <w:pPr>
              <w:rPr>
                <w:rFonts w:ascii="Calibri" w:hAnsi="Calibri" w:cs="Calibri"/>
                <w:b/>
                <w:bCs/>
              </w:rPr>
            </w:pPr>
            <w:r w:rsidRPr="00254C9E">
              <w:rPr>
                <w:rFonts w:ascii="Calibri" w:hAnsi="Calibri" w:cs="Calibri"/>
                <w:b/>
                <w:bCs/>
              </w:rPr>
              <w:lastRenderedPageBreak/>
              <w:t>Rec 4</w:t>
            </w:r>
            <w:r>
              <w:rPr>
                <w:rFonts w:ascii="Calibri" w:hAnsi="Calibri" w:cs="Calibri"/>
              </w:rPr>
              <w:t xml:space="preserve"> </w:t>
            </w:r>
            <w:r w:rsidRPr="00254C9E">
              <w:rPr>
                <w:rFonts w:ascii="Calibri" w:hAnsi="Calibri" w:cs="Calibri"/>
              </w:rPr>
              <w:t>Develop more culturally sensitive approaches to advising Traditional Owners on privacy considerations which may limit access to genealogical information.</w:t>
            </w:r>
          </w:p>
        </w:tc>
      </w:tr>
      <w:tr w:rsidR="00CD29E9" w14:paraId="078E0156" w14:textId="77777777" w:rsidTr="000B7200">
        <w:trPr>
          <w:cantSplit/>
        </w:trPr>
        <w:tc>
          <w:tcPr>
            <w:tcW w:w="0" w:type="auto"/>
          </w:tcPr>
          <w:p w14:paraId="1CCEF846" w14:textId="77777777" w:rsidR="00CD29E9" w:rsidRDefault="00A2620C">
            <w:pPr>
              <w:rPr>
                <w:rFonts w:ascii="Calibri" w:hAnsi="Calibri" w:cs="Calibri"/>
                <w:b/>
                <w:bCs/>
              </w:rPr>
            </w:pPr>
            <w:r>
              <w:rPr>
                <w:rFonts w:ascii="Calibri" w:hAnsi="Calibri" w:cs="Calibri"/>
                <w:b/>
                <w:bCs/>
              </w:rPr>
              <w:t>Response</w:t>
            </w:r>
          </w:p>
          <w:p w14:paraId="4B174BE7" w14:textId="77777777" w:rsidR="00A2620C" w:rsidRDefault="00A2620C" w:rsidP="00A2620C">
            <w:pPr>
              <w:rPr>
                <w:rFonts w:ascii="Calibri" w:hAnsi="Calibri" w:cs="Calibri"/>
                <w:lang w:val="en-US"/>
              </w:rPr>
            </w:pPr>
            <w:r>
              <w:rPr>
                <w:rFonts w:ascii="Calibri" w:hAnsi="Calibri" w:cs="Calibri"/>
                <w:lang w:val="en-US"/>
              </w:rPr>
              <w:t xml:space="preserve">Accepted. </w:t>
            </w:r>
          </w:p>
          <w:p w14:paraId="57C7B8C7" w14:textId="77777777" w:rsidR="00A2620C" w:rsidRDefault="00A2620C" w:rsidP="00A2620C">
            <w:pPr>
              <w:rPr>
                <w:rFonts w:ascii="Calibri" w:hAnsi="Calibri" w:cs="Calibri"/>
                <w:lang w:val="en-US"/>
              </w:rPr>
            </w:pPr>
            <w:r>
              <w:rPr>
                <w:rFonts w:ascii="Calibri" w:hAnsi="Calibri" w:cs="Calibri"/>
                <w:lang w:val="en-US"/>
              </w:rPr>
              <w:t xml:space="preserve">Implemented. </w:t>
            </w:r>
          </w:p>
          <w:p w14:paraId="24089EA9" w14:textId="77777777" w:rsidR="00A2620C" w:rsidRDefault="00A2620C" w:rsidP="00A2620C">
            <w:pPr>
              <w:rPr>
                <w:rFonts w:ascii="Calibri" w:hAnsi="Calibri" w:cs="Calibri"/>
                <w:lang w:val="en-US"/>
              </w:rPr>
            </w:pPr>
          </w:p>
          <w:p w14:paraId="77580A3F" w14:textId="79BB703D" w:rsidR="00A2620C" w:rsidRDefault="00A2620C" w:rsidP="00A2620C">
            <w:pPr>
              <w:rPr>
                <w:rFonts w:ascii="Calibri" w:hAnsi="Calibri" w:cs="Calibri"/>
                <w:b/>
                <w:bCs/>
              </w:rPr>
            </w:pPr>
            <w:r w:rsidRPr="00891486">
              <w:rPr>
                <w:rFonts w:ascii="Calibri" w:hAnsi="Calibri" w:cs="Calibri"/>
              </w:rPr>
              <w:t>KLC has developed communication materials regarding family tree requests and distributes these broadly. </w:t>
            </w:r>
          </w:p>
        </w:tc>
      </w:tr>
      <w:tr w:rsidR="00CD29E9" w14:paraId="19B926ED" w14:textId="77777777" w:rsidTr="000B7200">
        <w:trPr>
          <w:cantSplit/>
        </w:trPr>
        <w:tc>
          <w:tcPr>
            <w:tcW w:w="0" w:type="auto"/>
            <w:shd w:val="clear" w:color="auto" w:fill="C1E4F5" w:themeFill="accent1" w:themeFillTint="33"/>
          </w:tcPr>
          <w:p w14:paraId="42783C96" w14:textId="5C2E6ABB" w:rsidR="00CD29E9" w:rsidRDefault="00F3038B">
            <w:pPr>
              <w:rPr>
                <w:rFonts w:ascii="Calibri" w:hAnsi="Calibri" w:cs="Calibri"/>
                <w:b/>
                <w:bCs/>
              </w:rPr>
            </w:pPr>
            <w:r w:rsidRPr="00C922AF">
              <w:rPr>
                <w:rFonts w:ascii="Calibri" w:hAnsi="Calibri" w:cs="Calibri"/>
                <w:b/>
                <w:bCs/>
                <w:lang w:val="en-GB"/>
              </w:rPr>
              <w:t>TOR 4</w:t>
            </w:r>
            <w:r w:rsidRPr="00C922AF">
              <w:rPr>
                <w:rFonts w:ascii="Calibri" w:hAnsi="Calibri" w:cs="Calibri"/>
                <w:lang w:val="en-GB"/>
              </w:rPr>
              <w:t xml:space="preserve"> Extent to which each organisation performs its functions in a cost-effective manner, including by identifying the key cost drivers for the organisation.</w:t>
            </w:r>
          </w:p>
        </w:tc>
      </w:tr>
      <w:tr w:rsidR="00F3038B" w14:paraId="7D3EE3BA" w14:textId="77777777" w:rsidTr="000B7200">
        <w:trPr>
          <w:cantSplit/>
        </w:trPr>
        <w:tc>
          <w:tcPr>
            <w:tcW w:w="0" w:type="auto"/>
          </w:tcPr>
          <w:p w14:paraId="6A5C97F8" w14:textId="0C7129D1" w:rsidR="00F3038B" w:rsidRPr="00AD78F8" w:rsidRDefault="00AD78F8">
            <w:pPr>
              <w:rPr>
                <w:rFonts w:ascii="Calibri" w:hAnsi="Calibri" w:cs="Calibri"/>
                <w:lang w:val="en-GB"/>
              </w:rPr>
            </w:pPr>
            <w:r>
              <w:rPr>
                <w:rFonts w:ascii="Calibri" w:hAnsi="Calibri" w:cs="Calibri"/>
                <w:b/>
                <w:bCs/>
                <w:lang w:val="en-GB"/>
              </w:rPr>
              <w:t xml:space="preserve">Rec </w:t>
            </w:r>
            <w:r>
              <w:rPr>
                <w:rFonts w:ascii="Calibri" w:hAnsi="Calibri" w:cs="Calibri"/>
                <w:lang w:val="en-GB"/>
              </w:rPr>
              <w:t>Nil</w:t>
            </w:r>
            <w:r w:rsidR="006405E5">
              <w:rPr>
                <w:rFonts w:ascii="Calibri" w:hAnsi="Calibri" w:cs="Calibri"/>
                <w:lang w:val="en-GB"/>
              </w:rPr>
              <w:t xml:space="preserve"> recommendations</w:t>
            </w:r>
          </w:p>
        </w:tc>
      </w:tr>
      <w:tr w:rsidR="00F3038B" w14:paraId="2CA91B10" w14:textId="77777777" w:rsidTr="000B7200">
        <w:trPr>
          <w:cantSplit/>
        </w:trPr>
        <w:tc>
          <w:tcPr>
            <w:tcW w:w="0" w:type="auto"/>
            <w:shd w:val="clear" w:color="auto" w:fill="C1E4F5" w:themeFill="accent1" w:themeFillTint="33"/>
          </w:tcPr>
          <w:p w14:paraId="27B382AE" w14:textId="5EAD8B6B" w:rsidR="00F3038B" w:rsidRPr="00C922AF" w:rsidRDefault="0001702E">
            <w:pPr>
              <w:rPr>
                <w:rFonts w:ascii="Calibri" w:hAnsi="Calibri" w:cs="Calibri"/>
                <w:b/>
                <w:bCs/>
                <w:lang w:val="en-GB"/>
              </w:rPr>
            </w:pPr>
            <w:r w:rsidRPr="00C922AF">
              <w:rPr>
                <w:rFonts w:ascii="Calibri" w:hAnsi="Calibri" w:cs="Calibri"/>
                <w:b/>
                <w:bCs/>
                <w:lang w:val="en-US"/>
              </w:rPr>
              <w:t>TOR 5</w:t>
            </w:r>
            <w:r w:rsidRPr="00C922AF">
              <w:rPr>
                <w:rFonts w:ascii="Calibri" w:hAnsi="Calibri" w:cs="Calibri"/>
                <w:lang w:val="en-US"/>
              </w:rPr>
              <w:t xml:space="preserve"> </w:t>
            </w:r>
            <w:r w:rsidRPr="00C922AF">
              <w:rPr>
                <w:rFonts w:ascii="Calibri" w:hAnsi="Calibri" w:cs="Calibri"/>
                <w:lang w:val="en-GB"/>
              </w:rPr>
              <w:t>Extent to which each organisation has governance and management structures, and organisational policies and an organisational culture that support efficient and effective project delivery.</w:t>
            </w:r>
            <w:r w:rsidRPr="00C922AF">
              <w:rPr>
                <w:rFonts w:ascii="Calibri" w:hAnsi="Calibri" w:cs="Calibri"/>
              </w:rPr>
              <w:t> </w:t>
            </w:r>
            <w:r w:rsidR="00B04F93" w:rsidRPr="00B04F93">
              <w:rPr>
                <w:rFonts w:ascii="Calibri" w:hAnsi="Calibri" w:cs="Calibri"/>
                <w:b/>
                <w:bCs/>
              </w:rPr>
              <w:t xml:space="preserve">(Rec </w:t>
            </w:r>
            <w:r w:rsidR="00B04F93">
              <w:rPr>
                <w:rFonts w:ascii="Calibri" w:hAnsi="Calibri" w:cs="Calibri"/>
                <w:b/>
                <w:bCs/>
              </w:rPr>
              <w:t>5-7</w:t>
            </w:r>
            <w:r w:rsidR="00B04F93" w:rsidRPr="00B04F93">
              <w:rPr>
                <w:rFonts w:ascii="Calibri" w:hAnsi="Calibri" w:cs="Calibri"/>
                <w:b/>
                <w:bCs/>
              </w:rPr>
              <w:t>)</w:t>
            </w:r>
          </w:p>
        </w:tc>
      </w:tr>
      <w:tr w:rsidR="00F3038B" w14:paraId="1802067D" w14:textId="77777777" w:rsidTr="000B7200">
        <w:trPr>
          <w:cantSplit/>
        </w:trPr>
        <w:tc>
          <w:tcPr>
            <w:tcW w:w="0" w:type="auto"/>
          </w:tcPr>
          <w:p w14:paraId="4029A093" w14:textId="0643DEA5" w:rsidR="00F3038B" w:rsidRPr="00C922AF" w:rsidRDefault="00342A61">
            <w:pPr>
              <w:rPr>
                <w:rFonts w:ascii="Calibri" w:hAnsi="Calibri" w:cs="Calibri"/>
                <w:b/>
                <w:bCs/>
                <w:lang w:val="en-GB"/>
              </w:rPr>
            </w:pPr>
            <w:r w:rsidRPr="00891486">
              <w:rPr>
                <w:rFonts w:ascii="Calibri" w:hAnsi="Calibri" w:cs="Calibri"/>
                <w:b/>
                <w:bCs/>
                <w:lang w:val="en-US"/>
              </w:rPr>
              <w:t>Rec 5</w:t>
            </w:r>
            <w:r>
              <w:rPr>
                <w:rFonts w:ascii="Calibri" w:hAnsi="Calibri" w:cs="Calibri"/>
                <w:lang w:val="en-US"/>
              </w:rPr>
              <w:t xml:space="preserve"> </w:t>
            </w:r>
            <w:r w:rsidRPr="00891486">
              <w:rPr>
                <w:rFonts w:ascii="Calibri" w:hAnsi="Calibri" w:cs="Calibri"/>
                <w:lang w:val="en-US"/>
              </w:rPr>
              <w:t xml:space="preserve">Monitor and develop strategies to mitigate the risk that the restructured Board arrangements may be seen by Traditional Owners to be a means of </w:t>
            </w:r>
            <w:proofErr w:type="spellStart"/>
            <w:r w:rsidRPr="00891486">
              <w:rPr>
                <w:rFonts w:ascii="Calibri" w:hAnsi="Calibri" w:cs="Calibri"/>
                <w:lang w:val="en-US"/>
              </w:rPr>
              <w:t>centralising</w:t>
            </w:r>
            <w:proofErr w:type="spellEnd"/>
            <w:r w:rsidRPr="00891486">
              <w:rPr>
                <w:rFonts w:ascii="Calibri" w:hAnsi="Calibri" w:cs="Calibri"/>
                <w:lang w:val="en-US"/>
              </w:rPr>
              <w:t xml:space="preserve"> influence in a small number of representatives.</w:t>
            </w:r>
            <w:r w:rsidRPr="00891486">
              <w:rPr>
                <w:rFonts w:ascii="Calibri" w:hAnsi="Calibri" w:cs="Calibri"/>
              </w:rPr>
              <w:t> </w:t>
            </w:r>
          </w:p>
        </w:tc>
      </w:tr>
      <w:tr w:rsidR="00F3038B" w14:paraId="3427A001" w14:textId="77777777" w:rsidTr="000B7200">
        <w:trPr>
          <w:cantSplit/>
        </w:trPr>
        <w:tc>
          <w:tcPr>
            <w:tcW w:w="0" w:type="auto"/>
          </w:tcPr>
          <w:p w14:paraId="45AFB55A" w14:textId="77777777" w:rsidR="00F3038B" w:rsidRDefault="002652B4">
            <w:pPr>
              <w:rPr>
                <w:rFonts w:ascii="Calibri" w:hAnsi="Calibri" w:cs="Calibri"/>
                <w:b/>
                <w:bCs/>
                <w:lang w:val="en-GB"/>
              </w:rPr>
            </w:pPr>
            <w:r>
              <w:rPr>
                <w:rFonts w:ascii="Calibri" w:hAnsi="Calibri" w:cs="Calibri"/>
                <w:b/>
                <w:bCs/>
                <w:lang w:val="en-GB"/>
              </w:rPr>
              <w:t>Response</w:t>
            </w:r>
          </w:p>
          <w:p w14:paraId="5C513030" w14:textId="726004EC" w:rsidR="00B70C52" w:rsidRDefault="00B70C52" w:rsidP="00B70C52">
            <w:pPr>
              <w:rPr>
                <w:rFonts w:ascii="Calibri" w:hAnsi="Calibri" w:cs="Calibri"/>
              </w:rPr>
            </w:pPr>
            <w:r>
              <w:rPr>
                <w:rFonts w:ascii="Calibri" w:hAnsi="Calibri" w:cs="Calibri"/>
              </w:rPr>
              <w:t>Accepted. Noting</w:t>
            </w:r>
            <w:r w:rsidRPr="009568C4">
              <w:rPr>
                <w:rFonts w:ascii="Calibri" w:hAnsi="Calibri" w:cs="Calibri"/>
                <w:lang w:val="en-US"/>
              </w:rPr>
              <w:t xml:space="preserve"> that KLC does not agree that the governance structure </w:t>
            </w:r>
            <w:proofErr w:type="spellStart"/>
            <w:r w:rsidRPr="009568C4">
              <w:rPr>
                <w:rFonts w:ascii="Calibri" w:hAnsi="Calibri" w:cs="Calibri"/>
                <w:lang w:val="en-US"/>
              </w:rPr>
              <w:t>centralises</w:t>
            </w:r>
            <w:proofErr w:type="spellEnd"/>
            <w:r w:rsidRPr="009568C4">
              <w:rPr>
                <w:rFonts w:ascii="Calibri" w:hAnsi="Calibri" w:cs="Calibri"/>
                <w:lang w:val="en-US"/>
              </w:rPr>
              <w:t xml:space="preserve"> influence, but only that it recommends ongoing communication with its members about the governance structure.</w:t>
            </w:r>
            <w:r w:rsidRPr="009568C4">
              <w:rPr>
                <w:rFonts w:ascii="Calibri" w:hAnsi="Calibri" w:cs="Calibri"/>
              </w:rPr>
              <w:t> </w:t>
            </w:r>
          </w:p>
          <w:p w14:paraId="31B29AAC" w14:textId="77777777" w:rsidR="00B70C52" w:rsidRDefault="00B70C52" w:rsidP="00B70C52">
            <w:pPr>
              <w:rPr>
                <w:rFonts w:ascii="Calibri" w:hAnsi="Calibri" w:cs="Calibri"/>
              </w:rPr>
            </w:pPr>
            <w:r>
              <w:rPr>
                <w:rFonts w:ascii="Calibri" w:hAnsi="Calibri" w:cs="Calibri"/>
              </w:rPr>
              <w:t xml:space="preserve">Implemented in part. </w:t>
            </w:r>
          </w:p>
          <w:p w14:paraId="2BE48E47" w14:textId="77777777" w:rsidR="00B70C52" w:rsidRDefault="00B70C52" w:rsidP="00B70C52">
            <w:pPr>
              <w:rPr>
                <w:rFonts w:ascii="Calibri" w:hAnsi="Calibri" w:cs="Calibri"/>
              </w:rPr>
            </w:pPr>
          </w:p>
          <w:p w14:paraId="74D540E6" w14:textId="7A3312CE" w:rsidR="002652B4" w:rsidRPr="00C922AF" w:rsidRDefault="00B70C52" w:rsidP="00B70C52">
            <w:pPr>
              <w:rPr>
                <w:rFonts w:ascii="Calibri" w:hAnsi="Calibri" w:cs="Calibri"/>
                <w:b/>
                <w:bCs/>
                <w:lang w:val="en-GB"/>
              </w:rPr>
            </w:pPr>
            <w:r w:rsidRPr="00597DC2">
              <w:rPr>
                <w:rFonts w:ascii="Calibri" w:hAnsi="Calibri" w:cs="Calibri"/>
              </w:rPr>
              <w:t>While KLC accepts this recommendation to the extent it requires monitoring and development of a strategy, KLC is not aware (other than through the Nous Report) of the existence of a perception that the current governance structure has created centralised influence.  This presents a challenge in identifying the stakeholders it should communicate with on this issue and the most appropriate communication mechanism. Pending clarification on this point, KLC will continue to provide information to its members and other stakeholders through the KLC website and other communications channels about the membership and structure of the Representative Council and Executive Board.</w:t>
            </w:r>
          </w:p>
        </w:tc>
      </w:tr>
      <w:tr w:rsidR="00F3038B" w14:paraId="3676E60B" w14:textId="77777777" w:rsidTr="000B7200">
        <w:trPr>
          <w:cantSplit/>
        </w:trPr>
        <w:tc>
          <w:tcPr>
            <w:tcW w:w="0" w:type="auto"/>
          </w:tcPr>
          <w:p w14:paraId="7240AE98" w14:textId="68653BC1" w:rsidR="00F3038B" w:rsidRPr="00C922AF" w:rsidRDefault="00FA2A8C">
            <w:pPr>
              <w:rPr>
                <w:rFonts w:ascii="Calibri" w:hAnsi="Calibri" w:cs="Calibri"/>
                <w:b/>
                <w:bCs/>
                <w:lang w:val="en-GB"/>
              </w:rPr>
            </w:pPr>
            <w:r w:rsidRPr="00A32B36">
              <w:rPr>
                <w:rFonts w:ascii="Calibri" w:hAnsi="Calibri" w:cs="Calibri"/>
                <w:b/>
                <w:bCs/>
                <w:lang w:val="en-US"/>
              </w:rPr>
              <w:t>Rec 6</w:t>
            </w:r>
            <w:r>
              <w:rPr>
                <w:rFonts w:ascii="Calibri" w:hAnsi="Calibri" w:cs="Calibri"/>
                <w:lang w:val="en-US"/>
              </w:rPr>
              <w:t xml:space="preserve"> </w:t>
            </w:r>
            <w:r w:rsidRPr="00A32B36">
              <w:rPr>
                <w:rFonts w:ascii="Calibri" w:hAnsi="Calibri" w:cs="Calibri"/>
                <w:lang w:val="en-US"/>
              </w:rPr>
              <w:t>Communicate regularly to Traditional Owners about the implementation of recommendations made by the inquiry into the KSDCT.</w:t>
            </w:r>
            <w:r w:rsidRPr="00A32B36">
              <w:rPr>
                <w:rFonts w:ascii="Calibri" w:hAnsi="Calibri" w:cs="Calibri"/>
              </w:rPr>
              <w:t> </w:t>
            </w:r>
          </w:p>
        </w:tc>
      </w:tr>
      <w:tr w:rsidR="00F3038B" w14:paraId="35C53957" w14:textId="77777777" w:rsidTr="000B7200">
        <w:trPr>
          <w:cantSplit/>
        </w:trPr>
        <w:tc>
          <w:tcPr>
            <w:tcW w:w="0" w:type="auto"/>
          </w:tcPr>
          <w:p w14:paraId="2A96F605" w14:textId="77777777" w:rsidR="00F3038B" w:rsidRDefault="0063563D">
            <w:pPr>
              <w:rPr>
                <w:rFonts w:ascii="Calibri" w:hAnsi="Calibri" w:cs="Calibri"/>
                <w:b/>
                <w:bCs/>
                <w:lang w:val="en-GB"/>
              </w:rPr>
            </w:pPr>
            <w:r>
              <w:rPr>
                <w:rFonts w:ascii="Calibri" w:hAnsi="Calibri" w:cs="Calibri"/>
                <w:b/>
                <w:bCs/>
                <w:lang w:val="en-GB"/>
              </w:rPr>
              <w:t>Response</w:t>
            </w:r>
          </w:p>
          <w:p w14:paraId="7C68F2A2" w14:textId="77777777" w:rsidR="0063563D" w:rsidRDefault="0063563D" w:rsidP="0063563D">
            <w:pPr>
              <w:rPr>
                <w:rFonts w:ascii="Calibri" w:hAnsi="Calibri" w:cs="Calibri"/>
                <w:lang w:val="en-US"/>
              </w:rPr>
            </w:pPr>
            <w:r>
              <w:rPr>
                <w:rFonts w:ascii="Calibri" w:hAnsi="Calibri" w:cs="Calibri"/>
                <w:lang w:val="en-US"/>
              </w:rPr>
              <w:t xml:space="preserve">Accepted. </w:t>
            </w:r>
          </w:p>
          <w:p w14:paraId="6131225E" w14:textId="77777777" w:rsidR="0063563D" w:rsidRDefault="0063563D" w:rsidP="0063563D">
            <w:pPr>
              <w:rPr>
                <w:rFonts w:ascii="Calibri" w:hAnsi="Calibri" w:cs="Calibri"/>
                <w:lang w:val="en-US"/>
              </w:rPr>
            </w:pPr>
            <w:r>
              <w:rPr>
                <w:rFonts w:ascii="Calibri" w:hAnsi="Calibri" w:cs="Calibri"/>
                <w:lang w:val="en-US"/>
              </w:rPr>
              <w:t xml:space="preserve">Implemented in part. </w:t>
            </w:r>
          </w:p>
          <w:p w14:paraId="3500512E" w14:textId="77777777" w:rsidR="0063563D" w:rsidRDefault="0063563D" w:rsidP="0063563D">
            <w:pPr>
              <w:rPr>
                <w:rFonts w:ascii="Calibri" w:hAnsi="Calibri" w:cs="Calibri"/>
                <w:lang w:val="en-US"/>
              </w:rPr>
            </w:pPr>
          </w:p>
          <w:p w14:paraId="3C2014A8" w14:textId="54E18090" w:rsidR="0063563D" w:rsidRPr="00C922AF" w:rsidRDefault="0063563D" w:rsidP="0063563D">
            <w:pPr>
              <w:rPr>
                <w:rFonts w:ascii="Calibri" w:hAnsi="Calibri" w:cs="Calibri"/>
                <w:b/>
                <w:bCs/>
                <w:lang w:val="en-GB"/>
              </w:rPr>
            </w:pPr>
            <w:r w:rsidRPr="00641FDD">
              <w:rPr>
                <w:rFonts w:ascii="Calibri" w:hAnsi="Calibri" w:cs="Calibri"/>
              </w:rPr>
              <w:t>KLC’s response to the recommendation is ongoing.  Public communications will commence once appropriate internal arrangements are in place (including communications with staff).</w:t>
            </w:r>
            <w:r>
              <w:rPr>
                <w:rFonts w:ascii="Calibri" w:hAnsi="Calibri" w:cs="Calibri"/>
              </w:rPr>
              <w:t xml:space="preserve">  </w:t>
            </w:r>
            <w:r w:rsidRPr="00641FDD">
              <w:rPr>
                <w:rFonts w:ascii="Calibri" w:hAnsi="Calibri" w:cs="Calibri"/>
              </w:rPr>
              <w:t>The timeframe</w:t>
            </w:r>
            <w:r w:rsidR="00F23CF0">
              <w:rPr>
                <w:rFonts w:ascii="Calibri" w:hAnsi="Calibri" w:cs="Calibri"/>
              </w:rPr>
              <w:t xml:space="preserve"> </w:t>
            </w:r>
            <w:r w:rsidR="00F23CF0" w:rsidRPr="00641FDD">
              <w:rPr>
                <w:rFonts w:ascii="Calibri" w:hAnsi="Calibri" w:cs="Calibri"/>
              </w:rPr>
              <w:t>for this is expected to be from early 2025. </w:t>
            </w:r>
          </w:p>
        </w:tc>
      </w:tr>
      <w:tr w:rsidR="00F3038B" w14:paraId="2B919A83" w14:textId="77777777" w:rsidTr="000B7200">
        <w:trPr>
          <w:cantSplit/>
        </w:trPr>
        <w:tc>
          <w:tcPr>
            <w:tcW w:w="0" w:type="auto"/>
          </w:tcPr>
          <w:p w14:paraId="21072E8D" w14:textId="03416CEE" w:rsidR="00F3038B" w:rsidRPr="00C922AF" w:rsidRDefault="00EE190F">
            <w:pPr>
              <w:rPr>
                <w:rFonts w:ascii="Calibri" w:hAnsi="Calibri" w:cs="Calibri"/>
                <w:b/>
                <w:bCs/>
                <w:lang w:val="en-GB"/>
              </w:rPr>
            </w:pPr>
            <w:r w:rsidRPr="007066D3">
              <w:rPr>
                <w:rFonts w:ascii="Calibri" w:hAnsi="Calibri" w:cs="Calibri"/>
                <w:b/>
                <w:bCs/>
              </w:rPr>
              <w:t>Rec 7</w:t>
            </w:r>
            <w:r>
              <w:rPr>
                <w:rFonts w:ascii="Calibri" w:hAnsi="Calibri" w:cs="Calibri"/>
              </w:rPr>
              <w:t xml:space="preserve"> </w:t>
            </w:r>
            <w:r w:rsidRPr="007066D3">
              <w:rPr>
                <w:rFonts w:ascii="Calibri" w:hAnsi="Calibri" w:cs="Calibri"/>
              </w:rPr>
              <w:t>Develop a policy and communication materials to demonstrate to the community the separation between KLC and its wholly owned subsidiary KSD. </w:t>
            </w:r>
          </w:p>
        </w:tc>
      </w:tr>
      <w:tr w:rsidR="00F3038B" w14:paraId="51CFE3E1" w14:textId="77777777" w:rsidTr="000B7200">
        <w:trPr>
          <w:cantSplit/>
        </w:trPr>
        <w:tc>
          <w:tcPr>
            <w:tcW w:w="0" w:type="auto"/>
          </w:tcPr>
          <w:p w14:paraId="16614893" w14:textId="5DAE27C6" w:rsidR="00F3038B" w:rsidRDefault="00F74FEE" w:rsidP="00F74FEE">
            <w:pPr>
              <w:rPr>
                <w:rFonts w:ascii="Calibri" w:hAnsi="Calibri" w:cs="Calibri"/>
                <w:b/>
                <w:bCs/>
                <w:lang w:val="en-GB"/>
              </w:rPr>
            </w:pPr>
            <w:r>
              <w:rPr>
                <w:rFonts w:ascii="Calibri" w:hAnsi="Calibri" w:cs="Calibri"/>
                <w:b/>
                <w:bCs/>
                <w:lang w:val="en-GB"/>
              </w:rPr>
              <w:lastRenderedPageBreak/>
              <w:t>Response</w:t>
            </w:r>
          </w:p>
          <w:p w14:paraId="2D29DD09" w14:textId="77777777" w:rsidR="00F74FEE" w:rsidRDefault="00F74FEE" w:rsidP="00F74FEE">
            <w:pPr>
              <w:rPr>
                <w:rFonts w:ascii="Calibri" w:hAnsi="Calibri" w:cs="Calibri"/>
                <w:lang w:val="en-US"/>
              </w:rPr>
            </w:pPr>
            <w:r>
              <w:rPr>
                <w:rFonts w:ascii="Calibri" w:hAnsi="Calibri" w:cs="Calibri"/>
                <w:lang w:val="en-US"/>
              </w:rPr>
              <w:t xml:space="preserve">Accepted. </w:t>
            </w:r>
          </w:p>
          <w:p w14:paraId="3A116D80" w14:textId="77777777" w:rsidR="00F74FEE" w:rsidRDefault="00F74FEE" w:rsidP="00F74FEE">
            <w:pPr>
              <w:rPr>
                <w:rFonts w:ascii="Calibri" w:hAnsi="Calibri" w:cs="Calibri"/>
                <w:lang w:val="en-US"/>
              </w:rPr>
            </w:pPr>
            <w:r>
              <w:rPr>
                <w:rFonts w:ascii="Calibri" w:hAnsi="Calibri" w:cs="Calibri"/>
                <w:lang w:val="en-US"/>
              </w:rPr>
              <w:t xml:space="preserve">Implemented in part. </w:t>
            </w:r>
          </w:p>
          <w:p w14:paraId="047BE6C7" w14:textId="77777777" w:rsidR="00F74FEE" w:rsidRDefault="00F74FEE" w:rsidP="00F74FEE">
            <w:pPr>
              <w:rPr>
                <w:rFonts w:ascii="Calibri" w:hAnsi="Calibri" w:cs="Calibri"/>
                <w:lang w:val="en-US"/>
              </w:rPr>
            </w:pPr>
          </w:p>
          <w:p w14:paraId="5D16E158" w14:textId="7B71022D" w:rsidR="00F74FEE" w:rsidRPr="00C922AF" w:rsidRDefault="00F74FEE" w:rsidP="00F74FEE">
            <w:pPr>
              <w:rPr>
                <w:rFonts w:ascii="Calibri" w:hAnsi="Calibri" w:cs="Calibri"/>
                <w:b/>
                <w:bCs/>
                <w:lang w:val="en-GB"/>
              </w:rPr>
            </w:pPr>
            <w:r w:rsidRPr="00157C77">
              <w:rPr>
                <w:rFonts w:ascii="Calibri" w:hAnsi="Calibri" w:cs="Calibri"/>
              </w:rPr>
              <w:t>KLC’s response to this recommendation will occur in coordination with its response to recommendation 6. The timeframe for this is expected to be from early 2025. </w:t>
            </w:r>
          </w:p>
        </w:tc>
      </w:tr>
      <w:tr w:rsidR="00F3038B" w14:paraId="52D46451" w14:textId="77777777" w:rsidTr="000B7200">
        <w:trPr>
          <w:cantSplit/>
        </w:trPr>
        <w:tc>
          <w:tcPr>
            <w:tcW w:w="0" w:type="auto"/>
            <w:shd w:val="clear" w:color="auto" w:fill="C1E4F5" w:themeFill="accent1" w:themeFillTint="33"/>
          </w:tcPr>
          <w:p w14:paraId="79E7F5FA" w14:textId="00502901" w:rsidR="00F3038B" w:rsidRPr="000C75D2" w:rsidRDefault="000C75D2">
            <w:pPr>
              <w:rPr>
                <w:rFonts w:ascii="Calibri" w:hAnsi="Calibri" w:cs="Calibri"/>
                <w:b/>
                <w:bCs/>
                <w:lang w:val="en-US"/>
              </w:rPr>
            </w:pPr>
            <w:r w:rsidRPr="00C922AF">
              <w:rPr>
                <w:rFonts w:ascii="Calibri" w:hAnsi="Calibri" w:cs="Calibri"/>
                <w:b/>
                <w:bCs/>
                <w:lang w:val="en-US"/>
              </w:rPr>
              <w:t>TOR 6</w:t>
            </w:r>
            <w:r w:rsidRPr="00C922AF">
              <w:rPr>
                <w:rFonts w:ascii="Calibri" w:hAnsi="Calibri" w:cs="Calibri"/>
                <w:lang w:val="en-US"/>
              </w:rPr>
              <w:t xml:space="preserve"> </w:t>
            </w:r>
            <w:r w:rsidRPr="00C922AF">
              <w:rPr>
                <w:rFonts w:ascii="Calibri" w:hAnsi="Calibri" w:cs="Calibri"/>
                <w:lang w:val="en-GB"/>
              </w:rPr>
              <w:t>Extent to which each organisation is adequately supporting Prescribed Body Corporates towards self-sufficiency.</w:t>
            </w:r>
            <w:r w:rsidRPr="00C922AF">
              <w:rPr>
                <w:rFonts w:ascii="Calibri" w:hAnsi="Calibri" w:cs="Calibri"/>
              </w:rPr>
              <w:t> </w:t>
            </w:r>
            <w:r w:rsidR="00BD449B" w:rsidRPr="00BD449B">
              <w:rPr>
                <w:rFonts w:ascii="Calibri" w:hAnsi="Calibri" w:cs="Calibri"/>
                <w:b/>
                <w:bCs/>
              </w:rPr>
              <w:t>(Rec 8-9)</w:t>
            </w:r>
          </w:p>
        </w:tc>
      </w:tr>
      <w:tr w:rsidR="00F3038B" w14:paraId="43A3DE64" w14:textId="77777777" w:rsidTr="000B7200">
        <w:trPr>
          <w:cantSplit/>
        </w:trPr>
        <w:tc>
          <w:tcPr>
            <w:tcW w:w="0" w:type="auto"/>
          </w:tcPr>
          <w:p w14:paraId="1B666E58" w14:textId="09E18E9D" w:rsidR="00F3038B" w:rsidRPr="00C922AF" w:rsidRDefault="001D1BFA">
            <w:pPr>
              <w:rPr>
                <w:rFonts w:ascii="Calibri" w:hAnsi="Calibri" w:cs="Calibri"/>
                <w:b/>
                <w:bCs/>
                <w:lang w:val="en-GB"/>
              </w:rPr>
            </w:pPr>
            <w:r w:rsidRPr="00BF1ACE">
              <w:rPr>
                <w:rFonts w:ascii="Calibri" w:hAnsi="Calibri" w:cs="Calibri"/>
                <w:b/>
                <w:bCs/>
                <w:lang w:val="en-US"/>
              </w:rPr>
              <w:t>Rec 8</w:t>
            </w:r>
            <w:r>
              <w:rPr>
                <w:rFonts w:ascii="Calibri" w:hAnsi="Calibri" w:cs="Calibri"/>
                <w:lang w:val="en-US"/>
              </w:rPr>
              <w:t xml:space="preserve"> </w:t>
            </w:r>
            <w:r w:rsidRPr="00BF1ACE">
              <w:rPr>
                <w:rFonts w:ascii="Calibri" w:hAnsi="Calibri" w:cs="Calibri"/>
                <w:lang w:val="en-US"/>
              </w:rPr>
              <w:t>Ensure ongoing mechanisms to collect feedback from client PBCs through a formal, regularly conducted process.</w:t>
            </w:r>
            <w:r w:rsidRPr="00BF1ACE">
              <w:rPr>
                <w:rFonts w:ascii="Calibri" w:hAnsi="Calibri" w:cs="Calibri"/>
              </w:rPr>
              <w:t> </w:t>
            </w:r>
          </w:p>
        </w:tc>
      </w:tr>
      <w:tr w:rsidR="00F3038B" w14:paraId="14E43837" w14:textId="77777777" w:rsidTr="000B7200">
        <w:trPr>
          <w:cantSplit/>
        </w:trPr>
        <w:tc>
          <w:tcPr>
            <w:tcW w:w="0" w:type="auto"/>
          </w:tcPr>
          <w:p w14:paraId="6514ECF0" w14:textId="77777777" w:rsidR="00F3038B" w:rsidRDefault="007B7675">
            <w:pPr>
              <w:rPr>
                <w:rFonts w:ascii="Calibri" w:hAnsi="Calibri" w:cs="Calibri"/>
                <w:b/>
                <w:bCs/>
                <w:lang w:val="en-GB"/>
              </w:rPr>
            </w:pPr>
            <w:r>
              <w:rPr>
                <w:rFonts w:ascii="Calibri" w:hAnsi="Calibri" w:cs="Calibri"/>
                <w:b/>
                <w:bCs/>
                <w:lang w:val="en-GB"/>
              </w:rPr>
              <w:t>Response</w:t>
            </w:r>
          </w:p>
          <w:p w14:paraId="086AC60F" w14:textId="77777777" w:rsidR="00FE1A45" w:rsidRDefault="00FE1A45" w:rsidP="00FE1A45">
            <w:pPr>
              <w:rPr>
                <w:rFonts w:ascii="Calibri" w:hAnsi="Calibri" w:cs="Calibri"/>
                <w:lang w:val="en-US"/>
              </w:rPr>
            </w:pPr>
            <w:r>
              <w:rPr>
                <w:rFonts w:ascii="Calibri" w:hAnsi="Calibri" w:cs="Calibri"/>
                <w:lang w:val="en-US"/>
              </w:rPr>
              <w:t>Accepted</w:t>
            </w:r>
            <w:r w:rsidRPr="00B12D85">
              <w:rPr>
                <w:rFonts w:ascii="Calibri" w:hAnsi="Calibri" w:cs="Calibri"/>
                <w:lang w:val="en-US"/>
              </w:rPr>
              <w:t xml:space="preserve"> (subject to resources and </w:t>
            </w:r>
            <w:proofErr w:type="spellStart"/>
            <w:r w:rsidRPr="00B12D85">
              <w:rPr>
                <w:rFonts w:ascii="Calibri" w:hAnsi="Calibri" w:cs="Calibri"/>
                <w:lang w:val="en-US"/>
              </w:rPr>
              <w:t>prioritisation</w:t>
            </w:r>
            <w:proofErr w:type="spellEnd"/>
            <w:r w:rsidRPr="00B12D85">
              <w:rPr>
                <w:rFonts w:ascii="Calibri" w:hAnsi="Calibri" w:cs="Calibri"/>
                <w:lang w:val="en-US"/>
              </w:rPr>
              <w:t>)</w:t>
            </w:r>
            <w:r>
              <w:rPr>
                <w:rFonts w:ascii="Calibri" w:hAnsi="Calibri" w:cs="Calibri"/>
                <w:lang w:val="en-US"/>
              </w:rPr>
              <w:t>.</w:t>
            </w:r>
          </w:p>
          <w:p w14:paraId="033CF443" w14:textId="77777777" w:rsidR="00FE1A45" w:rsidRDefault="00FE1A45" w:rsidP="00FE1A45">
            <w:pPr>
              <w:rPr>
                <w:rFonts w:ascii="Calibri" w:hAnsi="Calibri" w:cs="Calibri"/>
                <w:lang w:val="en-US"/>
              </w:rPr>
            </w:pPr>
            <w:r w:rsidRPr="004A6E45">
              <w:rPr>
                <w:rFonts w:ascii="Calibri" w:hAnsi="Calibri" w:cs="Calibri"/>
                <w:lang w:val="en-US"/>
              </w:rPr>
              <w:t>Yet to be implemented.</w:t>
            </w:r>
            <w:r>
              <w:rPr>
                <w:rFonts w:ascii="Calibri" w:hAnsi="Calibri" w:cs="Calibri"/>
                <w:lang w:val="en-US"/>
              </w:rPr>
              <w:t xml:space="preserve"> </w:t>
            </w:r>
          </w:p>
          <w:p w14:paraId="54735467" w14:textId="77777777" w:rsidR="00FE1A45" w:rsidRDefault="00FE1A45" w:rsidP="00FE1A45">
            <w:pPr>
              <w:rPr>
                <w:rFonts w:ascii="Calibri" w:hAnsi="Calibri" w:cs="Calibri"/>
                <w:lang w:val="en-US"/>
              </w:rPr>
            </w:pPr>
          </w:p>
          <w:p w14:paraId="4D38BE2A" w14:textId="6779D7BF" w:rsidR="007B7675" w:rsidRPr="00C922AF" w:rsidRDefault="00FE1A45" w:rsidP="00FE1A45">
            <w:pPr>
              <w:rPr>
                <w:rFonts w:ascii="Calibri" w:hAnsi="Calibri" w:cs="Calibri"/>
                <w:b/>
                <w:bCs/>
                <w:lang w:val="en-GB"/>
              </w:rPr>
            </w:pPr>
            <w:r w:rsidRPr="00831659">
              <w:rPr>
                <w:rFonts w:ascii="Calibri" w:hAnsi="Calibri" w:cs="Calibri"/>
              </w:rPr>
              <w:t xml:space="preserve">While KLC has conducted extensive engagement with members and other Kimberley Traditional Owners in the past to collect feedback, these have not yet been put in place for PBCs.  Development of the feedback tool will be subject to available </w:t>
            </w:r>
            <w:proofErr w:type="gramStart"/>
            <w:r w:rsidRPr="00831659">
              <w:rPr>
                <w:rFonts w:ascii="Calibri" w:hAnsi="Calibri" w:cs="Calibri"/>
              </w:rPr>
              <w:t>resources, and</w:t>
            </w:r>
            <w:proofErr w:type="gramEnd"/>
            <w:r w:rsidRPr="00831659">
              <w:rPr>
                <w:rFonts w:ascii="Calibri" w:hAnsi="Calibri" w:cs="Calibri"/>
              </w:rPr>
              <w:t xml:space="preserve"> may not occur until the 2025-2026 financial year. </w:t>
            </w:r>
          </w:p>
        </w:tc>
      </w:tr>
      <w:tr w:rsidR="00F3038B" w14:paraId="5B28B7D8" w14:textId="77777777" w:rsidTr="000B7200">
        <w:trPr>
          <w:cantSplit/>
        </w:trPr>
        <w:tc>
          <w:tcPr>
            <w:tcW w:w="0" w:type="auto"/>
          </w:tcPr>
          <w:p w14:paraId="394D0795" w14:textId="2DB9BFC6" w:rsidR="00F3038B" w:rsidRPr="00C922AF" w:rsidRDefault="00DC418F">
            <w:pPr>
              <w:rPr>
                <w:rFonts w:ascii="Calibri" w:hAnsi="Calibri" w:cs="Calibri"/>
                <w:b/>
                <w:bCs/>
                <w:lang w:val="en-GB"/>
              </w:rPr>
            </w:pPr>
            <w:r w:rsidRPr="00887495">
              <w:rPr>
                <w:rFonts w:ascii="Calibri" w:hAnsi="Calibri" w:cs="Calibri"/>
                <w:b/>
                <w:bCs/>
              </w:rPr>
              <w:t>Rec 9</w:t>
            </w:r>
            <w:r>
              <w:rPr>
                <w:rFonts w:ascii="Calibri" w:hAnsi="Calibri" w:cs="Calibri"/>
              </w:rPr>
              <w:t xml:space="preserve"> </w:t>
            </w:r>
            <w:r w:rsidRPr="00887495">
              <w:rPr>
                <w:rFonts w:ascii="Calibri" w:hAnsi="Calibri" w:cs="Calibri"/>
              </w:rPr>
              <w:t xml:space="preserve">Ensure the Return of Cultural Materials Policy is updated in line with the Tommy on behalf of the </w:t>
            </w:r>
            <w:proofErr w:type="spellStart"/>
            <w:r w:rsidRPr="00887495">
              <w:rPr>
                <w:rFonts w:ascii="Calibri" w:hAnsi="Calibri" w:cs="Calibri"/>
              </w:rPr>
              <w:t>Yinhawangka</w:t>
            </w:r>
            <w:proofErr w:type="spellEnd"/>
            <w:r w:rsidRPr="00887495">
              <w:rPr>
                <w:rFonts w:ascii="Calibri" w:hAnsi="Calibri" w:cs="Calibri"/>
              </w:rPr>
              <w:t xml:space="preserve"> </w:t>
            </w:r>
            <w:proofErr w:type="spellStart"/>
            <w:r w:rsidRPr="00887495">
              <w:rPr>
                <w:rFonts w:ascii="Calibri" w:hAnsi="Calibri" w:cs="Calibri"/>
              </w:rPr>
              <w:t>Gobawarrah</w:t>
            </w:r>
            <w:proofErr w:type="spellEnd"/>
            <w:r w:rsidRPr="00887495">
              <w:rPr>
                <w:rFonts w:ascii="Calibri" w:hAnsi="Calibri" w:cs="Calibri"/>
              </w:rPr>
              <w:t xml:space="preserve"> v State of Western Australia (No 2) [2019] FCA 1551 ruling. </w:t>
            </w:r>
          </w:p>
        </w:tc>
      </w:tr>
      <w:tr w:rsidR="00F3038B" w14:paraId="5169E567" w14:textId="77777777" w:rsidTr="000B7200">
        <w:trPr>
          <w:cantSplit/>
        </w:trPr>
        <w:tc>
          <w:tcPr>
            <w:tcW w:w="0" w:type="auto"/>
          </w:tcPr>
          <w:p w14:paraId="5DBCB166" w14:textId="77777777" w:rsidR="00F3038B" w:rsidRDefault="008A601D">
            <w:pPr>
              <w:rPr>
                <w:rFonts w:ascii="Calibri" w:hAnsi="Calibri" w:cs="Calibri"/>
                <w:b/>
                <w:bCs/>
                <w:lang w:val="en-GB"/>
              </w:rPr>
            </w:pPr>
            <w:r>
              <w:rPr>
                <w:rFonts w:ascii="Calibri" w:hAnsi="Calibri" w:cs="Calibri"/>
                <w:b/>
                <w:bCs/>
                <w:lang w:val="en-GB"/>
              </w:rPr>
              <w:t>Response</w:t>
            </w:r>
          </w:p>
          <w:p w14:paraId="2AEE6CF9" w14:textId="77777777" w:rsidR="008A601D" w:rsidRDefault="008A601D" w:rsidP="008A601D">
            <w:pPr>
              <w:rPr>
                <w:rFonts w:ascii="Calibri" w:hAnsi="Calibri" w:cs="Calibri"/>
              </w:rPr>
            </w:pPr>
            <w:r>
              <w:rPr>
                <w:rFonts w:ascii="Calibri" w:hAnsi="Calibri" w:cs="Calibri"/>
              </w:rPr>
              <w:t xml:space="preserve">Accepted. </w:t>
            </w:r>
            <w:r w:rsidRPr="007E2E87">
              <w:rPr>
                <w:rFonts w:ascii="Calibri" w:hAnsi="Calibri" w:cs="Calibri"/>
              </w:rPr>
              <w:t>Noting that the cited case is authority regarding issues of client legal privilege in documents following a determination of native title. </w:t>
            </w:r>
          </w:p>
          <w:p w14:paraId="17D75AE9" w14:textId="77777777" w:rsidR="008A601D" w:rsidRDefault="008A601D" w:rsidP="008A601D">
            <w:pPr>
              <w:rPr>
                <w:rFonts w:ascii="Calibri" w:hAnsi="Calibri" w:cs="Calibri"/>
              </w:rPr>
            </w:pPr>
          </w:p>
          <w:p w14:paraId="3BC756F0" w14:textId="77777777" w:rsidR="008A601D" w:rsidRDefault="008A601D" w:rsidP="008A601D">
            <w:pPr>
              <w:rPr>
                <w:rFonts w:ascii="Calibri" w:hAnsi="Calibri" w:cs="Calibri"/>
              </w:rPr>
            </w:pPr>
            <w:r>
              <w:rPr>
                <w:rFonts w:ascii="Calibri" w:hAnsi="Calibri" w:cs="Calibri"/>
              </w:rPr>
              <w:t xml:space="preserve">Implemented. </w:t>
            </w:r>
          </w:p>
          <w:p w14:paraId="695F1B2A" w14:textId="77777777" w:rsidR="008A601D" w:rsidRDefault="008A601D" w:rsidP="008A601D">
            <w:pPr>
              <w:rPr>
                <w:rFonts w:ascii="Calibri" w:hAnsi="Calibri" w:cs="Calibri"/>
              </w:rPr>
            </w:pPr>
          </w:p>
          <w:p w14:paraId="5C44AB3B" w14:textId="0F78E389" w:rsidR="008A601D" w:rsidRPr="00C922AF" w:rsidRDefault="008A601D" w:rsidP="008A601D">
            <w:pPr>
              <w:rPr>
                <w:rFonts w:ascii="Calibri" w:hAnsi="Calibri" w:cs="Calibri"/>
                <w:b/>
                <w:bCs/>
                <w:lang w:val="en-GB"/>
              </w:rPr>
            </w:pPr>
            <w:r w:rsidRPr="002D0765">
              <w:rPr>
                <w:rFonts w:ascii="Calibri" w:hAnsi="Calibri" w:cs="Calibri"/>
              </w:rPr>
              <w:t>The policy is being reviewed by a KLC board subcommittee supported by an expert working group of KLC staff. </w:t>
            </w:r>
          </w:p>
        </w:tc>
      </w:tr>
      <w:tr w:rsidR="00F3038B" w14:paraId="2BB75626" w14:textId="77777777" w:rsidTr="000B7200">
        <w:trPr>
          <w:cantSplit/>
        </w:trPr>
        <w:tc>
          <w:tcPr>
            <w:tcW w:w="0" w:type="auto"/>
            <w:shd w:val="clear" w:color="auto" w:fill="C1E4F5" w:themeFill="accent1" w:themeFillTint="33"/>
          </w:tcPr>
          <w:p w14:paraId="1C776701" w14:textId="6EB7954F" w:rsidR="00F3038B" w:rsidRPr="00C922AF" w:rsidRDefault="001963CB">
            <w:pPr>
              <w:rPr>
                <w:rFonts w:ascii="Calibri" w:hAnsi="Calibri" w:cs="Calibri"/>
                <w:b/>
                <w:bCs/>
                <w:lang w:val="en-GB"/>
              </w:rPr>
            </w:pPr>
            <w:r w:rsidRPr="001963CB">
              <w:rPr>
                <w:rFonts w:ascii="Calibri" w:hAnsi="Calibri" w:cs="Calibri"/>
                <w:b/>
                <w:bCs/>
                <w:shd w:val="clear" w:color="auto" w:fill="C1E4F5" w:themeFill="accent1" w:themeFillTint="33"/>
                <w:lang w:val="en-US"/>
              </w:rPr>
              <w:t>TOR 7</w:t>
            </w:r>
            <w:r w:rsidRPr="001963CB">
              <w:rPr>
                <w:rFonts w:ascii="Calibri" w:hAnsi="Calibri" w:cs="Calibri"/>
                <w:shd w:val="clear" w:color="auto" w:fill="C1E4F5" w:themeFill="accent1" w:themeFillTint="33"/>
                <w:lang w:val="en-US"/>
              </w:rPr>
              <w:t xml:space="preserve"> </w:t>
            </w:r>
            <w:r w:rsidRPr="001963CB">
              <w:rPr>
                <w:rFonts w:ascii="Calibri" w:hAnsi="Calibri" w:cs="Calibri"/>
                <w:shd w:val="clear" w:color="auto" w:fill="C1E4F5" w:themeFill="accent1" w:themeFillTint="33"/>
                <w:lang w:val="en-GB"/>
              </w:rPr>
              <w:t>Extent to which each organisation has developed its planning for a post-determination environment</w:t>
            </w:r>
            <w:r w:rsidRPr="00C922AF">
              <w:rPr>
                <w:rFonts w:ascii="Calibri" w:hAnsi="Calibri" w:cs="Calibri"/>
                <w:lang w:val="en-GB"/>
              </w:rPr>
              <w:t>.</w:t>
            </w:r>
            <w:r w:rsidRPr="00C922AF">
              <w:rPr>
                <w:rFonts w:ascii="Calibri" w:hAnsi="Calibri" w:cs="Calibri"/>
              </w:rPr>
              <w:t> </w:t>
            </w:r>
            <w:r w:rsidR="00BD449B" w:rsidRPr="00BD449B">
              <w:rPr>
                <w:rFonts w:ascii="Calibri" w:hAnsi="Calibri" w:cs="Calibri"/>
                <w:b/>
                <w:bCs/>
              </w:rPr>
              <w:t>(Rec 1</w:t>
            </w:r>
            <w:r w:rsidR="000B7200">
              <w:rPr>
                <w:rFonts w:ascii="Calibri" w:hAnsi="Calibri" w:cs="Calibri"/>
                <w:b/>
                <w:bCs/>
              </w:rPr>
              <w:t>0-11</w:t>
            </w:r>
            <w:r w:rsidR="00BD449B" w:rsidRPr="00BD449B">
              <w:rPr>
                <w:rFonts w:ascii="Calibri" w:hAnsi="Calibri" w:cs="Calibri"/>
                <w:b/>
                <w:bCs/>
              </w:rPr>
              <w:t>)</w:t>
            </w:r>
          </w:p>
        </w:tc>
      </w:tr>
      <w:tr w:rsidR="00F3038B" w14:paraId="21FCF370" w14:textId="77777777" w:rsidTr="000B7200">
        <w:trPr>
          <w:cantSplit/>
        </w:trPr>
        <w:tc>
          <w:tcPr>
            <w:tcW w:w="0" w:type="auto"/>
          </w:tcPr>
          <w:p w14:paraId="37285977" w14:textId="430CDDA7" w:rsidR="00F3038B" w:rsidRPr="00C922AF" w:rsidRDefault="00A24D68">
            <w:pPr>
              <w:rPr>
                <w:rFonts w:ascii="Calibri" w:hAnsi="Calibri" w:cs="Calibri"/>
                <w:b/>
                <w:bCs/>
                <w:lang w:val="en-GB"/>
              </w:rPr>
            </w:pPr>
            <w:r w:rsidRPr="00E55E18">
              <w:rPr>
                <w:rFonts w:ascii="Calibri" w:hAnsi="Calibri" w:cs="Calibri"/>
                <w:b/>
                <w:bCs/>
              </w:rPr>
              <w:t>Rec 10</w:t>
            </w:r>
            <w:r>
              <w:rPr>
                <w:rFonts w:ascii="Calibri" w:hAnsi="Calibri" w:cs="Calibri"/>
              </w:rPr>
              <w:t xml:space="preserve"> </w:t>
            </w:r>
            <w:r w:rsidRPr="00E55E18">
              <w:rPr>
                <w:rFonts w:ascii="Calibri" w:hAnsi="Calibri" w:cs="Calibri"/>
              </w:rPr>
              <w:t xml:space="preserve">Consider how indicators of the KLC development in a post-determination environment can be more clearly documented and </w:t>
            </w:r>
            <w:proofErr w:type="gramStart"/>
            <w:r w:rsidRPr="00E55E18">
              <w:rPr>
                <w:rFonts w:ascii="Calibri" w:hAnsi="Calibri" w:cs="Calibri"/>
              </w:rPr>
              <w:t>communicated, and</w:t>
            </w:r>
            <w:proofErr w:type="gramEnd"/>
            <w:r w:rsidRPr="00E55E18">
              <w:rPr>
                <w:rFonts w:ascii="Calibri" w:hAnsi="Calibri" w:cs="Calibri"/>
              </w:rPr>
              <w:t xml:space="preserve"> assign responsibility for tracking and monitoring progress. </w:t>
            </w:r>
          </w:p>
        </w:tc>
      </w:tr>
      <w:tr w:rsidR="00F3038B" w14:paraId="01F4D2F1" w14:textId="77777777" w:rsidTr="000B7200">
        <w:trPr>
          <w:cantSplit/>
        </w:trPr>
        <w:tc>
          <w:tcPr>
            <w:tcW w:w="0" w:type="auto"/>
          </w:tcPr>
          <w:p w14:paraId="7625401B" w14:textId="77777777" w:rsidR="00F3038B" w:rsidRDefault="00E8268B">
            <w:pPr>
              <w:rPr>
                <w:rFonts w:ascii="Calibri" w:hAnsi="Calibri" w:cs="Calibri"/>
                <w:b/>
                <w:bCs/>
                <w:lang w:val="en-GB"/>
              </w:rPr>
            </w:pPr>
            <w:r>
              <w:rPr>
                <w:rFonts w:ascii="Calibri" w:hAnsi="Calibri" w:cs="Calibri"/>
                <w:b/>
                <w:bCs/>
                <w:lang w:val="en-GB"/>
              </w:rPr>
              <w:t>Response</w:t>
            </w:r>
          </w:p>
          <w:p w14:paraId="487FECAD" w14:textId="77777777" w:rsidR="009B5F3B" w:rsidRDefault="009B5F3B" w:rsidP="009B5F3B">
            <w:pPr>
              <w:rPr>
                <w:rFonts w:ascii="Calibri" w:hAnsi="Calibri" w:cs="Calibri"/>
                <w:lang w:val="en-US"/>
              </w:rPr>
            </w:pPr>
            <w:r w:rsidRPr="00E55E18">
              <w:rPr>
                <w:rFonts w:ascii="Calibri" w:hAnsi="Calibri" w:cs="Calibri"/>
                <w:lang w:val="en-US"/>
              </w:rPr>
              <w:t xml:space="preserve">Accepted (subject to resources and </w:t>
            </w:r>
            <w:proofErr w:type="spellStart"/>
            <w:r w:rsidRPr="00E55E18">
              <w:rPr>
                <w:rFonts w:ascii="Calibri" w:hAnsi="Calibri" w:cs="Calibri"/>
                <w:lang w:val="en-US"/>
              </w:rPr>
              <w:t>prioritisation</w:t>
            </w:r>
            <w:proofErr w:type="spellEnd"/>
            <w:r w:rsidRPr="00E55E18">
              <w:rPr>
                <w:rFonts w:ascii="Calibri" w:hAnsi="Calibri" w:cs="Calibri"/>
                <w:lang w:val="en-US"/>
              </w:rPr>
              <w:t>)</w:t>
            </w:r>
            <w:r>
              <w:rPr>
                <w:rFonts w:ascii="Calibri" w:hAnsi="Calibri" w:cs="Calibri"/>
                <w:lang w:val="en-US"/>
              </w:rPr>
              <w:t>.</w:t>
            </w:r>
          </w:p>
          <w:p w14:paraId="6EA77B7E" w14:textId="77777777" w:rsidR="009B5F3B" w:rsidRDefault="009B5F3B" w:rsidP="009B5F3B">
            <w:pPr>
              <w:rPr>
                <w:rFonts w:ascii="Calibri" w:hAnsi="Calibri" w:cs="Calibri"/>
              </w:rPr>
            </w:pPr>
            <w:r>
              <w:rPr>
                <w:rFonts w:ascii="Calibri" w:hAnsi="Calibri" w:cs="Calibri"/>
              </w:rPr>
              <w:t xml:space="preserve">Implemented in part. </w:t>
            </w:r>
          </w:p>
          <w:p w14:paraId="2A397807" w14:textId="77777777" w:rsidR="009B5F3B" w:rsidRDefault="009B5F3B" w:rsidP="009B5F3B">
            <w:pPr>
              <w:rPr>
                <w:rFonts w:ascii="Calibri" w:hAnsi="Calibri" w:cs="Calibri"/>
              </w:rPr>
            </w:pPr>
          </w:p>
          <w:p w14:paraId="13DC3548" w14:textId="79BE63B4" w:rsidR="00E8268B" w:rsidRPr="00C922AF" w:rsidRDefault="009B5F3B" w:rsidP="009B5F3B">
            <w:pPr>
              <w:rPr>
                <w:rFonts w:ascii="Calibri" w:hAnsi="Calibri" w:cs="Calibri"/>
                <w:b/>
                <w:bCs/>
                <w:lang w:val="en-GB"/>
              </w:rPr>
            </w:pPr>
            <w:r w:rsidRPr="00BD01E4">
              <w:rPr>
                <w:rFonts w:ascii="Calibri" w:hAnsi="Calibri" w:cs="Calibri"/>
              </w:rPr>
              <w:t xml:space="preserve">KLC has undertaken extensive communications in 2024 about its activities to support native title post-determination, including a Kimberley Forum at </w:t>
            </w:r>
            <w:proofErr w:type="spellStart"/>
            <w:r w:rsidRPr="00BD01E4">
              <w:rPr>
                <w:rFonts w:ascii="Calibri" w:hAnsi="Calibri" w:cs="Calibri"/>
              </w:rPr>
              <w:t>Gambanan</w:t>
            </w:r>
            <w:proofErr w:type="spellEnd"/>
            <w:r w:rsidRPr="00BD01E4">
              <w:rPr>
                <w:rFonts w:ascii="Calibri" w:hAnsi="Calibri" w:cs="Calibri"/>
              </w:rPr>
              <w:t xml:space="preserve"> on 22 August and the publication of a range of special updates and reports on issues of concern to Kimberley Traditional Owners such as water and cultural heritage.  Assignment of responsibility for tracking and monitoring has not yet occurred and will be subject to identification of resources to support this in the next financial year. </w:t>
            </w:r>
            <w:r w:rsidRPr="00E55E18">
              <w:rPr>
                <w:rFonts w:ascii="Calibri" w:hAnsi="Calibri" w:cs="Calibri"/>
              </w:rPr>
              <w:t> </w:t>
            </w:r>
          </w:p>
        </w:tc>
      </w:tr>
      <w:tr w:rsidR="00F3038B" w14:paraId="4BD36545" w14:textId="77777777" w:rsidTr="000B7200">
        <w:trPr>
          <w:cantSplit/>
        </w:trPr>
        <w:tc>
          <w:tcPr>
            <w:tcW w:w="0" w:type="auto"/>
          </w:tcPr>
          <w:p w14:paraId="332FCCDF" w14:textId="5E2A13D4" w:rsidR="00F3038B" w:rsidRPr="00C922AF" w:rsidRDefault="00566097">
            <w:pPr>
              <w:rPr>
                <w:rFonts w:ascii="Calibri" w:hAnsi="Calibri" w:cs="Calibri"/>
                <w:b/>
                <w:bCs/>
                <w:lang w:val="en-GB"/>
              </w:rPr>
            </w:pPr>
            <w:r w:rsidRPr="003857DB">
              <w:rPr>
                <w:rFonts w:ascii="Calibri" w:hAnsi="Calibri" w:cs="Calibri"/>
                <w:b/>
                <w:bCs/>
                <w:lang w:val="en-US"/>
              </w:rPr>
              <w:t>Rec 11</w:t>
            </w:r>
            <w:r>
              <w:rPr>
                <w:rFonts w:ascii="Calibri" w:hAnsi="Calibri" w:cs="Calibri"/>
                <w:lang w:val="en-US"/>
              </w:rPr>
              <w:t xml:space="preserve"> </w:t>
            </w:r>
            <w:r w:rsidRPr="003857DB">
              <w:rPr>
                <w:rFonts w:ascii="Calibri" w:hAnsi="Calibri" w:cs="Calibri"/>
                <w:lang w:val="en-US"/>
              </w:rPr>
              <w:t>Seek ways to better communicate the role of the KLC in the post-determination world in supporting, and not competing, with PBCs.</w:t>
            </w:r>
            <w:r w:rsidRPr="003857DB">
              <w:rPr>
                <w:rFonts w:ascii="Calibri" w:hAnsi="Calibri" w:cs="Calibri"/>
              </w:rPr>
              <w:t> </w:t>
            </w:r>
          </w:p>
        </w:tc>
      </w:tr>
      <w:tr w:rsidR="00F3038B" w14:paraId="433CEBD2" w14:textId="77777777" w:rsidTr="000B7200">
        <w:trPr>
          <w:cantSplit/>
        </w:trPr>
        <w:tc>
          <w:tcPr>
            <w:tcW w:w="0" w:type="auto"/>
          </w:tcPr>
          <w:p w14:paraId="055D60E0" w14:textId="77777777" w:rsidR="00F3038B" w:rsidRDefault="00566097">
            <w:pPr>
              <w:rPr>
                <w:rFonts w:ascii="Calibri" w:hAnsi="Calibri" w:cs="Calibri"/>
                <w:b/>
                <w:bCs/>
                <w:lang w:val="en-GB"/>
              </w:rPr>
            </w:pPr>
            <w:r>
              <w:rPr>
                <w:rFonts w:ascii="Calibri" w:hAnsi="Calibri" w:cs="Calibri"/>
                <w:b/>
                <w:bCs/>
                <w:lang w:val="en-GB"/>
              </w:rPr>
              <w:lastRenderedPageBreak/>
              <w:t>Response</w:t>
            </w:r>
          </w:p>
          <w:p w14:paraId="26D4CCCD" w14:textId="77777777" w:rsidR="00022020" w:rsidRDefault="00022020" w:rsidP="00022020">
            <w:pPr>
              <w:rPr>
                <w:rFonts w:ascii="Calibri" w:hAnsi="Calibri" w:cs="Calibri"/>
                <w:lang w:val="en-US"/>
              </w:rPr>
            </w:pPr>
            <w:r w:rsidRPr="00E55E18">
              <w:rPr>
                <w:rFonts w:ascii="Calibri" w:hAnsi="Calibri" w:cs="Calibri"/>
                <w:lang w:val="en-US"/>
              </w:rPr>
              <w:t xml:space="preserve">Accepted (subject to resources and </w:t>
            </w:r>
            <w:proofErr w:type="spellStart"/>
            <w:r w:rsidRPr="00E55E18">
              <w:rPr>
                <w:rFonts w:ascii="Calibri" w:hAnsi="Calibri" w:cs="Calibri"/>
                <w:lang w:val="en-US"/>
              </w:rPr>
              <w:t>prioritisation</w:t>
            </w:r>
            <w:proofErr w:type="spellEnd"/>
            <w:r w:rsidRPr="00E55E18">
              <w:rPr>
                <w:rFonts w:ascii="Calibri" w:hAnsi="Calibri" w:cs="Calibri"/>
                <w:lang w:val="en-US"/>
              </w:rPr>
              <w:t>)</w:t>
            </w:r>
            <w:r>
              <w:rPr>
                <w:rFonts w:ascii="Calibri" w:hAnsi="Calibri" w:cs="Calibri"/>
                <w:lang w:val="en-US"/>
              </w:rPr>
              <w:t>.</w:t>
            </w:r>
          </w:p>
          <w:p w14:paraId="38D3D814" w14:textId="3319E5FA" w:rsidR="00022020" w:rsidRPr="00037BAE" w:rsidRDefault="00022020" w:rsidP="00022020">
            <w:pPr>
              <w:rPr>
                <w:rFonts w:ascii="Calibri" w:hAnsi="Calibri" w:cs="Calibri"/>
              </w:rPr>
            </w:pPr>
            <w:r>
              <w:rPr>
                <w:rFonts w:ascii="Calibri" w:hAnsi="Calibri" w:cs="Calibri"/>
              </w:rPr>
              <w:t xml:space="preserve">Implemented in part. </w:t>
            </w:r>
          </w:p>
          <w:p w14:paraId="5C2CF196" w14:textId="32154318" w:rsidR="00566097" w:rsidRPr="00C922AF" w:rsidRDefault="00022020" w:rsidP="00022020">
            <w:pPr>
              <w:rPr>
                <w:rFonts w:ascii="Calibri" w:hAnsi="Calibri" w:cs="Calibri"/>
                <w:b/>
                <w:bCs/>
                <w:lang w:val="en-GB"/>
              </w:rPr>
            </w:pPr>
            <w:r w:rsidRPr="000E1602">
              <w:rPr>
                <w:rFonts w:ascii="Calibri" w:hAnsi="Calibri" w:cs="Calibri"/>
                <w:lang w:val="en-US"/>
              </w:rPr>
              <w:t>The KLC’s response to this recommendation is being implemented in concert with the response to recommendation 10.</w:t>
            </w:r>
            <w:r w:rsidRPr="000E1602">
              <w:rPr>
                <w:rFonts w:ascii="Calibri" w:hAnsi="Calibri" w:cs="Calibri"/>
              </w:rPr>
              <w:t> </w:t>
            </w:r>
          </w:p>
        </w:tc>
      </w:tr>
    </w:tbl>
    <w:p w14:paraId="1460D886" w14:textId="77777777" w:rsidR="0023185A" w:rsidRPr="0023185A" w:rsidRDefault="0023185A">
      <w:pPr>
        <w:rPr>
          <w:rFonts w:ascii="Calibri" w:hAnsi="Calibri" w:cs="Calibri"/>
        </w:rPr>
      </w:pPr>
    </w:p>
    <w:sectPr w:rsidR="0023185A" w:rsidRPr="0023185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0E83C" w14:textId="77777777" w:rsidR="00BA4C28" w:rsidRDefault="00BA4C28" w:rsidP="00416EFE">
      <w:pPr>
        <w:spacing w:after="0" w:line="240" w:lineRule="auto"/>
      </w:pPr>
      <w:r>
        <w:separator/>
      </w:r>
    </w:p>
  </w:endnote>
  <w:endnote w:type="continuationSeparator" w:id="0">
    <w:p w14:paraId="61FA58B5" w14:textId="77777777" w:rsidR="00BA4C28" w:rsidRDefault="00BA4C28" w:rsidP="00416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DED3" w14:textId="1C87A529" w:rsidR="00416EFE" w:rsidRDefault="00416EFE">
    <w:pPr>
      <w:pStyle w:val="Footer"/>
    </w:pPr>
    <w:r>
      <w:rPr>
        <w:noProof/>
      </w:rPr>
      <mc:AlternateContent>
        <mc:Choice Requires="wps">
          <w:drawing>
            <wp:anchor distT="0" distB="0" distL="0" distR="0" simplePos="0" relativeHeight="251662336" behindDoc="0" locked="0" layoutInCell="1" allowOverlap="1" wp14:anchorId="1AD7CA32" wp14:editId="4EC92926">
              <wp:simplePos x="635" y="635"/>
              <wp:positionH relativeFrom="page">
                <wp:align>center</wp:align>
              </wp:positionH>
              <wp:positionV relativeFrom="page">
                <wp:align>bottom</wp:align>
              </wp:positionV>
              <wp:extent cx="686435" cy="393700"/>
              <wp:effectExtent l="0" t="0" r="18415" b="0"/>
              <wp:wrapNone/>
              <wp:docPr id="203795251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034AD4B1" w14:textId="68CE2F50" w:rsidR="00416EFE" w:rsidRPr="00416EFE" w:rsidRDefault="00416EFE" w:rsidP="00416EFE">
                          <w:pPr>
                            <w:spacing w:after="0"/>
                            <w:rPr>
                              <w:rFonts w:ascii="Arial" w:eastAsia="Arial" w:hAnsi="Arial" w:cs="Arial"/>
                              <w:noProof/>
                              <w:color w:val="FF0000"/>
                            </w:rPr>
                          </w:pPr>
                          <w:r w:rsidRPr="00416EFE">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D7CA32" id="_x0000_t202" coordsize="21600,21600" o:spt="202" path="m,l,21600r21600,l21600,xe">
              <v:stroke joinstyle="miter"/>
              <v:path gradientshapeok="t" o:connecttype="rect"/>
            </v:shapetype>
            <v:shape id="Text Box 5" o:spid="_x0000_s1028" type="#_x0000_t202" alt="OFFICIAL" style="position:absolute;margin-left:0;margin-top:0;width:54.05pt;height:3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6t853EAIA&#10;ABwEAAAOAAAAAAAAAAAAAAAAAC4CAABkcnMvZTJvRG9jLnhtbFBLAQItABQABgAIAAAAIQAMoFZM&#10;2wAAAAQBAAAPAAAAAAAAAAAAAAAAAGoEAABkcnMvZG93bnJldi54bWxQSwUGAAAAAAQABADzAAAA&#10;cgUAAAAA&#10;" filled="f" stroked="f">
              <v:textbox style="mso-fit-shape-to-text:t" inset="0,0,0,15pt">
                <w:txbxContent>
                  <w:p w14:paraId="034AD4B1" w14:textId="68CE2F50" w:rsidR="00416EFE" w:rsidRPr="00416EFE" w:rsidRDefault="00416EFE" w:rsidP="00416EFE">
                    <w:pPr>
                      <w:spacing w:after="0"/>
                      <w:rPr>
                        <w:rFonts w:ascii="Arial" w:eastAsia="Arial" w:hAnsi="Arial" w:cs="Arial"/>
                        <w:noProof/>
                        <w:color w:val="FF0000"/>
                      </w:rPr>
                    </w:pPr>
                    <w:r w:rsidRPr="00416EFE">
                      <w:rPr>
                        <w:rFonts w:ascii="Arial" w:eastAsia="Arial" w:hAnsi="Arial" w:cs="Arial"/>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207184"/>
      <w:docPartObj>
        <w:docPartGallery w:val="Page Numbers (Bottom of Page)"/>
        <w:docPartUnique/>
      </w:docPartObj>
    </w:sdtPr>
    <w:sdtEndPr>
      <w:rPr>
        <w:noProof/>
      </w:rPr>
    </w:sdtEndPr>
    <w:sdtContent>
      <w:p w14:paraId="02F102A9" w14:textId="09D3C2DA" w:rsidR="00951AEE" w:rsidRDefault="006405E5" w:rsidP="006405E5">
        <w:pPr>
          <w:pStyle w:val="Footer"/>
          <w:jc w:val="right"/>
        </w:pPr>
        <w:r>
          <w:rPr>
            <w:noProof/>
          </w:rPr>
          <mc:AlternateContent>
            <mc:Choice Requires="wps">
              <w:drawing>
                <wp:anchor distT="0" distB="0" distL="0" distR="0" simplePos="0" relativeHeight="251664384" behindDoc="0" locked="0" layoutInCell="1" allowOverlap="1" wp14:anchorId="35CC250F" wp14:editId="73B6826B">
                  <wp:simplePos x="914400" y="6736080"/>
                  <wp:positionH relativeFrom="page">
                    <wp:align>center</wp:align>
                  </wp:positionH>
                  <wp:positionV relativeFrom="page">
                    <wp:align>bottom</wp:align>
                  </wp:positionV>
                  <wp:extent cx="686435" cy="393700"/>
                  <wp:effectExtent l="0" t="0" r="18415" b="0"/>
                  <wp:wrapNone/>
                  <wp:docPr id="45145563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4DFFA84B" w14:textId="77777777" w:rsidR="006405E5" w:rsidRPr="00F65044" w:rsidRDefault="006405E5" w:rsidP="006405E5">
                              <w:pPr>
                                <w:spacing w:after="0"/>
                                <w:rPr>
                                  <w:rFonts w:ascii="Arial" w:eastAsia="Arial" w:hAnsi="Arial" w:cs="Arial"/>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C250F" id="_x0000_t202" coordsize="21600,21600" o:spt="202" path="m,l,21600r21600,l21600,xe">
                  <v:stroke joinstyle="miter"/>
                  <v:path gradientshapeok="t" o:connecttype="rect"/>
                </v:shapetype>
                <v:shape id="Text Box 6" o:spid="_x0000_s1029" type="#_x0000_t202" alt="OFFICIAL" style="position:absolute;left:0;text-align:left;margin-left:0;margin-top:0;width:54.05pt;height:3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xKDwIAABwEAAAOAAAAZHJzL2Uyb0RvYy54bWysU01v2zAMvQ/YfxB0X+w0a9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" filled="f" stroked="f">
                  <v:textbox style="mso-fit-shape-to-text:t" inset="0,0,0,15pt">
                    <w:txbxContent>
                      <w:p w14:paraId="4DFFA84B" w14:textId="77777777" w:rsidR="006405E5" w:rsidRPr="00F65044" w:rsidRDefault="006405E5" w:rsidP="006405E5">
                        <w:pPr>
                          <w:spacing w:after="0"/>
                          <w:rPr>
                            <w:rFonts w:ascii="Arial" w:eastAsia="Arial" w:hAnsi="Arial" w:cs="Arial"/>
                            <w:noProof/>
                            <w:color w:val="FF0000"/>
                          </w:rPr>
                        </w:pPr>
                      </w:p>
                    </w:txbxContent>
                  </v:textbox>
                  <w10:wrap anchorx="page" anchory="page"/>
                </v:shape>
              </w:pict>
            </mc:Fallback>
          </mc:AlternateContent>
        </w:r>
        <w:sdt>
          <w:sdtPr>
            <w:id w:val="-3534212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/4</w:t>
            </w:r>
          </w:sdtContent>
        </w:sdt>
      </w:p>
    </w:sdtContent>
  </w:sdt>
  <w:p w14:paraId="5D2E11DF" w14:textId="453B049D" w:rsidR="00416EFE" w:rsidRPr="003F684C" w:rsidRDefault="00A56DE8">
    <w:pPr>
      <w:pStyle w:val="Footer"/>
      <w:rPr>
        <w:rFonts w:ascii="Calibri" w:hAnsi="Calibri" w:cs="Calibri"/>
      </w:rPr>
    </w:pPr>
    <w:r w:rsidRPr="003F684C">
      <w:rPr>
        <w:rFonts w:ascii="Calibri" w:hAnsi="Calibri" w:cs="Calibri"/>
      </w:rPr>
      <w:t xml:space="preserve">Kimberly Land Council </w:t>
    </w:r>
    <w:r w:rsidR="00084919" w:rsidRPr="003F684C">
      <w:rPr>
        <w:rFonts w:ascii="Calibri" w:hAnsi="Calibri" w:cs="Calibri"/>
      </w:rPr>
      <w:t>Response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D8850" w14:textId="37953E49" w:rsidR="00416EFE" w:rsidRDefault="00416EFE">
    <w:pPr>
      <w:pStyle w:val="Footer"/>
    </w:pPr>
    <w:r>
      <w:rPr>
        <w:noProof/>
      </w:rPr>
      <mc:AlternateContent>
        <mc:Choice Requires="wps">
          <w:drawing>
            <wp:anchor distT="0" distB="0" distL="0" distR="0" simplePos="0" relativeHeight="251661312" behindDoc="0" locked="0" layoutInCell="1" allowOverlap="1" wp14:anchorId="73834830" wp14:editId="44E694B3">
              <wp:simplePos x="635" y="635"/>
              <wp:positionH relativeFrom="page">
                <wp:align>center</wp:align>
              </wp:positionH>
              <wp:positionV relativeFrom="page">
                <wp:align>bottom</wp:align>
              </wp:positionV>
              <wp:extent cx="686435" cy="393700"/>
              <wp:effectExtent l="0" t="0" r="18415" b="0"/>
              <wp:wrapNone/>
              <wp:docPr id="9755955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52DE672A" w14:textId="3928A47A" w:rsidR="00416EFE" w:rsidRPr="00416EFE" w:rsidRDefault="00416EFE" w:rsidP="00416EFE">
                          <w:pPr>
                            <w:spacing w:after="0"/>
                            <w:rPr>
                              <w:rFonts w:ascii="Arial" w:eastAsia="Arial" w:hAnsi="Arial" w:cs="Arial"/>
                              <w:noProof/>
                              <w:color w:val="FF0000"/>
                            </w:rPr>
                          </w:pPr>
                          <w:r w:rsidRPr="00416EFE">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834830" id="_x0000_t202" coordsize="21600,21600" o:spt="202" path="m,l,21600r21600,l21600,xe">
              <v:stroke joinstyle="miter"/>
              <v:path gradientshapeok="t" o:connecttype="rect"/>
            </v:shapetype>
            <v:shape id="Text Box 4" o:spid="_x0000_s1031" type="#_x0000_t202" alt="OFFICIAL" style="position:absolute;margin-left:0;margin-top:0;width:54.05pt;height:3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5i9PHEAIA&#10;ABwEAAAOAAAAAAAAAAAAAAAAAC4CAABkcnMvZTJvRG9jLnhtbFBLAQItABQABgAIAAAAIQAMoFZM&#10;2wAAAAQBAAAPAAAAAAAAAAAAAAAAAGoEAABkcnMvZG93bnJldi54bWxQSwUGAAAAAAQABADzAAAA&#10;cgUAAAAA&#10;" filled="f" stroked="f">
              <v:textbox style="mso-fit-shape-to-text:t" inset="0,0,0,15pt">
                <w:txbxContent>
                  <w:p w14:paraId="52DE672A" w14:textId="3928A47A" w:rsidR="00416EFE" w:rsidRPr="00416EFE" w:rsidRDefault="00416EFE" w:rsidP="00416EFE">
                    <w:pPr>
                      <w:spacing w:after="0"/>
                      <w:rPr>
                        <w:rFonts w:ascii="Arial" w:eastAsia="Arial" w:hAnsi="Arial" w:cs="Arial"/>
                        <w:noProof/>
                        <w:color w:val="FF0000"/>
                      </w:rPr>
                    </w:pPr>
                    <w:r w:rsidRPr="00416EFE">
                      <w:rPr>
                        <w:rFonts w:ascii="Arial" w:eastAsia="Arial" w:hAnsi="Arial" w:cs="Arial"/>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BAA89" w14:textId="77777777" w:rsidR="00BA4C28" w:rsidRDefault="00BA4C28" w:rsidP="00416EFE">
      <w:pPr>
        <w:spacing w:after="0" w:line="240" w:lineRule="auto"/>
      </w:pPr>
      <w:r>
        <w:separator/>
      </w:r>
    </w:p>
  </w:footnote>
  <w:footnote w:type="continuationSeparator" w:id="0">
    <w:p w14:paraId="5CECF5F2" w14:textId="77777777" w:rsidR="00BA4C28" w:rsidRDefault="00BA4C28" w:rsidP="00416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7DAC" w14:textId="0C5A2FC8" w:rsidR="00416EFE" w:rsidRDefault="00416EFE">
    <w:pPr>
      <w:pStyle w:val="Header"/>
    </w:pPr>
    <w:r>
      <w:rPr>
        <w:noProof/>
      </w:rPr>
      <mc:AlternateContent>
        <mc:Choice Requires="wps">
          <w:drawing>
            <wp:anchor distT="0" distB="0" distL="0" distR="0" simplePos="0" relativeHeight="251659264" behindDoc="0" locked="0" layoutInCell="1" allowOverlap="1" wp14:anchorId="7AE7B1A4" wp14:editId="10FC7460">
              <wp:simplePos x="635" y="635"/>
              <wp:positionH relativeFrom="page">
                <wp:align>center</wp:align>
              </wp:positionH>
              <wp:positionV relativeFrom="page">
                <wp:align>top</wp:align>
              </wp:positionV>
              <wp:extent cx="686435" cy="393700"/>
              <wp:effectExtent l="0" t="0" r="18415" b="6350"/>
              <wp:wrapNone/>
              <wp:docPr id="25205931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1969E283" w14:textId="0E236CD2" w:rsidR="00416EFE" w:rsidRPr="00416EFE" w:rsidRDefault="00416EFE" w:rsidP="00416EFE">
                          <w:pPr>
                            <w:spacing w:after="0"/>
                            <w:rPr>
                              <w:rFonts w:ascii="Arial" w:eastAsia="Arial" w:hAnsi="Arial" w:cs="Arial"/>
                              <w:noProof/>
                              <w:color w:val="FF0000"/>
                            </w:rPr>
                          </w:pPr>
                          <w:r w:rsidRPr="00416EFE">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E7B1A4" id="_x0000_t202" coordsize="21600,21600" o:spt="202" path="m,l,21600r21600,l21600,xe">
              <v:stroke joinstyle="miter"/>
              <v:path gradientshapeok="t" o:connecttype="rect"/>
            </v:shapetype>
            <v:shape id="Text Box 2" o:spid="_x0000_s1026" type="#_x0000_t202" alt="OFFICIAL" style="position:absolute;margin-left:0;margin-top:0;width:54.05pt;height:3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textbox style="mso-fit-shape-to-text:t" inset="0,15pt,0,0">
                <w:txbxContent>
                  <w:p w14:paraId="1969E283" w14:textId="0E236CD2" w:rsidR="00416EFE" w:rsidRPr="00416EFE" w:rsidRDefault="00416EFE" w:rsidP="00416EFE">
                    <w:pPr>
                      <w:spacing w:after="0"/>
                      <w:rPr>
                        <w:rFonts w:ascii="Arial" w:eastAsia="Arial" w:hAnsi="Arial" w:cs="Arial"/>
                        <w:noProof/>
                        <w:color w:val="FF0000"/>
                      </w:rPr>
                    </w:pPr>
                    <w:r w:rsidRPr="00416EFE">
                      <w:rPr>
                        <w:rFonts w:ascii="Arial" w:eastAsia="Arial" w:hAnsi="Arial" w:cs="Arial"/>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A2E0" w14:textId="3F692557" w:rsidR="00416EFE" w:rsidRDefault="00416EFE">
    <w:pPr>
      <w:pStyle w:val="Header"/>
    </w:pPr>
    <w:r>
      <w:rPr>
        <w:noProof/>
      </w:rPr>
      <mc:AlternateContent>
        <mc:Choice Requires="wps">
          <w:drawing>
            <wp:anchor distT="0" distB="0" distL="0" distR="0" simplePos="0" relativeHeight="251660288" behindDoc="0" locked="0" layoutInCell="1" allowOverlap="1" wp14:anchorId="3FCA42B0" wp14:editId="50D1FFD0">
              <wp:simplePos x="914400" y="449580"/>
              <wp:positionH relativeFrom="page">
                <wp:align>center</wp:align>
              </wp:positionH>
              <wp:positionV relativeFrom="page">
                <wp:align>top</wp:align>
              </wp:positionV>
              <wp:extent cx="686435" cy="393700"/>
              <wp:effectExtent l="0" t="0" r="18415" b="6350"/>
              <wp:wrapNone/>
              <wp:docPr id="196085339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0B69B1C6" w14:textId="24221C68" w:rsidR="00416EFE" w:rsidRPr="00416EFE" w:rsidRDefault="00416EFE" w:rsidP="00416EFE">
                          <w:pPr>
                            <w:spacing w:after="0"/>
                            <w:rPr>
                              <w:rFonts w:ascii="Arial" w:eastAsia="Arial" w:hAnsi="Arial" w:cs="Arial"/>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A42B0" id="_x0000_t202" coordsize="21600,21600" o:spt="202" path="m,l,21600r21600,l21600,xe">
              <v:stroke joinstyle="miter"/>
              <v:path gradientshapeok="t" o:connecttype="rect"/>
            </v:shapetype>
            <v:shape id="Text Box 3" o:spid="_x0000_s1027" type="#_x0000_t202" alt="OFFICIAL" style="position:absolute;margin-left:0;margin-top:0;width:54.05pt;height:3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" filled="f" stroked="f">
              <v:textbox style="mso-fit-shape-to-text:t" inset="0,15pt,0,0">
                <w:txbxContent>
                  <w:p w14:paraId="0B69B1C6" w14:textId="24221C68" w:rsidR="00416EFE" w:rsidRPr="00416EFE" w:rsidRDefault="00416EFE" w:rsidP="00416EFE">
                    <w:pPr>
                      <w:spacing w:after="0"/>
                      <w:rPr>
                        <w:rFonts w:ascii="Arial" w:eastAsia="Arial" w:hAnsi="Arial" w:cs="Arial"/>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2568" w14:textId="49AD310A" w:rsidR="00416EFE" w:rsidRDefault="00416EFE">
    <w:pPr>
      <w:pStyle w:val="Header"/>
    </w:pPr>
    <w:r>
      <w:rPr>
        <w:noProof/>
      </w:rPr>
      <mc:AlternateContent>
        <mc:Choice Requires="wps">
          <w:drawing>
            <wp:anchor distT="0" distB="0" distL="0" distR="0" simplePos="0" relativeHeight="251658240" behindDoc="0" locked="0" layoutInCell="1" allowOverlap="1" wp14:anchorId="143F32D7" wp14:editId="321422A3">
              <wp:simplePos x="635" y="635"/>
              <wp:positionH relativeFrom="page">
                <wp:align>center</wp:align>
              </wp:positionH>
              <wp:positionV relativeFrom="page">
                <wp:align>top</wp:align>
              </wp:positionV>
              <wp:extent cx="686435" cy="393700"/>
              <wp:effectExtent l="0" t="0" r="18415" b="6350"/>
              <wp:wrapNone/>
              <wp:docPr id="15134681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1362356C" w14:textId="39A83671" w:rsidR="00416EFE" w:rsidRPr="00416EFE" w:rsidRDefault="00416EFE" w:rsidP="00416EFE">
                          <w:pPr>
                            <w:spacing w:after="0"/>
                            <w:rPr>
                              <w:rFonts w:ascii="Arial" w:eastAsia="Arial" w:hAnsi="Arial" w:cs="Arial"/>
                              <w:noProof/>
                              <w:color w:val="FF0000"/>
                            </w:rPr>
                          </w:pPr>
                          <w:r w:rsidRPr="00416EFE">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3F32D7" id="_x0000_t202" coordsize="21600,21600" o:spt="202" path="m,l,21600r21600,l21600,xe">
              <v:stroke joinstyle="miter"/>
              <v:path gradientshapeok="t" o:connecttype="rect"/>
            </v:shapetype>
            <v:shape id="Text Box 1" o:spid="_x0000_s1030" type="#_x0000_t202" alt="OFFICIAL" style="position:absolute;margin-left:0;margin-top:0;width:54.05pt;height:3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" filled="f" stroked="f">
              <v:textbox style="mso-fit-shape-to-text:t" inset="0,15pt,0,0">
                <w:txbxContent>
                  <w:p w14:paraId="1362356C" w14:textId="39A83671" w:rsidR="00416EFE" w:rsidRPr="00416EFE" w:rsidRDefault="00416EFE" w:rsidP="00416EFE">
                    <w:pPr>
                      <w:spacing w:after="0"/>
                      <w:rPr>
                        <w:rFonts w:ascii="Arial" w:eastAsia="Arial" w:hAnsi="Arial" w:cs="Arial"/>
                        <w:noProof/>
                        <w:color w:val="FF0000"/>
                      </w:rPr>
                    </w:pPr>
                    <w:r w:rsidRPr="00416EFE">
                      <w:rPr>
                        <w:rFonts w:ascii="Arial" w:eastAsia="Arial" w:hAnsi="Arial" w:cs="Arial"/>
                        <w:noProof/>
                        <w:color w:val="FF000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FE"/>
    <w:rsid w:val="000055D9"/>
    <w:rsid w:val="0001702E"/>
    <w:rsid w:val="00022020"/>
    <w:rsid w:val="00037BAE"/>
    <w:rsid w:val="00066C0A"/>
    <w:rsid w:val="00084919"/>
    <w:rsid w:val="000B7200"/>
    <w:rsid w:val="000C75D2"/>
    <w:rsid w:val="001277CE"/>
    <w:rsid w:val="001720E8"/>
    <w:rsid w:val="001963CB"/>
    <w:rsid w:val="001D1BFA"/>
    <w:rsid w:val="0023185A"/>
    <w:rsid w:val="002652B4"/>
    <w:rsid w:val="0031631D"/>
    <w:rsid w:val="00317BE0"/>
    <w:rsid w:val="00342A61"/>
    <w:rsid w:val="003F43B5"/>
    <w:rsid w:val="003F684C"/>
    <w:rsid w:val="00416EFE"/>
    <w:rsid w:val="00443919"/>
    <w:rsid w:val="004C7442"/>
    <w:rsid w:val="00566097"/>
    <w:rsid w:val="006176EF"/>
    <w:rsid w:val="0063563D"/>
    <w:rsid w:val="006405E5"/>
    <w:rsid w:val="00641EF6"/>
    <w:rsid w:val="0066739D"/>
    <w:rsid w:val="006F0725"/>
    <w:rsid w:val="007B7675"/>
    <w:rsid w:val="00887D23"/>
    <w:rsid w:val="008A601D"/>
    <w:rsid w:val="00944A45"/>
    <w:rsid w:val="00951AEE"/>
    <w:rsid w:val="009B5015"/>
    <w:rsid w:val="009B5F3B"/>
    <w:rsid w:val="009F1E19"/>
    <w:rsid w:val="00A24D68"/>
    <w:rsid w:val="00A2620C"/>
    <w:rsid w:val="00A56DE8"/>
    <w:rsid w:val="00AD78F8"/>
    <w:rsid w:val="00AE6B19"/>
    <w:rsid w:val="00B04F93"/>
    <w:rsid w:val="00B70C52"/>
    <w:rsid w:val="00BA4C28"/>
    <w:rsid w:val="00BD449B"/>
    <w:rsid w:val="00C672D7"/>
    <w:rsid w:val="00C8049B"/>
    <w:rsid w:val="00CD29E9"/>
    <w:rsid w:val="00CF6F4B"/>
    <w:rsid w:val="00DC399E"/>
    <w:rsid w:val="00DC418F"/>
    <w:rsid w:val="00E8268B"/>
    <w:rsid w:val="00EE190F"/>
    <w:rsid w:val="00EF5A32"/>
    <w:rsid w:val="00F23CF0"/>
    <w:rsid w:val="00F3038B"/>
    <w:rsid w:val="00F74FEE"/>
    <w:rsid w:val="00FA2A8C"/>
    <w:rsid w:val="00FD0306"/>
    <w:rsid w:val="00FE1A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9F0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E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E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E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E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E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E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E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E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E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E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E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E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E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E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E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E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EFE"/>
    <w:rPr>
      <w:rFonts w:eastAsiaTheme="majorEastAsia" w:cstheme="majorBidi"/>
      <w:color w:val="272727" w:themeColor="text1" w:themeTint="D8"/>
    </w:rPr>
  </w:style>
  <w:style w:type="paragraph" w:styleId="Title">
    <w:name w:val="Title"/>
    <w:basedOn w:val="Normal"/>
    <w:next w:val="Normal"/>
    <w:link w:val="TitleChar"/>
    <w:uiPriority w:val="10"/>
    <w:qFormat/>
    <w:rsid w:val="00416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E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E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EFE"/>
    <w:pPr>
      <w:spacing w:before="160"/>
      <w:jc w:val="center"/>
    </w:pPr>
    <w:rPr>
      <w:i/>
      <w:iCs/>
      <w:color w:val="404040" w:themeColor="text1" w:themeTint="BF"/>
    </w:rPr>
  </w:style>
  <w:style w:type="character" w:customStyle="1" w:styleId="QuoteChar">
    <w:name w:val="Quote Char"/>
    <w:basedOn w:val="DefaultParagraphFont"/>
    <w:link w:val="Quote"/>
    <w:uiPriority w:val="29"/>
    <w:rsid w:val="00416EFE"/>
    <w:rPr>
      <w:i/>
      <w:iCs/>
      <w:color w:val="404040" w:themeColor="text1" w:themeTint="BF"/>
    </w:rPr>
  </w:style>
  <w:style w:type="paragraph" w:styleId="ListParagraph">
    <w:name w:val="List Paragraph"/>
    <w:basedOn w:val="Normal"/>
    <w:uiPriority w:val="34"/>
    <w:qFormat/>
    <w:rsid w:val="00416EFE"/>
    <w:pPr>
      <w:ind w:left="720"/>
      <w:contextualSpacing/>
    </w:pPr>
  </w:style>
  <w:style w:type="character" w:styleId="IntenseEmphasis">
    <w:name w:val="Intense Emphasis"/>
    <w:basedOn w:val="DefaultParagraphFont"/>
    <w:uiPriority w:val="21"/>
    <w:qFormat/>
    <w:rsid w:val="00416EFE"/>
    <w:rPr>
      <w:i/>
      <w:iCs/>
      <w:color w:val="0F4761" w:themeColor="accent1" w:themeShade="BF"/>
    </w:rPr>
  </w:style>
  <w:style w:type="paragraph" w:styleId="IntenseQuote">
    <w:name w:val="Intense Quote"/>
    <w:basedOn w:val="Normal"/>
    <w:next w:val="Normal"/>
    <w:link w:val="IntenseQuoteChar"/>
    <w:uiPriority w:val="30"/>
    <w:qFormat/>
    <w:rsid w:val="00416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EFE"/>
    <w:rPr>
      <w:i/>
      <w:iCs/>
      <w:color w:val="0F4761" w:themeColor="accent1" w:themeShade="BF"/>
    </w:rPr>
  </w:style>
  <w:style w:type="character" w:styleId="IntenseReference">
    <w:name w:val="Intense Reference"/>
    <w:basedOn w:val="DefaultParagraphFont"/>
    <w:uiPriority w:val="32"/>
    <w:qFormat/>
    <w:rsid w:val="00416EFE"/>
    <w:rPr>
      <w:b/>
      <w:bCs/>
      <w:smallCaps/>
      <w:color w:val="0F4761" w:themeColor="accent1" w:themeShade="BF"/>
      <w:spacing w:val="5"/>
    </w:rPr>
  </w:style>
  <w:style w:type="paragraph" w:styleId="Header">
    <w:name w:val="header"/>
    <w:basedOn w:val="Normal"/>
    <w:link w:val="HeaderChar"/>
    <w:uiPriority w:val="99"/>
    <w:unhideWhenUsed/>
    <w:rsid w:val="00416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EFE"/>
  </w:style>
  <w:style w:type="paragraph" w:styleId="Footer">
    <w:name w:val="footer"/>
    <w:basedOn w:val="Normal"/>
    <w:link w:val="FooterChar"/>
    <w:uiPriority w:val="99"/>
    <w:unhideWhenUsed/>
    <w:qFormat/>
    <w:rsid w:val="00416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EFE"/>
  </w:style>
  <w:style w:type="table" w:styleId="TableGrid">
    <w:name w:val="Table Grid"/>
    <w:basedOn w:val="TableNormal"/>
    <w:uiPriority w:val="39"/>
    <w:rsid w:val="00231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2025-10-23T01:07:00Z</dcterms:created>
  <dcterms:modified xsi:type="dcterms:W3CDTF">2025-10-23T01:07:00Z</dcterms:modified>
</cp:coreProperties>
</file>