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04E11" w14:textId="417C0322" w:rsidR="00C67FEA" w:rsidRPr="00C922AF" w:rsidRDefault="00C67FEA" w:rsidP="00C67FEA">
      <w:pPr>
        <w:jc w:val="center"/>
        <w:rPr>
          <w:rFonts w:ascii="Calibri" w:hAnsi="Calibri" w:cs="Calibri"/>
          <w:b/>
          <w:bCs/>
          <w:sz w:val="28"/>
          <w:szCs w:val="28"/>
          <w:lang w:val="en-US"/>
        </w:rPr>
      </w:pPr>
      <w:r>
        <w:rPr>
          <w:rFonts w:ascii="Calibri" w:hAnsi="Calibri" w:cs="Calibri"/>
          <w:b/>
          <w:bCs/>
          <w:sz w:val="28"/>
          <w:szCs w:val="28"/>
          <w:lang w:val="en-US"/>
        </w:rPr>
        <w:t xml:space="preserve">RESPONSE TO NOUS REVIEW RECOMMENDATIONS - </w:t>
      </w:r>
      <w:r w:rsidR="007A4C85">
        <w:rPr>
          <w:rFonts w:ascii="Calibri" w:hAnsi="Calibri" w:cs="Calibri"/>
          <w:b/>
          <w:bCs/>
          <w:sz w:val="28"/>
          <w:szCs w:val="28"/>
          <w:lang w:val="en-US"/>
        </w:rPr>
        <w:t>NATIVE TITLE SERVICES GOLDFIELDS (NTSG)</w:t>
      </w:r>
    </w:p>
    <w:tbl>
      <w:tblPr>
        <w:tblStyle w:val="TableGrid"/>
        <w:tblW w:w="0" w:type="auto"/>
        <w:tblLook w:val="04A0" w:firstRow="1" w:lastRow="0" w:firstColumn="1" w:lastColumn="0" w:noHBand="0" w:noVBand="1"/>
      </w:tblPr>
      <w:tblGrid>
        <w:gridCol w:w="9016"/>
      </w:tblGrid>
      <w:tr w:rsidR="004771F3" w14:paraId="4DEA21B5" w14:textId="77777777" w:rsidTr="00AE6738">
        <w:trPr>
          <w:cantSplit/>
        </w:trPr>
        <w:tc>
          <w:tcPr>
            <w:tcW w:w="9016" w:type="dxa"/>
            <w:shd w:val="clear" w:color="auto" w:fill="C1E4F5" w:themeFill="accent1" w:themeFillTint="33"/>
          </w:tcPr>
          <w:p w14:paraId="384BC5A5" w14:textId="57FF35FC" w:rsidR="004771F3" w:rsidRDefault="006E21F6" w:rsidP="006E21F6">
            <w:pPr>
              <w:tabs>
                <w:tab w:val="left" w:pos="2074"/>
              </w:tabs>
              <w:jc w:val="both"/>
            </w:pPr>
            <w:r w:rsidRPr="00C922AF">
              <w:rPr>
                <w:rFonts w:ascii="Calibri" w:hAnsi="Calibri" w:cs="Calibri"/>
                <w:b/>
                <w:bCs/>
                <w:lang w:val="en-US"/>
              </w:rPr>
              <w:t>TOR 1</w:t>
            </w:r>
            <w:r w:rsidRPr="00C922AF">
              <w:rPr>
                <w:rFonts w:ascii="Calibri" w:hAnsi="Calibri" w:cs="Calibri"/>
                <w:lang w:val="en-US"/>
              </w:rPr>
              <w:t xml:space="preserve"> </w:t>
            </w:r>
            <w:r w:rsidRPr="00C922AF">
              <w:rPr>
                <w:rFonts w:ascii="Calibri" w:hAnsi="Calibri" w:cs="Calibri"/>
                <w:lang w:val="en-GB"/>
              </w:rPr>
              <w:t xml:space="preserve">Extent to which each organisation has achieved positive native title outcomes for persons who hold or may hold native title in its region taking account, where relevant, of disruptions caused by </w:t>
            </w:r>
            <w:r w:rsidRPr="00EC6D28">
              <w:rPr>
                <w:rFonts w:ascii="Calibri" w:hAnsi="Calibri" w:cs="Calibri"/>
                <w:lang w:val="en-GB"/>
              </w:rPr>
              <w:t>COVID-19.</w:t>
            </w:r>
            <w:r w:rsidRPr="00C922AF">
              <w:rPr>
                <w:rFonts w:ascii="Calibri" w:hAnsi="Calibri" w:cs="Calibri"/>
              </w:rPr>
              <w:t> </w:t>
            </w:r>
            <w:r w:rsidR="006069D5" w:rsidRPr="006069D5">
              <w:rPr>
                <w:rFonts w:ascii="Calibri" w:hAnsi="Calibri" w:cs="Calibri"/>
                <w:b/>
                <w:bCs/>
              </w:rPr>
              <w:t>(Rec 1-2)</w:t>
            </w:r>
          </w:p>
        </w:tc>
      </w:tr>
      <w:tr w:rsidR="00A1552B" w14:paraId="2CF3992A" w14:textId="77777777" w:rsidTr="00AE6738">
        <w:trPr>
          <w:cantSplit/>
        </w:trPr>
        <w:tc>
          <w:tcPr>
            <w:tcW w:w="9016" w:type="dxa"/>
          </w:tcPr>
          <w:p w14:paraId="7F59A3F3" w14:textId="22E79F8A" w:rsidR="00A1552B" w:rsidRDefault="0008578C" w:rsidP="00701E6B">
            <w:pPr>
              <w:jc w:val="both"/>
            </w:pPr>
            <w:r w:rsidRPr="008A0822">
              <w:rPr>
                <w:rFonts w:ascii="Calibri" w:hAnsi="Calibri" w:cs="Calibri"/>
                <w:b/>
                <w:bCs/>
                <w:lang w:val="en-GB"/>
              </w:rPr>
              <w:t>Rec</w:t>
            </w:r>
            <w:r>
              <w:rPr>
                <w:rFonts w:ascii="Calibri" w:hAnsi="Calibri" w:cs="Calibri"/>
                <w:lang w:val="en-GB"/>
              </w:rPr>
              <w:t xml:space="preserve"> </w:t>
            </w:r>
            <w:r w:rsidRPr="00FB73C1">
              <w:rPr>
                <w:rFonts w:ascii="Calibri" w:hAnsi="Calibri" w:cs="Calibri"/>
                <w:b/>
                <w:bCs/>
                <w:lang w:val="en-GB"/>
              </w:rPr>
              <w:t>1</w:t>
            </w:r>
            <w:r>
              <w:rPr>
                <w:rFonts w:ascii="Calibri" w:hAnsi="Calibri" w:cs="Calibri"/>
                <w:lang w:val="en-GB"/>
              </w:rPr>
              <w:t xml:space="preserve"> </w:t>
            </w:r>
            <w:r w:rsidRPr="008A0822">
              <w:rPr>
                <w:rFonts w:ascii="Calibri" w:hAnsi="Calibri" w:cs="Calibri"/>
                <w:lang w:val="en-GB"/>
              </w:rPr>
              <w:t>NTSG should work with the NIAA to better match resources with the level of consultation required to efficiently progress claims based on more extensive engagement with those who may hold native title within the region. </w:t>
            </w:r>
            <w:r w:rsidRPr="008A0822">
              <w:rPr>
                <w:rFonts w:ascii="Calibri" w:hAnsi="Calibri" w:cs="Calibri"/>
              </w:rPr>
              <w:t> </w:t>
            </w:r>
          </w:p>
        </w:tc>
      </w:tr>
      <w:tr w:rsidR="00A1552B" w14:paraId="10933B96" w14:textId="77777777" w:rsidTr="00AE6738">
        <w:trPr>
          <w:cantSplit/>
        </w:trPr>
        <w:tc>
          <w:tcPr>
            <w:tcW w:w="9016" w:type="dxa"/>
          </w:tcPr>
          <w:p w14:paraId="36980B6D" w14:textId="77777777" w:rsidR="006069D5" w:rsidRPr="006069D5" w:rsidRDefault="006069D5" w:rsidP="00C97DDF">
            <w:pPr>
              <w:rPr>
                <w:rFonts w:ascii="Calibri" w:hAnsi="Calibri" w:cs="Calibri"/>
                <w:b/>
                <w:bCs/>
                <w:lang w:val="en-US"/>
              </w:rPr>
            </w:pPr>
            <w:r w:rsidRPr="006069D5">
              <w:rPr>
                <w:rFonts w:ascii="Calibri" w:hAnsi="Calibri" w:cs="Calibri"/>
                <w:b/>
                <w:bCs/>
                <w:lang w:val="en-US"/>
              </w:rPr>
              <w:t xml:space="preserve">Response </w:t>
            </w:r>
          </w:p>
          <w:p w14:paraId="3C3EC44E" w14:textId="04CFE530" w:rsidR="00C97DDF" w:rsidRDefault="00C97DDF" w:rsidP="00C97DDF">
            <w:pPr>
              <w:rPr>
                <w:rFonts w:ascii="Calibri" w:hAnsi="Calibri" w:cs="Calibri"/>
                <w:lang w:val="en-US"/>
              </w:rPr>
            </w:pPr>
            <w:r>
              <w:rPr>
                <w:rFonts w:ascii="Calibri" w:hAnsi="Calibri" w:cs="Calibri"/>
                <w:lang w:val="en-US"/>
              </w:rPr>
              <w:t xml:space="preserve">Accepted. </w:t>
            </w:r>
          </w:p>
          <w:p w14:paraId="4EFDBDE0" w14:textId="77777777" w:rsidR="00C97DDF" w:rsidRDefault="00C97DDF" w:rsidP="00C97DDF">
            <w:pPr>
              <w:rPr>
                <w:rFonts w:ascii="Calibri" w:hAnsi="Calibri" w:cs="Calibri"/>
              </w:rPr>
            </w:pPr>
            <w:r w:rsidRPr="001D73DC">
              <w:rPr>
                <w:rFonts w:ascii="Calibri" w:hAnsi="Calibri" w:cs="Calibri"/>
                <w:lang w:val="en-US"/>
              </w:rPr>
              <w:t>In progress.</w:t>
            </w:r>
            <w:r w:rsidRPr="001D73DC">
              <w:rPr>
                <w:rFonts w:ascii="Calibri" w:hAnsi="Calibri" w:cs="Calibri"/>
              </w:rPr>
              <w:t> </w:t>
            </w:r>
          </w:p>
          <w:p w14:paraId="776A1689" w14:textId="77777777" w:rsidR="00C97DDF" w:rsidRPr="00C03FAD" w:rsidRDefault="00C97DDF" w:rsidP="00C97DDF">
            <w:pPr>
              <w:rPr>
                <w:rFonts w:ascii="Calibri" w:hAnsi="Calibri" w:cs="Calibri"/>
                <w:lang w:val="en-US"/>
              </w:rPr>
            </w:pPr>
          </w:p>
          <w:p w14:paraId="3BEF6FA5" w14:textId="77777777" w:rsidR="00C97DDF" w:rsidRPr="001D73DC" w:rsidRDefault="00C97DDF" w:rsidP="00C97DDF">
            <w:pPr>
              <w:rPr>
                <w:rFonts w:ascii="Calibri" w:hAnsi="Calibri" w:cs="Calibri"/>
              </w:rPr>
            </w:pPr>
            <w:r w:rsidRPr="001D73DC">
              <w:rPr>
                <w:rFonts w:ascii="Calibri" w:hAnsi="Calibri" w:cs="Calibri"/>
              </w:rPr>
              <w:t xml:space="preserve">NTSG will continue to work with NIAA in relation to our funding position </w:t>
            </w:r>
            <w:proofErr w:type="gramStart"/>
            <w:r w:rsidRPr="001D73DC">
              <w:rPr>
                <w:rFonts w:ascii="Calibri" w:hAnsi="Calibri" w:cs="Calibri"/>
              </w:rPr>
              <w:t>in light of</w:t>
            </w:r>
            <w:proofErr w:type="gramEnd"/>
            <w:r w:rsidRPr="001D73DC">
              <w:rPr>
                <w:rFonts w:ascii="Calibri" w:hAnsi="Calibri" w:cs="Calibri"/>
              </w:rPr>
              <w:t xml:space="preserve"> the significant growth in the organisation’s workload since commencing operations in 2019.   </w:t>
            </w:r>
          </w:p>
          <w:p w14:paraId="6B9AD9BE" w14:textId="77777777" w:rsidR="00C97DDF" w:rsidRPr="001D73DC" w:rsidRDefault="00C97DDF" w:rsidP="00C97DDF">
            <w:pPr>
              <w:rPr>
                <w:rFonts w:ascii="Calibri" w:hAnsi="Calibri" w:cs="Calibri"/>
              </w:rPr>
            </w:pPr>
            <w:r w:rsidRPr="001D73DC">
              <w:rPr>
                <w:rFonts w:ascii="Calibri" w:hAnsi="Calibri" w:cs="Calibri"/>
                <w:lang w:val="en-US"/>
              </w:rPr>
              <w:t xml:space="preserve">There are several factors that have contributed to the increased work of the </w:t>
            </w:r>
            <w:proofErr w:type="spellStart"/>
            <w:r w:rsidRPr="001D73DC">
              <w:rPr>
                <w:rFonts w:ascii="Calibri" w:hAnsi="Calibri" w:cs="Calibri"/>
                <w:lang w:val="en-US"/>
              </w:rPr>
              <w:t>organisation</w:t>
            </w:r>
            <w:proofErr w:type="spellEnd"/>
            <w:r w:rsidRPr="001D73DC">
              <w:rPr>
                <w:rFonts w:ascii="Calibri" w:hAnsi="Calibri" w:cs="Calibri"/>
                <w:lang w:val="en-US"/>
              </w:rPr>
              <w:t xml:space="preserve">, </w:t>
            </w:r>
            <w:r>
              <w:rPr>
                <w:rFonts w:ascii="Calibri" w:hAnsi="Calibri" w:cs="Calibri"/>
                <w:lang w:val="en-US"/>
              </w:rPr>
              <w:t>i</w:t>
            </w:r>
            <w:r w:rsidRPr="001D73DC">
              <w:rPr>
                <w:rFonts w:ascii="Calibri" w:hAnsi="Calibri" w:cs="Calibri"/>
                <w:lang w:val="en-US"/>
              </w:rPr>
              <w:t>ncluding:</w:t>
            </w:r>
            <w:r w:rsidRPr="001D73DC">
              <w:rPr>
                <w:rFonts w:ascii="Calibri" w:hAnsi="Calibri" w:cs="Calibri"/>
              </w:rPr>
              <w:t> </w:t>
            </w:r>
          </w:p>
          <w:p w14:paraId="2EA02ED5" w14:textId="77777777" w:rsidR="00C97DDF" w:rsidRPr="001D73DC" w:rsidRDefault="00C97DDF" w:rsidP="00C97DDF">
            <w:pPr>
              <w:numPr>
                <w:ilvl w:val="0"/>
                <w:numId w:val="13"/>
              </w:numPr>
              <w:ind w:left="360"/>
              <w:rPr>
                <w:rFonts w:ascii="Calibri" w:hAnsi="Calibri" w:cs="Calibri"/>
              </w:rPr>
            </w:pPr>
            <w:r w:rsidRPr="001D73DC">
              <w:rPr>
                <w:rFonts w:ascii="Calibri" w:hAnsi="Calibri" w:cs="Calibri"/>
              </w:rPr>
              <w:t>the growth in the number of native title claims that NTSG provides direct legal representation to within the region - currently five (5), up from two (2) when the organisation commenced work in 2019 </w:t>
            </w:r>
          </w:p>
          <w:p w14:paraId="52316EEE" w14:textId="77777777" w:rsidR="00C97DDF" w:rsidRPr="001D73DC" w:rsidRDefault="00C97DDF" w:rsidP="00C97DDF">
            <w:pPr>
              <w:numPr>
                <w:ilvl w:val="0"/>
                <w:numId w:val="14"/>
              </w:numPr>
              <w:ind w:left="360"/>
              <w:rPr>
                <w:rFonts w:ascii="Calibri" w:hAnsi="Calibri" w:cs="Calibri"/>
              </w:rPr>
            </w:pPr>
            <w:r w:rsidRPr="001D73DC">
              <w:rPr>
                <w:rFonts w:ascii="Calibri" w:hAnsi="Calibri" w:cs="Calibri"/>
                <w:lang w:val="en-US"/>
              </w:rPr>
              <w:t xml:space="preserve">several unclaimed areas in the research phase with a view to progressing to </w:t>
            </w:r>
            <w:proofErr w:type="spellStart"/>
            <w:r w:rsidRPr="001D73DC">
              <w:rPr>
                <w:rFonts w:ascii="Calibri" w:hAnsi="Calibri" w:cs="Calibri"/>
                <w:lang w:val="en-US"/>
              </w:rPr>
              <w:t>authorisation</w:t>
            </w:r>
            <w:proofErr w:type="spellEnd"/>
            <w:r w:rsidRPr="001D73DC">
              <w:rPr>
                <w:rFonts w:ascii="Calibri" w:hAnsi="Calibri" w:cs="Calibri"/>
                <w:lang w:val="en-US"/>
              </w:rPr>
              <w:t xml:space="preserve"> of native title claims in the next 12-18 months</w:t>
            </w:r>
            <w:r w:rsidRPr="001D73DC">
              <w:rPr>
                <w:rFonts w:ascii="Calibri" w:hAnsi="Calibri" w:cs="Calibri"/>
              </w:rPr>
              <w:t> </w:t>
            </w:r>
          </w:p>
          <w:p w14:paraId="4D797A39" w14:textId="77777777" w:rsidR="00C97DDF" w:rsidRPr="001D73DC" w:rsidRDefault="00C97DDF" w:rsidP="00C97DDF">
            <w:pPr>
              <w:numPr>
                <w:ilvl w:val="0"/>
                <w:numId w:val="15"/>
              </w:numPr>
              <w:ind w:left="360"/>
              <w:rPr>
                <w:rFonts w:ascii="Calibri" w:hAnsi="Calibri" w:cs="Calibri"/>
              </w:rPr>
            </w:pPr>
            <w:r w:rsidRPr="001D73DC">
              <w:rPr>
                <w:rFonts w:ascii="Calibri" w:hAnsi="Calibri" w:cs="Calibri"/>
              </w:rPr>
              <w:t>the status of overlapping claims involving multiple parties in the west and North-East areas of the region. These claims are complex and resource intensive, with one matter the subject of lengthy litigation over 2023/224 </w:t>
            </w:r>
          </w:p>
          <w:p w14:paraId="4852CDC6" w14:textId="77777777" w:rsidR="00C97DDF" w:rsidRDefault="00C97DDF" w:rsidP="00C97DDF">
            <w:pPr>
              <w:rPr>
                <w:rFonts w:ascii="Calibri" w:hAnsi="Calibri" w:cs="Calibri"/>
              </w:rPr>
            </w:pPr>
          </w:p>
          <w:p w14:paraId="2BAD0271" w14:textId="77777777" w:rsidR="00C97DDF" w:rsidRPr="001D73DC" w:rsidRDefault="00C97DDF" w:rsidP="00C97DDF">
            <w:pPr>
              <w:rPr>
                <w:rFonts w:ascii="Calibri" w:hAnsi="Calibri" w:cs="Calibri"/>
              </w:rPr>
            </w:pPr>
            <w:r w:rsidRPr="001D73DC">
              <w:rPr>
                <w:rFonts w:ascii="Calibri" w:hAnsi="Calibri" w:cs="Calibri"/>
              </w:rPr>
              <w:t>NTSG remains committed to undertaking appropriate engagement with our constituents and is investigating a range of means to increase opportunities to meet with traditional owners from the Goldfields in respect of native title claims in progress and in the research phase. Additional human resources will assist with the implementation of new and improved consultation strategies. </w:t>
            </w:r>
          </w:p>
          <w:p w14:paraId="274376E7" w14:textId="77777777" w:rsidR="00C97DDF" w:rsidRPr="001D73DC" w:rsidRDefault="00C97DDF" w:rsidP="00C97DDF">
            <w:pPr>
              <w:rPr>
                <w:rFonts w:ascii="Calibri" w:hAnsi="Calibri" w:cs="Calibri"/>
              </w:rPr>
            </w:pPr>
            <w:r w:rsidRPr="001D73DC">
              <w:rPr>
                <w:rFonts w:ascii="Calibri" w:hAnsi="Calibri" w:cs="Calibri"/>
              </w:rPr>
              <w:t> </w:t>
            </w:r>
          </w:p>
          <w:p w14:paraId="1847ABB7" w14:textId="62354B31" w:rsidR="00A1552B" w:rsidRDefault="00C97DDF" w:rsidP="00C97DDF">
            <w:pPr>
              <w:jc w:val="both"/>
            </w:pPr>
            <w:r w:rsidRPr="001D73DC">
              <w:rPr>
                <w:rFonts w:ascii="Calibri" w:hAnsi="Calibri" w:cs="Calibri"/>
              </w:rPr>
              <w:t>NTSG notes that the efficient progress of claims may be impacted by a range of factors outside of our control, including the existence of Respondent interests, Indigenous intramural disputes, the progress of court-convened mediations, sorry business and other unforeseen circumstances. The organisation endeavours to be agile and responsive whenever possible and will continue to work with our constituents and other stakeholders to progress outcomes in the region in a timely and effective manner. </w:t>
            </w:r>
          </w:p>
        </w:tc>
      </w:tr>
      <w:tr w:rsidR="004771F3" w14:paraId="0FC42064" w14:textId="77777777" w:rsidTr="00AE6738">
        <w:trPr>
          <w:cantSplit/>
        </w:trPr>
        <w:tc>
          <w:tcPr>
            <w:tcW w:w="9016" w:type="dxa"/>
          </w:tcPr>
          <w:p w14:paraId="2A1C03A2" w14:textId="35B5032C" w:rsidR="004771F3" w:rsidRDefault="00413FB1" w:rsidP="00594576">
            <w:pPr>
              <w:jc w:val="both"/>
            </w:pPr>
            <w:r w:rsidRPr="00FB73C1">
              <w:rPr>
                <w:rFonts w:ascii="Calibri" w:hAnsi="Calibri" w:cs="Calibri"/>
                <w:b/>
                <w:bCs/>
                <w:lang w:val="en-GB"/>
              </w:rPr>
              <w:t>Rec 2</w:t>
            </w:r>
            <w:r>
              <w:rPr>
                <w:rFonts w:ascii="Calibri" w:hAnsi="Calibri" w:cs="Calibri"/>
                <w:lang w:val="en-GB"/>
              </w:rPr>
              <w:t xml:space="preserve"> </w:t>
            </w:r>
            <w:r w:rsidRPr="00FB73C1">
              <w:rPr>
                <w:rFonts w:ascii="Calibri" w:hAnsi="Calibri" w:cs="Calibri"/>
                <w:lang w:val="en-GB"/>
              </w:rPr>
              <w:t>NTSG should continue to prioritise the recruitment of a second anthropologist and fill the vacant legal position. If necessary, it should offer flexible support to help individuals reach the required capability</w:t>
            </w:r>
            <w:r>
              <w:rPr>
                <w:rFonts w:ascii="Calibri" w:hAnsi="Calibri" w:cs="Calibri"/>
                <w:lang w:val="en-GB"/>
              </w:rPr>
              <w:t>.</w:t>
            </w:r>
            <w:r w:rsidRPr="00FB73C1">
              <w:rPr>
                <w:rFonts w:ascii="Calibri" w:hAnsi="Calibri" w:cs="Calibri"/>
              </w:rPr>
              <w:t> </w:t>
            </w:r>
          </w:p>
        </w:tc>
      </w:tr>
      <w:tr w:rsidR="004771F3" w14:paraId="1E864FDA" w14:textId="77777777" w:rsidTr="00AE6738">
        <w:trPr>
          <w:cantSplit/>
        </w:trPr>
        <w:tc>
          <w:tcPr>
            <w:tcW w:w="9016" w:type="dxa"/>
          </w:tcPr>
          <w:p w14:paraId="2C186857" w14:textId="77777777" w:rsidR="006069D5" w:rsidRPr="006069D5" w:rsidRDefault="006069D5" w:rsidP="006069D5">
            <w:pPr>
              <w:rPr>
                <w:rFonts w:ascii="Calibri" w:hAnsi="Calibri" w:cs="Calibri"/>
                <w:b/>
                <w:bCs/>
                <w:lang w:val="en-US"/>
              </w:rPr>
            </w:pPr>
            <w:r w:rsidRPr="006069D5">
              <w:rPr>
                <w:rFonts w:ascii="Calibri" w:hAnsi="Calibri" w:cs="Calibri"/>
                <w:b/>
                <w:bCs/>
                <w:lang w:val="en-US"/>
              </w:rPr>
              <w:lastRenderedPageBreak/>
              <w:t xml:space="preserve">Response </w:t>
            </w:r>
          </w:p>
          <w:p w14:paraId="21CA12CB" w14:textId="77777777" w:rsidR="00EA52FA" w:rsidRDefault="00EA52FA" w:rsidP="00EA52FA">
            <w:pPr>
              <w:rPr>
                <w:rFonts w:ascii="Calibri" w:hAnsi="Calibri" w:cs="Calibri"/>
                <w:lang w:val="en-US"/>
              </w:rPr>
            </w:pPr>
            <w:r>
              <w:rPr>
                <w:rFonts w:ascii="Calibri" w:hAnsi="Calibri" w:cs="Calibri"/>
                <w:lang w:val="en-US"/>
              </w:rPr>
              <w:t xml:space="preserve">Accepted. </w:t>
            </w:r>
          </w:p>
          <w:p w14:paraId="603FB6DB" w14:textId="77777777" w:rsidR="00EA52FA" w:rsidRDefault="00EA52FA" w:rsidP="00EA52FA">
            <w:pPr>
              <w:rPr>
                <w:rFonts w:ascii="Calibri" w:hAnsi="Calibri" w:cs="Calibri"/>
                <w:lang w:val="en-US"/>
              </w:rPr>
            </w:pPr>
            <w:r>
              <w:rPr>
                <w:rFonts w:ascii="Calibri" w:hAnsi="Calibri" w:cs="Calibri"/>
                <w:lang w:val="en-US"/>
              </w:rPr>
              <w:t xml:space="preserve">In progress. </w:t>
            </w:r>
          </w:p>
          <w:p w14:paraId="0756E9D8" w14:textId="77777777" w:rsidR="00EA52FA" w:rsidRPr="00C30E8D" w:rsidRDefault="00EA52FA" w:rsidP="00EA52FA">
            <w:pPr>
              <w:rPr>
                <w:rFonts w:ascii="Calibri" w:hAnsi="Calibri" w:cs="Calibri"/>
              </w:rPr>
            </w:pPr>
            <w:r w:rsidRPr="00C30E8D">
              <w:rPr>
                <w:rFonts w:ascii="Calibri" w:hAnsi="Calibri" w:cs="Calibri"/>
              </w:rPr>
              <w:t> </w:t>
            </w:r>
          </w:p>
          <w:p w14:paraId="2C55C7BB" w14:textId="77777777" w:rsidR="00EA52FA" w:rsidRPr="00C30E8D" w:rsidRDefault="00EA52FA" w:rsidP="00EA52FA">
            <w:pPr>
              <w:rPr>
                <w:rFonts w:ascii="Calibri" w:hAnsi="Calibri" w:cs="Calibri"/>
              </w:rPr>
            </w:pPr>
            <w:r w:rsidRPr="00C30E8D">
              <w:rPr>
                <w:rFonts w:ascii="Calibri" w:hAnsi="Calibri" w:cs="Calibri"/>
              </w:rPr>
              <w:t>NTSG currently employs two anthropologists, with a third position (which is currently being advertised again</w:t>
            </w:r>
            <w:proofErr w:type="gramStart"/>
            <w:r w:rsidRPr="00C30E8D">
              <w:rPr>
                <w:rFonts w:ascii="Calibri" w:hAnsi="Calibri" w:cs="Calibri"/>
              </w:rPr>
              <w:t>),  remaining</w:t>
            </w:r>
            <w:proofErr w:type="gramEnd"/>
            <w:r w:rsidRPr="00C30E8D">
              <w:rPr>
                <w:rFonts w:ascii="Calibri" w:hAnsi="Calibri" w:cs="Calibri"/>
              </w:rPr>
              <w:t xml:space="preserve"> vacant since before the Review. The high demand for heritage professionals within the native title and extractive industries sectors has been the most significant challenge for the organisation in recruiting for this position. To address the immediate workload issues within the Research </w:t>
            </w:r>
            <w:proofErr w:type="gramStart"/>
            <w:r w:rsidRPr="00C30E8D">
              <w:rPr>
                <w:rFonts w:ascii="Calibri" w:hAnsi="Calibri" w:cs="Calibri"/>
              </w:rPr>
              <w:t>Team,  NTSG</w:t>
            </w:r>
            <w:proofErr w:type="gramEnd"/>
            <w:r w:rsidRPr="00C30E8D">
              <w:rPr>
                <w:rFonts w:ascii="Calibri" w:hAnsi="Calibri" w:cs="Calibri"/>
              </w:rPr>
              <w:t xml:space="preserve"> engaged an experienced senior anthropologist in October 2023 as a consultant on a limited contract to provide identified assistance. The consultant undertakes work for NTSG one day per week.  </w:t>
            </w:r>
          </w:p>
          <w:p w14:paraId="71DC169D" w14:textId="77777777" w:rsidR="00EA52FA" w:rsidRPr="00C30E8D" w:rsidRDefault="00EA52FA" w:rsidP="00EA52FA">
            <w:pPr>
              <w:rPr>
                <w:rFonts w:ascii="Calibri" w:hAnsi="Calibri" w:cs="Calibri"/>
              </w:rPr>
            </w:pPr>
            <w:r w:rsidRPr="00C30E8D">
              <w:rPr>
                <w:rFonts w:ascii="Calibri" w:hAnsi="Calibri" w:cs="Calibri"/>
              </w:rPr>
              <w:t> </w:t>
            </w:r>
          </w:p>
          <w:p w14:paraId="235C8264" w14:textId="77777777" w:rsidR="00EA52FA" w:rsidRPr="00C30E8D" w:rsidRDefault="00EA52FA" w:rsidP="00EA52FA">
            <w:pPr>
              <w:rPr>
                <w:rFonts w:ascii="Calibri" w:hAnsi="Calibri" w:cs="Calibri"/>
              </w:rPr>
            </w:pPr>
            <w:r w:rsidRPr="00C30E8D">
              <w:rPr>
                <w:rFonts w:ascii="Calibri" w:hAnsi="Calibri" w:cs="Calibri"/>
              </w:rPr>
              <w:t>Since the review was completed, our Research Assistant role has also become vacant. NTSG has subsequently undertaken 2 unsuccessful recruitment processes for the vacant anthropologist and research assistant positions. A further recruitment process for the Anthropologist position is underway in November 2024, and the research position will be advertised again in the New Year.  </w:t>
            </w:r>
          </w:p>
          <w:p w14:paraId="2F030BD3" w14:textId="77777777" w:rsidR="00EA52FA" w:rsidRPr="00C30E8D" w:rsidRDefault="00EA52FA" w:rsidP="00EA52FA">
            <w:pPr>
              <w:rPr>
                <w:rFonts w:ascii="Calibri" w:hAnsi="Calibri" w:cs="Calibri"/>
              </w:rPr>
            </w:pPr>
            <w:r w:rsidRPr="00C30E8D">
              <w:rPr>
                <w:rFonts w:ascii="Calibri" w:hAnsi="Calibri" w:cs="Calibri"/>
              </w:rPr>
              <w:t> </w:t>
            </w:r>
          </w:p>
          <w:p w14:paraId="22E95ACC" w14:textId="77777777" w:rsidR="00EA52FA" w:rsidRPr="00C30E8D" w:rsidRDefault="00EA52FA" w:rsidP="00EA52FA">
            <w:pPr>
              <w:rPr>
                <w:rFonts w:ascii="Calibri" w:hAnsi="Calibri" w:cs="Calibri"/>
              </w:rPr>
            </w:pPr>
            <w:r w:rsidRPr="00C30E8D">
              <w:rPr>
                <w:rFonts w:ascii="Calibri" w:hAnsi="Calibri" w:cs="Calibri"/>
                <w:lang w:val="en-US"/>
              </w:rPr>
              <w:t xml:space="preserve">One legal position was vacated when the Senior Lawyer transitioned to the CEO position, and the </w:t>
            </w:r>
            <w:proofErr w:type="spellStart"/>
            <w:r w:rsidRPr="00C30E8D">
              <w:rPr>
                <w:rFonts w:ascii="Calibri" w:hAnsi="Calibri" w:cs="Calibri"/>
                <w:lang w:val="en-US"/>
              </w:rPr>
              <w:t>organisation</w:t>
            </w:r>
            <w:proofErr w:type="spellEnd"/>
            <w:r w:rsidRPr="00C30E8D">
              <w:rPr>
                <w:rFonts w:ascii="Calibri" w:hAnsi="Calibri" w:cs="Calibri"/>
                <w:lang w:val="en-US"/>
              </w:rPr>
              <w:t xml:space="preserve"> undertook a recruitment process which </w:t>
            </w:r>
            <w:r w:rsidRPr="00C30E8D">
              <w:rPr>
                <w:rFonts w:ascii="Calibri" w:hAnsi="Calibri" w:cs="Calibri"/>
                <w:lang w:val="en-GB"/>
              </w:rPr>
              <w:t>was not successful in recruiting a suitable candidate</w:t>
            </w:r>
            <w:r w:rsidRPr="00C30E8D">
              <w:rPr>
                <w:rFonts w:ascii="Calibri" w:hAnsi="Calibri" w:cs="Calibri"/>
                <w:lang w:val="en-US"/>
              </w:rPr>
              <w:t>. Following a further recruitment round we were able to employ two new lawyers (one a senior and one junior) in December 2023. </w:t>
            </w:r>
            <w:r w:rsidRPr="00C30E8D">
              <w:rPr>
                <w:rFonts w:ascii="Calibri" w:hAnsi="Calibri" w:cs="Calibri"/>
              </w:rPr>
              <w:t> </w:t>
            </w:r>
          </w:p>
          <w:p w14:paraId="6D4CFFFA" w14:textId="77777777" w:rsidR="00EA52FA" w:rsidRPr="00C30E8D" w:rsidRDefault="00EA52FA" w:rsidP="00EA52FA">
            <w:pPr>
              <w:rPr>
                <w:rFonts w:ascii="Calibri" w:hAnsi="Calibri" w:cs="Calibri"/>
              </w:rPr>
            </w:pPr>
            <w:r w:rsidRPr="00C30E8D">
              <w:rPr>
                <w:rFonts w:ascii="Calibri" w:hAnsi="Calibri" w:cs="Calibri"/>
              </w:rPr>
              <w:t> </w:t>
            </w:r>
          </w:p>
          <w:p w14:paraId="0307817E" w14:textId="77777777" w:rsidR="00C569E1" w:rsidRPr="00C30E8D" w:rsidRDefault="00C569E1" w:rsidP="00C569E1">
            <w:pPr>
              <w:rPr>
                <w:rFonts w:ascii="Calibri" w:hAnsi="Calibri" w:cs="Calibri"/>
              </w:rPr>
            </w:pPr>
            <w:r w:rsidRPr="00C30E8D">
              <w:rPr>
                <w:rFonts w:ascii="Calibri" w:hAnsi="Calibri" w:cs="Calibri"/>
              </w:rPr>
              <w:t xml:space="preserve">An additional position was created in the second half of </w:t>
            </w:r>
            <w:proofErr w:type="gramStart"/>
            <w:r w:rsidRPr="00C30E8D">
              <w:rPr>
                <w:rFonts w:ascii="Calibri" w:hAnsi="Calibri" w:cs="Calibri"/>
              </w:rPr>
              <w:t>2024</w:t>
            </w:r>
            <w:proofErr w:type="gramEnd"/>
            <w:r w:rsidRPr="00C30E8D">
              <w:rPr>
                <w:rFonts w:ascii="Calibri" w:hAnsi="Calibri" w:cs="Calibri"/>
              </w:rPr>
              <w:t xml:space="preserve"> and we have been attempting to recruit another senior lawyer to add depth and experience to the team. However, despite receiving a small number of applications from suitably experienced candidates, for a range of reasons, those candidates have not ultimately accepted the role.  </w:t>
            </w:r>
          </w:p>
          <w:p w14:paraId="51FF61EA" w14:textId="77777777" w:rsidR="00C569E1" w:rsidRPr="00C30E8D" w:rsidRDefault="00C569E1" w:rsidP="00C569E1">
            <w:pPr>
              <w:rPr>
                <w:rFonts w:ascii="Calibri" w:hAnsi="Calibri" w:cs="Calibri"/>
              </w:rPr>
            </w:pPr>
            <w:r w:rsidRPr="00C30E8D">
              <w:rPr>
                <w:rFonts w:ascii="Calibri" w:hAnsi="Calibri" w:cs="Calibri"/>
              </w:rPr>
              <w:t> </w:t>
            </w:r>
          </w:p>
          <w:p w14:paraId="4D5C2F1E" w14:textId="77777777" w:rsidR="00C569E1" w:rsidRPr="00C30E8D" w:rsidRDefault="00C569E1" w:rsidP="00C569E1">
            <w:pPr>
              <w:rPr>
                <w:rFonts w:ascii="Calibri" w:hAnsi="Calibri" w:cs="Calibri"/>
              </w:rPr>
            </w:pPr>
            <w:proofErr w:type="gramStart"/>
            <w:r w:rsidRPr="00C30E8D">
              <w:rPr>
                <w:rFonts w:ascii="Calibri" w:hAnsi="Calibri" w:cs="Calibri"/>
              </w:rPr>
              <w:t>In order to</w:t>
            </w:r>
            <w:proofErr w:type="gramEnd"/>
            <w:r w:rsidRPr="00C30E8D">
              <w:rPr>
                <w:rFonts w:ascii="Calibri" w:hAnsi="Calibri" w:cs="Calibri"/>
              </w:rPr>
              <w:t xml:space="preserve"> attract quality candidates NTSG has highlighted throughout the recruitment process that it is able to offer a range of benefits aimed at providing an appealing and supportive work environment, such as: </w:t>
            </w:r>
          </w:p>
          <w:p w14:paraId="64886BF6" w14:textId="77777777" w:rsidR="00C569E1" w:rsidRPr="00C30E8D" w:rsidRDefault="00C569E1" w:rsidP="00C569E1">
            <w:pPr>
              <w:rPr>
                <w:rFonts w:ascii="Calibri" w:hAnsi="Calibri" w:cs="Calibri"/>
              </w:rPr>
            </w:pPr>
            <w:r w:rsidRPr="00C30E8D">
              <w:rPr>
                <w:rFonts w:ascii="Calibri" w:hAnsi="Calibri" w:cs="Calibri"/>
              </w:rPr>
              <w:t> </w:t>
            </w:r>
          </w:p>
          <w:p w14:paraId="60A2A2F1" w14:textId="77777777" w:rsidR="00C569E1" w:rsidRPr="00C30E8D" w:rsidRDefault="00C569E1" w:rsidP="00C569E1">
            <w:pPr>
              <w:numPr>
                <w:ilvl w:val="0"/>
                <w:numId w:val="16"/>
              </w:numPr>
              <w:ind w:left="360"/>
              <w:rPr>
                <w:rFonts w:ascii="Calibri" w:hAnsi="Calibri" w:cs="Calibri"/>
              </w:rPr>
            </w:pPr>
            <w:r w:rsidRPr="00C30E8D">
              <w:rPr>
                <w:rFonts w:ascii="Calibri" w:hAnsi="Calibri" w:cs="Calibri"/>
                <w:lang w:val="en-US"/>
              </w:rPr>
              <w:t>Flexible working arrangements, including flexible hours, options to work part-time or modified hours, options to work remotely, hybrid office/WFH models, and Time Off in Lieu of excess hours worked</w:t>
            </w:r>
            <w:r w:rsidRPr="00C30E8D">
              <w:rPr>
                <w:rFonts w:ascii="Calibri" w:hAnsi="Calibri" w:cs="Calibri"/>
              </w:rPr>
              <w:t> </w:t>
            </w:r>
          </w:p>
          <w:p w14:paraId="5A51EAF0" w14:textId="77777777" w:rsidR="00C569E1" w:rsidRPr="00C30E8D" w:rsidRDefault="00C569E1" w:rsidP="00C569E1">
            <w:pPr>
              <w:numPr>
                <w:ilvl w:val="0"/>
                <w:numId w:val="17"/>
              </w:numPr>
              <w:ind w:left="360"/>
              <w:rPr>
                <w:rFonts w:ascii="Calibri" w:hAnsi="Calibri" w:cs="Calibri"/>
              </w:rPr>
            </w:pPr>
            <w:r w:rsidRPr="00C30E8D">
              <w:rPr>
                <w:rFonts w:ascii="Calibri" w:hAnsi="Calibri" w:cs="Calibri"/>
                <w:lang w:val="en-US"/>
              </w:rPr>
              <w:t>Opportunities to take advantage of a range of salary packaging opportunities</w:t>
            </w:r>
            <w:r w:rsidRPr="00C30E8D">
              <w:rPr>
                <w:rFonts w:ascii="Calibri" w:hAnsi="Calibri" w:cs="Calibri"/>
              </w:rPr>
              <w:t> </w:t>
            </w:r>
          </w:p>
          <w:p w14:paraId="13AEEEE7" w14:textId="77777777" w:rsidR="00C569E1" w:rsidRPr="00C30E8D" w:rsidRDefault="00C569E1" w:rsidP="00C569E1">
            <w:pPr>
              <w:numPr>
                <w:ilvl w:val="0"/>
                <w:numId w:val="18"/>
              </w:numPr>
              <w:ind w:left="360"/>
              <w:rPr>
                <w:rFonts w:ascii="Calibri" w:hAnsi="Calibri" w:cs="Calibri"/>
              </w:rPr>
            </w:pPr>
            <w:r w:rsidRPr="00C30E8D">
              <w:rPr>
                <w:rFonts w:ascii="Calibri" w:hAnsi="Calibri" w:cs="Calibri"/>
              </w:rPr>
              <w:t>Additional paid leave between Christmas and New Year’s Day. </w:t>
            </w:r>
          </w:p>
          <w:p w14:paraId="390FD51B" w14:textId="77777777" w:rsidR="00C569E1" w:rsidRPr="00C30E8D" w:rsidRDefault="00C569E1" w:rsidP="00C569E1">
            <w:pPr>
              <w:numPr>
                <w:ilvl w:val="0"/>
                <w:numId w:val="19"/>
              </w:numPr>
              <w:ind w:left="360"/>
              <w:rPr>
                <w:rFonts w:ascii="Calibri" w:hAnsi="Calibri" w:cs="Calibri"/>
              </w:rPr>
            </w:pPr>
            <w:r w:rsidRPr="00C30E8D">
              <w:rPr>
                <w:rFonts w:ascii="Calibri" w:hAnsi="Calibri" w:cs="Calibri"/>
              </w:rPr>
              <w:t>Relocation assistance. </w:t>
            </w:r>
          </w:p>
          <w:p w14:paraId="2F6F47B3" w14:textId="77777777" w:rsidR="00C569E1" w:rsidRPr="00C30E8D" w:rsidRDefault="00C569E1" w:rsidP="00C569E1">
            <w:pPr>
              <w:numPr>
                <w:ilvl w:val="0"/>
                <w:numId w:val="20"/>
              </w:numPr>
              <w:ind w:left="360"/>
              <w:rPr>
                <w:rFonts w:ascii="Calibri" w:hAnsi="Calibri" w:cs="Calibri"/>
              </w:rPr>
            </w:pPr>
            <w:r w:rsidRPr="00C30E8D">
              <w:rPr>
                <w:rFonts w:ascii="Calibri" w:hAnsi="Calibri" w:cs="Calibri"/>
                <w:lang w:val="en-US"/>
              </w:rPr>
              <w:t>4WD, First Aid, and Mental Health First Aid training, on-country cultural awareness training, and a range of professional development opportunities, including attendance at highly regarded conferences and summits of relevance to the sector. </w:t>
            </w:r>
            <w:r w:rsidRPr="00C30E8D">
              <w:rPr>
                <w:rFonts w:ascii="Calibri" w:hAnsi="Calibri" w:cs="Calibri"/>
              </w:rPr>
              <w:t> </w:t>
            </w:r>
          </w:p>
          <w:p w14:paraId="5B1E5E2A" w14:textId="77777777" w:rsidR="00C569E1" w:rsidRPr="00C30E8D" w:rsidRDefault="00C569E1" w:rsidP="00C569E1">
            <w:pPr>
              <w:ind w:left="-360"/>
              <w:rPr>
                <w:rFonts w:ascii="Calibri" w:hAnsi="Calibri" w:cs="Calibri"/>
              </w:rPr>
            </w:pPr>
            <w:r w:rsidRPr="00C30E8D">
              <w:rPr>
                <w:rFonts w:ascii="Calibri" w:hAnsi="Calibri" w:cs="Calibri"/>
              </w:rPr>
              <w:t> </w:t>
            </w:r>
          </w:p>
          <w:p w14:paraId="721B5B31" w14:textId="370F5DAE" w:rsidR="004771F3" w:rsidRDefault="00C569E1" w:rsidP="00C569E1">
            <w:pPr>
              <w:jc w:val="both"/>
            </w:pPr>
            <w:r w:rsidRPr="00C30E8D">
              <w:rPr>
                <w:rFonts w:ascii="Calibri" w:hAnsi="Calibri" w:cs="Calibri"/>
              </w:rPr>
              <w:t>However, these benefits are consistent with similar measures offered by other not for profit organisations and native title service providers, and as such recruitment remains a challenge.</w:t>
            </w:r>
          </w:p>
        </w:tc>
      </w:tr>
      <w:tr w:rsidR="004771F3" w14:paraId="1E9478E7" w14:textId="77777777" w:rsidTr="00AE6738">
        <w:trPr>
          <w:cantSplit/>
        </w:trPr>
        <w:tc>
          <w:tcPr>
            <w:tcW w:w="9016" w:type="dxa"/>
            <w:shd w:val="clear" w:color="auto" w:fill="C1E4F5" w:themeFill="accent1" w:themeFillTint="33"/>
          </w:tcPr>
          <w:p w14:paraId="42890BBF" w14:textId="575B2A78" w:rsidR="004771F3" w:rsidRDefault="00A1552B" w:rsidP="00594576">
            <w:pPr>
              <w:jc w:val="both"/>
            </w:pPr>
            <w:r w:rsidRPr="00C922AF">
              <w:rPr>
                <w:rFonts w:ascii="Calibri" w:hAnsi="Calibri" w:cs="Calibri"/>
                <w:b/>
                <w:bCs/>
                <w:lang w:val="en-US"/>
              </w:rPr>
              <w:lastRenderedPageBreak/>
              <w:t>TOR 2</w:t>
            </w:r>
            <w:r w:rsidRPr="00C922AF">
              <w:rPr>
                <w:rFonts w:ascii="Calibri" w:hAnsi="Calibri" w:cs="Calibri"/>
                <w:lang w:val="en-US"/>
              </w:rPr>
              <w:t xml:space="preserve"> </w:t>
            </w:r>
            <w:r w:rsidRPr="00C922AF">
              <w:rPr>
                <w:rFonts w:ascii="Calibri" w:hAnsi="Calibri" w:cs="Calibri"/>
                <w:lang w:val="en-GB"/>
              </w:rPr>
              <w:t>Extent to which each organisation assesses and prioritises applications for assistance in a manner that is equitable, transparent, and robust</w:t>
            </w:r>
            <w:r>
              <w:rPr>
                <w:rFonts w:ascii="Calibri" w:hAnsi="Calibri" w:cs="Calibri"/>
                <w:lang w:val="en-GB"/>
              </w:rPr>
              <w:t>,</w:t>
            </w:r>
            <w:r w:rsidRPr="00C922AF">
              <w:rPr>
                <w:rFonts w:ascii="Calibri" w:hAnsi="Calibri" w:cs="Calibri"/>
                <w:lang w:val="en-GB"/>
              </w:rPr>
              <w:t xml:space="preserve"> and is well publicised and understood by clients and potential clients.</w:t>
            </w:r>
            <w:r w:rsidRPr="00C922AF">
              <w:rPr>
                <w:rFonts w:ascii="Calibri" w:hAnsi="Calibri" w:cs="Calibri"/>
              </w:rPr>
              <w:t> </w:t>
            </w:r>
            <w:r w:rsidR="005A6800" w:rsidRPr="005A6800">
              <w:rPr>
                <w:rFonts w:ascii="Calibri" w:hAnsi="Calibri" w:cs="Calibri"/>
                <w:b/>
                <w:bCs/>
              </w:rPr>
              <w:t>(Rec 3-5)</w:t>
            </w:r>
          </w:p>
        </w:tc>
      </w:tr>
      <w:tr w:rsidR="00A1552B" w14:paraId="51B70A1C" w14:textId="77777777" w:rsidTr="00AE6738">
        <w:trPr>
          <w:cantSplit/>
        </w:trPr>
        <w:tc>
          <w:tcPr>
            <w:tcW w:w="9016" w:type="dxa"/>
          </w:tcPr>
          <w:p w14:paraId="2E10B330" w14:textId="281033B9" w:rsidR="00A1552B" w:rsidRDefault="00D26463" w:rsidP="00701E6B">
            <w:pPr>
              <w:jc w:val="both"/>
              <w:rPr>
                <w:rFonts w:ascii="Calibri" w:hAnsi="Calibri" w:cs="Calibri"/>
                <w:lang w:val="en-US"/>
              </w:rPr>
            </w:pPr>
            <w:r w:rsidRPr="00641A4B">
              <w:rPr>
                <w:rFonts w:ascii="Calibri" w:hAnsi="Calibri" w:cs="Calibri"/>
                <w:b/>
                <w:bCs/>
                <w:lang w:val="en-GB"/>
              </w:rPr>
              <w:t>Rec 3</w:t>
            </w:r>
            <w:r>
              <w:rPr>
                <w:rFonts w:ascii="Calibri" w:hAnsi="Calibri" w:cs="Calibri"/>
                <w:lang w:val="en-GB"/>
              </w:rPr>
              <w:t xml:space="preserve"> </w:t>
            </w:r>
            <w:r w:rsidRPr="00641A4B">
              <w:rPr>
                <w:rFonts w:ascii="Calibri" w:hAnsi="Calibri" w:cs="Calibri"/>
                <w:lang w:val="en-GB"/>
              </w:rPr>
              <w:t>NTSG should provide better internal communications about the policies supporting its assessment and prioritisation process to improve staff understanding</w:t>
            </w:r>
            <w:r>
              <w:rPr>
                <w:rFonts w:ascii="Calibri" w:hAnsi="Calibri" w:cs="Calibri"/>
                <w:lang w:val="en-GB"/>
              </w:rPr>
              <w:t>.</w:t>
            </w:r>
            <w:r w:rsidRPr="00641A4B">
              <w:rPr>
                <w:rFonts w:ascii="Calibri" w:hAnsi="Calibri" w:cs="Calibri"/>
                <w:lang w:val="en-GB"/>
              </w:rPr>
              <w:t> </w:t>
            </w:r>
            <w:r w:rsidRPr="00641A4B">
              <w:rPr>
                <w:rFonts w:ascii="Calibri" w:hAnsi="Calibri" w:cs="Calibri"/>
              </w:rPr>
              <w:t> </w:t>
            </w:r>
          </w:p>
        </w:tc>
      </w:tr>
      <w:tr w:rsidR="00A1552B" w14:paraId="390E3B8A" w14:textId="77777777" w:rsidTr="00AE6738">
        <w:trPr>
          <w:cantSplit/>
        </w:trPr>
        <w:tc>
          <w:tcPr>
            <w:tcW w:w="9016" w:type="dxa"/>
          </w:tcPr>
          <w:p w14:paraId="04F59F70" w14:textId="77777777" w:rsidR="006069D5" w:rsidRPr="006069D5" w:rsidRDefault="006069D5" w:rsidP="006069D5">
            <w:pPr>
              <w:rPr>
                <w:rFonts w:ascii="Calibri" w:hAnsi="Calibri" w:cs="Calibri"/>
                <w:b/>
                <w:bCs/>
                <w:lang w:val="en-US"/>
              </w:rPr>
            </w:pPr>
            <w:r w:rsidRPr="006069D5">
              <w:rPr>
                <w:rFonts w:ascii="Calibri" w:hAnsi="Calibri" w:cs="Calibri"/>
                <w:b/>
                <w:bCs/>
                <w:lang w:val="en-US"/>
              </w:rPr>
              <w:t xml:space="preserve">Response </w:t>
            </w:r>
          </w:p>
          <w:p w14:paraId="6233EC8A" w14:textId="77777777" w:rsidR="00AE6738" w:rsidRDefault="00AE6738" w:rsidP="00AE6738">
            <w:pPr>
              <w:rPr>
                <w:rFonts w:ascii="Calibri" w:hAnsi="Calibri" w:cs="Calibri"/>
                <w:lang w:val="en-US"/>
              </w:rPr>
            </w:pPr>
            <w:r>
              <w:rPr>
                <w:rFonts w:ascii="Calibri" w:hAnsi="Calibri" w:cs="Calibri"/>
                <w:lang w:val="en-US"/>
              </w:rPr>
              <w:t xml:space="preserve">Accepted. </w:t>
            </w:r>
          </w:p>
          <w:p w14:paraId="7D0659C6" w14:textId="77777777" w:rsidR="00AE6738" w:rsidRPr="00EE5612" w:rsidRDefault="00AE6738" w:rsidP="00AE6738">
            <w:pPr>
              <w:rPr>
                <w:rFonts w:ascii="Calibri" w:hAnsi="Calibri" w:cs="Calibri"/>
              </w:rPr>
            </w:pPr>
            <w:r w:rsidRPr="00EE5612">
              <w:rPr>
                <w:rFonts w:ascii="Calibri" w:hAnsi="Calibri" w:cs="Calibri"/>
                <w:lang w:val="en-US"/>
              </w:rPr>
              <w:t>In progress. </w:t>
            </w:r>
            <w:r w:rsidRPr="00EE5612">
              <w:rPr>
                <w:rFonts w:ascii="Calibri" w:hAnsi="Calibri" w:cs="Calibri"/>
              </w:rPr>
              <w:t> </w:t>
            </w:r>
          </w:p>
          <w:p w14:paraId="77AEF37E" w14:textId="77777777" w:rsidR="00AE6738" w:rsidRPr="00EE5612" w:rsidRDefault="00AE6738" w:rsidP="00AE6738">
            <w:pPr>
              <w:rPr>
                <w:rFonts w:ascii="Calibri" w:hAnsi="Calibri" w:cs="Calibri"/>
              </w:rPr>
            </w:pPr>
            <w:r w:rsidRPr="00EE5612">
              <w:rPr>
                <w:rFonts w:ascii="Calibri" w:hAnsi="Calibri" w:cs="Calibri"/>
              </w:rPr>
              <w:t> </w:t>
            </w:r>
          </w:p>
          <w:p w14:paraId="0DC01EA4" w14:textId="77777777" w:rsidR="00AE6738" w:rsidRPr="00EE5612" w:rsidRDefault="00AE6738" w:rsidP="00AE6738">
            <w:pPr>
              <w:rPr>
                <w:rFonts w:ascii="Calibri" w:hAnsi="Calibri" w:cs="Calibri"/>
              </w:rPr>
            </w:pPr>
            <w:r w:rsidRPr="00EE5612">
              <w:rPr>
                <w:rFonts w:ascii="Calibri" w:hAnsi="Calibri" w:cs="Calibri"/>
              </w:rPr>
              <w:t>NTSG has implemented monthly all-staff meetings that provide an opportunity to update staff on projects, new policies/procedures, training opportunities and upcoming meetings/fieldwork. These meetings also discuss current project prioritisation, and any factors that may be impacting those priorities, including funding limitations, internal capacity etc. </w:t>
            </w:r>
          </w:p>
          <w:p w14:paraId="1E64226B" w14:textId="77777777" w:rsidR="00AE6738" w:rsidRPr="00EE5612" w:rsidRDefault="00AE6738" w:rsidP="00AE6738">
            <w:pPr>
              <w:rPr>
                <w:rFonts w:ascii="Calibri" w:hAnsi="Calibri" w:cs="Calibri"/>
              </w:rPr>
            </w:pPr>
            <w:r w:rsidRPr="00EE5612">
              <w:rPr>
                <w:rFonts w:ascii="Calibri" w:hAnsi="Calibri" w:cs="Calibri"/>
              </w:rPr>
              <w:t> </w:t>
            </w:r>
          </w:p>
          <w:p w14:paraId="02891620" w14:textId="77777777" w:rsidR="00AE6738" w:rsidRPr="00EE5612" w:rsidRDefault="00AE6738" w:rsidP="00AE6738">
            <w:pPr>
              <w:rPr>
                <w:rFonts w:ascii="Calibri" w:hAnsi="Calibri" w:cs="Calibri"/>
              </w:rPr>
            </w:pPr>
            <w:r w:rsidRPr="00EE5612">
              <w:rPr>
                <w:rFonts w:ascii="Calibri" w:hAnsi="Calibri" w:cs="Calibri"/>
                <w:lang w:val="en-US"/>
              </w:rPr>
              <w:t xml:space="preserve">All project teams meet fortnightly, and staff receive regular email updates from the CEO and senior management. The </w:t>
            </w:r>
            <w:proofErr w:type="spellStart"/>
            <w:r w:rsidRPr="00EE5612">
              <w:rPr>
                <w:rFonts w:ascii="Calibri" w:hAnsi="Calibri" w:cs="Calibri"/>
                <w:lang w:val="en-US"/>
              </w:rPr>
              <w:t>organisation</w:t>
            </w:r>
            <w:proofErr w:type="spellEnd"/>
            <w:r w:rsidRPr="00EE5612">
              <w:rPr>
                <w:rFonts w:ascii="Calibri" w:hAnsi="Calibri" w:cs="Calibri"/>
                <w:lang w:val="en-US"/>
              </w:rPr>
              <w:t xml:space="preserve"> is continuing to build its IT capabilities and is investigating options for an intranet page to streamline and collate a range of materials currently stored on multiple platforms. </w:t>
            </w:r>
            <w:r w:rsidRPr="00EE5612">
              <w:rPr>
                <w:rFonts w:ascii="Calibri" w:hAnsi="Calibri" w:cs="Calibri"/>
              </w:rPr>
              <w:t> </w:t>
            </w:r>
          </w:p>
          <w:p w14:paraId="60228664" w14:textId="77777777" w:rsidR="00AE6738" w:rsidRPr="00EE5612" w:rsidRDefault="00AE6738" w:rsidP="00AE6738">
            <w:pPr>
              <w:rPr>
                <w:rFonts w:ascii="Calibri" w:hAnsi="Calibri" w:cs="Calibri"/>
              </w:rPr>
            </w:pPr>
            <w:r w:rsidRPr="00EE5612">
              <w:rPr>
                <w:rFonts w:ascii="Calibri" w:hAnsi="Calibri" w:cs="Calibri"/>
              </w:rPr>
              <w:t> </w:t>
            </w:r>
          </w:p>
          <w:p w14:paraId="760BAD8F" w14:textId="278A9016" w:rsidR="00A1552B" w:rsidRPr="008D2CA8" w:rsidRDefault="00AE6738" w:rsidP="00AE6738">
            <w:pPr>
              <w:jc w:val="both"/>
              <w:rPr>
                <w:rFonts w:ascii="Calibri" w:hAnsi="Calibri" w:cs="Calibri"/>
                <w:lang w:val="en-US"/>
              </w:rPr>
            </w:pPr>
            <w:r w:rsidRPr="00EE5612">
              <w:rPr>
                <w:rFonts w:ascii="Calibri" w:hAnsi="Calibri" w:cs="Calibri"/>
              </w:rPr>
              <w:t>The assessment process and procedures relating to applications for facilitation and assistance are currently being reviewed, and staff will be updated when the approach is finalised by end of the 2024 calendar year.</w:t>
            </w:r>
          </w:p>
        </w:tc>
      </w:tr>
      <w:tr w:rsidR="00A1552B" w14:paraId="41091871" w14:textId="77777777" w:rsidTr="00AE6738">
        <w:trPr>
          <w:cantSplit/>
        </w:trPr>
        <w:tc>
          <w:tcPr>
            <w:tcW w:w="9016" w:type="dxa"/>
          </w:tcPr>
          <w:p w14:paraId="720EE8E2" w14:textId="15750D81" w:rsidR="00A1552B" w:rsidRPr="007009A2" w:rsidRDefault="00336103" w:rsidP="00701E6B">
            <w:pPr>
              <w:jc w:val="both"/>
              <w:rPr>
                <w:rFonts w:ascii="Calibri" w:hAnsi="Calibri" w:cs="Calibri"/>
                <w:b/>
                <w:bCs/>
                <w:lang w:val="en-US"/>
              </w:rPr>
            </w:pPr>
            <w:r w:rsidRPr="003A687C">
              <w:rPr>
                <w:rFonts w:ascii="Calibri" w:hAnsi="Calibri" w:cs="Calibri"/>
                <w:b/>
                <w:bCs/>
                <w:lang w:val="en-GB"/>
              </w:rPr>
              <w:t>Rec 4</w:t>
            </w:r>
            <w:r>
              <w:rPr>
                <w:rFonts w:ascii="Calibri" w:hAnsi="Calibri" w:cs="Calibri"/>
                <w:lang w:val="en-GB"/>
              </w:rPr>
              <w:t xml:space="preserve"> </w:t>
            </w:r>
            <w:r w:rsidRPr="003A687C">
              <w:rPr>
                <w:rFonts w:ascii="Calibri" w:hAnsi="Calibri" w:cs="Calibri"/>
                <w:lang w:val="en-GB"/>
              </w:rPr>
              <w:t>NTSG should clearly communicate its policy on requests for assistance in the region and the factors it considers when assessing applications for assistance. As part of this, NTSG should consider reviewing its guidelines for assessment and prioritisation to ensure that constituents can understand them better</w:t>
            </w:r>
          </w:p>
        </w:tc>
      </w:tr>
      <w:tr w:rsidR="00A1552B" w14:paraId="10A07017" w14:textId="77777777" w:rsidTr="00AE6738">
        <w:trPr>
          <w:cantSplit/>
        </w:trPr>
        <w:tc>
          <w:tcPr>
            <w:tcW w:w="9016" w:type="dxa"/>
          </w:tcPr>
          <w:p w14:paraId="31AD3D16" w14:textId="77777777" w:rsidR="006069D5" w:rsidRPr="006069D5" w:rsidRDefault="006069D5" w:rsidP="006069D5">
            <w:pPr>
              <w:rPr>
                <w:rFonts w:ascii="Calibri" w:hAnsi="Calibri" w:cs="Calibri"/>
                <w:b/>
                <w:bCs/>
                <w:lang w:val="en-US"/>
              </w:rPr>
            </w:pPr>
            <w:r w:rsidRPr="006069D5">
              <w:rPr>
                <w:rFonts w:ascii="Calibri" w:hAnsi="Calibri" w:cs="Calibri"/>
                <w:b/>
                <w:bCs/>
                <w:lang w:val="en-US"/>
              </w:rPr>
              <w:t xml:space="preserve">Response </w:t>
            </w:r>
          </w:p>
          <w:p w14:paraId="6AB3341F" w14:textId="77777777" w:rsidR="00B81001" w:rsidRDefault="00B81001" w:rsidP="00B81001">
            <w:pPr>
              <w:rPr>
                <w:rFonts w:ascii="Calibri" w:hAnsi="Calibri" w:cs="Calibri"/>
                <w:lang w:val="en-US"/>
              </w:rPr>
            </w:pPr>
            <w:r>
              <w:rPr>
                <w:rFonts w:ascii="Calibri" w:hAnsi="Calibri" w:cs="Calibri"/>
                <w:lang w:val="en-US"/>
              </w:rPr>
              <w:t xml:space="preserve">Accepted. </w:t>
            </w:r>
          </w:p>
          <w:p w14:paraId="77E381F8" w14:textId="77777777" w:rsidR="00B81001" w:rsidRPr="00251015" w:rsidRDefault="00B81001" w:rsidP="00B81001">
            <w:pPr>
              <w:rPr>
                <w:rFonts w:ascii="Calibri" w:hAnsi="Calibri" w:cs="Calibri"/>
              </w:rPr>
            </w:pPr>
            <w:r w:rsidRPr="00251015">
              <w:rPr>
                <w:rFonts w:ascii="Calibri" w:hAnsi="Calibri" w:cs="Calibri"/>
                <w:lang w:val="en-US"/>
              </w:rPr>
              <w:t>In progress. </w:t>
            </w:r>
            <w:r w:rsidRPr="00251015">
              <w:rPr>
                <w:rFonts w:ascii="Calibri" w:hAnsi="Calibri" w:cs="Calibri"/>
              </w:rPr>
              <w:t> </w:t>
            </w:r>
          </w:p>
          <w:p w14:paraId="6DFDF8D5" w14:textId="77777777" w:rsidR="00B81001" w:rsidRPr="00251015" w:rsidRDefault="00B81001" w:rsidP="00B81001">
            <w:pPr>
              <w:rPr>
                <w:rFonts w:ascii="Calibri" w:hAnsi="Calibri" w:cs="Calibri"/>
              </w:rPr>
            </w:pPr>
            <w:r w:rsidRPr="00251015">
              <w:rPr>
                <w:rFonts w:ascii="Calibri" w:hAnsi="Calibri" w:cs="Calibri"/>
              </w:rPr>
              <w:t> </w:t>
            </w:r>
          </w:p>
          <w:p w14:paraId="433FF964" w14:textId="77777777" w:rsidR="00B81001" w:rsidRPr="00251015" w:rsidRDefault="00B81001" w:rsidP="00B81001">
            <w:pPr>
              <w:rPr>
                <w:rFonts w:ascii="Calibri" w:hAnsi="Calibri" w:cs="Calibri"/>
              </w:rPr>
            </w:pPr>
            <w:r w:rsidRPr="00251015">
              <w:rPr>
                <w:rFonts w:ascii="Calibri" w:hAnsi="Calibri" w:cs="Calibri"/>
              </w:rPr>
              <w:t>The assessment process and procedures relating to applications for facilitation and assistance are currently being reviewed.  </w:t>
            </w:r>
          </w:p>
          <w:p w14:paraId="084F4E78" w14:textId="77777777" w:rsidR="00B81001" w:rsidRPr="00251015" w:rsidRDefault="00B81001" w:rsidP="00B81001">
            <w:pPr>
              <w:rPr>
                <w:rFonts w:ascii="Calibri" w:hAnsi="Calibri" w:cs="Calibri"/>
              </w:rPr>
            </w:pPr>
            <w:r w:rsidRPr="00251015">
              <w:rPr>
                <w:rFonts w:ascii="Calibri" w:hAnsi="Calibri" w:cs="Calibri"/>
              </w:rPr>
              <w:t> </w:t>
            </w:r>
          </w:p>
          <w:p w14:paraId="6581FC9A" w14:textId="77777777" w:rsidR="00B81001" w:rsidRPr="00251015" w:rsidRDefault="00B81001" w:rsidP="00B81001">
            <w:pPr>
              <w:rPr>
                <w:rFonts w:ascii="Calibri" w:hAnsi="Calibri" w:cs="Calibri"/>
              </w:rPr>
            </w:pPr>
            <w:r w:rsidRPr="00251015">
              <w:rPr>
                <w:rFonts w:ascii="Calibri" w:hAnsi="Calibri" w:cs="Calibri"/>
              </w:rPr>
              <w:t>NTSG acknowledges that it does not presently make public its ‘Guidelines for Assessing Applications for Assistance’. A public version of the document is currently being considered as part of the larger review.  </w:t>
            </w:r>
          </w:p>
          <w:p w14:paraId="46C483D3" w14:textId="77777777" w:rsidR="00B81001" w:rsidRPr="00251015" w:rsidRDefault="00B81001" w:rsidP="00B81001">
            <w:pPr>
              <w:rPr>
                <w:rFonts w:ascii="Calibri" w:hAnsi="Calibri" w:cs="Calibri"/>
              </w:rPr>
            </w:pPr>
            <w:r w:rsidRPr="00251015">
              <w:rPr>
                <w:rFonts w:ascii="Calibri" w:hAnsi="Calibri" w:cs="Calibri"/>
              </w:rPr>
              <w:t> </w:t>
            </w:r>
          </w:p>
          <w:p w14:paraId="14FB8816" w14:textId="7C02145C" w:rsidR="00A1552B" w:rsidRPr="007009A2" w:rsidRDefault="00B81001" w:rsidP="00B81001">
            <w:pPr>
              <w:jc w:val="both"/>
              <w:rPr>
                <w:rFonts w:ascii="Calibri" w:hAnsi="Calibri" w:cs="Calibri"/>
                <w:b/>
                <w:bCs/>
                <w:lang w:val="en-US"/>
              </w:rPr>
            </w:pPr>
            <w:r w:rsidRPr="00251015">
              <w:rPr>
                <w:rFonts w:ascii="Calibri" w:hAnsi="Calibri" w:cs="Calibri"/>
              </w:rPr>
              <w:t>The organisation does currently provide the ‘Facilitation and Assistance Fact Sheet - Policy Document Number: FS701’ on its website, which outlines the process NTSG follows and the avenues for appeal should a constituent be dissatisfied with the outcome of an application. The fact sheet explains that NTSG may not be positioned to assist due to budget limitations. This is an ongoing challenge given the very small portion of NTSG’s grant funding available to be set aside in our operational budget for unanticipated applications for facilitation and assistance.</w:t>
            </w:r>
          </w:p>
        </w:tc>
      </w:tr>
      <w:tr w:rsidR="00AB2C53" w14:paraId="083538C7" w14:textId="77777777" w:rsidTr="00AE6738">
        <w:trPr>
          <w:cantSplit/>
        </w:trPr>
        <w:tc>
          <w:tcPr>
            <w:tcW w:w="9016" w:type="dxa"/>
          </w:tcPr>
          <w:p w14:paraId="022CB555" w14:textId="3F53D411" w:rsidR="00AB2C53" w:rsidRDefault="00147499" w:rsidP="00594576">
            <w:pPr>
              <w:jc w:val="both"/>
              <w:rPr>
                <w:rFonts w:ascii="Calibri" w:hAnsi="Calibri" w:cs="Calibri"/>
                <w:lang w:val="en-US"/>
              </w:rPr>
            </w:pPr>
            <w:r w:rsidRPr="0026074E">
              <w:rPr>
                <w:rFonts w:ascii="Calibri" w:hAnsi="Calibri" w:cs="Calibri"/>
                <w:b/>
                <w:bCs/>
                <w:lang w:val="en-GB"/>
              </w:rPr>
              <w:lastRenderedPageBreak/>
              <w:t>Rec 5</w:t>
            </w:r>
            <w:r>
              <w:rPr>
                <w:rFonts w:ascii="Calibri" w:hAnsi="Calibri" w:cs="Calibri"/>
                <w:lang w:val="en-GB"/>
              </w:rPr>
              <w:t xml:space="preserve"> </w:t>
            </w:r>
            <w:r w:rsidRPr="0026074E">
              <w:rPr>
                <w:rFonts w:ascii="Calibri" w:hAnsi="Calibri" w:cs="Calibri"/>
                <w:lang w:val="en-GB"/>
              </w:rPr>
              <w:t>NTSG should publicly explain why it has decided to withdraw from heritage clearances, given stakeholders’ dissatisfaction with this decision. If resources allow in the future, it could review whether it should again play a role in facilitating the provision of heritage clearances.</w:t>
            </w:r>
            <w:r w:rsidRPr="0026074E">
              <w:rPr>
                <w:rFonts w:ascii="Calibri" w:hAnsi="Calibri" w:cs="Calibri"/>
              </w:rPr>
              <w:t> </w:t>
            </w:r>
          </w:p>
        </w:tc>
      </w:tr>
      <w:tr w:rsidR="00214698" w14:paraId="280D118A" w14:textId="77777777" w:rsidTr="00AE6738">
        <w:trPr>
          <w:cantSplit/>
        </w:trPr>
        <w:tc>
          <w:tcPr>
            <w:tcW w:w="9016" w:type="dxa"/>
          </w:tcPr>
          <w:p w14:paraId="3D6E2BE2" w14:textId="77777777" w:rsidR="006069D5" w:rsidRPr="006069D5" w:rsidRDefault="006069D5" w:rsidP="006069D5">
            <w:pPr>
              <w:rPr>
                <w:rFonts w:ascii="Calibri" w:hAnsi="Calibri" w:cs="Calibri"/>
                <w:b/>
                <w:bCs/>
                <w:lang w:val="en-US"/>
              </w:rPr>
            </w:pPr>
            <w:r w:rsidRPr="006069D5">
              <w:rPr>
                <w:rFonts w:ascii="Calibri" w:hAnsi="Calibri" w:cs="Calibri"/>
                <w:b/>
                <w:bCs/>
                <w:lang w:val="en-US"/>
              </w:rPr>
              <w:t xml:space="preserve">Response </w:t>
            </w:r>
          </w:p>
          <w:p w14:paraId="33EA59E4" w14:textId="77777777" w:rsidR="00B425C5" w:rsidRDefault="00B425C5" w:rsidP="00B425C5">
            <w:pPr>
              <w:rPr>
                <w:rFonts w:ascii="Calibri" w:hAnsi="Calibri" w:cs="Calibri"/>
                <w:lang w:val="en-US"/>
              </w:rPr>
            </w:pPr>
            <w:r>
              <w:rPr>
                <w:rFonts w:ascii="Calibri" w:hAnsi="Calibri" w:cs="Calibri"/>
                <w:lang w:val="en-US"/>
              </w:rPr>
              <w:t xml:space="preserve">Accepted. </w:t>
            </w:r>
          </w:p>
          <w:p w14:paraId="4087449D" w14:textId="77777777" w:rsidR="00B425C5" w:rsidRPr="00216324" w:rsidRDefault="00B425C5" w:rsidP="00B425C5">
            <w:pPr>
              <w:rPr>
                <w:rFonts w:ascii="Calibri" w:hAnsi="Calibri" w:cs="Calibri"/>
              </w:rPr>
            </w:pPr>
            <w:r w:rsidRPr="00216324">
              <w:rPr>
                <w:rFonts w:ascii="Calibri" w:hAnsi="Calibri" w:cs="Calibri"/>
                <w:lang w:val="en-US"/>
              </w:rPr>
              <w:t>In progress.</w:t>
            </w:r>
            <w:r w:rsidRPr="00216324">
              <w:rPr>
                <w:rFonts w:ascii="Calibri" w:hAnsi="Calibri" w:cs="Calibri"/>
              </w:rPr>
              <w:t> </w:t>
            </w:r>
          </w:p>
          <w:p w14:paraId="20600B23" w14:textId="77777777" w:rsidR="00B425C5" w:rsidRPr="00216324" w:rsidRDefault="00B425C5" w:rsidP="00B425C5">
            <w:pPr>
              <w:rPr>
                <w:rFonts w:ascii="Calibri" w:hAnsi="Calibri" w:cs="Calibri"/>
              </w:rPr>
            </w:pPr>
            <w:r w:rsidRPr="00216324">
              <w:rPr>
                <w:rFonts w:ascii="Calibri" w:hAnsi="Calibri" w:cs="Calibri"/>
              </w:rPr>
              <w:t> </w:t>
            </w:r>
          </w:p>
          <w:p w14:paraId="1F97F7DD" w14:textId="77777777" w:rsidR="00B425C5" w:rsidRPr="00216324" w:rsidRDefault="00B425C5" w:rsidP="00B425C5">
            <w:pPr>
              <w:rPr>
                <w:rFonts w:ascii="Calibri" w:hAnsi="Calibri" w:cs="Calibri"/>
              </w:rPr>
            </w:pPr>
            <w:r w:rsidRPr="00216324">
              <w:rPr>
                <w:rFonts w:ascii="Calibri" w:hAnsi="Calibri" w:cs="Calibri"/>
              </w:rPr>
              <w:t>NTSG ceased providing an Aboriginal Heritage Service in January of 2022. Staff and constituents were advised that NTSG had made that decision on that basis that it was no longer positioned to provide services relating to heritage surveys and monitoring due to impending changes to the workplace health and safety regime in WA, and the risks arising from the COVID-19 pandemic. </w:t>
            </w:r>
          </w:p>
          <w:p w14:paraId="240C8AF7" w14:textId="77777777" w:rsidR="00B425C5" w:rsidRPr="00216324" w:rsidRDefault="00B425C5" w:rsidP="00B425C5">
            <w:pPr>
              <w:rPr>
                <w:rFonts w:ascii="Calibri" w:hAnsi="Calibri" w:cs="Calibri"/>
              </w:rPr>
            </w:pPr>
            <w:r w:rsidRPr="00216324">
              <w:rPr>
                <w:rFonts w:ascii="Calibri" w:hAnsi="Calibri" w:cs="Calibri"/>
              </w:rPr>
              <w:t> </w:t>
            </w:r>
          </w:p>
          <w:p w14:paraId="103BE99E" w14:textId="77777777" w:rsidR="00B425C5" w:rsidRPr="00216324" w:rsidRDefault="00B425C5" w:rsidP="00B425C5">
            <w:pPr>
              <w:rPr>
                <w:rFonts w:ascii="Calibri" w:hAnsi="Calibri" w:cs="Calibri"/>
              </w:rPr>
            </w:pPr>
            <w:r w:rsidRPr="00216324">
              <w:rPr>
                <w:rFonts w:ascii="Calibri" w:hAnsi="Calibri" w:cs="Calibri"/>
              </w:rPr>
              <w:t>Those clients who NTSG had previously provided heritage services to were informed of that decision, and were advised that they would need to appoint a new Heritage Service Provider to assist with the logistics and organisation of heritage surveys. Several alternative heritage service providers were recommended by NTSG at that time.  </w:t>
            </w:r>
          </w:p>
          <w:p w14:paraId="657E1B9A" w14:textId="77777777" w:rsidR="00B425C5" w:rsidRPr="00216324" w:rsidRDefault="00B425C5" w:rsidP="00B425C5">
            <w:pPr>
              <w:rPr>
                <w:rFonts w:ascii="Calibri" w:hAnsi="Calibri" w:cs="Calibri"/>
              </w:rPr>
            </w:pPr>
            <w:r w:rsidRPr="00216324">
              <w:rPr>
                <w:rFonts w:ascii="Calibri" w:hAnsi="Calibri" w:cs="Calibri"/>
              </w:rPr>
              <w:t> </w:t>
            </w:r>
          </w:p>
          <w:p w14:paraId="733A8BAB" w14:textId="31F5CE8B" w:rsidR="00E974B1" w:rsidRPr="008D2CA8" w:rsidRDefault="00B425C5" w:rsidP="00B425C5">
            <w:pPr>
              <w:jc w:val="both"/>
              <w:rPr>
                <w:rFonts w:ascii="Calibri" w:hAnsi="Calibri" w:cs="Calibri"/>
                <w:lang w:val="en-US"/>
              </w:rPr>
            </w:pPr>
            <w:r w:rsidRPr="00216324">
              <w:rPr>
                <w:rFonts w:ascii="Calibri" w:hAnsi="Calibri" w:cs="Calibri"/>
              </w:rPr>
              <w:t xml:space="preserve">Following the repeal of the West Australian </w:t>
            </w:r>
            <w:r w:rsidRPr="00216324">
              <w:rPr>
                <w:rFonts w:ascii="Calibri" w:hAnsi="Calibri" w:cs="Calibri"/>
                <w:i/>
                <w:iCs/>
              </w:rPr>
              <w:t>Aboriginal Cultural Heritage Act</w:t>
            </w:r>
            <w:r w:rsidRPr="00216324">
              <w:rPr>
                <w:rFonts w:ascii="Calibri" w:hAnsi="Calibri" w:cs="Calibri"/>
              </w:rPr>
              <w:t xml:space="preserve"> 2021 and revival of the amended </w:t>
            </w:r>
            <w:r w:rsidRPr="00216324">
              <w:rPr>
                <w:rFonts w:ascii="Calibri" w:hAnsi="Calibri" w:cs="Calibri"/>
                <w:i/>
                <w:iCs/>
              </w:rPr>
              <w:t>Aboriginal Heritage Act (AHA) 1972</w:t>
            </w:r>
            <w:r w:rsidRPr="00216324">
              <w:rPr>
                <w:rFonts w:ascii="Calibri" w:hAnsi="Calibri" w:cs="Calibri"/>
              </w:rPr>
              <w:t>, NTSG received some funding from the Department of Planning Lands and Heritage to engage consultant/s to undertake an organisational business capability assessment and assist with organisational capacity building to support PBCs and Native Title Parties to fulfil their obligations under the Act. This work is pending the availability of our preferred consultants, and we anticipate it will be completed in the first quarter of 2025. Once complete, NTSG will be better placed to consider the scope of any future role it may have in the facilitation or delivery of any heritage services in the region. </w:t>
            </w:r>
          </w:p>
        </w:tc>
      </w:tr>
      <w:tr w:rsidR="00AB2C53" w14:paraId="49BC6AD0" w14:textId="77777777" w:rsidTr="00AE6738">
        <w:trPr>
          <w:cantSplit/>
        </w:trPr>
        <w:tc>
          <w:tcPr>
            <w:tcW w:w="9016" w:type="dxa"/>
            <w:shd w:val="clear" w:color="auto" w:fill="C1E4F5" w:themeFill="accent1" w:themeFillTint="33"/>
          </w:tcPr>
          <w:p w14:paraId="4C28867E" w14:textId="711D9F6F" w:rsidR="00AB2C53" w:rsidRDefault="00A911A0" w:rsidP="008D2CA8">
            <w:pPr>
              <w:rPr>
                <w:rFonts w:ascii="Calibri" w:hAnsi="Calibri" w:cs="Calibri"/>
                <w:lang w:val="en-US"/>
              </w:rPr>
            </w:pPr>
            <w:r w:rsidRPr="00C922AF">
              <w:rPr>
                <w:rFonts w:ascii="Calibri" w:hAnsi="Calibri" w:cs="Calibri"/>
                <w:b/>
                <w:bCs/>
                <w:lang w:val="en-GB"/>
              </w:rPr>
              <w:t>TOR 3</w:t>
            </w:r>
            <w:r w:rsidRPr="00C922AF">
              <w:rPr>
                <w:rFonts w:ascii="Calibri" w:hAnsi="Calibri" w:cs="Calibri"/>
                <w:lang w:val="en-GB"/>
              </w:rPr>
              <w:t xml:space="preserve"> Extent to which each organisation deals respectfully, equitably, transparently and in a culturally appropriate manner with persons who hold or may hold native title in its region, including by adequately investigating and resolving complaints.</w:t>
            </w:r>
            <w:r w:rsidRPr="00E043AB">
              <w:rPr>
                <w:rFonts w:ascii="Calibri" w:hAnsi="Calibri" w:cs="Calibri"/>
                <w:b/>
                <w:bCs/>
              </w:rPr>
              <w:t> </w:t>
            </w:r>
            <w:r w:rsidR="00E043AB" w:rsidRPr="00E043AB">
              <w:rPr>
                <w:rFonts w:ascii="Calibri" w:hAnsi="Calibri" w:cs="Calibri"/>
                <w:b/>
                <w:bCs/>
              </w:rPr>
              <w:t>(Rec 6</w:t>
            </w:r>
            <w:r w:rsidR="00C76251">
              <w:rPr>
                <w:rFonts w:ascii="Calibri" w:hAnsi="Calibri" w:cs="Calibri"/>
                <w:b/>
                <w:bCs/>
              </w:rPr>
              <w:t>-</w:t>
            </w:r>
            <w:r w:rsidR="00E043AB" w:rsidRPr="00E043AB">
              <w:rPr>
                <w:rFonts w:ascii="Calibri" w:hAnsi="Calibri" w:cs="Calibri"/>
                <w:b/>
                <w:bCs/>
              </w:rPr>
              <w:t>8)</w:t>
            </w:r>
          </w:p>
        </w:tc>
      </w:tr>
      <w:tr w:rsidR="00AB2C53" w14:paraId="1689F6EA" w14:textId="77777777" w:rsidTr="00AE6738">
        <w:trPr>
          <w:cantSplit/>
          <w:trHeight w:val="348"/>
        </w:trPr>
        <w:tc>
          <w:tcPr>
            <w:tcW w:w="9016" w:type="dxa"/>
          </w:tcPr>
          <w:p w14:paraId="16460066" w14:textId="2A41F56C" w:rsidR="00AB2C53" w:rsidRDefault="00E2791E" w:rsidP="00594576">
            <w:pPr>
              <w:jc w:val="both"/>
              <w:rPr>
                <w:rFonts w:ascii="Calibri" w:hAnsi="Calibri" w:cs="Calibri"/>
                <w:lang w:val="en-US"/>
              </w:rPr>
            </w:pPr>
            <w:r w:rsidRPr="005703F0">
              <w:rPr>
                <w:rFonts w:ascii="Calibri" w:hAnsi="Calibri" w:cs="Calibri"/>
                <w:b/>
                <w:bCs/>
                <w:lang w:val="en-GB"/>
              </w:rPr>
              <w:t>Rec 6</w:t>
            </w:r>
            <w:r>
              <w:rPr>
                <w:rFonts w:ascii="Calibri" w:hAnsi="Calibri" w:cs="Calibri"/>
                <w:lang w:val="en-GB"/>
              </w:rPr>
              <w:t xml:space="preserve"> </w:t>
            </w:r>
            <w:r w:rsidRPr="008928E0">
              <w:rPr>
                <w:rFonts w:ascii="Calibri" w:hAnsi="Calibri" w:cs="Calibri"/>
                <w:lang w:val="en-GB"/>
              </w:rPr>
              <w:t>NTSG should provide additional channels of communication, increase the frequency of communication and be more responsive. This includes providing more avenues for Traditional Owners to directly provide feedback and ask questions of NTSG staff. </w:t>
            </w:r>
            <w:r w:rsidRPr="008928E0">
              <w:rPr>
                <w:rFonts w:ascii="Calibri" w:hAnsi="Calibri" w:cs="Calibri"/>
              </w:rPr>
              <w:t> </w:t>
            </w:r>
          </w:p>
        </w:tc>
      </w:tr>
      <w:tr w:rsidR="00F72565" w14:paraId="622705A7" w14:textId="77777777" w:rsidTr="00AE6738">
        <w:trPr>
          <w:cantSplit/>
          <w:trHeight w:val="348"/>
        </w:trPr>
        <w:tc>
          <w:tcPr>
            <w:tcW w:w="9016" w:type="dxa"/>
          </w:tcPr>
          <w:p w14:paraId="0E5906D5" w14:textId="77777777" w:rsidR="006069D5" w:rsidRPr="006069D5" w:rsidRDefault="006069D5" w:rsidP="006069D5">
            <w:pPr>
              <w:rPr>
                <w:rFonts w:ascii="Calibri" w:hAnsi="Calibri" w:cs="Calibri"/>
                <w:b/>
                <w:bCs/>
                <w:lang w:val="en-US"/>
              </w:rPr>
            </w:pPr>
            <w:r w:rsidRPr="006069D5">
              <w:rPr>
                <w:rFonts w:ascii="Calibri" w:hAnsi="Calibri" w:cs="Calibri"/>
                <w:b/>
                <w:bCs/>
                <w:lang w:val="en-US"/>
              </w:rPr>
              <w:lastRenderedPageBreak/>
              <w:t xml:space="preserve">Response </w:t>
            </w:r>
          </w:p>
          <w:p w14:paraId="2859335C" w14:textId="77777777" w:rsidR="00292A47" w:rsidRPr="004160F5" w:rsidRDefault="00292A47" w:rsidP="00292A47">
            <w:pPr>
              <w:rPr>
                <w:rFonts w:ascii="Calibri" w:hAnsi="Calibri" w:cs="Calibri"/>
                <w:lang w:val="en-US"/>
              </w:rPr>
            </w:pPr>
            <w:r>
              <w:rPr>
                <w:rFonts w:ascii="Calibri" w:hAnsi="Calibri" w:cs="Calibri"/>
                <w:lang w:val="en-US"/>
              </w:rPr>
              <w:t xml:space="preserve">Accepted. </w:t>
            </w:r>
            <w:r w:rsidRPr="00220B26">
              <w:rPr>
                <w:rFonts w:ascii="Calibri" w:hAnsi="Calibri" w:cs="Calibri"/>
                <w:lang w:val="en-US"/>
              </w:rPr>
              <w:t>In progress.</w:t>
            </w:r>
            <w:r w:rsidRPr="00220B26">
              <w:rPr>
                <w:rFonts w:ascii="Calibri" w:hAnsi="Calibri" w:cs="Calibri"/>
              </w:rPr>
              <w:t> </w:t>
            </w:r>
          </w:p>
          <w:p w14:paraId="011406AD" w14:textId="77777777" w:rsidR="00292A47" w:rsidRPr="00220B26" w:rsidRDefault="00292A47" w:rsidP="00292A47">
            <w:pPr>
              <w:rPr>
                <w:rFonts w:ascii="Calibri" w:hAnsi="Calibri" w:cs="Calibri"/>
              </w:rPr>
            </w:pPr>
            <w:r w:rsidRPr="00220B26">
              <w:rPr>
                <w:rFonts w:ascii="Calibri" w:hAnsi="Calibri" w:cs="Calibri"/>
              </w:rPr>
              <w:t>As part of NTSG’s proposed Strategic Plan for 2025-30, the development of a new Community Engagement and Communications Strategy has been identified as a priority project, and we anticipate commencing work on this plan in early 2025. This will involve identification of appropriate communication channels and frequencies for our stakeholder groups.  </w:t>
            </w:r>
          </w:p>
          <w:p w14:paraId="7850BB70" w14:textId="77777777" w:rsidR="00292A47" w:rsidRPr="00220B26" w:rsidRDefault="00292A47" w:rsidP="00292A47">
            <w:pPr>
              <w:rPr>
                <w:rFonts w:ascii="Calibri" w:hAnsi="Calibri" w:cs="Calibri"/>
              </w:rPr>
            </w:pPr>
            <w:r w:rsidRPr="00220B26">
              <w:rPr>
                <w:rFonts w:ascii="Calibri" w:hAnsi="Calibri" w:cs="Calibri"/>
              </w:rPr>
              <w:t> </w:t>
            </w:r>
          </w:p>
          <w:p w14:paraId="4C33B86A" w14:textId="77777777" w:rsidR="00292A47" w:rsidRPr="00220B26" w:rsidRDefault="00292A47" w:rsidP="00292A47">
            <w:pPr>
              <w:rPr>
                <w:rFonts w:ascii="Calibri" w:hAnsi="Calibri" w:cs="Calibri"/>
              </w:rPr>
            </w:pPr>
            <w:r w:rsidRPr="00220B26">
              <w:rPr>
                <w:rFonts w:ascii="Calibri" w:hAnsi="Calibri" w:cs="Calibri"/>
              </w:rPr>
              <w:t>Currently, NTSG utilises phone calls, mailouts, website updates, emails, social media presence, and SMS / mobile alerts for upcoming consultations, meetings, significant developments. The organisation is presently updating its IT capabilities, including website design and content, with the intention that the website will become a more informative and accessible resource for our constituents. NTSG also convenes Regional Information Meetings in Kalgoorlie, with the addition of further such events in Perth and other regional centres in the Goldfields proposed from 2025.  </w:t>
            </w:r>
          </w:p>
          <w:p w14:paraId="7736A221" w14:textId="77777777" w:rsidR="00292A47" w:rsidRPr="00220B26" w:rsidRDefault="00292A47" w:rsidP="00292A47">
            <w:pPr>
              <w:rPr>
                <w:rFonts w:ascii="Calibri" w:hAnsi="Calibri" w:cs="Calibri"/>
              </w:rPr>
            </w:pPr>
            <w:r w:rsidRPr="00220B26">
              <w:rPr>
                <w:rFonts w:ascii="Calibri" w:hAnsi="Calibri" w:cs="Calibri"/>
              </w:rPr>
              <w:t> </w:t>
            </w:r>
          </w:p>
          <w:p w14:paraId="05F6D436" w14:textId="77777777" w:rsidR="00292A47" w:rsidRPr="00220B26" w:rsidRDefault="00292A47" w:rsidP="00292A47">
            <w:pPr>
              <w:rPr>
                <w:rFonts w:ascii="Calibri" w:hAnsi="Calibri" w:cs="Calibri"/>
              </w:rPr>
            </w:pPr>
            <w:r w:rsidRPr="00220B26">
              <w:rPr>
                <w:rFonts w:ascii="Calibri" w:hAnsi="Calibri" w:cs="Calibri"/>
              </w:rPr>
              <w:t xml:space="preserve">In addition, all NTSG-convened meetings and consultations in the </w:t>
            </w:r>
            <w:proofErr w:type="gramStart"/>
            <w:r w:rsidRPr="00220B26">
              <w:rPr>
                <w:rFonts w:ascii="Calibri" w:hAnsi="Calibri" w:cs="Calibri"/>
              </w:rPr>
              <w:t>region  provide</w:t>
            </w:r>
            <w:proofErr w:type="gramEnd"/>
            <w:r w:rsidRPr="00220B26">
              <w:rPr>
                <w:rFonts w:ascii="Calibri" w:hAnsi="Calibri" w:cs="Calibri"/>
              </w:rPr>
              <w:t xml:space="preserve"> an opportunity for Traditional Owners to provide direct feedback and ask questions of NTSG staff, with staff often travelling to the location ahead of time and staying after the meetings have ended to undertake community engagement around those larger meetings.  </w:t>
            </w:r>
          </w:p>
          <w:p w14:paraId="6937D7C8" w14:textId="77777777" w:rsidR="00292A47" w:rsidRPr="00220B26" w:rsidRDefault="00292A47" w:rsidP="00292A47">
            <w:pPr>
              <w:rPr>
                <w:rFonts w:ascii="Calibri" w:hAnsi="Calibri" w:cs="Calibri"/>
              </w:rPr>
            </w:pPr>
            <w:r w:rsidRPr="00220B26">
              <w:rPr>
                <w:rFonts w:ascii="Calibri" w:hAnsi="Calibri" w:cs="Calibri"/>
              </w:rPr>
              <w:t> </w:t>
            </w:r>
          </w:p>
          <w:p w14:paraId="1E5E0E64" w14:textId="77777777" w:rsidR="00292A47" w:rsidRPr="00220B26" w:rsidRDefault="00292A47" w:rsidP="00292A47">
            <w:pPr>
              <w:rPr>
                <w:rFonts w:ascii="Calibri" w:hAnsi="Calibri" w:cs="Calibri"/>
              </w:rPr>
            </w:pPr>
            <w:r w:rsidRPr="00220B26">
              <w:rPr>
                <w:rFonts w:ascii="Calibri" w:hAnsi="Calibri" w:cs="Calibri"/>
              </w:rPr>
              <w:t xml:space="preserve">The organisation worked with the National Native Title Council and NIAA to convene the first PBC Forum for Goldfields RNTBCs in September 2024. This event was very well attended and NTSG intends, with the support of the PBCS in the region, </w:t>
            </w:r>
            <w:proofErr w:type="gramStart"/>
            <w:r w:rsidRPr="00220B26">
              <w:rPr>
                <w:rFonts w:ascii="Calibri" w:hAnsi="Calibri" w:cs="Calibri"/>
              </w:rPr>
              <w:t>to  run</w:t>
            </w:r>
            <w:proofErr w:type="gramEnd"/>
            <w:r w:rsidRPr="00220B26">
              <w:rPr>
                <w:rFonts w:ascii="Calibri" w:hAnsi="Calibri" w:cs="Calibri"/>
              </w:rPr>
              <w:t xml:space="preserve"> annual events of this nature moving forward.  </w:t>
            </w:r>
          </w:p>
          <w:p w14:paraId="195ADA0A" w14:textId="77777777" w:rsidR="00292A47" w:rsidRPr="00220B26" w:rsidRDefault="00292A47" w:rsidP="00292A47">
            <w:pPr>
              <w:rPr>
                <w:rFonts w:ascii="Calibri" w:hAnsi="Calibri" w:cs="Calibri"/>
              </w:rPr>
            </w:pPr>
            <w:r w:rsidRPr="00220B26">
              <w:rPr>
                <w:rFonts w:ascii="Calibri" w:hAnsi="Calibri" w:cs="Calibri"/>
              </w:rPr>
              <w:t> </w:t>
            </w:r>
          </w:p>
          <w:p w14:paraId="74F47B31" w14:textId="4D6B5E97" w:rsidR="00F72565" w:rsidRPr="0038350A" w:rsidRDefault="00292A47" w:rsidP="00292A47">
            <w:pPr>
              <w:jc w:val="both"/>
              <w:rPr>
                <w:rFonts w:ascii="Calibri" w:hAnsi="Calibri" w:cs="Calibri"/>
                <w:b/>
                <w:bCs/>
              </w:rPr>
            </w:pPr>
            <w:r w:rsidRPr="00220B26">
              <w:rPr>
                <w:rFonts w:ascii="Calibri" w:hAnsi="Calibri" w:cs="Calibri"/>
              </w:rPr>
              <w:t>NTSG is a relatively new and small organisation and does not currently have a dedicated in-house media/communications manager. As the organisation continues to grow, and subject to appropriate resourcing being available, we may seek to create a position to provide this expertise internally. </w:t>
            </w:r>
          </w:p>
        </w:tc>
      </w:tr>
      <w:tr w:rsidR="009D5742" w14:paraId="59A83F3A" w14:textId="77777777" w:rsidTr="00AE6738">
        <w:trPr>
          <w:cantSplit/>
          <w:trHeight w:val="348"/>
        </w:trPr>
        <w:tc>
          <w:tcPr>
            <w:tcW w:w="9016" w:type="dxa"/>
          </w:tcPr>
          <w:p w14:paraId="393C4ECF" w14:textId="6BF19007" w:rsidR="009D5742" w:rsidRDefault="00CB50AE" w:rsidP="00B67D4C">
            <w:pPr>
              <w:rPr>
                <w:rFonts w:ascii="Calibri" w:hAnsi="Calibri" w:cs="Calibri"/>
                <w:lang w:val="en-US"/>
              </w:rPr>
            </w:pPr>
            <w:r w:rsidRPr="005703F0">
              <w:rPr>
                <w:rFonts w:ascii="Calibri" w:hAnsi="Calibri" w:cs="Calibri"/>
                <w:b/>
                <w:bCs/>
                <w:lang w:val="en-GB"/>
              </w:rPr>
              <w:t>Rec 7</w:t>
            </w:r>
            <w:r>
              <w:rPr>
                <w:rFonts w:ascii="Calibri" w:hAnsi="Calibri" w:cs="Calibri"/>
                <w:lang w:val="en-GB"/>
              </w:rPr>
              <w:t xml:space="preserve"> </w:t>
            </w:r>
            <w:r w:rsidRPr="006F286B">
              <w:rPr>
                <w:rFonts w:ascii="Calibri" w:hAnsi="Calibri" w:cs="Calibri"/>
                <w:lang w:val="en-GB"/>
              </w:rPr>
              <w:t>NTSG should more strongly communicate its behavioural expectations and consequences for breaching the code of conduct at meetings to further reduce the risk of conflict. </w:t>
            </w:r>
            <w:r w:rsidRPr="006F286B">
              <w:rPr>
                <w:rFonts w:ascii="Calibri" w:hAnsi="Calibri" w:cs="Calibri"/>
              </w:rPr>
              <w:t> </w:t>
            </w:r>
          </w:p>
        </w:tc>
      </w:tr>
      <w:tr w:rsidR="009D5742" w14:paraId="57708A92" w14:textId="77777777" w:rsidTr="00AE6738">
        <w:trPr>
          <w:cantSplit/>
          <w:trHeight w:val="348"/>
        </w:trPr>
        <w:tc>
          <w:tcPr>
            <w:tcW w:w="9016" w:type="dxa"/>
          </w:tcPr>
          <w:p w14:paraId="12A62E2A" w14:textId="77777777" w:rsidR="006069D5" w:rsidRPr="006069D5" w:rsidRDefault="006069D5" w:rsidP="006069D5">
            <w:pPr>
              <w:rPr>
                <w:rFonts w:ascii="Calibri" w:hAnsi="Calibri" w:cs="Calibri"/>
                <w:b/>
                <w:bCs/>
                <w:lang w:val="en-US"/>
              </w:rPr>
            </w:pPr>
            <w:r w:rsidRPr="006069D5">
              <w:rPr>
                <w:rFonts w:ascii="Calibri" w:hAnsi="Calibri" w:cs="Calibri"/>
                <w:b/>
                <w:bCs/>
                <w:lang w:val="en-US"/>
              </w:rPr>
              <w:lastRenderedPageBreak/>
              <w:t xml:space="preserve">Response </w:t>
            </w:r>
          </w:p>
          <w:p w14:paraId="4AC8F147" w14:textId="77777777" w:rsidR="00A33A7B" w:rsidRDefault="00A33A7B" w:rsidP="00A33A7B">
            <w:pPr>
              <w:rPr>
                <w:rFonts w:ascii="Calibri" w:hAnsi="Calibri" w:cs="Calibri"/>
                <w:lang w:val="en-US"/>
              </w:rPr>
            </w:pPr>
            <w:r>
              <w:rPr>
                <w:rFonts w:ascii="Calibri" w:hAnsi="Calibri" w:cs="Calibri"/>
                <w:lang w:val="en-US"/>
              </w:rPr>
              <w:t xml:space="preserve">Accepted. </w:t>
            </w:r>
          </w:p>
          <w:p w14:paraId="19DD193F" w14:textId="77777777" w:rsidR="00A33A7B" w:rsidRPr="00823324" w:rsidRDefault="00A33A7B" w:rsidP="00A33A7B">
            <w:pPr>
              <w:rPr>
                <w:rFonts w:ascii="Calibri" w:hAnsi="Calibri" w:cs="Calibri"/>
              </w:rPr>
            </w:pPr>
            <w:r w:rsidRPr="00823324">
              <w:rPr>
                <w:rFonts w:ascii="Calibri" w:hAnsi="Calibri" w:cs="Calibri"/>
                <w:lang w:val="en-US"/>
              </w:rPr>
              <w:t>In progress and ongoing.</w:t>
            </w:r>
            <w:r w:rsidRPr="00823324">
              <w:rPr>
                <w:rFonts w:ascii="Calibri" w:hAnsi="Calibri" w:cs="Calibri"/>
              </w:rPr>
              <w:t> </w:t>
            </w:r>
          </w:p>
          <w:p w14:paraId="521E414E" w14:textId="77777777" w:rsidR="00A33A7B" w:rsidRPr="00823324" w:rsidRDefault="00A33A7B" w:rsidP="00A33A7B">
            <w:pPr>
              <w:rPr>
                <w:rFonts w:ascii="Calibri" w:hAnsi="Calibri" w:cs="Calibri"/>
              </w:rPr>
            </w:pPr>
            <w:r w:rsidRPr="00823324">
              <w:rPr>
                <w:rFonts w:ascii="Calibri" w:hAnsi="Calibri" w:cs="Calibri"/>
              </w:rPr>
              <w:t> </w:t>
            </w:r>
          </w:p>
          <w:p w14:paraId="6DBC28BF" w14:textId="77777777" w:rsidR="00A33A7B" w:rsidRPr="00823324" w:rsidRDefault="00A33A7B" w:rsidP="00A33A7B">
            <w:pPr>
              <w:rPr>
                <w:rFonts w:ascii="Calibri" w:hAnsi="Calibri" w:cs="Calibri"/>
              </w:rPr>
            </w:pPr>
            <w:r w:rsidRPr="00823324">
              <w:rPr>
                <w:rFonts w:ascii="Calibri" w:hAnsi="Calibri" w:cs="Calibri"/>
              </w:rPr>
              <w:t>NTSG commissioned a whole of organisation security review by specialist consultants in early 2024, following an escalation in disruptive and aggressive behaviour by a minority of constituents and external parties during fieldwork and meetings convened in the region.  </w:t>
            </w:r>
          </w:p>
          <w:p w14:paraId="6674184D" w14:textId="77777777" w:rsidR="00A33A7B" w:rsidRPr="00823324" w:rsidRDefault="00A33A7B" w:rsidP="00A33A7B">
            <w:pPr>
              <w:rPr>
                <w:rFonts w:ascii="Calibri" w:hAnsi="Calibri" w:cs="Calibri"/>
              </w:rPr>
            </w:pPr>
            <w:r w:rsidRPr="00823324">
              <w:rPr>
                <w:rFonts w:ascii="Calibri" w:hAnsi="Calibri" w:cs="Calibri"/>
              </w:rPr>
              <w:t> </w:t>
            </w:r>
          </w:p>
          <w:p w14:paraId="0ED537FD" w14:textId="77777777" w:rsidR="00A33A7B" w:rsidRPr="00823324" w:rsidRDefault="00A33A7B" w:rsidP="00A33A7B">
            <w:pPr>
              <w:rPr>
                <w:rFonts w:ascii="Calibri" w:hAnsi="Calibri" w:cs="Calibri"/>
              </w:rPr>
            </w:pPr>
            <w:r w:rsidRPr="00823324">
              <w:rPr>
                <w:rFonts w:ascii="Calibri" w:hAnsi="Calibri" w:cs="Calibri"/>
                <w:lang w:val="en-US"/>
              </w:rPr>
              <w:t>A new code of conduct for meetings has been published on our website and social media channels and is to be explained and displayed at all meetings. The document is also mailed to constituents with meeting notices, and it has been provided to staff. </w:t>
            </w:r>
            <w:r w:rsidRPr="00823324">
              <w:rPr>
                <w:rFonts w:ascii="Calibri" w:hAnsi="Calibri" w:cs="Calibri"/>
              </w:rPr>
              <w:t> </w:t>
            </w:r>
          </w:p>
          <w:p w14:paraId="24D19B9C" w14:textId="77777777" w:rsidR="00A33A7B" w:rsidRPr="00823324" w:rsidRDefault="00A33A7B" w:rsidP="00A33A7B">
            <w:pPr>
              <w:rPr>
                <w:rFonts w:ascii="Calibri" w:hAnsi="Calibri" w:cs="Calibri"/>
              </w:rPr>
            </w:pPr>
            <w:r w:rsidRPr="00823324">
              <w:rPr>
                <w:rFonts w:ascii="Calibri" w:hAnsi="Calibri" w:cs="Calibri"/>
              </w:rPr>
              <w:t> </w:t>
            </w:r>
          </w:p>
          <w:p w14:paraId="184B7A14" w14:textId="77777777" w:rsidR="00A33A7B" w:rsidRPr="00823324" w:rsidRDefault="00A33A7B" w:rsidP="00A33A7B">
            <w:pPr>
              <w:rPr>
                <w:rFonts w:ascii="Calibri" w:hAnsi="Calibri" w:cs="Calibri"/>
              </w:rPr>
            </w:pPr>
            <w:r w:rsidRPr="00823324">
              <w:rPr>
                <w:rFonts w:ascii="Calibri" w:hAnsi="Calibri" w:cs="Calibri"/>
              </w:rPr>
              <w:t>Staff have received security training in Occupational Violence and Aggression management, with the training recorded to enable staff to refresh their understanding, and for future staff to complete prior to commencing fieldwork.   </w:t>
            </w:r>
          </w:p>
          <w:p w14:paraId="229712E8" w14:textId="77777777" w:rsidR="00A33A7B" w:rsidRPr="00823324" w:rsidRDefault="00A33A7B" w:rsidP="00A33A7B">
            <w:pPr>
              <w:rPr>
                <w:rFonts w:ascii="Calibri" w:hAnsi="Calibri" w:cs="Calibri"/>
              </w:rPr>
            </w:pPr>
            <w:r w:rsidRPr="00823324">
              <w:rPr>
                <w:rFonts w:ascii="Calibri" w:hAnsi="Calibri" w:cs="Calibri"/>
              </w:rPr>
              <w:t> </w:t>
            </w:r>
          </w:p>
          <w:p w14:paraId="18BD0641" w14:textId="77777777" w:rsidR="00A33A7B" w:rsidRPr="00823324" w:rsidRDefault="00A33A7B" w:rsidP="00A33A7B">
            <w:pPr>
              <w:rPr>
                <w:rFonts w:ascii="Calibri" w:hAnsi="Calibri" w:cs="Calibri"/>
              </w:rPr>
            </w:pPr>
            <w:r w:rsidRPr="00823324">
              <w:rPr>
                <w:rFonts w:ascii="Calibri" w:hAnsi="Calibri" w:cs="Calibri"/>
              </w:rPr>
              <w:t>Planning for all fieldwork and meetings include multiple mandatory dynamic risk assessments, and trained security personnel attend all meetings and are briefed on NTSG’s code of conduct and expectations. Meetings determined to be high risk require the engagement of specialist security staff from Perth, as recommended by the consultants.  </w:t>
            </w:r>
          </w:p>
          <w:p w14:paraId="26A5B964" w14:textId="77777777" w:rsidR="00A33A7B" w:rsidRPr="00823324" w:rsidRDefault="00A33A7B" w:rsidP="00A33A7B">
            <w:pPr>
              <w:rPr>
                <w:rFonts w:ascii="Calibri" w:hAnsi="Calibri" w:cs="Calibri"/>
              </w:rPr>
            </w:pPr>
            <w:r w:rsidRPr="00823324">
              <w:rPr>
                <w:rFonts w:ascii="Calibri" w:hAnsi="Calibri" w:cs="Calibri"/>
              </w:rPr>
              <w:t> </w:t>
            </w:r>
          </w:p>
          <w:p w14:paraId="7EB3EBF8" w14:textId="3EC5F9A2" w:rsidR="009D5742" w:rsidRDefault="00A33A7B" w:rsidP="00A33A7B">
            <w:pPr>
              <w:rPr>
                <w:rFonts w:ascii="Calibri" w:hAnsi="Calibri" w:cs="Calibri"/>
                <w:lang w:val="en-US"/>
              </w:rPr>
            </w:pPr>
            <w:r w:rsidRPr="00823324">
              <w:rPr>
                <w:rFonts w:ascii="Calibri" w:hAnsi="Calibri" w:cs="Calibri"/>
              </w:rPr>
              <w:t>NTSG’s security consultants have assessed the venues we use in Kalgoorlie and provided guidance on the suitability of those facilities. They have also assisted with checklists of considerations for venues in other locations such as location-based risk factors, exits, parking locations, room setup etc</w:t>
            </w:r>
            <w:r>
              <w:rPr>
                <w:rFonts w:ascii="Calibri" w:hAnsi="Calibri" w:cs="Calibri"/>
              </w:rPr>
              <w:t>.</w:t>
            </w:r>
          </w:p>
        </w:tc>
      </w:tr>
      <w:tr w:rsidR="00D27609" w14:paraId="2E891F0A" w14:textId="77777777" w:rsidTr="00AE6738">
        <w:trPr>
          <w:cantSplit/>
          <w:trHeight w:val="348"/>
        </w:trPr>
        <w:tc>
          <w:tcPr>
            <w:tcW w:w="9016" w:type="dxa"/>
          </w:tcPr>
          <w:p w14:paraId="6FE7E6AB" w14:textId="59D0E5CD" w:rsidR="00D27609" w:rsidRPr="00D27609" w:rsidRDefault="001759AC" w:rsidP="00B76E51">
            <w:pPr>
              <w:rPr>
                <w:rFonts w:ascii="Calibri" w:hAnsi="Calibri" w:cs="Calibri"/>
                <w:b/>
                <w:bCs/>
                <w:lang w:val="en-US"/>
              </w:rPr>
            </w:pPr>
            <w:r w:rsidRPr="005703F0">
              <w:rPr>
                <w:rFonts w:ascii="Calibri" w:hAnsi="Calibri" w:cs="Calibri"/>
                <w:b/>
                <w:bCs/>
                <w:lang w:val="en-GB"/>
              </w:rPr>
              <w:t>Rec 8</w:t>
            </w:r>
            <w:r>
              <w:rPr>
                <w:rFonts w:ascii="Calibri" w:hAnsi="Calibri" w:cs="Calibri"/>
                <w:lang w:val="en-GB"/>
              </w:rPr>
              <w:t xml:space="preserve"> </w:t>
            </w:r>
            <w:r w:rsidRPr="006F286B">
              <w:rPr>
                <w:rFonts w:ascii="Calibri" w:hAnsi="Calibri" w:cs="Calibri"/>
                <w:lang w:val="en-GB"/>
              </w:rPr>
              <w:t>The Board should improve its awareness of the complaints process and its role within it, to deliver accountability to constituents</w:t>
            </w:r>
          </w:p>
        </w:tc>
      </w:tr>
      <w:tr w:rsidR="00D27609" w14:paraId="5FEB9826" w14:textId="77777777" w:rsidTr="00AE6738">
        <w:trPr>
          <w:cantSplit/>
          <w:trHeight w:val="348"/>
        </w:trPr>
        <w:tc>
          <w:tcPr>
            <w:tcW w:w="9016" w:type="dxa"/>
          </w:tcPr>
          <w:p w14:paraId="6819AEA4" w14:textId="77777777" w:rsidR="006069D5" w:rsidRPr="006069D5" w:rsidRDefault="006069D5" w:rsidP="006069D5">
            <w:pPr>
              <w:rPr>
                <w:rFonts w:ascii="Calibri" w:hAnsi="Calibri" w:cs="Calibri"/>
                <w:b/>
                <w:bCs/>
                <w:lang w:val="en-US"/>
              </w:rPr>
            </w:pPr>
            <w:r w:rsidRPr="006069D5">
              <w:rPr>
                <w:rFonts w:ascii="Calibri" w:hAnsi="Calibri" w:cs="Calibri"/>
                <w:b/>
                <w:bCs/>
                <w:lang w:val="en-US"/>
              </w:rPr>
              <w:t xml:space="preserve">Response </w:t>
            </w:r>
          </w:p>
          <w:p w14:paraId="38E36EC9" w14:textId="77777777" w:rsidR="00A03879" w:rsidRDefault="00A03879" w:rsidP="00A03879">
            <w:pPr>
              <w:rPr>
                <w:rFonts w:ascii="Calibri" w:hAnsi="Calibri" w:cs="Calibri"/>
                <w:lang w:val="en-US"/>
              </w:rPr>
            </w:pPr>
            <w:r>
              <w:rPr>
                <w:rFonts w:ascii="Calibri" w:hAnsi="Calibri" w:cs="Calibri"/>
                <w:lang w:val="en-US"/>
              </w:rPr>
              <w:t xml:space="preserve">Accepted. </w:t>
            </w:r>
          </w:p>
          <w:p w14:paraId="081DD95C" w14:textId="77777777" w:rsidR="00A03879" w:rsidRPr="001A3EC1" w:rsidRDefault="00A03879" w:rsidP="00A03879">
            <w:pPr>
              <w:rPr>
                <w:rFonts w:ascii="Calibri" w:hAnsi="Calibri" w:cs="Calibri"/>
              </w:rPr>
            </w:pPr>
            <w:r w:rsidRPr="001A3EC1">
              <w:rPr>
                <w:rFonts w:ascii="Calibri" w:hAnsi="Calibri" w:cs="Calibri"/>
                <w:lang w:val="en-US"/>
              </w:rPr>
              <w:t>In progress and ongoing. </w:t>
            </w:r>
            <w:r w:rsidRPr="001A3EC1">
              <w:rPr>
                <w:rFonts w:ascii="Calibri" w:hAnsi="Calibri" w:cs="Calibri"/>
              </w:rPr>
              <w:t> </w:t>
            </w:r>
          </w:p>
          <w:p w14:paraId="7C2844B5" w14:textId="77777777" w:rsidR="00A03879" w:rsidRPr="001A3EC1" w:rsidRDefault="00A03879" w:rsidP="00A03879">
            <w:pPr>
              <w:rPr>
                <w:rFonts w:ascii="Calibri" w:hAnsi="Calibri" w:cs="Calibri"/>
              </w:rPr>
            </w:pPr>
            <w:r w:rsidRPr="001A3EC1">
              <w:rPr>
                <w:rFonts w:ascii="Calibri" w:hAnsi="Calibri" w:cs="Calibri"/>
              </w:rPr>
              <w:t> </w:t>
            </w:r>
          </w:p>
          <w:p w14:paraId="2FE0CCFD" w14:textId="77777777" w:rsidR="00A03879" w:rsidRPr="001A3EC1" w:rsidRDefault="00A03879" w:rsidP="00A03879">
            <w:pPr>
              <w:rPr>
                <w:rFonts w:ascii="Calibri" w:hAnsi="Calibri" w:cs="Calibri"/>
              </w:rPr>
            </w:pPr>
            <w:r w:rsidRPr="001A3EC1">
              <w:rPr>
                <w:rFonts w:ascii="Calibri" w:hAnsi="Calibri" w:cs="Calibri"/>
                <w:lang w:val="en-US"/>
              </w:rPr>
              <w:t>NTSG maintains a complaint register and the Board is presented with any formal complaints that may have been received at Board meetings, and out of session where the complaint is of a more serious nature or involves a complaint about the CEO.</w:t>
            </w:r>
            <w:r w:rsidRPr="001A3EC1">
              <w:rPr>
                <w:rFonts w:ascii="Calibri" w:hAnsi="Calibri" w:cs="Calibri"/>
              </w:rPr>
              <w:t> </w:t>
            </w:r>
          </w:p>
          <w:p w14:paraId="5E24DBDA" w14:textId="77777777" w:rsidR="00A03879" w:rsidRPr="001A3EC1" w:rsidRDefault="00A03879" w:rsidP="00A03879">
            <w:pPr>
              <w:rPr>
                <w:rFonts w:ascii="Calibri" w:hAnsi="Calibri" w:cs="Calibri"/>
              </w:rPr>
            </w:pPr>
            <w:r w:rsidRPr="001A3EC1">
              <w:rPr>
                <w:rFonts w:ascii="Calibri" w:hAnsi="Calibri" w:cs="Calibri"/>
              </w:rPr>
              <w:t> </w:t>
            </w:r>
          </w:p>
          <w:p w14:paraId="737162E3" w14:textId="44D0BC81" w:rsidR="00D27609" w:rsidRPr="00A03879" w:rsidRDefault="00A03879" w:rsidP="00A03879">
            <w:pPr>
              <w:rPr>
                <w:rFonts w:ascii="Calibri" w:hAnsi="Calibri" w:cs="Calibri"/>
              </w:rPr>
            </w:pPr>
            <w:r w:rsidRPr="001A3EC1">
              <w:rPr>
                <w:rFonts w:ascii="Calibri" w:hAnsi="Calibri" w:cs="Calibri"/>
                <w:lang w:val="en-US"/>
              </w:rPr>
              <w:t>NTSG’s ‘Compliments, Complaints, and Suggestions Procedure</w:t>
            </w:r>
            <w:r w:rsidRPr="001A3EC1">
              <w:rPr>
                <w:rFonts w:ascii="Calibri" w:hAnsi="Calibri" w:cs="Calibri"/>
              </w:rPr>
              <w:t> Policy Document Number: PR700’ is available on the organisation’s website and in hard copy form at NTSG offices and has been provided to the Board for their information. </w:t>
            </w:r>
          </w:p>
        </w:tc>
      </w:tr>
      <w:tr w:rsidR="00AB2C53" w14:paraId="20E5EB0D" w14:textId="77777777" w:rsidTr="00AE6738">
        <w:trPr>
          <w:cantSplit/>
        </w:trPr>
        <w:tc>
          <w:tcPr>
            <w:tcW w:w="9016" w:type="dxa"/>
            <w:shd w:val="clear" w:color="auto" w:fill="C1E4F5" w:themeFill="accent1" w:themeFillTint="33"/>
          </w:tcPr>
          <w:p w14:paraId="2A7335DB" w14:textId="47290EB5" w:rsidR="00AB2C53" w:rsidRDefault="00D10193" w:rsidP="00D10193">
            <w:pPr>
              <w:rPr>
                <w:rFonts w:ascii="Calibri" w:hAnsi="Calibri" w:cs="Calibri"/>
                <w:lang w:val="en-US"/>
              </w:rPr>
            </w:pPr>
            <w:r w:rsidRPr="00C922AF">
              <w:rPr>
                <w:rFonts w:ascii="Calibri" w:hAnsi="Calibri" w:cs="Calibri"/>
                <w:b/>
                <w:bCs/>
                <w:lang w:val="en-GB"/>
              </w:rPr>
              <w:t>TOR 4</w:t>
            </w:r>
            <w:r w:rsidRPr="00C922AF">
              <w:rPr>
                <w:rFonts w:ascii="Calibri" w:hAnsi="Calibri" w:cs="Calibri"/>
                <w:lang w:val="en-GB"/>
              </w:rPr>
              <w:t xml:space="preserve"> Extent to which each organisation performs its functions in a cost-effective manner, including by identifying the key cost drivers for the organisation.</w:t>
            </w:r>
            <w:r w:rsidRPr="00C922AF">
              <w:rPr>
                <w:rFonts w:ascii="Calibri" w:hAnsi="Calibri" w:cs="Calibri"/>
              </w:rPr>
              <w:t> </w:t>
            </w:r>
          </w:p>
        </w:tc>
      </w:tr>
      <w:tr w:rsidR="00AB2C53" w14:paraId="000EE5F2" w14:textId="77777777" w:rsidTr="00AE6738">
        <w:trPr>
          <w:cantSplit/>
        </w:trPr>
        <w:tc>
          <w:tcPr>
            <w:tcW w:w="9016" w:type="dxa"/>
          </w:tcPr>
          <w:p w14:paraId="070904EE" w14:textId="127E0A05" w:rsidR="00AB2C53" w:rsidRPr="003D503B" w:rsidRDefault="00A92EF0" w:rsidP="008D2CA8">
            <w:pPr>
              <w:rPr>
                <w:lang w:val="en-US"/>
              </w:rPr>
            </w:pPr>
            <w:r w:rsidRPr="00A92EF0">
              <w:rPr>
                <w:b/>
                <w:bCs/>
                <w:lang w:val="en-US"/>
              </w:rPr>
              <w:t>Rec</w:t>
            </w:r>
            <w:r>
              <w:rPr>
                <w:lang w:val="en-US"/>
              </w:rPr>
              <w:t xml:space="preserve"> </w:t>
            </w:r>
            <w:r w:rsidR="005A11EA">
              <w:rPr>
                <w:lang w:val="en-US"/>
              </w:rPr>
              <w:t>N</w:t>
            </w:r>
            <w:r>
              <w:rPr>
                <w:lang w:val="en-US"/>
              </w:rPr>
              <w:t>il</w:t>
            </w:r>
            <w:r w:rsidR="005A11EA">
              <w:rPr>
                <w:lang w:val="en-US"/>
              </w:rPr>
              <w:t xml:space="preserve"> recommendations</w:t>
            </w:r>
          </w:p>
        </w:tc>
      </w:tr>
      <w:tr w:rsidR="00AB2C53" w14:paraId="2E1A14A7" w14:textId="77777777" w:rsidTr="00AE6738">
        <w:trPr>
          <w:cantSplit/>
        </w:trPr>
        <w:tc>
          <w:tcPr>
            <w:tcW w:w="9016" w:type="dxa"/>
            <w:shd w:val="clear" w:color="auto" w:fill="C1E4F5" w:themeFill="accent1" w:themeFillTint="33"/>
          </w:tcPr>
          <w:p w14:paraId="7416E9F3" w14:textId="631AC592" w:rsidR="00AB2C53" w:rsidRDefault="00B74F69" w:rsidP="008D2CA8">
            <w:pPr>
              <w:rPr>
                <w:rFonts w:ascii="Calibri" w:hAnsi="Calibri" w:cs="Calibri"/>
                <w:lang w:val="en-US"/>
              </w:rPr>
            </w:pPr>
            <w:r w:rsidRPr="00C922AF">
              <w:rPr>
                <w:rFonts w:ascii="Calibri" w:hAnsi="Calibri" w:cs="Calibri"/>
                <w:b/>
                <w:bCs/>
                <w:lang w:val="en-US"/>
              </w:rPr>
              <w:t>TOR 5</w:t>
            </w:r>
            <w:r w:rsidRPr="00C922AF">
              <w:rPr>
                <w:rFonts w:ascii="Calibri" w:hAnsi="Calibri" w:cs="Calibri"/>
                <w:lang w:val="en-US"/>
              </w:rPr>
              <w:t xml:space="preserve"> </w:t>
            </w:r>
            <w:r w:rsidRPr="00C922AF">
              <w:rPr>
                <w:rFonts w:ascii="Calibri" w:hAnsi="Calibri" w:cs="Calibri"/>
                <w:lang w:val="en-GB"/>
              </w:rPr>
              <w:t>Extent to which each organisation has governance and management structures, and organisational policies and an organisational culture that support efficient and effective project delivery.</w:t>
            </w:r>
            <w:r w:rsidRPr="00C922AF">
              <w:rPr>
                <w:rFonts w:ascii="Calibri" w:hAnsi="Calibri" w:cs="Calibri"/>
              </w:rPr>
              <w:t> </w:t>
            </w:r>
            <w:r w:rsidR="00E043AB" w:rsidRPr="00E043AB">
              <w:rPr>
                <w:rFonts w:ascii="Calibri" w:hAnsi="Calibri" w:cs="Calibri"/>
                <w:b/>
                <w:bCs/>
              </w:rPr>
              <w:t>(Rec 9</w:t>
            </w:r>
            <w:r w:rsidR="00C76251">
              <w:rPr>
                <w:rFonts w:ascii="Calibri" w:hAnsi="Calibri" w:cs="Calibri"/>
                <w:b/>
                <w:bCs/>
              </w:rPr>
              <w:t>-</w:t>
            </w:r>
            <w:r w:rsidR="00E043AB" w:rsidRPr="00E043AB">
              <w:rPr>
                <w:rFonts w:ascii="Calibri" w:hAnsi="Calibri" w:cs="Calibri"/>
                <w:b/>
                <w:bCs/>
              </w:rPr>
              <w:t>1</w:t>
            </w:r>
            <w:r w:rsidR="00C76251">
              <w:rPr>
                <w:rFonts w:ascii="Calibri" w:hAnsi="Calibri" w:cs="Calibri"/>
                <w:b/>
                <w:bCs/>
              </w:rPr>
              <w:t>1</w:t>
            </w:r>
            <w:r w:rsidR="00E043AB" w:rsidRPr="00E043AB">
              <w:rPr>
                <w:rFonts w:ascii="Calibri" w:hAnsi="Calibri" w:cs="Calibri"/>
                <w:b/>
                <w:bCs/>
              </w:rPr>
              <w:t>)</w:t>
            </w:r>
          </w:p>
        </w:tc>
      </w:tr>
      <w:tr w:rsidR="00AB2C53" w14:paraId="02BA3EFF" w14:textId="77777777" w:rsidTr="00AE6738">
        <w:trPr>
          <w:cantSplit/>
        </w:trPr>
        <w:tc>
          <w:tcPr>
            <w:tcW w:w="9016" w:type="dxa"/>
          </w:tcPr>
          <w:p w14:paraId="72780DE7" w14:textId="54646B9A" w:rsidR="00AB2C53" w:rsidRDefault="001925CD" w:rsidP="00594576">
            <w:pPr>
              <w:jc w:val="both"/>
              <w:rPr>
                <w:rFonts w:ascii="Calibri" w:hAnsi="Calibri" w:cs="Calibri"/>
                <w:lang w:val="en-US"/>
              </w:rPr>
            </w:pPr>
            <w:r w:rsidRPr="005703F0">
              <w:rPr>
                <w:rFonts w:ascii="Calibri" w:hAnsi="Calibri" w:cs="Calibri"/>
                <w:b/>
                <w:bCs/>
                <w:lang w:val="en-GB"/>
              </w:rPr>
              <w:lastRenderedPageBreak/>
              <w:t>Rec 9</w:t>
            </w:r>
            <w:r>
              <w:rPr>
                <w:rFonts w:ascii="Calibri" w:hAnsi="Calibri" w:cs="Calibri"/>
                <w:lang w:val="en-GB"/>
              </w:rPr>
              <w:t xml:space="preserve"> </w:t>
            </w:r>
            <w:r w:rsidRPr="006F286B">
              <w:rPr>
                <w:rFonts w:ascii="Calibri" w:hAnsi="Calibri" w:cs="Calibri"/>
                <w:lang w:val="en-GB"/>
              </w:rPr>
              <w:t xml:space="preserve">NTSG should publish its conflicts of interest policies on the website and clearly communicate its adherence to these policies. This could include a targeted communications piece in plain language sent out to Traditional Owners that clearly outlines NTSG’s commitment to its </w:t>
            </w:r>
            <w:proofErr w:type="gramStart"/>
            <w:r w:rsidRPr="006F286B">
              <w:rPr>
                <w:rFonts w:ascii="Calibri" w:hAnsi="Calibri" w:cs="Calibri"/>
                <w:lang w:val="en-GB"/>
              </w:rPr>
              <w:t>conflict of interest</w:t>
            </w:r>
            <w:proofErr w:type="gramEnd"/>
            <w:r w:rsidRPr="006F286B">
              <w:rPr>
                <w:rFonts w:ascii="Calibri" w:hAnsi="Calibri" w:cs="Calibri"/>
                <w:lang w:val="en-GB"/>
              </w:rPr>
              <w:t xml:space="preserve"> policies and the separation of the Board from operational decisions about claims.</w:t>
            </w:r>
            <w:r w:rsidRPr="006F286B">
              <w:rPr>
                <w:rFonts w:ascii="Calibri" w:hAnsi="Calibri" w:cs="Calibri"/>
              </w:rPr>
              <w:t> </w:t>
            </w:r>
          </w:p>
        </w:tc>
      </w:tr>
      <w:tr w:rsidR="00310F46" w14:paraId="75A17A2E" w14:textId="77777777" w:rsidTr="00AE6738">
        <w:trPr>
          <w:cantSplit/>
        </w:trPr>
        <w:tc>
          <w:tcPr>
            <w:tcW w:w="9016" w:type="dxa"/>
          </w:tcPr>
          <w:p w14:paraId="0C79EF68" w14:textId="77777777" w:rsidR="006069D5" w:rsidRPr="006069D5" w:rsidRDefault="006069D5" w:rsidP="006069D5">
            <w:pPr>
              <w:rPr>
                <w:rFonts w:ascii="Calibri" w:hAnsi="Calibri" w:cs="Calibri"/>
                <w:b/>
                <w:bCs/>
                <w:lang w:val="en-US"/>
              </w:rPr>
            </w:pPr>
            <w:r w:rsidRPr="006069D5">
              <w:rPr>
                <w:rFonts w:ascii="Calibri" w:hAnsi="Calibri" w:cs="Calibri"/>
                <w:b/>
                <w:bCs/>
                <w:lang w:val="en-US"/>
              </w:rPr>
              <w:t xml:space="preserve">Response </w:t>
            </w:r>
          </w:p>
          <w:p w14:paraId="709F3138" w14:textId="77777777" w:rsidR="004513F4" w:rsidRDefault="004513F4" w:rsidP="004513F4">
            <w:pPr>
              <w:rPr>
                <w:rFonts w:ascii="Calibri" w:hAnsi="Calibri" w:cs="Calibri"/>
                <w:lang w:val="en-US"/>
              </w:rPr>
            </w:pPr>
            <w:r>
              <w:rPr>
                <w:rFonts w:ascii="Calibri" w:hAnsi="Calibri" w:cs="Calibri"/>
                <w:lang w:val="en-US"/>
              </w:rPr>
              <w:t xml:space="preserve">Accepted. </w:t>
            </w:r>
          </w:p>
          <w:p w14:paraId="2630148D" w14:textId="77777777" w:rsidR="004513F4" w:rsidRPr="001A3EC1" w:rsidRDefault="004513F4" w:rsidP="004513F4">
            <w:pPr>
              <w:rPr>
                <w:rFonts w:ascii="Calibri" w:hAnsi="Calibri" w:cs="Calibri"/>
              </w:rPr>
            </w:pPr>
            <w:r w:rsidRPr="001A3EC1">
              <w:rPr>
                <w:rFonts w:ascii="Calibri" w:hAnsi="Calibri" w:cs="Calibri"/>
                <w:lang w:val="en-US"/>
              </w:rPr>
              <w:t>In progress.</w:t>
            </w:r>
            <w:r w:rsidRPr="001A3EC1">
              <w:rPr>
                <w:rFonts w:ascii="Calibri" w:hAnsi="Calibri" w:cs="Calibri"/>
              </w:rPr>
              <w:t> </w:t>
            </w:r>
          </w:p>
          <w:p w14:paraId="1D912B95" w14:textId="77777777" w:rsidR="004513F4" w:rsidRPr="001A3EC1" w:rsidRDefault="004513F4" w:rsidP="004513F4">
            <w:pPr>
              <w:rPr>
                <w:rFonts w:ascii="Calibri" w:hAnsi="Calibri" w:cs="Calibri"/>
              </w:rPr>
            </w:pPr>
            <w:r w:rsidRPr="001A3EC1">
              <w:rPr>
                <w:rFonts w:ascii="Calibri" w:hAnsi="Calibri" w:cs="Calibri"/>
              </w:rPr>
              <w:t> </w:t>
            </w:r>
          </w:p>
          <w:p w14:paraId="6541BC1B" w14:textId="77777777" w:rsidR="004513F4" w:rsidRPr="001A3EC1" w:rsidRDefault="004513F4" w:rsidP="004513F4">
            <w:pPr>
              <w:rPr>
                <w:rFonts w:ascii="Calibri" w:hAnsi="Calibri" w:cs="Calibri"/>
              </w:rPr>
            </w:pPr>
            <w:r w:rsidRPr="001A3EC1">
              <w:rPr>
                <w:rFonts w:ascii="Calibri" w:hAnsi="Calibri" w:cs="Calibri"/>
                <w:lang w:val="en-US"/>
              </w:rPr>
              <w:t>NTSG is currently updating its website, and conflict of interest policies have been added to the priorities for the site redesign. </w:t>
            </w:r>
            <w:r w:rsidRPr="001A3EC1">
              <w:rPr>
                <w:rFonts w:ascii="Calibri" w:hAnsi="Calibri" w:cs="Calibri"/>
              </w:rPr>
              <w:t> </w:t>
            </w:r>
          </w:p>
          <w:p w14:paraId="25DA54DE" w14:textId="77777777" w:rsidR="004513F4" w:rsidRPr="001A3EC1" w:rsidRDefault="004513F4" w:rsidP="004513F4">
            <w:pPr>
              <w:rPr>
                <w:rFonts w:ascii="Calibri" w:hAnsi="Calibri" w:cs="Calibri"/>
              </w:rPr>
            </w:pPr>
            <w:r w:rsidRPr="001A3EC1">
              <w:rPr>
                <w:rFonts w:ascii="Calibri" w:hAnsi="Calibri" w:cs="Calibri"/>
              </w:rPr>
              <w:t> </w:t>
            </w:r>
          </w:p>
          <w:p w14:paraId="335F99F1" w14:textId="43F68232" w:rsidR="00310F46" w:rsidRPr="009E6AF2" w:rsidRDefault="004513F4" w:rsidP="004513F4">
            <w:pPr>
              <w:jc w:val="both"/>
              <w:rPr>
                <w:rFonts w:ascii="Calibri" w:hAnsi="Calibri" w:cs="Calibri"/>
                <w:b/>
                <w:bCs/>
                <w:lang w:val="en-US"/>
              </w:rPr>
            </w:pPr>
            <w:r w:rsidRPr="001A3EC1">
              <w:rPr>
                <w:rFonts w:ascii="Calibri" w:hAnsi="Calibri" w:cs="Calibri"/>
                <w:lang w:val="en-US"/>
              </w:rPr>
              <w:t xml:space="preserve">NTSG will also consider the development of a plain language explanation of the various conflict of interest policies applicable to the </w:t>
            </w:r>
            <w:proofErr w:type="spellStart"/>
            <w:r w:rsidRPr="001A3EC1">
              <w:rPr>
                <w:rFonts w:ascii="Calibri" w:hAnsi="Calibri" w:cs="Calibri"/>
                <w:lang w:val="en-US"/>
              </w:rPr>
              <w:t>organisation</w:t>
            </w:r>
            <w:proofErr w:type="spellEnd"/>
            <w:r w:rsidRPr="001A3EC1">
              <w:rPr>
                <w:rFonts w:ascii="Calibri" w:hAnsi="Calibri" w:cs="Calibri"/>
                <w:lang w:val="en-US"/>
              </w:rPr>
              <w:t xml:space="preserve"> for distribution to constituents in the region.</w:t>
            </w:r>
          </w:p>
        </w:tc>
      </w:tr>
      <w:tr w:rsidR="00C062E1" w14:paraId="1F91ADA7" w14:textId="77777777" w:rsidTr="00AE6738">
        <w:trPr>
          <w:cantSplit/>
        </w:trPr>
        <w:tc>
          <w:tcPr>
            <w:tcW w:w="9016" w:type="dxa"/>
          </w:tcPr>
          <w:p w14:paraId="63E69291" w14:textId="188E6176" w:rsidR="00C062E1" w:rsidRPr="008D2CA8" w:rsidRDefault="0053023A" w:rsidP="008D2CA8">
            <w:pPr>
              <w:rPr>
                <w:rFonts w:ascii="Calibri" w:hAnsi="Calibri" w:cs="Calibri"/>
                <w:lang w:val="en-US"/>
              </w:rPr>
            </w:pPr>
            <w:r w:rsidRPr="005703F0">
              <w:rPr>
                <w:rFonts w:ascii="Calibri" w:hAnsi="Calibri" w:cs="Calibri"/>
                <w:b/>
                <w:bCs/>
                <w:lang w:val="en-GB"/>
              </w:rPr>
              <w:t>Rec 10</w:t>
            </w:r>
            <w:r>
              <w:rPr>
                <w:rFonts w:ascii="Calibri" w:hAnsi="Calibri" w:cs="Calibri"/>
                <w:lang w:val="en-GB"/>
              </w:rPr>
              <w:t xml:space="preserve"> </w:t>
            </w:r>
            <w:r w:rsidRPr="002F405C">
              <w:rPr>
                <w:rFonts w:ascii="Calibri" w:hAnsi="Calibri" w:cs="Calibri"/>
                <w:lang w:val="en-GB"/>
              </w:rPr>
              <w:t>NTSG should seek assistance from the NIAA for a targeted training and mentoring program to support the new CEO in their role.</w:t>
            </w:r>
          </w:p>
        </w:tc>
      </w:tr>
      <w:tr w:rsidR="00C062E1" w14:paraId="28DFBD24" w14:textId="77777777" w:rsidTr="00AE6738">
        <w:trPr>
          <w:cantSplit/>
        </w:trPr>
        <w:tc>
          <w:tcPr>
            <w:tcW w:w="9016" w:type="dxa"/>
          </w:tcPr>
          <w:p w14:paraId="4740BA38" w14:textId="77777777" w:rsidR="006069D5" w:rsidRPr="006069D5" w:rsidRDefault="006069D5" w:rsidP="006069D5">
            <w:pPr>
              <w:rPr>
                <w:rFonts w:ascii="Calibri" w:hAnsi="Calibri" w:cs="Calibri"/>
                <w:b/>
                <w:bCs/>
                <w:lang w:val="en-US"/>
              </w:rPr>
            </w:pPr>
            <w:r w:rsidRPr="006069D5">
              <w:rPr>
                <w:rFonts w:ascii="Calibri" w:hAnsi="Calibri" w:cs="Calibri"/>
                <w:b/>
                <w:bCs/>
                <w:lang w:val="en-US"/>
              </w:rPr>
              <w:t xml:space="preserve">Response </w:t>
            </w:r>
          </w:p>
          <w:p w14:paraId="48D7D1A0" w14:textId="77777777" w:rsidR="005C32DF" w:rsidRDefault="005C32DF" w:rsidP="005C32DF">
            <w:pPr>
              <w:rPr>
                <w:rFonts w:ascii="Calibri" w:hAnsi="Calibri" w:cs="Calibri"/>
                <w:lang w:val="en-US"/>
              </w:rPr>
            </w:pPr>
            <w:r>
              <w:rPr>
                <w:rFonts w:ascii="Calibri" w:hAnsi="Calibri" w:cs="Calibri"/>
                <w:lang w:val="en-US"/>
              </w:rPr>
              <w:t xml:space="preserve">Accepted. </w:t>
            </w:r>
          </w:p>
          <w:p w14:paraId="1A91D619" w14:textId="77777777" w:rsidR="005C32DF" w:rsidRPr="00FF12F5" w:rsidRDefault="005C32DF" w:rsidP="005C32DF">
            <w:pPr>
              <w:rPr>
                <w:rFonts w:ascii="Calibri" w:hAnsi="Calibri" w:cs="Calibri"/>
              </w:rPr>
            </w:pPr>
            <w:r w:rsidRPr="00FF12F5">
              <w:rPr>
                <w:rFonts w:ascii="Calibri" w:hAnsi="Calibri" w:cs="Calibri"/>
                <w:lang w:val="en-US"/>
              </w:rPr>
              <w:t>In progress and ongoing.</w:t>
            </w:r>
            <w:r w:rsidRPr="00FF12F5">
              <w:rPr>
                <w:rFonts w:ascii="Calibri" w:hAnsi="Calibri" w:cs="Calibri"/>
              </w:rPr>
              <w:t> </w:t>
            </w:r>
          </w:p>
          <w:p w14:paraId="67CF30EE" w14:textId="77777777" w:rsidR="005C32DF" w:rsidRPr="00FF12F5" w:rsidRDefault="005C32DF" w:rsidP="005C32DF">
            <w:pPr>
              <w:rPr>
                <w:rFonts w:ascii="Calibri" w:hAnsi="Calibri" w:cs="Calibri"/>
              </w:rPr>
            </w:pPr>
            <w:r w:rsidRPr="00FF12F5">
              <w:rPr>
                <w:rFonts w:ascii="Calibri" w:hAnsi="Calibri" w:cs="Calibri"/>
              </w:rPr>
              <w:t> </w:t>
            </w:r>
          </w:p>
          <w:p w14:paraId="12950EFA" w14:textId="77777777" w:rsidR="005C32DF" w:rsidRPr="00FF12F5" w:rsidRDefault="005C32DF" w:rsidP="005C32DF">
            <w:pPr>
              <w:rPr>
                <w:rFonts w:ascii="Calibri" w:hAnsi="Calibri" w:cs="Calibri"/>
              </w:rPr>
            </w:pPr>
            <w:r w:rsidRPr="00FF12F5">
              <w:rPr>
                <w:rFonts w:ascii="Calibri" w:hAnsi="Calibri" w:cs="Calibri"/>
              </w:rPr>
              <w:t>NTSG’s CEO has significant board and leadership experience, ranging from small, incorporated associations to large not-for-profit entities. She has previously completed leadership training and a range of governance and financial management programs and has developed a strong network of CEOs working within the native title and not-for profit sector.  She has also mentored aspiring young directors in a program designed to engage young leaders on aged care and community boards and worked as a mentor and facilitator across the Western Australian Aboriginal Leadership Institute’s suite of programs.  </w:t>
            </w:r>
          </w:p>
          <w:p w14:paraId="7B6C519A" w14:textId="77777777" w:rsidR="005C32DF" w:rsidRPr="00FF12F5" w:rsidRDefault="005C32DF" w:rsidP="005C32DF">
            <w:pPr>
              <w:rPr>
                <w:rFonts w:ascii="Calibri" w:hAnsi="Calibri" w:cs="Calibri"/>
              </w:rPr>
            </w:pPr>
            <w:r w:rsidRPr="00FF12F5">
              <w:rPr>
                <w:rFonts w:ascii="Calibri" w:hAnsi="Calibri" w:cs="Calibri"/>
              </w:rPr>
              <w:t> </w:t>
            </w:r>
          </w:p>
          <w:p w14:paraId="7D3D046D" w14:textId="05837769" w:rsidR="00C062E1" w:rsidRDefault="005C32DF" w:rsidP="005C32DF">
            <w:pPr>
              <w:rPr>
                <w:rFonts w:ascii="Calibri" w:hAnsi="Calibri" w:cs="Calibri"/>
                <w:lang w:val="en-US"/>
              </w:rPr>
            </w:pPr>
            <w:r w:rsidRPr="00FF12F5">
              <w:rPr>
                <w:rFonts w:ascii="Calibri" w:hAnsi="Calibri" w:cs="Calibri"/>
              </w:rPr>
              <w:t>However, NTSG and the CEO recognise the importance of continuous improvement and lifelong learning and will liaise with NIAA to identify further training and mentoring opportunities. </w:t>
            </w:r>
          </w:p>
        </w:tc>
      </w:tr>
      <w:tr w:rsidR="00C062E1" w14:paraId="1757361F" w14:textId="77777777" w:rsidTr="00AE6738">
        <w:trPr>
          <w:cantSplit/>
        </w:trPr>
        <w:tc>
          <w:tcPr>
            <w:tcW w:w="9016" w:type="dxa"/>
          </w:tcPr>
          <w:p w14:paraId="6A03300C" w14:textId="4FB36361" w:rsidR="00C062E1" w:rsidRDefault="00C8443E" w:rsidP="00C062E1">
            <w:pPr>
              <w:rPr>
                <w:rFonts w:ascii="Calibri" w:hAnsi="Calibri" w:cs="Calibri"/>
                <w:lang w:val="en-US"/>
              </w:rPr>
            </w:pPr>
            <w:r w:rsidRPr="005703F0">
              <w:rPr>
                <w:rFonts w:ascii="Calibri" w:hAnsi="Calibri" w:cs="Calibri"/>
                <w:b/>
                <w:bCs/>
                <w:lang w:val="en-GB"/>
              </w:rPr>
              <w:t>Rec 11</w:t>
            </w:r>
            <w:r>
              <w:rPr>
                <w:rFonts w:ascii="Calibri" w:hAnsi="Calibri" w:cs="Calibri"/>
                <w:lang w:val="en-GB"/>
              </w:rPr>
              <w:t xml:space="preserve"> </w:t>
            </w:r>
            <w:r w:rsidRPr="005703F0">
              <w:rPr>
                <w:rFonts w:ascii="Calibri" w:hAnsi="Calibri" w:cs="Calibri"/>
                <w:lang w:val="en-GB"/>
              </w:rPr>
              <w:t>NTSG should consider creating an advisory structure that provides a forum for input and feedback from the grass roots. </w:t>
            </w:r>
            <w:r w:rsidRPr="005703F0">
              <w:rPr>
                <w:rFonts w:ascii="Calibri" w:hAnsi="Calibri" w:cs="Calibri"/>
              </w:rPr>
              <w:t> </w:t>
            </w:r>
          </w:p>
        </w:tc>
      </w:tr>
      <w:tr w:rsidR="00C062E1" w14:paraId="013EF8FB" w14:textId="77777777" w:rsidTr="00AE6738">
        <w:trPr>
          <w:cantSplit/>
        </w:trPr>
        <w:tc>
          <w:tcPr>
            <w:tcW w:w="9016" w:type="dxa"/>
          </w:tcPr>
          <w:p w14:paraId="1C6DD25E" w14:textId="77777777" w:rsidR="006069D5" w:rsidRPr="006069D5" w:rsidRDefault="006069D5" w:rsidP="006069D5">
            <w:pPr>
              <w:rPr>
                <w:rFonts w:ascii="Calibri" w:hAnsi="Calibri" w:cs="Calibri"/>
                <w:b/>
                <w:bCs/>
                <w:lang w:val="en-US"/>
              </w:rPr>
            </w:pPr>
            <w:r w:rsidRPr="006069D5">
              <w:rPr>
                <w:rFonts w:ascii="Calibri" w:hAnsi="Calibri" w:cs="Calibri"/>
                <w:b/>
                <w:bCs/>
                <w:lang w:val="en-US"/>
              </w:rPr>
              <w:lastRenderedPageBreak/>
              <w:t xml:space="preserve">Response </w:t>
            </w:r>
          </w:p>
          <w:p w14:paraId="2612D487" w14:textId="77777777" w:rsidR="00573E13" w:rsidRPr="00D67CE3" w:rsidRDefault="00573E13" w:rsidP="00573E13">
            <w:pPr>
              <w:rPr>
                <w:rFonts w:ascii="Calibri" w:hAnsi="Calibri" w:cs="Calibri"/>
                <w:lang w:val="en-US"/>
              </w:rPr>
            </w:pPr>
            <w:r>
              <w:rPr>
                <w:rFonts w:ascii="Calibri" w:hAnsi="Calibri" w:cs="Calibri"/>
                <w:lang w:val="en-US"/>
              </w:rPr>
              <w:t xml:space="preserve">Accepted. </w:t>
            </w:r>
            <w:r w:rsidRPr="00C557A9">
              <w:rPr>
                <w:rFonts w:ascii="Calibri" w:hAnsi="Calibri" w:cs="Calibri"/>
                <w:lang w:val="en-US"/>
              </w:rPr>
              <w:t>In progress.</w:t>
            </w:r>
            <w:r w:rsidRPr="00C557A9">
              <w:rPr>
                <w:rFonts w:ascii="Calibri" w:hAnsi="Calibri" w:cs="Calibri"/>
              </w:rPr>
              <w:t> </w:t>
            </w:r>
          </w:p>
          <w:p w14:paraId="3B7009F9" w14:textId="77777777" w:rsidR="00573E13" w:rsidRPr="00C557A9" w:rsidRDefault="00573E13" w:rsidP="00573E13">
            <w:pPr>
              <w:rPr>
                <w:rFonts w:ascii="Calibri" w:hAnsi="Calibri" w:cs="Calibri"/>
              </w:rPr>
            </w:pPr>
            <w:r w:rsidRPr="00C557A9">
              <w:rPr>
                <w:rFonts w:ascii="Calibri" w:hAnsi="Calibri" w:cs="Calibri"/>
              </w:rPr>
              <w:t> </w:t>
            </w:r>
          </w:p>
          <w:p w14:paraId="543B6182" w14:textId="77777777" w:rsidR="00573E13" w:rsidRPr="00C557A9" w:rsidRDefault="00573E13" w:rsidP="00573E13">
            <w:pPr>
              <w:rPr>
                <w:rFonts w:ascii="Calibri" w:hAnsi="Calibri" w:cs="Calibri"/>
              </w:rPr>
            </w:pPr>
            <w:r w:rsidRPr="00C557A9">
              <w:rPr>
                <w:rFonts w:ascii="Calibri" w:hAnsi="Calibri" w:cs="Calibri"/>
              </w:rPr>
              <w:t>As part of NTSG’s work to finalise a new Strategic Plan for the period 2025-30, the organisation intends to undertake an assessment of different models of advisory and representative methods with Traditional Owners. This involves consideration of an appropriate Traditional Owner liaison model, including options for establishing an advisory role to provide input and feedback to NTSG Board.  </w:t>
            </w:r>
          </w:p>
          <w:p w14:paraId="0518A015" w14:textId="77777777" w:rsidR="00573E13" w:rsidRPr="00C557A9" w:rsidRDefault="00573E13" w:rsidP="00573E13">
            <w:pPr>
              <w:rPr>
                <w:rFonts w:ascii="Calibri" w:hAnsi="Calibri" w:cs="Calibri"/>
              </w:rPr>
            </w:pPr>
            <w:r w:rsidRPr="00C557A9">
              <w:rPr>
                <w:rFonts w:ascii="Calibri" w:hAnsi="Calibri" w:cs="Calibri"/>
              </w:rPr>
              <w:t> </w:t>
            </w:r>
          </w:p>
          <w:p w14:paraId="1CC1EFAB" w14:textId="77777777" w:rsidR="00573E13" w:rsidRDefault="00573E13" w:rsidP="00573E13">
            <w:pPr>
              <w:rPr>
                <w:rFonts w:ascii="Calibri" w:hAnsi="Calibri" w:cs="Calibri"/>
              </w:rPr>
            </w:pPr>
            <w:r w:rsidRPr="00C557A9">
              <w:rPr>
                <w:rFonts w:ascii="Calibri" w:hAnsi="Calibri" w:cs="Calibri"/>
                <w:lang w:val="en-US"/>
              </w:rPr>
              <w:t xml:space="preserve">In addition to this, NTSG will continue to engage with Aboriginal community-controlled </w:t>
            </w:r>
            <w:proofErr w:type="spellStart"/>
            <w:r w:rsidRPr="00C557A9">
              <w:rPr>
                <w:rFonts w:ascii="Calibri" w:hAnsi="Calibri" w:cs="Calibri"/>
                <w:lang w:val="en-US"/>
              </w:rPr>
              <w:t>organisations</w:t>
            </w:r>
            <w:proofErr w:type="spellEnd"/>
            <w:r w:rsidRPr="00C557A9">
              <w:rPr>
                <w:rFonts w:ascii="Calibri" w:hAnsi="Calibri" w:cs="Calibri"/>
                <w:lang w:val="en-US"/>
              </w:rPr>
              <w:t xml:space="preserve"> in the region to deepen existing relationships and develop new stakeholder connections relevant to our work in the Goldfields.</w:t>
            </w:r>
            <w:r w:rsidRPr="00C557A9">
              <w:rPr>
                <w:rFonts w:ascii="Calibri" w:hAnsi="Calibri" w:cs="Calibri"/>
              </w:rPr>
              <w:t> </w:t>
            </w:r>
          </w:p>
          <w:p w14:paraId="27EB67E4" w14:textId="77777777" w:rsidR="006C40ED" w:rsidRPr="00C557A9" w:rsidRDefault="006C40ED" w:rsidP="00573E13">
            <w:pPr>
              <w:rPr>
                <w:rFonts w:ascii="Calibri" w:hAnsi="Calibri" w:cs="Calibri"/>
              </w:rPr>
            </w:pPr>
          </w:p>
          <w:p w14:paraId="04D1D758" w14:textId="571422C6" w:rsidR="00C062E1" w:rsidRDefault="00573E13" w:rsidP="00573E13">
            <w:pPr>
              <w:rPr>
                <w:rFonts w:ascii="Calibri" w:hAnsi="Calibri" w:cs="Calibri"/>
                <w:lang w:val="en-US"/>
              </w:rPr>
            </w:pPr>
            <w:r w:rsidRPr="00C557A9">
              <w:rPr>
                <w:rFonts w:ascii="Calibri" w:hAnsi="Calibri" w:cs="Calibri"/>
              </w:rPr>
              <w:t>As discussed under Recommendation 6, NTSG worked with the National Native Title Council and NIAA to convene the first PBC Forum for Goldfields RNTBCs in September 2024. Similar events will be convened annually.</w:t>
            </w:r>
          </w:p>
        </w:tc>
      </w:tr>
      <w:tr w:rsidR="00B532BA" w14:paraId="0A5CC5B1" w14:textId="77777777" w:rsidTr="00AE6738">
        <w:trPr>
          <w:cantSplit/>
        </w:trPr>
        <w:tc>
          <w:tcPr>
            <w:tcW w:w="9016" w:type="dxa"/>
            <w:shd w:val="clear" w:color="auto" w:fill="C1E4F5" w:themeFill="accent1" w:themeFillTint="33"/>
          </w:tcPr>
          <w:p w14:paraId="767890ED" w14:textId="056098CE" w:rsidR="00B532BA" w:rsidRPr="006B0A39" w:rsidRDefault="0044077F" w:rsidP="00C062E1">
            <w:pPr>
              <w:rPr>
                <w:rFonts w:ascii="Calibri" w:hAnsi="Calibri" w:cs="Calibri"/>
                <w:b/>
                <w:bCs/>
                <w:lang w:val="en-US"/>
              </w:rPr>
            </w:pPr>
            <w:r w:rsidRPr="00C922AF">
              <w:rPr>
                <w:rFonts w:ascii="Calibri" w:hAnsi="Calibri" w:cs="Calibri"/>
                <w:b/>
                <w:bCs/>
                <w:lang w:val="en-US"/>
              </w:rPr>
              <w:t>TOR 6</w:t>
            </w:r>
            <w:r w:rsidRPr="00C922AF">
              <w:rPr>
                <w:rFonts w:ascii="Calibri" w:hAnsi="Calibri" w:cs="Calibri"/>
                <w:lang w:val="en-US"/>
              </w:rPr>
              <w:t xml:space="preserve"> </w:t>
            </w:r>
            <w:r w:rsidRPr="00C922AF">
              <w:rPr>
                <w:rFonts w:ascii="Calibri" w:hAnsi="Calibri" w:cs="Calibri"/>
                <w:lang w:val="en-GB"/>
              </w:rPr>
              <w:t>Extent to which each organisation is adequately supporting Prescribed Body Corporates towards self-sufficiency.</w:t>
            </w:r>
            <w:r w:rsidRPr="00C922AF">
              <w:rPr>
                <w:rFonts w:ascii="Calibri" w:hAnsi="Calibri" w:cs="Calibri"/>
              </w:rPr>
              <w:t> </w:t>
            </w:r>
            <w:r w:rsidR="000B2AAD" w:rsidRPr="00E043AB">
              <w:rPr>
                <w:rFonts w:ascii="Calibri" w:hAnsi="Calibri" w:cs="Calibri"/>
                <w:b/>
                <w:bCs/>
              </w:rPr>
              <w:t>(Rec</w:t>
            </w:r>
            <w:r w:rsidR="00E043AB" w:rsidRPr="00E043AB">
              <w:rPr>
                <w:rFonts w:ascii="Calibri" w:hAnsi="Calibri" w:cs="Calibri"/>
                <w:b/>
                <w:bCs/>
              </w:rPr>
              <w:t xml:space="preserve"> 12)</w:t>
            </w:r>
          </w:p>
        </w:tc>
      </w:tr>
      <w:tr w:rsidR="000B2AAD" w14:paraId="242F7191" w14:textId="77777777" w:rsidTr="00AE6738">
        <w:trPr>
          <w:cantSplit/>
        </w:trPr>
        <w:tc>
          <w:tcPr>
            <w:tcW w:w="9016" w:type="dxa"/>
          </w:tcPr>
          <w:p w14:paraId="68446DA6" w14:textId="2FEECFE6" w:rsidR="000B2AAD" w:rsidRPr="006B0A39" w:rsidRDefault="000B2AAD" w:rsidP="000B2AAD">
            <w:pPr>
              <w:rPr>
                <w:rFonts w:ascii="Calibri" w:hAnsi="Calibri" w:cs="Calibri"/>
                <w:b/>
                <w:bCs/>
                <w:lang w:val="en-US"/>
              </w:rPr>
            </w:pPr>
            <w:r w:rsidRPr="005703F0">
              <w:rPr>
                <w:rFonts w:ascii="Calibri" w:hAnsi="Calibri" w:cs="Calibri"/>
                <w:b/>
                <w:bCs/>
                <w:lang w:val="en-GB"/>
              </w:rPr>
              <w:t>Rec 12</w:t>
            </w:r>
            <w:r>
              <w:rPr>
                <w:rFonts w:ascii="Calibri" w:hAnsi="Calibri" w:cs="Calibri"/>
                <w:lang w:val="en-GB"/>
              </w:rPr>
              <w:t xml:space="preserve"> </w:t>
            </w:r>
            <w:r w:rsidRPr="005703F0">
              <w:rPr>
                <w:rFonts w:ascii="Calibri" w:hAnsi="Calibri" w:cs="Calibri"/>
                <w:lang w:val="en-GB"/>
              </w:rPr>
              <w:t>NTSG should finalise its policy to return cultural materials to PBCs and Traditional Owners once it has more internal capacity in its anthropological and legal teams </w:t>
            </w:r>
            <w:r w:rsidRPr="005703F0">
              <w:rPr>
                <w:rFonts w:ascii="Calibri" w:hAnsi="Calibri" w:cs="Calibri"/>
              </w:rPr>
              <w:t> </w:t>
            </w:r>
          </w:p>
        </w:tc>
      </w:tr>
      <w:tr w:rsidR="000B2AAD" w14:paraId="0294F5A6" w14:textId="77777777" w:rsidTr="00AE6738">
        <w:trPr>
          <w:cantSplit/>
        </w:trPr>
        <w:tc>
          <w:tcPr>
            <w:tcW w:w="9016" w:type="dxa"/>
          </w:tcPr>
          <w:p w14:paraId="106D8026" w14:textId="77777777" w:rsidR="006069D5" w:rsidRPr="006069D5" w:rsidRDefault="006069D5" w:rsidP="006069D5">
            <w:pPr>
              <w:rPr>
                <w:rFonts w:ascii="Calibri" w:hAnsi="Calibri" w:cs="Calibri"/>
                <w:b/>
                <w:bCs/>
                <w:lang w:val="en-US"/>
              </w:rPr>
            </w:pPr>
            <w:r w:rsidRPr="006069D5">
              <w:rPr>
                <w:rFonts w:ascii="Calibri" w:hAnsi="Calibri" w:cs="Calibri"/>
                <w:b/>
                <w:bCs/>
                <w:lang w:val="en-US"/>
              </w:rPr>
              <w:t xml:space="preserve">Response </w:t>
            </w:r>
          </w:p>
          <w:p w14:paraId="77AA7601" w14:textId="77777777" w:rsidR="000B2AAD" w:rsidRDefault="000B2AAD" w:rsidP="000B2AAD">
            <w:pPr>
              <w:rPr>
                <w:rFonts w:ascii="Calibri" w:hAnsi="Calibri" w:cs="Calibri"/>
                <w:lang w:val="en-US"/>
              </w:rPr>
            </w:pPr>
            <w:r>
              <w:rPr>
                <w:rFonts w:ascii="Calibri" w:hAnsi="Calibri" w:cs="Calibri"/>
                <w:lang w:val="en-US"/>
              </w:rPr>
              <w:t xml:space="preserve">Accepted. </w:t>
            </w:r>
          </w:p>
          <w:p w14:paraId="617E0131" w14:textId="77777777" w:rsidR="000B2AAD" w:rsidRPr="00696E9B" w:rsidRDefault="000B2AAD" w:rsidP="000B2AAD">
            <w:pPr>
              <w:rPr>
                <w:rFonts w:ascii="Calibri" w:hAnsi="Calibri" w:cs="Calibri"/>
                <w:lang w:val="en-US"/>
              </w:rPr>
            </w:pPr>
            <w:r w:rsidRPr="00696E9B">
              <w:rPr>
                <w:rFonts w:ascii="Calibri" w:hAnsi="Calibri" w:cs="Calibri"/>
                <w:lang w:val="en-US"/>
              </w:rPr>
              <w:t xml:space="preserve">In progress. </w:t>
            </w:r>
          </w:p>
          <w:p w14:paraId="3A00A651" w14:textId="77777777" w:rsidR="000B2AAD" w:rsidRPr="00696E9B" w:rsidRDefault="000B2AAD" w:rsidP="000B2AAD">
            <w:pPr>
              <w:rPr>
                <w:rFonts w:ascii="Calibri" w:hAnsi="Calibri" w:cs="Calibri"/>
                <w:lang w:val="en-US"/>
              </w:rPr>
            </w:pPr>
          </w:p>
          <w:p w14:paraId="45F95262" w14:textId="77777777" w:rsidR="000B2AAD" w:rsidRDefault="000B2AAD" w:rsidP="000B2AAD">
            <w:pPr>
              <w:rPr>
                <w:rFonts w:ascii="Calibri" w:hAnsi="Calibri" w:cs="Calibri"/>
                <w:lang w:val="en-US"/>
              </w:rPr>
            </w:pPr>
            <w:r w:rsidRPr="00696E9B">
              <w:rPr>
                <w:rFonts w:ascii="Calibri" w:hAnsi="Calibri" w:cs="Calibri"/>
                <w:lang w:val="en-US"/>
              </w:rPr>
              <w:t xml:space="preserve">The return of materials to PBCs and Traditional Owners is an important piece of work and NTSG acknowledges that its constituents in the region have provided significant materials over the years to NTSG, and to the previous </w:t>
            </w:r>
            <w:proofErr w:type="spellStart"/>
            <w:r w:rsidRPr="00696E9B">
              <w:rPr>
                <w:rFonts w:ascii="Calibri" w:hAnsi="Calibri" w:cs="Calibri"/>
                <w:lang w:val="en-US"/>
              </w:rPr>
              <w:t>organisation</w:t>
            </w:r>
            <w:proofErr w:type="spellEnd"/>
            <w:r w:rsidRPr="00696E9B">
              <w:rPr>
                <w:rFonts w:ascii="Calibri" w:hAnsi="Calibri" w:cs="Calibri"/>
                <w:lang w:val="en-US"/>
              </w:rPr>
              <w:t xml:space="preserve"> tasked with progressing native title in the region, the Goldfields Land and Sea Council (GLSC).</w:t>
            </w:r>
          </w:p>
          <w:p w14:paraId="08DA5518" w14:textId="77777777" w:rsidR="000B2AAD" w:rsidRDefault="000B2AAD" w:rsidP="000B2AAD">
            <w:pPr>
              <w:rPr>
                <w:rFonts w:ascii="Calibri" w:hAnsi="Calibri" w:cs="Calibri"/>
                <w:lang w:val="en-US"/>
              </w:rPr>
            </w:pPr>
          </w:p>
          <w:p w14:paraId="3AFF24E1" w14:textId="77777777" w:rsidR="000B2AAD" w:rsidRPr="00696E9B" w:rsidRDefault="000B2AAD" w:rsidP="000B2AAD">
            <w:pPr>
              <w:rPr>
                <w:rFonts w:ascii="Calibri" w:hAnsi="Calibri" w:cs="Calibri"/>
                <w:lang w:val="en-US"/>
              </w:rPr>
            </w:pPr>
            <w:r w:rsidRPr="00696E9B">
              <w:rPr>
                <w:rFonts w:ascii="Calibri" w:hAnsi="Calibri" w:cs="Calibri"/>
                <w:lang w:val="en-US"/>
              </w:rPr>
              <w:t xml:space="preserve">NTSG has commenced work on this policy and accompanying procedures and is liaising with AIATSIS and with other entities within the native title sector to learn from their approaches.  </w:t>
            </w:r>
          </w:p>
          <w:p w14:paraId="69369730" w14:textId="77777777" w:rsidR="000B2AAD" w:rsidRPr="00696E9B" w:rsidRDefault="000B2AAD" w:rsidP="000B2AAD">
            <w:pPr>
              <w:rPr>
                <w:rFonts w:ascii="Calibri" w:hAnsi="Calibri" w:cs="Calibri"/>
                <w:lang w:val="en-US"/>
              </w:rPr>
            </w:pPr>
          </w:p>
          <w:p w14:paraId="54A61588" w14:textId="6E530944" w:rsidR="000B2AAD" w:rsidRPr="006B0A39" w:rsidRDefault="000B2AAD" w:rsidP="000B2AAD">
            <w:pPr>
              <w:rPr>
                <w:rFonts w:ascii="Calibri" w:hAnsi="Calibri" w:cs="Calibri"/>
                <w:b/>
                <w:bCs/>
                <w:lang w:val="en-US"/>
              </w:rPr>
            </w:pPr>
            <w:r w:rsidRPr="00696E9B">
              <w:rPr>
                <w:rFonts w:ascii="Calibri" w:hAnsi="Calibri" w:cs="Calibri"/>
                <w:lang w:val="en-US"/>
              </w:rPr>
              <w:t xml:space="preserve">The GLSC generated large volumes of material during the period of its operations, and the storage, cataloguing and </w:t>
            </w:r>
            <w:proofErr w:type="spellStart"/>
            <w:r w:rsidRPr="00696E9B">
              <w:rPr>
                <w:rFonts w:ascii="Calibri" w:hAnsi="Calibri" w:cs="Calibri"/>
                <w:lang w:val="en-US"/>
              </w:rPr>
              <w:t>digitisation</w:t>
            </w:r>
            <w:proofErr w:type="spellEnd"/>
            <w:r w:rsidRPr="00696E9B">
              <w:rPr>
                <w:rFonts w:ascii="Calibri" w:hAnsi="Calibri" w:cs="Calibri"/>
                <w:lang w:val="en-US"/>
              </w:rPr>
              <w:t xml:space="preserve"> of this material is a very significant and financially costly legacy issue that has been inherited by NTSG. The </w:t>
            </w:r>
            <w:proofErr w:type="spellStart"/>
            <w:r w:rsidRPr="00696E9B">
              <w:rPr>
                <w:rFonts w:ascii="Calibri" w:hAnsi="Calibri" w:cs="Calibri"/>
                <w:lang w:val="en-US"/>
              </w:rPr>
              <w:t>organisation’s</w:t>
            </w:r>
            <w:proofErr w:type="spellEnd"/>
            <w:r w:rsidRPr="00696E9B">
              <w:rPr>
                <w:rFonts w:ascii="Calibri" w:hAnsi="Calibri" w:cs="Calibri"/>
                <w:lang w:val="en-US"/>
              </w:rPr>
              <w:t xml:space="preserve"> ability to </w:t>
            </w:r>
            <w:proofErr w:type="spellStart"/>
            <w:r w:rsidRPr="00696E9B">
              <w:rPr>
                <w:rFonts w:ascii="Calibri" w:hAnsi="Calibri" w:cs="Calibri"/>
                <w:lang w:val="en-US"/>
              </w:rPr>
              <w:t>finalise</w:t>
            </w:r>
            <w:proofErr w:type="spellEnd"/>
            <w:r w:rsidRPr="00696E9B">
              <w:rPr>
                <w:rFonts w:ascii="Calibri" w:hAnsi="Calibri" w:cs="Calibri"/>
                <w:lang w:val="en-US"/>
              </w:rPr>
              <w:t xml:space="preserve"> this process is limited at present by workloads and internal capacity, but it remains committed to this important work and will continue to progress this project as and when resources allow.  </w:t>
            </w:r>
          </w:p>
        </w:tc>
      </w:tr>
      <w:tr w:rsidR="000B2AAD" w14:paraId="1F8625D4" w14:textId="77777777" w:rsidTr="00AE6738">
        <w:trPr>
          <w:cantSplit/>
        </w:trPr>
        <w:tc>
          <w:tcPr>
            <w:tcW w:w="9016" w:type="dxa"/>
            <w:shd w:val="clear" w:color="auto" w:fill="C1E4F5" w:themeFill="accent1" w:themeFillTint="33"/>
          </w:tcPr>
          <w:p w14:paraId="7560D988" w14:textId="43E9484C" w:rsidR="000B2AAD" w:rsidRPr="007009A2" w:rsidRDefault="000B2AAD" w:rsidP="000B2AAD">
            <w:pPr>
              <w:jc w:val="both"/>
              <w:rPr>
                <w:rFonts w:ascii="Calibri" w:hAnsi="Calibri" w:cs="Calibri"/>
                <w:b/>
                <w:bCs/>
                <w:lang w:val="en-US"/>
              </w:rPr>
            </w:pPr>
            <w:r w:rsidRPr="00C922AF">
              <w:rPr>
                <w:rFonts w:ascii="Calibri" w:hAnsi="Calibri" w:cs="Calibri"/>
                <w:b/>
                <w:bCs/>
                <w:lang w:val="en-US"/>
              </w:rPr>
              <w:t>TOR 7</w:t>
            </w:r>
            <w:r w:rsidRPr="00C922AF">
              <w:rPr>
                <w:rFonts w:ascii="Calibri" w:hAnsi="Calibri" w:cs="Calibri"/>
                <w:lang w:val="en-US"/>
              </w:rPr>
              <w:t xml:space="preserve"> </w:t>
            </w:r>
            <w:r w:rsidRPr="00C922AF">
              <w:rPr>
                <w:rFonts w:ascii="Calibri" w:hAnsi="Calibri" w:cs="Calibri"/>
                <w:lang w:val="en-GB"/>
              </w:rPr>
              <w:t>Extent to which each organisation has developed its planning for a post-determination environment.</w:t>
            </w:r>
            <w:r w:rsidRPr="00C922AF">
              <w:rPr>
                <w:rFonts w:ascii="Calibri" w:hAnsi="Calibri" w:cs="Calibri"/>
              </w:rPr>
              <w:t> </w:t>
            </w:r>
            <w:r w:rsidRPr="000B2AAD">
              <w:rPr>
                <w:rFonts w:ascii="Calibri" w:hAnsi="Calibri" w:cs="Calibri"/>
                <w:b/>
                <w:bCs/>
              </w:rPr>
              <w:t xml:space="preserve">(Rec </w:t>
            </w:r>
            <w:r w:rsidR="00E043AB">
              <w:rPr>
                <w:rFonts w:ascii="Calibri" w:hAnsi="Calibri" w:cs="Calibri"/>
                <w:b/>
                <w:bCs/>
              </w:rPr>
              <w:t>13</w:t>
            </w:r>
            <w:r w:rsidRPr="000B2AAD">
              <w:rPr>
                <w:rFonts w:ascii="Calibri" w:hAnsi="Calibri" w:cs="Calibri"/>
                <w:b/>
                <w:bCs/>
              </w:rPr>
              <w:t>)</w:t>
            </w:r>
          </w:p>
        </w:tc>
      </w:tr>
      <w:tr w:rsidR="000B2AAD" w14:paraId="6A6EE217" w14:textId="77777777" w:rsidTr="00AE6738">
        <w:trPr>
          <w:cantSplit/>
        </w:trPr>
        <w:tc>
          <w:tcPr>
            <w:tcW w:w="9016" w:type="dxa"/>
          </w:tcPr>
          <w:p w14:paraId="07A89BD5" w14:textId="39FECA41" w:rsidR="000B2AAD" w:rsidRPr="007009A2" w:rsidRDefault="000B2AAD" w:rsidP="000B2AAD">
            <w:pPr>
              <w:jc w:val="both"/>
              <w:rPr>
                <w:rFonts w:ascii="Calibri" w:hAnsi="Calibri" w:cs="Calibri"/>
                <w:b/>
                <w:bCs/>
                <w:lang w:val="en-US"/>
              </w:rPr>
            </w:pPr>
            <w:r w:rsidRPr="005703F0">
              <w:rPr>
                <w:rFonts w:ascii="Calibri" w:hAnsi="Calibri" w:cs="Calibri"/>
                <w:b/>
                <w:bCs/>
                <w:lang w:val="en-GB"/>
              </w:rPr>
              <w:t>Rec 13</w:t>
            </w:r>
            <w:r>
              <w:rPr>
                <w:rFonts w:ascii="Calibri" w:hAnsi="Calibri" w:cs="Calibri"/>
                <w:lang w:val="en-GB"/>
              </w:rPr>
              <w:t xml:space="preserve"> </w:t>
            </w:r>
            <w:r w:rsidRPr="005703F0">
              <w:rPr>
                <w:rFonts w:ascii="Calibri" w:hAnsi="Calibri" w:cs="Calibri"/>
                <w:lang w:val="en-GB"/>
              </w:rPr>
              <w:t>Over the next 18 months the NTSG should commence strategic planning to explore NTSGs role in a post determination environment. This includes considering NTSGs role in supporting PBCs once the claims load is more manageable.</w:t>
            </w:r>
            <w:r w:rsidRPr="005703F0">
              <w:rPr>
                <w:rFonts w:ascii="Calibri" w:hAnsi="Calibri" w:cs="Calibri"/>
              </w:rPr>
              <w:t> </w:t>
            </w:r>
          </w:p>
        </w:tc>
      </w:tr>
      <w:tr w:rsidR="000B2AAD" w14:paraId="6C5429A9" w14:textId="77777777" w:rsidTr="00AE6738">
        <w:trPr>
          <w:cantSplit/>
        </w:trPr>
        <w:tc>
          <w:tcPr>
            <w:tcW w:w="9016" w:type="dxa"/>
          </w:tcPr>
          <w:p w14:paraId="68047AEC" w14:textId="77777777" w:rsidR="006069D5" w:rsidRPr="006069D5" w:rsidRDefault="006069D5" w:rsidP="006069D5">
            <w:pPr>
              <w:rPr>
                <w:rFonts w:ascii="Calibri" w:hAnsi="Calibri" w:cs="Calibri"/>
                <w:b/>
                <w:bCs/>
                <w:lang w:val="en-US"/>
              </w:rPr>
            </w:pPr>
            <w:r w:rsidRPr="006069D5">
              <w:rPr>
                <w:rFonts w:ascii="Calibri" w:hAnsi="Calibri" w:cs="Calibri"/>
                <w:b/>
                <w:bCs/>
                <w:lang w:val="en-US"/>
              </w:rPr>
              <w:lastRenderedPageBreak/>
              <w:t xml:space="preserve">Response </w:t>
            </w:r>
          </w:p>
          <w:p w14:paraId="6C5BE355" w14:textId="77777777" w:rsidR="000B2AAD" w:rsidRDefault="000B2AAD" w:rsidP="000B2AAD">
            <w:pPr>
              <w:rPr>
                <w:rFonts w:ascii="Calibri" w:hAnsi="Calibri" w:cs="Calibri"/>
                <w:lang w:val="en-US"/>
              </w:rPr>
            </w:pPr>
            <w:r>
              <w:rPr>
                <w:rFonts w:ascii="Calibri" w:hAnsi="Calibri" w:cs="Calibri"/>
                <w:lang w:val="en-US"/>
              </w:rPr>
              <w:t xml:space="preserve">Accepted. </w:t>
            </w:r>
          </w:p>
          <w:p w14:paraId="1C2D3356" w14:textId="77777777" w:rsidR="000B2AAD" w:rsidRPr="00EE42AE" w:rsidRDefault="000B2AAD" w:rsidP="000B2AAD">
            <w:pPr>
              <w:rPr>
                <w:rFonts w:ascii="Calibri" w:hAnsi="Calibri" w:cs="Calibri"/>
                <w:lang w:val="en-US"/>
              </w:rPr>
            </w:pPr>
            <w:r w:rsidRPr="00EE42AE">
              <w:rPr>
                <w:rFonts w:ascii="Calibri" w:hAnsi="Calibri" w:cs="Calibri"/>
                <w:lang w:val="en-US"/>
              </w:rPr>
              <w:t xml:space="preserve">In progress. </w:t>
            </w:r>
          </w:p>
          <w:p w14:paraId="0D171CAC" w14:textId="77777777" w:rsidR="000B2AAD" w:rsidRDefault="000B2AAD" w:rsidP="000B2AAD">
            <w:pPr>
              <w:rPr>
                <w:rFonts w:ascii="Calibri" w:hAnsi="Calibri" w:cs="Calibri"/>
                <w:lang w:val="en-US"/>
              </w:rPr>
            </w:pPr>
          </w:p>
          <w:p w14:paraId="4AB3AF53" w14:textId="77777777" w:rsidR="000B2AAD" w:rsidRPr="00EE42AE" w:rsidRDefault="000B2AAD" w:rsidP="000B2AAD">
            <w:pPr>
              <w:rPr>
                <w:rFonts w:ascii="Calibri" w:hAnsi="Calibri" w:cs="Calibri"/>
                <w:lang w:val="en-US"/>
              </w:rPr>
            </w:pPr>
            <w:r w:rsidRPr="00EE42AE">
              <w:rPr>
                <w:rFonts w:ascii="Calibri" w:hAnsi="Calibri" w:cs="Calibri"/>
                <w:lang w:val="en-US"/>
              </w:rPr>
              <w:t xml:space="preserve">NTSG has engaged expert facilitators from Sustainable Consulting to assist with the development of a renewed Strategic Plan for the period 2025-2030 and is working towards </w:t>
            </w:r>
            <w:proofErr w:type="spellStart"/>
            <w:r w:rsidRPr="00EE42AE">
              <w:rPr>
                <w:rFonts w:ascii="Calibri" w:hAnsi="Calibri" w:cs="Calibri"/>
                <w:lang w:val="en-US"/>
              </w:rPr>
              <w:t>finalisation</w:t>
            </w:r>
            <w:proofErr w:type="spellEnd"/>
            <w:r w:rsidRPr="00EE42AE">
              <w:rPr>
                <w:rFonts w:ascii="Calibri" w:hAnsi="Calibri" w:cs="Calibri"/>
                <w:lang w:val="en-US"/>
              </w:rPr>
              <w:t xml:space="preserve"> of this document by the end of the 2024 calendar year. </w:t>
            </w:r>
          </w:p>
          <w:p w14:paraId="6A59EFDF" w14:textId="77777777" w:rsidR="000B2AAD" w:rsidRPr="00EE42AE" w:rsidRDefault="000B2AAD" w:rsidP="000B2AAD">
            <w:pPr>
              <w:rPr>
                <w:rFonts w:ascii="Calibri" w:hAnsi="Calibri" w:cs="Calibri"/>
                <w:lang w:val="en-US"/>
              </w:rPr>
            </w:pPr>
          </w:p>
          <w:p w14:paraId="17542D5C" w14:textId="77777777" w:rsidR="000B2AAD" w:rsidRPr="00EE42AE" w:rsidRDefault="000B2AAD" w:rsidP="000B2AAD">
            <w:pPr>
              <w:rPr>
                <w:rFonts w:ascii="Calibri" w:hAnsi="Calibri" w:cs="Calibri"/>
                <w:lang w:val="en-US"/>
              </w:rPr>
            </w:pPr>
            <w:r w:rsidRPr="00EE42AE">
              <w:rPr>
                <w:rFonts w:ascii="Calibri" w:hAnsi="Calibri" w:cs="Calibri"/>
                <w:lang w:val="en-US"/>
              </w:rPr>
              <w:t xml:space="preserve">The number of PBCs in the region is growing, and NTSG is already providing a variety of support, including but not limited to: </w:t>
            </w:r>
          </w:p>
          <w:p w14:paraId="135CD2C1" w14:textId="77777777" w:rsidR="000B2AAD" w:rsidRPr="00074E77" w:rsidRDefault="000B2AAD" w:rsidP="000B2AAD">
            <w:pPr>
              <w:pStyle w:val="ListParagraph"/>
              <w:numPr>
                <w:ilvl w:val="0"/>
                <w:numId w:val="21"/>
              </w:numPr>
              <w:rPr>
                <w:rFonts w:ascii="Calibri" w:hAnsi="Calibri" w:cs="Calibri"/>
                <w:lang w:val="en-US"/>
              </w:rPr>
            </w:pPr>
            <w:r w:rsidRPr="00074E77">
              <w:rPr>
                <w:rFonts w:ascii="Calibri" w:hAnsi="Calibri" w:cs="Calibri"/>
                <w:lang w:val="en-US"/>
              </w:rPr>
              <w:t xml:space="preserve">assistance with the Future Acts regime </w:t>
            </w:r>
          </w:p>
          <w:p w14:paraId="6B0DEFA8" w14:textId="77777777" w:rsidR="000B2AAD" w:rsidRPr="00074E77" w:rsidRDefault="000B2AAD" w:rsidP="000B2AAD">
            <w:pPr>
              <w:pStyle w:val="ListParagraph"/>
              <w:numPr>
                <w:ilvl w:val="0"/>
                <w:numId w:val="21"/>
              </w:numPr>
              <w:rPr>
                <w:rFonts w:ascii="Calibri" w:hAnsi="Calibri" w:cs="Calibri"/>
                <w:lang w:val="en-US"/>
              </w:rPr>
            </w:pPr>
            <w:r w:rsidRPr="00074E77">
              <w:rPr>
                <w:rFonts w:ascii="Calibri" w:hAnsi="Calibri" w:cs="Calibri"/>
                <w:lang w:val="en-US"/>
              </w:rPr>
              <w:t xml:space="preserve">provision of PBC Basic Support </w:t>
            </w:r>
          </w:p>
          <w:p w14:paraId="10AFED0E" w14:textId="77777777" w:rsidR="000B2AAD" w:rsidRPr="00074E77" w:rsidRDefault="000B2AAD" w:rsidP="000B2AAD">
            <w:pPr>
              <w:pStyle w:val="ListParagraph"/>
              <w:numPr>
                <w:ilvl w:val="0"/>
                <w:numId w:val="21"/>
              </w:numPr>
              <w:rPr>
                <w:rFonts w:ascii="Calibri" w:hAnsi="Calibri" w:cs="Calibri"/>
                <w:lang w:val="en-US"/>
              </w:rPr>
            </w:pPr>
            <w:r w:rsidRPr="00074E77">
              <w:rPr>
                <w:rFonts w:ascii="Calibri" w:hAnsi="Calibri" w:cs="Calibri"/>
                <w:lang w:val="en-US"/>
              </w:rPr>
              <w:t xml:space="preserve">logistical assistance with AGMs and Director’s meetings </w:t>
            </w:r>
          </w:p>
          <w:p w14:paraId="4825F0A7" w14:textId="77777777" w:rsidR="000B2AAD" w:rsidRPr="00074E77" w:rsidRDefault="000B2AAD" w:rsidP="000B2AAD">
            <w:pPr>
              <w:pStyle w:val="ListParagraph"/>
              <w:numPr>
                <w:ilvl w:val="0"/>
                <w:numId w:val="21"/>
              </w:numPr>
              <w:rPr>
                <w:rFonts w:ascii="Calibri" w:hAnsi="Calibri" w:cs="Calibri"/>
                <w:lang w:val="en-US"/>
              </w:rPr>
            </w:pPr>
            <w:r w:rsidRPr="00074E77">
              <w:rPr>
                <w:rFonts w:ascii="Calibri" w:hAnsi="Calibri" w:cs="Calibri"/>
                <w:lang w:val="en-US"/>
              </w:rPr>
              <w:t xml:space="preserve">Anthropological assistance with membership applications </w:t>
            </w:r>
          </w:p>
          <w:p w14:paraId="728E03D7" w14:textId="77777777" w:rsidR="000B2AAD" w:rsidRPr="00074E77" w:rsidRDefault="000B2AAD" w:rsidP="000B2AAD">
            <w:pPr>
              <w:pStyle w:val="ListParagraph"/>
              <w:numPr>
                <w:ilvl w:val="0"/>
                <w:numId w:val="21"/>
              </w:numPr>
              <w:rPr>
                <w:rFonts w:ascii="Calibri" w:hAnsi="Calibri" w:cs="Calibri"/>
                <w:lang w:val="en-US"/>
              </w:rPr>
            </w:pPr>
            <w:r w:rsidRPr="00074E77">
              <w:rPr>
                <w:rFonts w:ascii="Calibri" w:hAnsi="Calibri" w:cs="Calibri"/>
                <w:lang w:val="en-US"/>
              </w:rPr>
              <w:t xml:space="preserve">Distribution of relevant information from government and other stakeholders, including in respect of funding opportunities as they may arise from time to time </w:t>
            </w:r>
          </w:p>
          <w:p w14:paraId="4D3652C1" w14:textId="77777777" w:rsidR="000B2AAD" w:rsidRPr="00074E77" w:rsidRDefault="000B2AAD" w:rsidP="000B2AAD">
            <w:pPr>
              <w:pStyle w:val="ListParagraph"/>
              <w:numPr>
                <w:ilvl w:val="0"/>
                <w:numId w:val="21"/>
              </w:numPr>
              <w:rPr>
                <w:rFonts w:ascii="Calibri" w:hAnsi="Calibri" w:cs="Calibri"/>
                <w:lang w:val="en-US"/>
              </w:rPr>
            </w:pPr>
            <w:r w:rsidRPr="00074E77">
              <w:rPr>
                <w:rFonts w:ascii="Calibri" w:hAnsi="Calibri" w:cs="Calibri"/>
                <w:lang w:val="en-US"/>
              </w:rPr>
              <w:t xml:space="preserve">Notification of governance and other training opportunities for PBC Boards, officers and staff.  </w:t>
            </w:r>
          </w:p>
          <w:p w14:paraId="3811957F" w14:textId="77777777" w:rsidR="000B2AAD" w:rsidRPr="00EE42AE" w:rsidRDefault="000B2AAD" w:rsidP="000B2AAD">
            <w:pPr>
              <w:rPr>
                <w:rFonts w:ascii="Calibri" w:hAnsi="Calibri" w:cs="Calibri"/>
                <w:lang w:val="en-US"/>
              </w:rPr>
            </w:pPr>
          </w:p>
          <w:p w14:paraId="3AB27C37" w14:textId="15A10BBF" w:rsidR="000B2AAD" w:rsidRPr="007009A2" w:rsidRDefault="000B2AAD" w:rsidP="000B2AAD">
            <w:pPr>
              <w:jc w:val="both"/>
              <w:rPr>
                <w:rFonts w:ascii="Calibri" w:hAnsi="Calibri" w:cs="Calibri"/>
                <w:b/>
                <w:bCs/>
                <w:lang w:val="en-US"/>
              </w:rPr>
            </w:pPr>
            <w:r w:rsidRPr="00EE42AE">
              <w:rPr>
                <w:rFonts w:ascii="Calibri" w:hAnsi="Calibri" w:cs="Calibri"/>
                <w:lang w:val="en-US"/>
              </w:rPr>
              <w:t xml:space="preserve">NTSG is actively considering and planning for what role the </w:t>
            </w:r>
            <w:proofErr w:type="spellStart"/>
            <w:r w:rsidRPr="00EE42AE">
              <w:rPr>
                <w:rFonts w:ascii="Calibri" w:hAnsi="Calibri" w:cs="Calibri"/>
                <w:lang w:val="en-US"/>
              </w:rPr>
              <w:t>organisation</w:t>
            </w:r>
            <w:proofErr w:type="spellEnd"/>
            <w:r w:rsidRPr="00EE42AE">
              <w:rPr>
                <w:rFonts w:ascii="Calibri" w:hAnsi="Calibri" w:cs="Calibri"/>
                <w:lang w:val="en-US"/>
              </w:rPr>
              <w:t xml:space="preserve"> will play in the post-determination and compensation era, noting that a great deal of the region remains undetermined or unclaimed at present.  </w:t>
            </w:r>
          </w:p>
        </w:tc>
      </w:tr>
    </w:tbl>
    <w:p w14:paraId="67456EE2" w14:textId="77777777" w:rsidR="007009A2" w:rsidRDefault="007009A2"/>
    <w:sectPr w:rsidR="007009A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C6196" w14:textId="77777777" w:rsidR="00DC429B" w:rsidRDefault="00DC429B" w:rsidP="004771F3">
      <w:pPr>
        <w:spacing w:after="0" w:line="240" w:lineRule="auto"/>
      </w:pPr>
      <w:r>
        <w:separator/>
      </w:r>
    </w:p>
  </w:endnote>
  <w:endnote w:type="continuationSeparator" w:id="0">
    <w:p w14:paraId="3A69B2B3" w14:textId="77777777" w:rsidR="00DC429B" w:rsidRDefault="00DC429B" w:rsidP="004771F3">
      <w:pPr>
        <w:spacing w:after="0" w:line="240" w:lineRule="auto"/>
      </w:pPr>
      <w:r>
        <w:continuationSeparator/>
      </w:r>
    </w:p>
  </w:endnote>
  <w:endnote w:type="continuationNotice" w:id="1">
    <w:p w14:paraId="10C565F8" w14:textId="77777777" w:rsidR="00DC429B" w:rsidRDefault="00DC42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17E8" w14:textId="2E33778B" w:rsidR="004771F3" w:rsidRDefault="004771F3">
    <w:pPr>
      <w:pStyle w:val="Footer"/>
    </w:pPr>
    <w:r>
      <w:rPr>
        <w:noProof/>
      </w:rPr>
      <mc:AlternateContent>
        <mc:Choice Requires="wps">
          <w:drawing>
            <wp:anchor distT="0" distB="0" distL="0" distR="0" simplePos="0" relativeHeight="251658244" behindDoc="0" locked="0" layoutInCell="1" allowOverlap="1" wp14:anchorId="077DE777" wp14:editId="131A39B9">
              <wp:simplePos x="635" y="635"/>
              <wp:positionH relativeFrom="page">
                <wp:align>center</wp:align>
              </wp:positionH>
              <wp:positionV relativeFrom="page">
                <wp:align>bottom</wp:align>
              </wp:positionV>
              <wp:extent cx="686435" cy="393700"/>
              <wp:effectExtent l="0" t="0" r="18415" b="0"/>
              <wp:wrapNone/>
              <wp:docPr id="102637078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615C2535" w14:textId="270C5FB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7DE777" id="_x0000_t202" coordsize="21600,21600" o:spt="202" path="m,l,21600r21600,l21600,xe">
              <v:stroke joinstyle="miter"/>
              <v:path gradientshapeok="t" o:connecttype="rect"/>
            </v:shapetype>
            <v:shape id="Text Box 5" o:spid="_x0000_s1028" type="#_x0000_t202" alt="OFFICIAL" style="position:absolute;margin-left:0;margin-top:0;width:54.05pt;height:3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53EAIAABwEAAAOAAAAZHJzL2Uyb0RvYy54bWysU01v2zAMvQ/YfxB0X+wka9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BJztn17PP0ijNJoenN9EueYM0ulx368E2BYdEoORIrCSyx&#10;f/CBGlLqkBJ7WVi1WidmtP3NQYnRk10mjFboNz1rq5JPhuk3UB1oKYQj397JVUutH4QPzwKJYNqD&#10;RBue6Kg1dCWHk8VZA/jzb/6YT7hTlLOOBFNyS4rmTH+3xEfU1mDgYGySMb7Jrwg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6t853EAIA&#10;ABwEAAAOAAAAAAAAAAAAAAAAAC4CAABkcnMvZTJvRG9jLnhtbFBLAQItABQABgAIAAAAIQAMoFZM&#10;2wAAAAQBAAAPAAAAAAAAAAAAAAAAAGoEAABkcnMvZG93bnJldi54bWxQSwUGAAAAAAQABADzAAAA&#10;cgUAAAAA&#10;" filled="f" stroked="f">
              <v:textbox style="mso-fit-shape-to-text:t" inset="0,0,0,15pt">
                <w:txbxContent>
                  <w:p w14:paraId="615C2535" w14:textId="270C5FB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189046"/>
      <w:docPartObj>
        <w:docPartGallery w:val="Page Numbers (Bottom of Page)"/>
        <w:docPartUnique/>
      </w:docPartObj>
    </w:sdtPr>
    <w:sdtEndPr>
      <w:rPr>
        <w:noProof/>
      </w:rPr>
    </w:sdtEndPr>
    <w:sdtContent>
      <w:p w14:paraId="604C0820" w14:textId="2ADA9D5D" w:rsidR="00934114" w:rsidRDefault="00934114">
        <w:pPr>
          <w:pStyle w:val="Footer"/>
          <w:jc w:val="right"/>
        </w:pPr>
        <w:r>
          <w:fldChar w:fldCharType="begin"/>
        </w:r>
        <w:r>
          <w:instrText xml:space="preserve"> PAGE   \* MERGEFORMAT </w:instrText>
        </w:r>
        <w:r>
          <w:fldChar w:fldCharType="separate"/>
        </w:r>
        <w:r>
          <w:rPr>
            <w:noProof/>
          </w:rPr>
          <w:t>2</w:t>
        </w:r>
        <w:r>
          <w:rPr>
            <w:noProof/>
          </w:rPr>
          <w:fldChar w:fldCharType="end"/>
        </w:r>
        <w:r w:rsidR="005A11EA">
          <w:rPr>
            <w:noProof/>
          </w:rPr>
          <w:t>/9</w:t>
        </w:r>
      </w:p>
    </w:sdtContent>
  </w:sdt>
  <w:p w14:paraId="4093C261" w14:textId="1D4479DE" w:rsidR="004771F3" w:rsidRDefault="007A4C85">
    <w:pPr>
      <w:pStyle w:val="Footer"/>
    </w:pPr>
    <w:r>
      <w:t xml:space="preserve">Native Title Services Goldfields </w:t>
    </w:r>
    <w:r w:rsidR="00CB2290">
      <w:t>R</w:t>
    </w:r>
    <w:r w:rsidR="00F441AC">
      <w:t>esponse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19EC" w14:textId="0E2E4BB7" w:rsidR="004771F3" w:rsidRDefault="004771F3">
    <w:pPr>
      <w:pStyle w:val="Footer"/>
    </w:pPr>
    <w:r>
      <w:rPr>
        <w:noProof/>
      </w:rPr>
      <mc:AlternateContent>
        <mc:Choice Requires="wps">
          <w:drawing>
            <wp:anchor distT="0" distB="0" distL="0" distR="0" simplePos="0" relativeHeight="251658243" behindDoc="0" locked="0" layoutInCell="1" allowOverlap="1" wp14:anchorId="211B658D" wp14:editId="6A1E64DD">
              <wp:simplePos x="635" y="635"/>
              <wp:positionH relativeFrom="page">
                <wp:align>center</wp:align>
              </wp:positionH>
              <wp:positionV relativeFrom="page">
                <wp:align>bottom</wp:align>
              </wp:positionV>
              <wp:extent cx="686435" cy="393700"/>
              <wp:effectExtent l="0" t="0" r="18415" b="0"/>
              <wp:wrapNone/>
              <wp:docPr id="170950924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010103B" w14:textId="434B703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1B658D" id="_x0000_t202" coordsize="21600,21600" o:spt="202" path="m,l,21600r21600,l21600,xe">
              <v:stroke joinstyle="miter"/>
              <v:path gradientshapeok="t" o:connecttype="rect"/>
            </v:shapetype>
            <v:shape id="Text Box 4" o:spid="_x0000_s1030" type="#_x0000_t202" alt="OFFICIAL" style="position:absolute;margin-left:0;margin-top:0;width:54.05pt;height:3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H6EAIAABwEAAAOAAAAZHJzL2Uyb0RvYy54bWysU01v2zAMvQ/YfxB0X+w0bdY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vJDWeSQpO7yec8wZpdLjv04asCw6JRciRWElhi&#10;v/KBGlLqkBJ7WVi2WidmtP3NQYnRk10mjFboNz1rq5JfD9NvoDrQUghHvr2Ty5Zar4QPLwKJYNqD&#10;RBue6ag1dCWHk8VZA/jjb/6YT7hTlLOOBFNyS4rmTH+zxEfU1mDgYGySMb7LbwgSZnfmAUiGY3oR&#10;TiaTvBj0YNYI5o3kvIiNKCSspHYl3wzmQzgql56DVItFSiIZORFWdu1kLB3hili+9m8C3QnwQEw9&#10;waAmUbzD/Zgbb3q32AVCP5ESoT0CeUKcJJi4Oj2XqPFf/1PW5VHPfwI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BUNGH6EAIA&#10;ABwEAAAOAAAAAAAAAAAAAAAAAC4CAABkcnMvZTJvRG9jLnhtbFBLAQItABQABgAIAAAAIQAMoFZM&#10;2wAAAAQBAAAPAAAAAAAAAAAAAAAAAGoEAABkcnMvZG93bnJldi54bWxQSwUGAAAAAAQABADzAAAA&#10;cgUAAAAA&#10;" filled="f" stroked="f">
              <v:textbox style="mso-fit-shape-to-text:t" inset="0,0,0,15pt">
                <w:txbxContent>
                  <w:p w14:paraId="4010103B" w14:textId="434B703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7AD5F" w14:textId="77777777" w:rsidR="00DC429B" w:rsidRDefault="00DC429B" w:rsidP="004771F3">
      <w:pPr>
        <w:spacing w:after="0" w:line="240" w:lineRule="auto"/>
      </w:pPr>
      <w:r>
        <w:separator/>
      </w:r>
    </w:p>
  </w:footnote>
  <w:footnote w:type="continuationSeparator" w:id="0">
    <w:p w14:paraId="1D117A67" w14:textId="77777777" w:rsidR="00DC429B" w:rsidRDefault="00DC429B" w:rsidP="004771F3">
      <w:pPr>
        <w:spacing w:after="0" w:line="240" w:lineRule="auto"/>
      </w:pPr>
      <w:r>
        <w:continuationSeparator/>
      </w:r>
    </w:p>
  </w:footnote>
  <w:footnote w:type="continuationNotice" w:id="1">
    <w:p w14:paraId="63520EF0" w14:textId="77777777" w:rsidR="00DC429B" w:rsidRDefault="00DC42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5C0C" w14:textId="6D317A87" w:rsidR="004771F3" w:rsidRDefault="004771F3">
    <w:pPr>
      <w:pStyle w:val="Header"/>
    </w:pPr>
    <w:r>
      <w:rPr>
        <w:noProof/>
      </w:rPr>
      <mc:AlternateContent>
        <mc:Choice Requires="wps">
          <w:drawing>
            <wp:anchor distT="0" distB="0" distL="0" distR="0" simplePos="0" relativeHeight="251658241" behindDoc="0" locked="0" layoutInCell="1" allowOverlap="1" wp14:anchorId="1E367ABE" wp14:editId="1CF32629">
              <wp:simplePos x="635" y="635"/>
              <wp:positionH relativeFrom="page">
                <wp:align>center</wp:align>
              </wp:positionH>
              <wp:positionV relativeFrom="page">
                <wp:align>top</wp:align>
              </wp:positionV>
              <wp:extent cx="686435" cy="393700"/>
              <wp:effectExtent l="0" t="0" r="18415" b="6350"/>
              <wp:wrapNone/>
              <wp:docPr id="4645337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BE2D3BF" w14:textId="07E22BFE"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367ABE"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3BE2D3BF" w14:textId="07E22BFE"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31EB" w14:textId="5994E729" w:rsidR="004771F3" w:rsidRDefault="004771F3">
    <w:pPr>
      <w:pStyle w:val="Header"/>
    </w:pPr>
    <w:r>
      <w:rPr>
        <w:noProof/>
      </w:rPr>
      <mc:AlternateContent>
        <mc:Choice Requires="wps">
          <w:drawing>
            <wp:anchor distT="0" distB="0" distL="0" distR="0" simplePos="0" relativeHeight="251658242" behindDoc="0" locked="0" layoutInCell="1" allowOverlap="1" wp14:anchorId="4074E7A3" wp14:editId="52756002">
              <wp:simplePos x="914400" y="451757"/>
              <wp:positionH relativeFrom="margin">
                <wp:align>center</wp:align>
              </wp:positionH>
              <wp:positionV relativeFrom="page">
                <wp:align>top</wp:align>
              </wp:positionV>
              <wp:extent cx="686435" cy="337185"/>
              <wp:effectExtent l="0" t="0" r="18415" b="5715"/>
              <wp:wrapNone/>
              <wp:docPr id="6409457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37185"/>
                      </a:xfrm>
                      <a:prstGeom prst="rect">
                        <a:avLst/>
                      </a:prstGeom>
                      <a:noFill/>
                      <a:ln>
                        <a:noFill/>
                      </a:ln>
                    </wps:spPr>
                    <wps:txbx>
                      <w:txbxContent>
                        <w:p w14:paraId="08ABE699" w14:textId="7BF0FE78" w:rsidR="004771F3" w:rsidRPr="004771F3" w:rsidRDefault="004771F3" w:rsidP="004771F3">
                          <w:pPr>
                            <w:spacing w:after="0"/>
                            <w:rPr>
                              <w:rFonts w:ascii="Arial" w:eastAsia="Arial" w:hAnsi="Arial" w:cs="Arial"/>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74E7A3" id="_x0000_t202" coordsize="21600,21600" o:spt="202" path="m,l,21600r21600,l21600,xe">
              <v:stroke joinstyle="miter"/>
              <v:path gradientshapeok="t" o:connecttype="rect"/>
            </v:shapetype>
            <v:shape id="Text Box 3" o:spid="_x0000_s1027" type="#_x0000_t202" alt="OFFICIAL" style="position:absolute;margin-left:0;margin-top:0;width:54.05pt;height:26.55pt;z-index:251658242;visibility:visible;mso-wrap-style:none;mso-height-percent:0;mso-wrap-distance-left:0;mso-wrap-distance-top:0;mso-wrap-distance-right:0;mso-wrap-distance-bottom:0;mso-position-horizontal:center;mso-position-horizontal-relative:margin;mso-position-vertical:top;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" filled="f" stroked="f">
              <v:textbox inset="0,15pt,0,0">
                <w:txbxContent>
                  <w:p w14:paraId="08ABE699" w14:textId="7BF0FE78" w:rsidR="004771F3" w:rsidRPr="004771F3" w:rsidRDefault="004771F3" w:rsidP="004771F3">
                    <w:pPr>
                      <w:spacing w:after="0"/>
                      <w:rPr>
                        <w:rFonts w:ascii="Arial" w:eastAsia="Arial" w:hAnsi="Arial" w:cs="Arial"/>
                        <w:noProof/>
                        <w:color w:val="FF0000"/>
                      </w:rPr>
                    </w:pP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7D2C" w14:textId="3F406DC8" w:rsidR="004771F3" w:rsidRDefault="004771F3">
    <w:pPr>
      <w:pStyle w:val="Header"/>
    </w:pPr>
    <w:r>
      <w:rPr>
        <w:noProof/>
      </w:rPr>
      <mc:AlternateContent>
        <mc:Choice Requires="wps">
          <w:drawing>
            <wp:anchor distT="0" distB="0" distL="0" distR="0" simplePos="0" relativeHeight="251658240" behindDoc="0" locked="0" layoutInCell="1" allowOverlap="1" wp14:anchorId="25C07430" wp14:editId="2D4C5DEA">
              <wp:simplePos x="635" y="635"/>
              <wp:positionH relativeFrom="page">
                <wp:align>center</wp:align>
              </wp:positionH>
              <wp:positionV relativeFrom="page">
                <wp:align>top</wp:align>
              </wp:positionV>
              <wp:extent cx="686435" cy="393700"/>
              <wp:effectExtent l="0" t="0" r="18415" b="6350"/>
              <wp:wrapNone/>
              <wp:docPr id="17006737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32BE499" w14:textId="75EDC12F"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C07430" id="_x0000_t202" coordsize="21600,21600" o:spt="202" path="m,l,21600r21600,l21600,xe">
              <v:stroke joinstyle="miter"/>
              <v:path gradientshapeok="t" o:connecttype="rect"/>
            </v:shapetype>
            <v:shape id="Text Box 1" o:spid="_x0000_s1029" type="#_x0000_t202" alt="OFFICIAL" style="position:absolute;margin-left:0;margin-top:0;width:54.0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" filled="f" stroked="f">
              <v:textbox style="mso-fit-shape-to-text:t" inset="0,15pt,0,0">
                <w:txbxContent>
                  <w:p w14:paraId="732BE499" w14:textId="75EDC12F"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258"/>
    <w:multiLevelType w:val="hybridMultilevel"/>
    <w:tmpl w:val="2C32004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2A31E2"/>
    <w:multiLevelType w:val="multilevel"/>
    <w:tmpl w:val="E85A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F92F32"/>
    <w:multiLevelType w:val="hybridMultilevel"/>
    <w:tmpl w:val="968AD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D34A41"/>
    <w:multiLevelType w:val="multilevel"/>
    <w:tmpl w:val="E230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361E7D"/>
    <w:multiLevelType w:val="hybridMultilevel"/>
    <w:tmpl w:val="DBA83D2A"/>
    <w:lvl w:ilvl="0" w:tplc="F74E339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327866D8"/>
    <w:multiLevelType w:val="multilevel"/>
    <w:tmpl w:val="935247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6C439E0"/>
    <w:multiLevelType w:val="hybridMultilevel"/>
    <w:tmpl w:val="C0A4CA88"/>
    <w:lvl w:ilvl="0" w:tplc="9F8E78B2">
      <w:start w:val="1"/>
      <w:numFmt w:val="lowerLetter"/>
      <w:lvlText w:val="%1."/>
      <w:lvlJc w:val="left"/>
      <w:pPr>
        <w:ind w:left="72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4904B3"/>
    <w:multiLevelType w:val="multilevel"/>
    <w:tmpl w:val="E7B828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A7C66CD"/>
    <w:multiLevelType w:val="multilevel"/>
    <w:tmpl w:val="2674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A10105"/>
    <w:multiLevelType w:val="multilevel"/>
    <w:tmpl w:val="9814B9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8E07E14"/>
    <w:multiLevelType w:val="multilevel"/>
    <w:tmpl w:val="3EE2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DB7170"/>
    <w:multiLevelType w:val="hybridMultilevel"/>
    <w:tmpl w:val="596A98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25E265D"/>
    <w:multiLevelType w:val="multilevel"/>
    <w:tmpl w:val="0F88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675348"/>
    <w:multiLevelType w:val="hybridMultilevel"/>
    <w:tmpl w:val="143220E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4530832"/>
    <w:multiLevelType w:val="hybridMultilevel"/>
    <w:tmpl w:val="4AB42A4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843F40"/>
    <w:multiLevelType w:val="multilevel"/>
    <w:tmpl w:val="8E72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5A56E8"/>
    <w:multiLevelType w:val="multilevel"/>
    <w:tmpl w:val="889C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0C319F"/>
    <w:multiLevelType w:val="multilevel"/>
    <w:tmpl w:val="CED6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08050C"/>
    <w:multiLevelType w:val="hybridMultilevel"/>
    <w:tmpl w:val="7ABA9A30"/>
    <w:lvl w:ilvl="0" w:tplc="7570A5D6">
      <w:start w:val="1"/>
      <w:numFmt w:val="lowerLetter"/>
      <w:lvlText w:val="%1."/>
      <w:lvlJc w:val="left"/>
      <w:pPr>
        <w:ind w:left="72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A51469"/>
    <w:multiLevelType w:val="multilevel"/>
    <w:tmpl w:val="8240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0F51C9"/>
    <w:multiLevelType w:val="multilevel"/>
    <w:tmpl w:val="A4D2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5849302">
    <w:abstractNumId w:val="18"/>
  </w:num>
  <w:num w:numId="2" w16cid:durableId="1127285451">
    <w:abstractNumId w:val="6"/>
  </w:num>
  <w:num w:numId="3" w16cid:durableId="461190126">
    <w:abstractNumId w:val="4"/>
  </w:num>
  <w:num w:numId="4" w16cid:durableId="1277173127">
    <w:abstractNumId w:val="7"/>
  </w:num>
  <w:num w:numId="5" w16cid:durableId="740759474">
    <w:abstractNumId w:val="5"/>
  </w:num>
  <w:num w:numId="6" w16cid:durableId="652680975">
    <w:abstractNumId w:val="9"/>
  </w:num>
  <w:num w:numId="7" w16cid:durableId="1568302850">
    <w:abstractNumId w:val="0"/>
  </w:num>
  <w:num w:numId="8" w16cid:durableId="957180694">
    <w:abstractNumId w:val="13"/>
  </w:num>
  <w:num w:numId="9" w16cid:durableId="940835993">
    <w:abstractNumId w:val="2"/>
  </w:num>
  <w:num w:numId="10" w16cid:durableId="357857398">
    <w:abstractNumId w:val="14"/>
  </w:num>
  <w:num w:numId="11" w16cid:durableId="194005731">
    <w:abstractNumId w:val="19"/>
  </w:num>
  <w:num w:numId="12" w16cid:durableId="225456784">
    <w:abstractNumId w:val="8"/>
  </w:num>
  <w:num w:numId="13" w16cid:durableId="2090539297">
    <w:abstractNumId w:val="12"/>
  </w:num>
  <w:num w:numId="14" w16cid:durableId="1510561227">
    <w:abstractNumId w:val="10"/>
  </w:num>
  <w:num w:numId="15" w16cid:durableId="1781878640">
    <w:abstractNumId w:val="20"/>
  </w:num>
  <w:num w:numId="16" w16cid:durableId="312874623">
    <w:abstractNumId w:val="17"/>
  </w:num>
  <w:num w:numId="17" w16cid:durableId="1967419967">
    <w:abstractNumId w:val="1"/>
  </w:num>
  <w:num w:numId="18" w16cid:durableId="642852712">
    <w:abstractNumId w:val="16"/>
  </w:num>
  <w:num w:numId="19" w16cid:durableId="1687829562">
    <w:abstractNumId w:val="15"/>
  </w:num>
  <w:num w:numId="20" w16cid:durableId="1984306339">
    <w:abstractNumId w:val="3"/>
  </w:num>
  <w:num w:numId="21" w16cid:durableId="20008868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F3"/>
    <w:rsid w:val="00010D0D"/>
    <w:rsid w:val="00033FDE"/>
    <w:rsid w:val="00042F44"/>
    <w:rsid w:val="00062308"/>
    <w:rsid w:val="00072886"/>
    <w:rsid w:val="0008578C"/>
    <w:rsid w:val="000958E8"/>
    <w:rsid w:val="000A029E"/>
    <w:rsid w:val="000A420B"/>
    <w:rsid w:val="000B2AAD"/>
    <w:rsid w:val="000C333F"/>
    <w:rsid w:val="000F2B4C"/>
    <w:rsid w:val="00115B4A"/>
    <w:rsid w:val="001277CE"/>
    <w:rsid w:val="00130D59"/>
    <w:rsid w:val="001375EA"/>
    <w:rsid w:val="001440A3"/>
    <w:rsid w:val="00147499"/>
    <w:rsid w:val="0017561C"/>
    <w:rsid w:val="001759AC"/>
    <w:rsid w:val="001925CD"/>
    <w:rsid w:val="00197314"/>
    <w:rsid w:val="001B4A34"/>
    <w:rsid w:val="001B4D89"/>
    <w:rsid w:val="001E338A"/>
    <w:rsid w:val="001E5D0C"/>
    <w:rsid w:val="0020077A"/>
    <w:rsid w:val="00211EF0"/>
    <w:rsid w:val="00214698"/>
    <w:rsid w:val="00231E14"/>
    <w:rsid w:val="00247196"/>
    <w:rsid w:val="00290736"/>
    <w:rsid w:val="00292A47"/>
    <w:rsid w:val="0029597E"/>
    <w:rsid w:val="00296208"/>
    <w:rsid w:val="002A0C79"/>
    <w:rsid w:val="002E488A"/>
    <w:rsid w:val="00310F46"/>
    <w:rsid w:val="00330585"/>
    <w:rsid w:val="003341C3"/>
    <w:rsid w:val="00336103"/>
    <w:rsid w:val="003771F8"/>
    <w:rsid w:val="00390005"/>
    <w:rsid w:val="003A45F7"/>
    <w:rsid w:val="003D0671"/>
    <w:rsid w:val="003D503B"/>
    <w:rsid w:val="003F21C6"/>
    <w:rsid w:val="003F6806"/>
    <w:rsid w:val="003F68A6"/>
    <w:rsid w:val="00413FB1"/>
    <w:rsid w:val="0044077F"/>
    <w:rsid w:val="004513F4"/>
    <w:rsid w:val="00467620"/>
    <w:rsid w:val="00474F50"/>
    <w:rsid w:val="004771F3"/>
    <w:rsid w:val="00492BE1"/>
    <w:rsid w:val="004A7F64"/>
    <w:rsid w:val="004E7EEE"/>
    <w:rsid w:val="004F4853"/>
    <w:rsid w:val="0053023A"/>
    <w:rsid w:val="005365A9"/>
    <w:rsid w:val="00544B0F"/>
    <w:rsid w:val="005466BC"/>
    <w:rsid w:val="00573E13"/>
    <w:rsid w:val="00594576"/>
    <w:rsid w:val="005A11EA"/>
    <w:rsid w:val="005A6800"/>
    <w:rsid w:val="005C32DF"/>
    <w:rsid w:val="005F5748"/>
    <w:rsid w:val="005F6D76"/>
    <w:rsid w:val="006069D5"/>
    <w:rsid w:val="00625E64"/>
    <w:rsid w:val="006276A1"/>
    <w:rsid w:val="006550B0"/>
    <w:rsid w:val="00666488"/>
    <w:rsid w:val="0068009F"/>
    <w:rsid w:val="006C40ED"/>
    <w:rsid w:val="006D0692"/>
    <w:rsid w:val="006E21F6"/>
    <w:rsid w:val="007009A2"/>
    <w:rsid w:val="007153CE"/>
    <w:rsid w:val="00740895"/>
    <w:rsid w:val="00757A7E"/>
    <w:rsid w:val="007A2219"/>
    <w:rsid w:val="007A4C85"/>
    <w:rsid w:val="007D09A4"/>
    <w:rsid w:val="007D3358"/>
    <w:rsid w:val="007D4FCA"/>
    <w:rsid w:val="0082142C"/>
    <w:rsid w:val="0083304C"/>
    <w:rsid w:val="00863FEA"/>
    <w:rsid w:val="00872D60"/>
    <w:rsid w:val="008775CA"/>
    <w:rsid w:val="00886A09"/>
    <w:rsid w:val="00894FFB"/>
    <w:rsid w:val="008D2CA8"/>
    <w:rsid w:val="008D3D3C"/>
    <w:rsid w:val="008D5833"/>
    <w:rsid w:val="00913C50"/>
    <w:rsid w:val="00926FC6"/>
    <w:rsid w:val="00934114"/>
    <w:rsid w:val="00964405"/>
    <w:rsid w:val="00971059"/>
    <w:rsid w:val="0097181F"/>
    <w:rsid w:val="00976A33"/>
    <w:rsid w:val="00976BD5"/>
    <w:rsid w:val="009A08E8"/>
    <w:rsid w:val="009A2C59"/>
    <w:rsid w:val="009A4829"/>
    <w:rsid w:val="009B0C9B"/>
    <w:rsid w:val="009D5742"/>
    <w:rsid w:val="009E3009"/>
    <w:rsid w:val="009E3FD3"/>
    <w:rsid w:val="00A018F4"/>
    <w:rsid w:val="00A03879"/>
    <w:rsid w:val="00A1552B"/>
    <w:rsid w:val="00A33A7B"/>
    <w:rsid w:val="00A7770D"/>
    <w:rsid w:val="00A911A0"/>
    <w:rsid w:val="00A92EF0"/>
    <w:rsid w:val="00A96533"/>
    <w:rsid w:val="00AB2C53"/>
    <w:rsid w:val="00AC05D7"/>
    <w:rsid w:val="00AC5DDF"/>
    <w:rsid w:val="00AD1499"/>
    <w:rsid w:val="00AE6738"/>
    <w:rsid w:val="00B01D21"/>
    <w:rsid w:val="00B17761"/>
    <w:rsid w:val="00B34614"/>
    <w:rsid w:val="00B425C5"/>
    <w:rsid w:val="00B44CF1"/>
    <w:rsid w:val="00B532BA"/>
    <w:rsid w:val="00B65D10"/>
    <w:rsid w:val="00B67D4C"/>
    <w:rsid w:val="00B74F69"/>
    <w:rsid w:val="00B76E51"/>
    <w:rsid w:val="00B81001"/>
    <w:rsid w:val="00B825BA"/>
    <w:rsid w:val="00B90771"/>
    <w:rsid w:val="00B90D81"/>
    <w:rsid w:val="00BC1744"/>
    <w:rsid w:val="00C062E1"/>
    <w:rsid w:val="00C47A39"/>
    <w:rsid w:val="00C569E1"/>
    <w:rsid w:val="00C639FB"/>
    <w:rsid w:val="00C672D7"/>
    <w:rsid w:val="00C67FEA"/>
    <w:rsid w:val="00C76251"/>
    <w:rsid w:val="00C8049B"/>
    <w:rsid w:val="00C8255C"/>
    <w:rsid w:val="00C8443E"/>
    <w:rsid w:val="00C87AF9"/>
    <w:rsid w:val="00C87B38"/>
    <w:rsid w:val="00C92CEB"/>
    <w:rsid w:val="00C97DDF"/>
    <w:rsid w:val="00CA7AA7"/>
    <w:rsid w:val="00CB2290"/>
    <w:rsid w:val="00CB50AE"/>
    <w:rsid w:val="00CB571F"/>
    <w:rsid w:val="00CB6837"/>
    <w:rsid w:val="00CE0BAD"/>
    <w:rsid w:val="00D10193"/>
    <w:rsid w:val="00D26463"/>
    <w:rsid w:val="00D27609"/>
    <w:rsid w:val="00D412DE"/>
    <w:rsid w:val="00D46EFB"/>
    <w:rsid w:val="00D6286F"/>
    <w:rsid w:val="00D83E0D"/>
    <w:rsid w:val="00D96EB1"/>
    <w:rsid w:val="00DA7E3C"/>
    <w:rsid w:val="00DB467E"/>
    <w:rsid w:val="00DB645D"/>
    <w:rsid w:val="00DC429B"/>
    <w:rsid w:val="00DE3083"/>
    <w:rsid w:val="00E043AB"/>
    <w:rsid w:val="00E1432A"/>
    <w:rsid w:val="00E24A93"/>
    <w:rsid w:val="00E2791E"/>
    <w:rsid w:val="00E37379"/>
    <w:rsid w:val="00E60A97"/>
    <w:rsid w:val="00E630FB"/>
    <w:rsid w:val="00E759B4"/>
    <w:rsid w:val="00E818A3"/>
    <w:rsid w:val="00E81A4C"/>
    <w:rsid w:val="00E9137B"/>
    <w:rsid w:val="00E97201"/>
    <w:rsid w:val="00E974B1"/>
    <w:rsid w:val="00EA52FA"/>
    <w:rsid w:val="00EE2017"/>
    <w:rsid w:val="00EE5485"/>
    <w:rsid w:val="00EF408B"/>
    <w:rsid w:val="00F00E6D"/>
    <w:rsid w:val="00F14B86"/>
    <w:rsid w:val="00F2611C"/>
    <w:rsid w:val="00F32D1D"/>
    <w:rsid w:val="00F34901"/>
    <w:rsid w:val="00F441AC"/>
    <w:rsid w:val="00F55ECC"/>
    <w:rsid w:val="00F72565"/>
    <w:rsid w:val="00F7606E"/>
    <w:rsid w:val="00F85DED"/>
    <w:rsid w:val="00FB014F"/>
    <w:rsid w:val="00FD061A"/>
    <w:rsid w:val="00FD7D15"/>
    <w:rsid w:val="00FE28BA"/>
    <w:rsid w:val="00FF5DA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4F7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1F3"/>
    <w:rPr>
      <w:rFonts w:eastAsiaTheme="majorEastAsia" w:cstheme="majorBidi"/>
      <w:color w:val="272727" w:themeColor="text1" w:themeTint="D8"/>
    </w:rPr>
  </w:style>
  <w:style w:type="paragraph" w:styleId="Title">
    <w:name w:val="Title"/>
    <w:basedOn w:val="Normal"/>
    <w:next w:val="Normal"/>
    <w:link w:val="TitleChar"/>
    <w:uiPriority w:val="10"/>
    <w:qFormat/>
    <w:rsid w:val="00477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1F3"/>
    <w:pPr>
      <w:spacing w:before="160"/>
      <w:jc w:val="center"/>
    </w:pPr>
    <w:rPr>
      <w:i/>
      <w:iCs/>
      <w:color w:val="404040" w:themeColor="text1" w:themeTint="BF"/>
    </w:rPr>
  </w:style>
  <w:style w:type="character" w:customStyle="1" w:styleId="QuoteChar">
    <w:name w:val="Quote Char"/>
    <w:basedOn w:val="DefaultParagraphFont"/>
    <w:link w:val="Quote"/>
    <w:uiPriority w:val="29"/>
    <w:rsid w:val="004771F3"/>
    <w:rPr>
      <w:i/>
      <w:iCs/>
      <w:color w:val="404040" w:themeColor="text1" w:themeTint="BF"/>
    </w:rPr>
  </w:style>
  <w:style w:type="paragraph" w:styleId="ListParagraph">
    <w:name w:val="List Paragraph"/>
    <w:basedOn w:val="Normal"/>
    <w:uiPriority w:val="34"/>
    <w:qFormat/>
    <w:rsid w:val="004771F3"/>
    <w:pPr>
      <w:ind w:left="720"/>
      <w:contextualSpacing/>
    </w:pPr>
  </w:style>
  <w:style w:type="character" w:styleId="IntenseEmphasis">
    <w:name w:val="Intense Emphasis"/>
    <w:basedOn w:val="DefaultParagraphFont"/>
    <w:uiPriority w:val="21"/>
    <w:qFormat/>
    <w:rsid w:val="004771F3"/>
    <w:rPr>
      <w:i/>
      <w:iCs/>
      <w:color w:val="0F4761" w:themeColor="accent1" w:themeShade="BF"/>
    </w:rPr>
  </w:style>
  <w:style w:type="paragraph" w:styleId="IntenseQuote">
    <w:name w:val="Intense Quote"/>
    <w:basedOn w:val="Normal"/>
    <w:next w:val="Normal"/>
    <w:link w:val="IntenseQuoteChar"/>
    <w:uiPriority w:val="30"/>
    <w:qFormat/>
    <w:rsid w:val="00477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1F3"/>
    <w:rPr>
      <w:i/>
      <w:iCs/>
      <w:color w:val="0F4761" w:themeColor="accent1" w:themeShade="BF"/>
    </w:rPr>
  </w:style>
  <w:style w:type="character" w:styleId="IntenseReference">
    <w:name w:val="Intense Reference"/>
    <w:basedOn w:val="DefaultParagraphFont"/>
    <w:uiPriority w:val="32"/>
    <w:qFormat/>
    <w:rsid w:val="004771F3"/>
    <w:rPr>
      <w:b/>
      <w:bCs/>
      <w:smallCaps/>
      <w:color w:val="0F4761" w:themeColor="accent1" w:themeShade="BF"/>
      <w:spacing w:val="5"/>
    </w:rPr>
  </w:style>
  <w:style w:type="table" w:styleId="TableGrid">
    <w:name w:val="Table Grid"/>
    <w:basedOn w:val="TableNormal"/>
    <w:uiPriority w:val="39"/>
    <w:rsid w:val="00477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7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1F3"/>
  </w:style>
  <w:style w:type="paragraph" w:styleId="Footer">
    <w:name w:val="footer"/>
    <w:basedOn w:val="Normal"/>
    <w:link w:val="FooterChar"/>
    <w:uiPriority w:val="99"/>
    <w:unhideWhenUsed/>
    <w:rsid w:val="00477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1F3"/>
  </w:style>
  <w:style w:type="character" w:styleId="CommentReference">
    <w:name w:val="annotation reference"/>
    <w:basedOn w:val="DefaultParagraphFont"/>
    <w:uiPriority w:val="99"/>
    <w:semiHidden/>
    <w:unhideWhenUsed/>
    <w:rsid w:val="007A2219"/>
    <w:rPr>
      <w:sz w:val="16"/>
      <w:szCs w:val="16"/>
    </w:rPr>
  </w:style>
  <w:style w:type="paragraph" w:styleId="CommentText">
    <w:name w:val="annotation text"/>
    <w:basedOn w:val="Normal"/>
    <w:link w:val="CommentTextChar"/>
    <w:uiPriority w:val="99"/>
    <w:unhideWhenUsed/>
    <w:rsid w:val="007A2219"/>
    <w:pPr>
      <w:spacing w:line="240" w:lineRule="auto"/>
    </w:pPr>
    <w:rPr>
      <w:sz w:val="20"/>
      <w:szCs w:val="20"/>
    </w:rPr>
  </w:style>
  <w:style w:type="character" w:customStyle="1" w:styleId="CommentTextChar">
    <w:name w:val="Comment Text Char"/>
    <w:basedOn w:val="DefaultParagraphFont"/>
    <w:link w:val="CommentText"/>
    <w:uiPriority w:val="99"/>
    <w:rsid w:val="007A2219"/>
    <w:rPr>
      <w:sz w:val="20"/>
      <w:szCs w:val="20"/>
    </w:rPr>
  </w:style>
  <w:style w:type="paragraph" w:styleId="Revision">
    <w:name w:val="Revision"/>
    <w:hidden/>
    <w:uiPriority w:val="99"/>
    <w:semiHidden/>
    <w:rsid w:val="00B17761"/>
    <w:pPr>
      <w:spacing w:after="0" w:line="240" w:lineRule="auto"/>
    </w:pPr>
  </w:style>
  <w:style w:type="character" w:styleId="Hyperlink">
    <w:name w:val="Hyperlink"/>
    <w:basedOn w:val="DefaultParagraphFont"/>
    <w:uiPriority w:val="99"/>
    <w:unhideWhenUsed/>
    <w:rsid w:val="00B17761"/>
    <w:rPr>
      <w:color w:val="467886" w:themeColor="hyperlink"/>
      <w:u w:val="single"/>
    </w:rPr>
  </w:style>
  <w:style w:type="character" w:styleId="UnresolvedMention">
    <w:name w:val="Unresolved Mention"/>
    <w:basedOn w:val="DefaultParagraphFont"/>
    <w:uiPriority w:val="99"/>
    <w:semiHidden/>
    <w:unhideWhenUsed/>
    <w:rsid w:val="00B1776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7761"/>
    <w:rPr>
      <w:b/>
      <w:bCs/>
    </w:rPr>
  </w:style>
  <w:style w:type="character" w:customStyle="1" w:styleId="CommentSubjectChar">
    <w:name w:val="Comment Subject Char"/>
    <w:basedOn w:val="CommentTextChar"/>
    <w:link w:val="CommentSubject"/>
    <w:uiPriority w:val="99"/>
    <w:semiHidden/>
    <w:rsid w:val="00B177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61930">
      <w:bodyDiv w:val="1"/>
      <w:marLeft w:val="0"/>
      <w:marRight w:val="0"/>
      <w:marTop w:val="0"/>
      <w:marBottom w:val="0"/>
      <w:divBdr>
        <w:top w:val="none" w:sz="0" w:space="0" w:color="auto"/>
        <w:left w:val="none" w:sz="0" w:space="0" w:color="auto"/>
        <w:bottom w:val="none" w:sz="0" w:space="0" w:color="auto"/>
        <w:right w:val="none" w:sz="0" w:space="0" w:color="auto"/>
      </w:divBdr>
    </w:div>
    <w:div w:id="210731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3038</Words>
  <Characters>17165</Characters>
  <Application>Microsoft Office Word</Application>
  <DocSecurity>0</DocSecurity>
  <Lines>350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2025-10-23T01:08:00Z</dcterms:created>
  <dcterms:modified xsi:type="dcterms:W3CDTF">2025-10-23T01:08:00Z</dcterms:modified>
</cp:coreProperties>
</file>