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7FD42" w14:textId="2752056D" w:rsidR="00C8049B" w:rsidRPr="00E36F89" w:rsidRDefault="001C526F" w:rsidP="006757D8">
      <w:pPr>
        <w:jc w:val="center"/>
        <w:rPr>
          <w:rFonts w:ascii="Calibri" w:hAnsi="Calibri" w:cs="Calibri"/>
          <w:b/>
          <w:bCs/>
          <w:caps/>
          <w:sz w:val="28"/>
          <w:szCs w:val="28"/>
        </w:rPr>
      </w:pPr>
      <w:r w:rsidRPr="00E36F89">
        <w:rPr>
          <w:rFonts w:ascii="Calibri" w:hAnsi="Calibri" w:cs="Calibri"/>
          <w:b/>
          <w:bCs/>
          <w:caps/>
          <w:sz w:val="28"/>
          <w:szCs w:val="28"/>
        </w:rPr>
        <w:t>Response to Nous Review Recommendations</w:t>
      </w:r>
      <w:r w:rsidR="006757D8" w:rsidRPr="00E36F89">
        <w:rPr>
          <w:rFonts w:ascii="Calibri" w:hAnsi="Calibri" w:cs="Calibri"/>
          <w:b/>
          <w:bCs/>
          <w:caps/>
          <w:sz w:val="28"/>
          <w:szCs w:val="28"/>
        </w:rPr>
        <w:t xml:space="preserve"> </w:t>
      </w:r>
      <w:r w:rsidR="000219AC" w:rsidRPr="00E36F89">
        <w:rPr>
          <w:rFonts w:ascii="Calibri" w:hAnsi="Calibri" w:cs="Calibri"/>
          <w:b/>
          <w:bCs/>
          <w:caps/>
          <w:sz w:val="28"/>
          <w:szCs w:val="28"/>
        </w:rPr>
        <w:t>-</w:t>
      </w:r>
      <w:r w:rsidR="006757D8" w:rsidRPr="00E36F89">
        <w:rPr>
          <w:rFonts w:ascii="Calibri" w:hAnsi="Calibri" w:cs="Calibri"/>
          <w:b/>
          <w:bCs/>
          <w:caps/>
          <w:sz w:val="28"/>
          <w:szCs w:val="28"/>
        </w:rPr>
        <w:t xml:space="preserve"> </w:t>
      </w:r>
      <w:r w:rsidRPr="00E36F89">
        <w:rPr>
          <w:rFonts w:ascii="Calibri" w:hAnsi="Calibri" w:cs="Calibri"/>
          <w:b/>
          <w:bCs/>
          <w:caps/>
          <w:sz w:val="28"/>
          <w:szCs w:val="28"/>
        </w:rPr>
        <w:t xml:space="preserve">North Queensland </w:t>
      </w:r>
      <w:r w:rsidR="008F48CE">
        <w:rPr>
          <w:rFonts w:ascii="Calibri" w:hAnsi="Calibri" w:cs="Calibri"/>
          <w:b/>
          <w:bCs/>
          <w:caps/>
          <w:sz w:val="28"/>
          <w:szCs w:val="28"/>
        </w:rPr>
        <w:t xml:space="preserve">Land </w:t>
      </w:r>
      <w:r w:rsidRPr="00E36F89">
        <w:rPr>
          <w:rFonts w:ascii="Calibri" w:hAnsi="Calibri" w:cs="Calibri"/>
          <w:b/>
          <w:bCs/>
          <w:caps/>
          <w:sz w:val="28"/>
          <w:szCs w:val="28"/>
        </w:rPr>
        <w:t>Council (NQLC)</w:t>
      </w:r>
    </w:p>
    <w:tbl>
      <w:tblPr>
        <w:tblStyle w:val="TableGrid"/>
        <w:tblW w:w="0" w:type="auto"/>
        <w:tblLook w:val="04A0" w:firstRow="1" w:lastRow="0" w:firstColumn="1" w:lastColumn="0" w:noHBand="0" w:noVBand="1"/>
      </w:tblPr>
      <w:tblGrid>
        <w:gridCol w:w="9016"/>
      </w:tblGrid>
      <w:tr w:rsidR="006A75FC" w14:paraId="03D87ECC" w14:textId="77777777" w:rsidTr="008F7DBE">
        <w:trPr>
          <w:cantSplit/>
        </w:trPr>
        <w:tc>
          <w:tcPr>
            <w:tcW w:w="9016" w:type="dxa"/>
            <w:shd w:val="clear" w:color="auto" w:fill="C1E4F5" w:themeFill="accent1" w:themeFillTint="33"/>
          </w:tcPr>
          <w:p w14:paraId="4ED60707" w14:textId="4D9BBE68" w:rsidR="006A75FC" w:rsidRDefault="00A4253A" w:rsidP="00D6792F">
            <w:pPr>
              <w:jc w:val="both"/>
            </w:pPr>
            <w:r w:rsidRPr="00C922AF">
              <w:rPr>
                <w:rFonts w:ascii="Calibri" w:hAnsi="Calibri" w:cs="Calibri"/>
                <w:b/>
                <w:bCs/>
                <w:lang w:val="en-US"/>
              </w:rPr>
              <w:t>TOR 1</w:t>
            </w:r>
            <w:r w:rsidRPr="00C922AF">
              <w:rPr>
                <w:rFonts w:ascii="Calibri" w:hAnsi="Calibri" w:cs="Calibri"/>
                <w:lang w:val="en-US"/>
              </w:rPr>
              <w:t xml:space="preserve"> </w:t>
            </w:r>
            <w:r w:rsidRPr="00C922AF">
              <w:rPr>
                <w:rFonts w:ascii="Calibri" w:hAnsi="Calibri" w:cs="Calibri"/>
                <w:lang w:val="en-GB"/>
              </w:rPr>
              <w:t>Extent to which each organisation has achieved positive native title outcomes for persons who hold or may hold native title in its region taking account, where relevant, of disruptions caused by COVID-19.</w:t>
            </w:r>
            <w:r w:rsidRPr="00C922AF">
              <w:rPr>
                <w:rFonts w:ascii="Calibri" w:hAnsi="Calibri" w:cs="Calibri"/>
              </w:rPr>
              <w:t> </w:t>
            </w:r>
            <w:r w:rsidR="006579C4" w:rsidRPr="006579C4">
              <w:rPr>
                <w:rFonts w:ascii="Calibri" w:hAnsi="Calibri" w:cs="Calibri"/>
                <w:b/>
                <w:bCs/>
              </w:rPr>
              <w:t>(Rec 1-3)</w:t>
            </w:r>
          </w:p>
        </w:tc>
      </w:tr>
      <w:tr w:rsidR="006A75FC" w14:paraId="43D4F73F" w14:textId="77777777" w:rsidTr="008F7DBE">
        <w:trPr>
          <w:cantSplit/>
        </w:trPr>
        <w:tc>
          <w:tcPr>
            <w:tcW w:w="9016" w:type="dxa"/>
          </w:tcPr>
          <w:p w14:paraId="23851720" w14:textId="26796CBB" w:rsidR="006A75FC" w:rsidRDefault="00E71A89" w:rsidP="00D6792F">
            <w:pPr>
              <w:jc w:val="both"/>
            </w:pPr>
            <w:r w:rsidRPr="00331BCF">
              <w:rPr>
                <w:rFonts w:ascii="Calibri" w:hAnsi="Calibri" w:cs="Calibri"/>
                <w:b/>
                <w:bCs/>
                <w:lang w:val="en-US"/>
              </w:rPr>
              <w:t>Rec 1</w:t>
            </w:r>
            <w:r>
              <w:rPr>
                <w:rFonts w:ascii="Calibri" w:hAnsi="Calibri" w:cs="Calibri"/>
                <w:lang w:val="en-US"/>
              </w:rPr>
              <w:t xml:space="preserve"> </w:t>
            </w:r>
            <w:r w:rsidRPr="00331BCF">
              <w:rPr>
                <w:rFonts w:ascii="Calibri" w:hAnsi="Calibri" w:cs="Calibri"/>
                <w:lang w:val="en-US"/>
              </w:rPr>
              <w:t>Implement a formal and regular mechanism to collect feedback on the NQLC’s client satisfaction with the services it provides.</w:t>
            </w:r>
            <w:r w:rsidRPr="00331BCF">
              <w:rPr>
                <w:rFonts w:ascii="Calibri" w:hAnsi="Calibri" w:cs="Calibri"/>
              </w:rPr>
              <w:t> </w:t>
            </w:r>
          </w:p>
        </w:tc>
      </w:tr>
      <w:tr w:rsidR="006A75FC" w14:paraId="095DE4C2" w14:textId="77777777" w:rsidTr="008F7DBE">
        <w:trPr>
          <w:cantSplit/>
        </w:trPr>
        <w:tc>
          <w:tcPr>
            <w:tcW w:w="9016" w:type="dxa"/>
          </w:tcPr>
          <w:p w14:paraId="7F840715" w14:textId="77777777" w:rsidR="006A75FC" w:rsidRPr="00E71A89" w:rsidRDefault="00E71A89" w:rsidP="00D6792F">
            <w:pPr>
              <w:jc w:val="both"/>
              <w:rPr>
                <w:rFonts w:ascii="Calibri" w:hAnsi="Calibri" w:cs="Calibri"/>
                <w:b/>
                <w:bCs/>
                <w:lang w:val="en-US"/>
              </w:rPr>
            </w:pPr>
            <w:r w:rsidRPr="00E71A89">
              <w:rPr>
                <w:rFonts w:ascii="Calibri" w:hAnsi="Calibri" w:cs="Calibri"/>
                <w:b/>
                <w:bCs/>
                <w:lang w:val="en-US"/>
              </w:rPr>
              <w:t>Response</w:t>
            </w:r>
          </w:p>
          <w:p w14:paraId="226EB3B3" w14:textId="77777777" w:rsidR="005B48CD" w:rsidRDefault="005B48CD" w:rsidP="005B48CD">
            <w:pPr>
              <w:rPr>
                <w:rFonts w:ascii="Calibri" w:hAnsi="Calibri" w:cs="Calibri"/>
                <w:lang w:val="en-US"/>
              </w:rPr>
            </w:pPr>
            <w:r>
              <w:rPr>
                <w:rFonts w:ascii="Calibri" w:hAnsi="Calibri" w:cs="Calibri"/>
                <w:lang w:val="en-US"/>
              </w:rPr>
              <w:t xml:space="preserve">Accepted. </w:t>
            </w:r>
          </w:p>
          <w:p w14:paraId="0BF09CF1" w14:textId="77777777" w:rsidR="005B48CD" w:rsidRDefault="005B48CD" w:rsidP="005B48CD">
            <w:pPr>
              <w:rPr>
                <w:rFonts w:ascii="Calibri" w:hAnsi="Calibri" w:cs="Calibri"/>
                <w:lang w:val="en-US"/>
              </w:rPr>
            </w:pPr>
            <w:r>
              <w:rPr>
                <w:rFonts w:ascii="Calibri" w:hAnsi="Calibri" w:cs="Calibri"/>
                <w:lang w:val="en-US"/>
              </w:rPr>
              <w:t xml:space="preserve">Implemented in part. </w:t>
            </w:r>
          </w:p>
          <w:p w14:paraId="28C184E5" w14:textId="77777777" w:rsidR="005B48CD" w:rsidRDefault="005B48CD" w:rsidP="005B48CD">
            <w:pPr>
              <w:rPr>
                <w:rFonts w:ascii="Calibri" w:hAnsi="Calibri" w:cs="Calibri"/>
                <w:lang w:val="en-US"/>
              </w:rPr>
            </w:pPr>
          </w:p>
          <w:p w14:paraId="231419A3" w14:textId="77777777" w:rsidR="005B48CD" w:rsidRPr="00571E0B" w:rsidRDefault="005B48CD" w:rsidP="005B48CD">
            <w:pPr>
              <w:rPr>
                <w:rFonts w:ascii="Calibri" w:hAnsi="Calibri" w:cs="Calibri"/>
                <w:lang w:val="en-US"/>
              </w:rPr>
            </w:pPr>
            <w:r w:rsidRPr="00571E0B">
              <w:rPr>
                <w:rFonts w:ascii="Calibri" w:hAnsi="Calibri" w:cs="Calibri"/>
                <w:lang w:val="en-US"/>
              </w:rPr>
              <w:t xml:space="preserve">Work has commenced on reviewing the mechanism for collecting client feedback on service provision. The vacant Media and IT officer positions identified as key operational positions and NQLC actively recruiting – appointments due October 2024. </w:t>
            </w:r>
          </w:p>
          <w:p w14:paraId="552850E3" w14:textId="77777777" w:rsidR="005B48CD" w:rsidRPr="00571E0B" w:rsidRDefault="005B48CD" w:rsidP="005B48CD">
            <w:pPr>
              <w:rPr>
                <w:rFonts w:ascii="Calibri" w:hAnsi="Calibri" w:cs="Calibri"/>
                <w:lang w:val="en-US"/>
              </w:rPr>
            </w:pPr>
          </w:p>
          <w:p w14:paraId="5C1E16CF" w14:textId="06B40A08" w:rsidR="00E71A89" w:rsidRDefault="005B48CD" w:rsidP="005B48CD">
            <w:pPr>
              <w:jc w:val="both"/>
            </w:pPr>
            <w:r w:rsidRPr="00571E0B">
              <w:rPr>
                <w:rFonts w:ascii="Calibri" w:hAnsi="Calibri" w:cs="Calibri"/>
                <w:lang w:val="en-US"/>
              </w:rPr>
              <w:t>A formal client satisfaction survey mechanism will be created by June 30</w:t>
            </w:r>
            <w:proofErr w:type="gramStart"/>
            <w:r w:rsidRPr="00571E0B">
              <w:rPr>
                <w:rFonts w:ascii="Calibri" w:hAnsi="Calibri" w:cs="Calibri"/>
                <w:lang w:val="en-US"/>
              </w:rPr>
              <w:t xml:space="preserve"> 2025</w:t>
            </w:r>
            <w:proofErr w:type="gramEnd"/>
            <w:r w:rsidRPr="00571E0B">
              <w:rPr>
                <w:rFonts w:ascii="Calibri" w:hAnsi="Calibri" w:cs="Calibri"/>
                <w:lang w:val="en-US"/>
              </w:rPr>
              <w:t>.</w:t>
            </w:r>
          </w:p>
        </w:tc>
      </w:tr>
      <w:tr w:rsidR="006A75FC" w14:paraId="77821676" w14:textId="77777777" w:rsidTr="008F7DBE">
        <w:trPr>
          <w:cantSplit/>
        </w:trPr>
        <w:tc>
          <w:tcPr>
            <w:tcW w:w="9016" w:type="dxa"/>
          </w:tcPr>
          <w:p w14:paraId="721DACFB" w14:textId="5F776311" w:rsidR="006A75FC" w:rsidRDefault="00AA46F2" w:rsidP="00AA46F2">
            <w:r w:rsidRPr="00331BCF">
              <w:rPr>
                <w:rFonts w:ascii="Calibri" w:hAnsi="Calibri" w:cs="Calibri"/>
                <w:b/>
                <w:bCs/>
                <w:lang w:val="en-US"/>
              </w:rPr>
              <w:t>Rec 2</w:t>
            </w:r>
            <w:r>
              <w:rPr>
                <w:rFonts w:ascii="Calibri" w:hAnsi="Calibri" w:cs="Calibri"/>
                <w:lang w:val="en-US"/>
              </w:rPr>
              <w:t xml:space="preserve"> </w:t>
            </w:r>
            <w:r w:rsidRPr="00331BCF">
              <w:rPr>
                <w:rFonts w:ascii="Calibri" w:hAnsi="Calibri" w:cs="Calibri"/>
                <w:lang w:val="en-US"/>
              </w:rPr>
              <w:t>Continue to liaise and communicate openly with Queensland Government representatives to ensure that claims progress efficiently.</w:t>
            </w:r>
            <w:r w:rsidRPr="00331BCF">
              <w:rPr>
                <w:rFonts w:ascii="Calibri" w:hAnsi="Calibri" w:cs="Calibri"/>
              </w:rPr>
              <w:t> </w:t>
            </w:r>
          </w:p>
        </w:tc>
      </w:tr>
      <w:tr w:rsidR="006A75FC" w14:paraId="4ADB70F1" w14:textId="77777777" w:rsidTr="008F7DBE">
        <w:trPr>
          <w:cantSplit/>
        </w:trPr>
        <w:tc>
          <w:tcPr>
            <w:tcW w:w="9016" w:type="dxa"/>
          </w:tcPr>
          <w:p w14:paraId="7E4F715D" w14:textId="77777777" w:rsidR="006A75FC" w:rsidRDefault="00AA46F2" w:rsidP="00D6792F">
            <w:pPr>
              <w:jc w:val="both"/>
              <w:rPr>
                <w:rFonts w:ascii="Calibri" w:hAnsi="Calibri" w:cs="Calibri"/>
                <w:b/>
                <w:bCs/>
              </w:rPr>
            </w:pPr>
            <w:r w:rsidRPr="00AA46F2">
              <w:rPr>
                <w:rFonts w:ascii="Calibri" w:hAnsi="Calibri" w:cs="Calibri"/>
                <w:b/>
                <w:bCs/>
              </w:rPr>
              <w:t>Response</w:t>
            </w:r>
          </w:p>
          <w:p w14:paraId="35AF98BB" w14:textId="77777777" w:rsidR="00C146CB" w:rsidRDefault="00C146CB" w:rsidP="00C146CB">
            <w:pPr>
              <w:rPr>
                <w:rFonts w:ascii="Calibri" w:hAnsi="Calibri" w:cs="Calibri"/>
                <w:lang w:val="en-US"/>
              </w:rPr>
            </w:pPr>
            <w:r>
              <w:rPr>
                <w:rFonts w:ascii="Calibri" w:hAnsi="Calibri" w:cs="Calibri"/>
                <w:lang w:val="en-US"/>
              </w:rPr>
              <w:t xml:space="preserve">Accepted. </w:t>
            </w:r>
          </w:p>
          <w:p w14:paraId="2C830FD5" w14:textId="77777777" w:rsidR="00C146CB" w:rsidRDefault="00C146CB" w:rsidP="00C146CB">
            <w:pPr>
              <w:rPr>
                <w:rFonts w:ascii="Calibri" w:hAnsi="Calibri" w:cs="Calibri"/>
                <w:lang w:val="en-US"/>
              </w:rPr>
            </w:pPr>
            <w:r>
              <w:rPr>
                <w:rFonts w:ascii="Calibri" w:hAnsi="Calibri" w:cs="Calibri"/>
                <w:lang w:val="en-US"/>
              </w:rPr>
              <w:t xml:space="preserve">Implemented. </w:t>
            </w:r>
          </w:p>
          <w:p w14:paraId="3B032650" w14:textId="77777777" w:rsidR="00C146CB" w:rsidRDefault="00C146CB" w:rsidP="00C146CB">
            <w:pPr>
              <w:rPr>
                <w:rFonts w:ascii="Calibri" w:hAnsi="Calibri" w:cs="Calibri"/>
                <w:lang w:val="en-US"/>
              </w:rPr>
            </w:pPr>
          </w:p>
          <w:p w14:paraId="02E18CEE" w14:textId="77777777" w:rsidR="00C146CB" w:rsidRDefault="00C146CB" w:rsidP="00C146CB">
            <w:pPr>
              <w:rPr>
                <w:rFonts w:ascii="Calibri" w:hAnsi="Calibri" w:cs="Calibri"/>
              </w:rPr>
            </w:pPr>
            <w:r w:rsidRPr="00AB5AFA">
              <w:rPr>
                <w:rFonts w:ascii="Calibri" w:hAnsi="Calibri" w:cs="Calibri"/>
              </w:rPr>
              <w:t>Regular meetings held with State and other NTRB-SPs to maintain open communication and address issues as related to our state jurisdiction. </w:t>
            </w:r>
          </w:p>
          <w:p w14:paraId="21E82CFA" w14:textId="77777777" w:rsidR="00C146CB" w:rsidRPr="00AB5AFA" w:rsidRDefault="00C146CB" w:rsidP="00C146CB">
            <w:pPr>
              <w:rPr>
                <w:rFonts w:ascii="Calibri" w:hAnsi="Calibri" w:cs="Calibri"/>
              </w:rPr>
            </w:pPr>
            <w:r w:rsidRPr="00AB5AFA">
              <w:rPr>
                <w:rFonts w:ascii="Calibri" w:hAnsi="Calibri" w:cs="Calibri"/>
              </w:rPr>
              <w:t> </w:t>
            </w:r>
          </w:p>
          <w:p w14:paraId="54A4A1AE" w14:textId="6312343C" w:rsidR="00AA46F2" w:rsidRPr="00AA46F2" w:rsidRDefault="00C146CB" w:rsidP="00C146CB">
            <w:pPr>
              <w:jc w:val="both"/>
              <w:rPr>
                <w:rFonts w:ascii="Calibri" w:hAnsi="Calibri" w:cs="Calibri"/>
                <w:b/>
                <w:bCs/>
              </w:rPr>
            </w:pPr>
            <w:r w:rsidRPr="00AB5AFA">
              <w:rPr>
                <w:rFonts w:ascii="Calibri" w:hAnsi="Calibri" w:cs="Calibri"/>
                <w:lang w:val="en-US"/>
              </w:rPr>
              <w:t>Risk identified with State Election in 2024 and high prospect of change of government and legislative changes. Risk management will include NQLC and collective Queensland Representative Body Alliance (QRBA) developing strategies and continuing to work closely with Qld Government.</w:t>
            </w:r>
          </w:p>
        </w:tc>
      </w:tr>
      <w:tr w:rsidR="006A75FC" w14:paraId="1B677806" w14:textId="77777777" w:rsidTr="008F7DBE">
        <w:trPr>
          <w:cantSplit/>
        </w:trPr>
        <w:tc>
          <w:tcPr>
            <w:tcW w:w="9016" w:type="dxa"/>
          </w:tcPr>
          <w:p w14:paraId="5F88BA7F" w14:textId="4456D5BE" w:rsidR="006A75FC" w:rsidRPr="00AA46F2" w:rsidRDefault="00C40797" w:rsidP="00D6792F">
            <w:pPr>
              <w:jc w:val="both"/>
              <w:rPr>
                <w:rFonts w:ascii="Calibri" w:hAnsi="Calibri" w:cs="Calibri"/>
              </w:rPr>
            </w:pPr>
            <w:r w:rsidRPr="00331BCF">
              <w:rPr>
                <w:rFonts w:ascii="Calibri" w:hAnsi="Calibri" w:cs="Calibri"/>
                <w:b/>
                <w:bCs/>
                <w:lang w:val="en-US"/>
              </w:rPr>
              <w:t>Rec 3</w:t>
            </w:r>
            <w:r>
              <w:rPr>
                <w:rFonts w:ascii="Calibri" w:hAnsi="Calibri" w:cs="Calibri"/>
                <w:lang w:val="en-US"/>
              </w:rPr>
              <w:t xml:space="preserve"> </w:t>
            </w:r>
            <w:proofErr w:type="spellStart"/>
            <w:r w:rsidRPr="00331BCF">
              <w:rPr>
                <w:rFonts w:ascii="Calibri" w:hAnsi="Calibri" w:cs="Calibri"/>
                <w:lang w:val="en-US"/>
              </w:rPr>
              <w:t>Prioritise</w:t>
            </w:r>
            <w:proofErr w:type="spellEnd"/>
            <w:r w:rsidRPr="00331BCF">
              <w:rPr>
                <w:rFonts w:ascii="Calibri" w:hAnsi="Calibri" w:cs="Calibri"/>
                <w:lang w:val="en-US"/>
              </w:rPr>
              <w:t xml:space="preserve"> the recruitment of sufficient anthropology staff to ensure that research supports the progress of claims and is well understood by claimants.</w:t>
            </w:r>
          </w:p>
        </w:tc>
      </w:tr>
      <w:tr w:rsidR="00C40797" w14:paraId="581CCCD1" w14:textId="77777777" w:rsidTr="008F7DBE">
        <w:trPr>
          <w:cantSplit/>
        </w:trPr>
        <w:tc>
          <w:tcPr>
            <w:tcW w:w="9016" w:type="dxa"/>
          </w:tcPr>
          <w:p w14:paraId="5DF0AAB7" w14:textId="77777777" w:rsidR="00C40797" w:rsidRDefault="00F33DCE" w:rsidP="00D6792F">
            <w:pPr>
              <w:jc w:val="both"/>
              <w:rPr>
                <w:rFonts w:ascii="Calibri" w:hAnsi="Calibri" w:cs="Calibri"/>
                <w:b/>
                <w:bCs/>
                <w:lang w:val="en-US"/>
              </w:rPr>
            </w:pPr>
            <w:r>
              <w:rPr>
                <w:rFonts w:ascii="Calibri" w:hAnsi="Calibri" w:cs="Calibri"/>
                <w:b/>
                <w:bCs/>
                <w:lang w:val="en-US"/>
              </w:rPr>
              <w:t>Response</w:t>
            </w:r>
          </w:p>
          <w:p w14:paraId="74D212A8" w14:textId="77777777" w:rsidR="00F33DCE" w:rsidRDefault="00F33DCE" w:rsidP="00F33DCE">
            <w:pPr>
              <w:rPr>
                <w:rFonts w:ascii="Calibri" w:hAnsi="Calibri" w:cs="Calibri"/>
                <w:lang w:val="en-US"/>
              </w:rPr>
            </w:pPr>
            <w:r>
              <w:rPr>
                <w:rFonts w:ascii="Calibri" w:hAnsi="Calibri" w:cs="Calibri"/>
                <w:lang w:val="en-US"/>
              </w:rPr>
              <w:t xml:space="preserve">Accepted. </w:t>
            </w:r>
          </w:p>
          <w:p w14:paraId="7D648DE5" w14:textId="77777777" w:rsidR="00F33DCE" w:rsidRDefault="00F33DCE" w:rsidP="00F33DCE">
            <w:pPr>
              <w:rPr>
                <w:rFonts w:ascii="Calibri" w:hAnsi="Calibri" w:cs="Calibri"/>
                <w:lang w:val="en-US"/>
              </w:rPr>
            </w:pPr>
            <w:r>
              <w:rPr>
                <w:rFonts w:ascii="Calibri" w:hAnsi="Calibri" w:cs="Calibri"/>
                <w:lang w:val="en-US"/>
              </w:rPr>
              <w:t>Implemented in part.</w:t>
            </w:r>
          </w:p>
          <w:p w14:paraId="3A22B19D" w14:textId="46E5EA91" w:rsidR="00F33DCE" w:rsidRDefault="00F33DCE" w:rsidP="00F33DCE">
            <w:pPr>
              <w:rPr>
                <w:rFonts w:ascii="Calibri" w:hAnsi="Calibri" w:cs="Calibri"/>
                <w:lang w:val="en-US"/>
              </w:rPr>
            </w:pPr>
            <w:r>
              <w:rPr>
                <w:rFonts w:ascii="Calibri" w:hAnsi="Calibri" w:cs="Calibri"/>
                <w:lang w:val="en-US"/>
              </w:rPr>
              <w:t xml:space="preserve"> </w:t>
            </w:r>
          </w:p>
          <w:p w14:paraId="6004B42B" w14:textId="77777777" w:rsidR="00F33DCE" w:rsidRDefault="00F33DCE" w:rsidP="00F33DCE">
            <w:pPr>
              <w:rPr>
                <w:rFonts w:ascii="Calibri" w:hAnsi="Calibri" w:cs="Calibri"/>
              </w:rPr>
            </w:pPr>
            <w:r w:rsidRPr="00827FD9">
              <w:rPr>
                <w:rFonts w:ascii="Calibri" w:hAnsi="Calibri" w:cs="Calibri"/>
              </w:rPr>
              <w:t>The recruitment process is active. There is a national shortage of Anthropologists which is the situation impacting the sector. Work will continue for the foreseeable future. Will be reviewed in 12 months. </w:t>
            </w:r>
          </w:p>
          <w:p w14:paraId="63C89D29" w14:textId="77777777" w:rsidR="00F33DCE" w:rsidRPr="00827FD9" w:rsidRDefault="00F33DCE" w:rsidP="00F33DCE">
            <w:pPr>
              <w:rPr>
                <w:rFonts w:ascii="Calibri" w:hAnsi="Calibri" w:cs="Calibri"/>
              </w:rPr>
            </w:pPr>
          </w:p>
          <w:p w14:paraId="33301EDD" w14:textId="2F80B12F" w:rsidR="00F33DCE" w:rsidRPr="00331BCF" w:rsidRDefault="00F33DCE" w:rsidP="00F33DCE">
            <w:pPr>
              <w:jc w:val="both"/>
              <w:rPr>
                <w:rFonts w:ascii="Calibri" w:hAnsi="Calibri" w:cs="Calibri"/>
                <w:b/>
                <w:bCs/>
                <w:lang w:val="en-US"/>
              </w:rPr>
            </w:pPr>
            <w:r w:rsidRPr="00827FD9">
              <w:rPr>
                <w:rFonts w:ascii="Calibri" w:hAnsi="Calibri" w:cs="Calibri"/>
              </w:rPr>
              <w:t>Current Anthropologists continue to tackle the workload and incorporate their findings into the research to progress of claims. Every undertaking is afforded to assist claimants to understand the role of Anthropologists and associated processes to progress the claims.</w:t>
            </w:r>
          </w:p>
        </w:tc>
      </w:tr>
      <w:tr w:rsidR="00C40797" w14:paraId="36CA3363" w14:textId="77777777" w:rsidTr="008F7DBE">
        <w:trPr>
          <w:cantSplit/>
        </w:trPr>
        <w:tc>
          <w:tcPr>
            <w:tcW w:w="9016" w:type="dxa"/>
            <w:shd w:val="clear" w:color="auto" w:fill="C1E4F5" w:themeFill="accent1" w:themeFillTint="33"/>
          </w:tcPr>
          <w:p w14:paraId="2CD30742" w14:textId="67E88946" w:rsidR="00C40797" w:rsidRPr="00331BCF" w:rsidRDefault="00531C43" w:rsidP="00531C43">
            <w:pPr>
              <w:rPr>
                <w:rFonts w:ascii="Calibri" w:hAnsi="Calibri" w:cs="Calibri"/>
                <w:b/>
                <w:bCs/>
                <w:lang w:val="en-US"/>
              </w:rPr>
            </w:pPr>
            <w:r w:rsidRPr="00C922AF">
              <w:rPr>
                <w:rFonts w:ascii="Calibri" w:hAnsi="Calibri" w:cs="Calibri"/>
                <w:b/>
                <w:bCs/>
                <w:lang w:val="en-US"/>
              </w:rPr>
              <w:t>TOR 2</w:t>
            </w:r>
            <w:r w:rsidRPr="00C922AF">
              <w:rPr>
                <w:rFonts w:ascii="Calibri" w:hAnsi="Calibri" w:cs="Calibri"/>
                <w:lang w:val="en-US"/>
              </w:rPr>
              <w:t xml:space="preserve"> </w:t>
            </w:r>
            <w:r w:rsidRPr="00C922AF">
              <w:rPr>
                <w:rFonts w:ascii="Calibri" w:hAnsi="Calibri" w:cs="Calibri"/>
                <w:lang w:val="en-GB"/>
              </w:rPr>
              <w:t>Extent to which each organisation assesses and prioritises applications for assistance in a manner that is equitable, transparent, and robust</w:t>
            </w:r>
            <w:r>
              <w:rPr>
                <w:rFonts w:ascii="Calibri" w:hAnsi="Calibri" w:cs="Calibri"/>
                <w:lang w:val="en-GB"/>
              </w:rPr>
              <w:t>,</w:t>
            </w:r>
            <w:r w:rsidRPr="00C922AF">
              <w:rPr>
                <w:rFonts w:ascii="Calibri" w:hAnsi="Calibri" w:cs="Calibri"/>
                <w:lang w:val="en-GB"/>
              </w:rPr>
              <w:t xml:space="preserve"> and is well publicised and understood by clients and potential clients.</w:t>
            </w:r>
            <w:r w:rsidRPr="00C922AF">
              <w:rPr>
                <w:rFonts w:ascii="Calibri" w:hAnsi="Calibri" w:cs="Calibri"/>
              </w:rPr>
              <w:t> </w:t>
            </w:r>
            <w:r w:rsidR="006579C4" w:rsidRPr="006579C4">
              <w:rPr>
                <w:rFonts w:ascii="Calibri" w:hAnsi="Calibri" w:cs="Calibri"/>
                <w:b/>
                <w:bCs/>
              </w:rPr>
              <w:t>(Rec 4)</w:t>
            </w:r>
          </w:p>
        </w:tc>
      </w:tr>
      <w:tr w:rsidR="00C40797" w14:paraId="120555B2" w14:textId="77777777" w:rsidTr="008F7DBE">
        <w:trPr>
          <w:cantSplit/>
        </w:trPr>
        <w:tc>
          <w:tcPr>
            <w:tcW w:w="9016" w:type="dxa"/>
          </w:tcPr>
          <w:p w14:paraId="1F425B01" w14:textId="77777777" w:rsidR="001663B3" w:rsidRPr="00A17E0B" w:rsidRDefault="001663B3" w:rsidP="001663B3">
            <w:pPr>
              <w:jc w:val="both"/>
              <w:rPr>
                <w:rFonts w:ascii="Calibri" w:hAnsi="Calibri" w:cs="Calibri"/>
              </w:rPr>
            </w:pPr>
            <w:r w:rsidRPr="00331BCF">
              <w:rPr>
                <w:rFonts w:ascii="Calibri" w:hAnsi="Calibri" w:cs="Calibri"/>
                <w:b/>
                <w:bCs/>
                <w:lang w:val="en-US"/>
              </w:rPr>
              <w:lastRenderedPageBreak/>
              <w:t>Rec 4</w:t>
            </w:r>
            <w:r>
              <w:rPr>
                <w:rFonts w:ascii="Calibri" w:hAnsi="Calibri" w:cs="Calibri"/>
                <w:lang w:val="en-US"/>
              </w:rPr>
              <w:t xml:space="preserve"> </w:t>
            </w:r>
            <w:r w:rsidRPr="00A17E0B">
              <w:rPr>
                <w:rFonts w:ascii="Calibri" w:hAnsi="Calibri" w:cs="Calibri"/>
                <w:lang w:val="en-US"/>
              </w:rPr>
              <w:t xml:space="preserve">Review and confirm the NQLC’s assessment and </w:t>
            </w:r>
            <w:proofErr w:type="spellStart"/>
            <w:r w:rsidRPr="00A17E0B">
              <w:rPr>
                <w:rFonts w:ascii="Calibri" w:hAnsi="Calibri" w:cs="Calibri"/>
                <w:lang w:val="en-US"/>
              </w:rPr>
              <w:t>prioritisation</w:t>
            </w:r>
            <w:proofErr w:type="spellEnd"/>
            <w:r w:rsidRPr="00A17E0B">
              <w:rPr>
                <w:rFonts w:ascii="Calibri" w:hAnsi="Calibri" w:cs="Calibri"/>
                <w:lang w:val="en-US"/>
              </w:rPr>
              <w:t xml:space="preserve"> decision-making policy and process, ensuring that it is documented clearly and transparently. The updated policy should include the factors considered when making decisions in relation to the:</w:t>
            </w:r>
            <w:r w:rsidRPr="00A17E0B">
              <w:rPr>
                <w:rFonts w:ascii="Calibri" w:hAnsi="Calibri" w:cs="Calibri"/>
              </w:rPr>
              <w:t> </w:t>
            </w:r>
          </w:p>
          <w:p w14:paraId="4FAA04F0" w14:textId="77777777" w:rsidR="001663B3" w:rsidRPr="00F742FD" w:rsidRDefault="001663B3" w:rsidP="00F742FD">
            <w:pPr>
              <w:pStyle w:val="ListParagraph"/>
              <w:numPr>
                <w:ilvl w:val="0"/>
                <w:numId w:val="4"/>
              </w:numPr>
              <w:jc w:val="both"/>
              <w:rPr>
                <w:rFonts w:ascii="Calibri" w:hAnsi="Calibri" w:cs="Calibri"/>
              </w:rPr>
            </w:pPr>
            <w:r w:rsidRPr="00F742FD">
              <w:rPr>
                <w:rFonts w:ascii="Calibri" w:hAnsi="Calibri" w:cs="Calibri"/>
              </w:rPr>
              <w:t xml:space="preserve">Initial decision to </w:t>
            </w:r>
            <w:proofErr w:type="gramStart"/>
            <w:r w:rsidRPr="00F742FD">
              <w:rPr>
                <w:rFonts w:ascii="Calibri" w:hAnsi="Calibri" w:cs="Calibri"/>
              </w:rPr>
              <w:t>provide assistance</w:t>
            </w:r>
            <w:proofErr w:type="gramEnd"/>
            <w:r w:rsidRPr="00F742FD">
              <w:rPr>
                <w:rFonts w:ascii="Calibri" w:hAnsi="Calibri" w:cs="Calibri"/>
              </w:rPr>
              <w:t>. </w:t>
            </w:r>
          </w:p>
          <w:p w14:paraId="488C5848" w14:textId="77777777" w:rsidR="001663B3" w:rsidRPr="00F742FD" w:rsidRDefault="001663B3" w:rsidP="00F742FD">
            <w:pPr>
              <w:pStyle w:val="ListParagraph"/>
              <w:numPr>
                <w:ilvl w:val="0"/>
                <w:numId w:val="4"/>
              </w:numPr>
              <w:jc w:val="both"/>
              <w:rPr>
                <w:rFonts w:ascii="Calibri" w:hAnsi="Calibri" w:cs="Calibri"/>
              </w:rPr>
            </w:pPr>
            <w:proofErr w:type="spellStart"/>
            <w:r w:rsidRPr="00F742FD">
              <w:rPr>
                <w:rFonts w:ascii="Calibri" w:hAnsi="Calibri" w:cs="Calibri"/>
                <w:lang w:val="en-US"/>
              </w:rPr>
              <w:t>Prioritisation</w:t>
            </w:r>
            <w:proofErr w:type="spellEnd"/>
            <w:r w:rsidRPr="00F742FD">
              <w:rPr>
                <w:rFonts w:ascii="Calibri" w:hAnsi="Calibri" w:cs="Calibri"/>
                <w:lang w:val="en-US"/>
              </w:rPr>
              <w:t xml:space="preserve"> of different claims/matters.</w:t>
            </w:r>
            <w:r w:rsidRPr="00F742FD">
              <w:rPr>
                <w:rFonts w:ascii="Calibri" w:hAnsi="Calibri" w:cs="Calibri"/>
              </w:rPr>
              <w:t> </w:t>
            </w:r>
          </w:p>
          <w:p w14:paraId="4B23ADFA" w14:textId="77777777" w:rsidR="001663B3" w:rsidRPr="00F742FD" w:rsidRDefault="001663B3" w:rsidP="00F742FD">
            <w:pPr>
              <w:pStyle w:val="ListParagraph"/>
              <w:numPr>
                <w:ilvl w:val="0"/>
                <w:numId w:val="4"/>
              </w:numPr>
              <w:jc w:val="both"/>
              <w:rPr>
                <w:rFonts w:ascii="Calibri" w:hAnsi="Calibri" w:cs="Calibri"/>
              </w:rPr>
            </w:pPr>
            <w:r w:rsidRPr="00F742FD">
              <w:rPr>
                <w:rFonts w:ascii="Calibri" w:hAnsi="Calibri" w:cs="Calibri"/>
                <w:lang w:val="en-US"/>
              </w:rPr>
              <w:t>Interactions of these factors with resourcing decisions.</w:t>
            </w:r>
            <w:r w:rsidRPr="00F742FD">
              <w:rPr>
                <w:rFonts w:ascii="Calibri" w:hAnsi="Calibri" w:cs="Calibri"/>
              </w:rPr>
              <w:t> </w:t>
            </w:r>
          </w:p>
          <w:p w14:paraId="68AEB93D" w14:textId="32D63845" w:rsidR="00C40797" w:rsidRPr="00331BCF" w:rsidRDefault="001663B3" w:rsidP="001663B3">
            <w:pPr>
              <w:jc w:val="both"/>
              <w:rPr>
                <w:rFonts w:ascii="Calibri" w:hAnsi="Calibri" w:cs="Calibri"/>
                <w:b/>
                <w:bCs/>
                <w:lang w:val="en-US"/>
              </w:rPr>
            </w:pPr>
            <w:r w:rsidRPr="00A17E0B">
              <w:rPr>
                <w:rFonts w:ascii="Calibri" w:hAnsi="Calibri" w:cs="Calibri"/>
                <w:lang w:val="en-US"/>
              </w:rPr>
              <w:t>Once confirmed, communicate this policy and process to internal and external stakeholders, including publicly (for example, by publishing the process on the NQLC website) and for individual decisions (for example, by sharing the reasoning for decisions with relevant parties).</w:t>
            </w:r>
          </w:p>
        </w:tc>
      </w:tr>
      <w:tr w:rsidR="00C40797" w14:paraId="4024487B" w14:textId="77777777" w:rsidTr="008F7DBE">
        <w:trPr>
          <w:cantSplit/>
        </w:trPr>
        <w:tc>
          <w:tcPr>
            <w:tcW w:w="9016" w:type="dxa"/>
          </w:tcPr>
          <w:p w14:paraId="666682CC" w14:textId="77777777" w:rsidR="00C40797" w:rsidRDefault="001663B3" w:rsidP="00D6792F">
            <w:pPr>
              <w:jc w:val="both"/>
              <w:rPr>
                <w:rFonts w:ascii="Calibri" w:hAnsi="Calibri" w:cs="Calibri"/>
                <w:b/>
                <w:bCs/>
                <w:lang w:val="en-US"/>
              </w:rPr>
            </w:pPr>
            <w:r>
              <w:rPr>
                <w:rFonts w:ascii="Calibri" w:hAnsi="Calibri" w:cs="Calibri"/>
                <w:b/>
                <w:bCs/>
                <w:lang w:val="en-US"/>
              </w:rPr>
              <w:t>Response</w:t>
            </w:r>
          </w:p>
          <w:p w14:paraId="1F74A7AA" w14:textId="77777777" w:rsidR="001B048F" w:rsidRDefault="001B048F" w:rsidP="001B048F">
            <w:pPr>
              <w:jc w:val="both"/>
              <w:rPr>
                <w:rFonts w:ascii="Calibri" w:hAnsi="Calibri" w:cs="Calibri"/>
                <w:lang w:val="en-US"/>
              </w:rPr>
            </w:pPr>
            <w:r>
              <w:rPr>
                <w:rFonts w:ascii="Calibri" w:hAnsi="Calibri" w:cs="Calibri"/>
                <w:lang w:val="en-US"/>
              </w:rPr>
              <w:t xml:space="preserve">Accepted. </w:t>
            </w:r>
          </w:p>
          <w:p w14:paraId="5950F42E" w14:textId="77777777" w:rsidR="001B048F" w:rsidRDefault="001B048F" w:rsidP="001B048F">
            <w:pPr>
              <w:jc w:val="both"/>
              <w:rPr>
                <w:rFonts w:ascii="Calibri" w:hAnsi="Calibri" w:cs="Calibri"/>
                <w:lang w:val="en-US"/>
              </w:rPr>
            </w:pPr>
            <w:r>
              <w:rPr>
                <w:rFonts w:ascii="Calibri" w:hAnsi="Calibri" w:cs="Calibri"/>
                <w:lang w:val="en-US"/>
              </w:rPr>
              <w:t xml:space="preserve">Yet to be implemented. </w:t>
            </w:r>
          </w:p>
          <w:p w14:paraId="11B4773C" w14:textId="77777777" w:rsidR="001B048F" w:rsidRDefault="001B048F" w:rsidP="001B048F">
            <w:pPr>
              <w:jc w:val="both"/>
              <w:rPr>
                <w:rFonts w:ascii="Calibri" w:hAnsi="Calibri" w:cs="Calibri"/>
                <w:lang w:val="en-US"/>
              </w:rPr>
            </w:pPr>
          </w:p>
          <w:p w14:paraId="50EA1B40" w14:textId="534EE933" w:rsidR="001663B3" w:rsidRPr="00331BCF" w:rsidRDefault="001B048F" w:rsidP="001B048F">
            <w:pPr>
              <w:jc w:val="both"/>
              <w:rPr>
                <w:rFonts w:ascii="Calibri" w:hAnsi="Calibri" w:cs="Calibri"/>
                <w:b/>
                <w:bCs/>
                <w:lang w:val="en-US"/>
              </w:rPr>
            </w:pPr>
            <w:r w:rsidRPr="006B1486">
              <w:rPr>
                <w:rFonts w:ascii="Calibri" w:hAnsi="Calibri" w:cs="Calibri"/>
              </w:rPr>
              <w:t>The PLO position was vacant for an extended period and the APLO was focused on keeping the active matters and responding to day-to-day operational priorities. New PLO was appointed 20</w:t>
            </w:r>
            <w:r w:rsidRPr="006B1486">
              <w:rPr>
                <w:rFonts w:ascii="Calibri" w:hAnsi="Calibri" w:cs="Calibri"/>
                <w:vertAlign w:val="superscript"/>
              </w:rPr>
              <w:t>th</w:t>
            </w:r>
            <w:r w:rsidRPr="006B1486">
              <w:rPr>
                <w:rFonts w:ascii="Calibri" w:hAnsi="Calibri" w:cs="Calibri"/>
              </w:rPr>
              <w:t xml:space="preserve"> May 2024 and is keen to address this in her initial review (first 3-6months) and then drafting a policy by June 2025 - completion December 2025. </w:t>
            </w:r>
          </w:p>
        </w:tc>
      </w:tr>
      <w:tr w:rsidR="00C40797" w14:paraId="414C8AC2" w14:textId="77777777" w:rsidTr="008F7DBE">
        <w:trPr>
          <w:cantSplit/>
        </w:trPr>
        <w:tc>
          <w:tcPr>
            <w:tcW w:w="9016" w:type="dxa"/>
            <w:shd w:val="clear" w:color="auto" w:fill="C1E4F5" w:themeFill="accent1" w:themeFillTint="33"/>
          </w:tcPr>
          <w:p w14:paraId="78932DAF" w14:textId="576ECC2F" w:rsidR="00C40797" w:rsidRPr="00331BCF" w:rsidRDefault="003157BA" w:rsidP="003157BA">
            <w:pPr>
              <w:rPr>
                <w:rFonts w:ascii="Calibri" w:hAnsi="Calibri" w:cs="Calibri"/>
                <w:b/>
                <w:bCs/>
                <w:lang w:val="en-US"/>
              </w:rPr>
            </w:pPr>
            <w:r w:rsidRPr="00C922AF">
              <w:rPr>
                <w:rFonts w:ascii="Calibri" w:hAnsi="Calibri" w:cs="Calibri"/>
                <w:b/>
                <w:bCs/>
                <w:lang w:val="en-GB"/>
              </w:rPr>
              <w:t>TOR 3</w:t>
            </w:r>
            <w:r w:rsidRPr="00C922AF">
              <w:rPr>
                <w:rFonts w:ascii="Calibri" w:hAnsi="Calibri" w:cs="Calibri"/>
                <w:lang w:val="en-GB"/>
              </w:rPr>
              <w:t xml:space="preserve"> Extent to which each organisation deals respectfully, equitably, transparently and in a culturally appropriate manner with persons who hold or may hold native title in its region, including by adequately investigating and resolving complaints.</w:t>
            </w:r>
            <w:r w:rsidRPr="00C922AF">
              <w:rPr>
                <w:rFonts w:ascii="Calibri" w:hAnsi="Calibri" w:cs="Calibri"/>
              </w:rPr>
              <w:t> </w:t>
            </w:r>
            <w:r w:rsidR="006579C4" w:rsidRPr="006579C4">
              <w:rPr>
                <w:rFonts w:ascii="Calibri" w:hAnsi="Calibri" w:cs="Calibri"/>
                <w:b/>
                <w:bCs/>
              </w:rPr>
              <w:t xml:space="preserve">(Rec </w:t>
            </w:r>
            <w:r w:rsidR="006579C4">
              <w:rPr>
                <w:rFonts w:ascii="Calibri" w:hAnsi="Calibri" w:cs="Calibri"/>
                <w:b/>
                <w:bCs/>
              </w:rPr>
              <w:t>5-8</w:t>
            </w:r>
            <w:r w:rsidR="006579C4" w:rsidRPr="006579C4">
              <w:rPr>
                <w:rFonts w:ascii="Calibri" w:hAnsi="Calibri" w:cs="Calibri"/>
                <w:b/>
                <w:bCs/>
              </w:rPr>
              <w:t>)</w:t>
            </w:r>
          </w:p>
        </w:tc>
      </w:tr>
      <w:tr w:rsidR="00C40797" w14:paraId="5C770BCA" w14:textId="77777777" w:rsidTr="008F7DBE">
        <w:trPr>
          <w:cantSplit/>
        </w:trPr>
        <w:tc>
          <w:tcPr>
            <w:tcW w:w="9016" w:type="dxa"/>
          </w:tcPr>
          <w:p w14:paraId="1F8D6AB8" w14:textId="77777777" w:rsidR="00F742FD" w:rsidRPr="00217FE4" w:rsidRDefault="00F742FD" w:rsidP="00F742FD">
            <w:pPr>
              <w:rPr>
                <w:rFonts w:ascii="Calibri" w:hAnsi="Calibri" w:cs="Calibri"/>
              </w:rPr>
            </w:pPr>
            <w:r w:rsidRPr="00331BCF">
              <w:rPr>
                <w:rFonts w:ascii="Calibri" w:hAnsi="Calibri" w:cs="Calibri"/>
                <w:b/>
                <w:bCs/>
                <w:lang w:val="en-US"/>
              </w:rPr>
              <w:t>Rec 5</w:t>
            </w:r>
            <w:r>
              <w:rPr>
                <w:rFonts w:ascii="Calibri" w:hAnsi="Calibri" w:cs="Calibri"/>
                <w:lang w:val="en-US"/>
              </w:rPr>
              <w:t xml:space="preserve"> </w:t>
            </w:r>
            <w:r w:rsidRPr="00217FE4">
              <w:rPr>
                <w:rFonts w:ascii="Calibri" w:hAnsi="Calibri" w:cs="Calibri"/>
                <w:lang w:val="en-US"/>
              </w:rPr>
              <w:t xml:space="preserve">Introduce measures across the employee lifecycle to improve the NQLC’s </w:t>
            </w:r>
            <w:proofErr w:type="spellStart"/>
            <w:r w:rsidRPr="00217FE4">
              <w:rPr>
                <w:rFonts w:ascii="Calibri" w:hAnsi="Calibri" w:cs="Calibri"/>
                <w:lang w:val="en-US"/>
              </w:rPr>
              <w:t>organisational</w:t>
            </w:r>
            <w:proofErr w:type="spellEnd"/>
            <w:r w:rsidRPr="00217FE4">
              <w:rPr>
                <w:rFonts w:ascii="Calibri" w:hAnsi="Calibri" w:cs="Calibri"/>
                <w:lang w:val="en-US"/>
              </w:rPr>
              <w:t xml:space="preserve"> cultural competency, including but not limited to:</w:t>
            </w:r>
            <w:r w:rsidRPr="00217FE4">
              <w:rPr>
                <w:rFonts w:ascii="Calibri" w:hAnsi="Calibri" w:cs="Calibri"/>
              </w:rPr>
              <w:t> </w:t>
            </w:r>
          </w:p>
          <w:p w14:paraId="0F43CED7" w14:textId="77777777" w:rsidR="00F742FD" w:rsidRPr="00F742FD" w:rsidRDefault="00F742FD" w:rsidP="00F742FD">
            <w:pPr>
              <w:pStyle w:val="ListParagraph"/>
              <w:numPr>
                <w:ilvl w:val="0"/>
                <w:numId w:val="3"/>
              </w:numPr>
              <w:rPr>
                <w:rFonts w:ascii="Calibri" w:hAnsi="Calibri" w:cs="Calibri"/>
              </w:rPr>
            </w:pPr>
            <w:r w:rsidRPr="00F742FD">
              <w:rPr>
                <w:rFonts w:ascii="Calibri" w:hAnsi="Calibri" w:cs="Calibri"/>
                <w:lang w:val="en-US"/>
              </w:rPr>
              <w:t xml:space="preserve">Consideration of cultural competency in recruitment </w:t>
            </w:r>
            <w:proofErr w:type="gramStart"/>
            <w:r w:rsidRPr="00F742FD">
              <w:rPr>
                <w:rFonts w:ascii="Calibri" w:hAnsi="Calibri" w:cs="Calibri"/>
                <w:lang w:val="en-US"/>
              </w:rPr>
              <w:t>decisions;</w:t>
            </w:r>
            <w:proofErr w:type="gramEnd"/>
            <w:r w:rsidRPr="00F742FD">
              <w:rPr>
                <w:rFonts w:ascii="Calibri" w:hAnsi="Calibri" w:cs="Calibri"/>
              </w:rPr>
              <w:t> </w:t>
            </w:r>
          </w:p>
          <w:p w14:paraId="3762D836" w14:textId="77777777" w:rsidR="00F742FD" w:rsidRPr="00F742FD" w:rsidRDefault="00F742FD" w:rsidP="00F742FD">
            <w:pPr>
              <w:pStyle w:val="ListParagraph"/>
              <w:numPr>
                <w:ilvl w:val="0"/>
                <w:numId w:val="3"/>
              </w:numPr>
              <w:rPr>
                <w:rFonts w:ascii="Calibri" w:hAnsi="Calibri" w:cs="Calibri"/>
              </w:rPr>
            </w:pPr>
            <w:r w:rsidRPr="00F742FD">
              <w:rPr>
                <w:rFonts w:ascii="Calibri" w:hAnsi="Calibri" w:cs="Calibri"/>
                <w:lang w:val="en-US"/>
              </w:rPr>
              <w:t xml:space="preserve">Formal tailored cultural competency training for new starters and regular refresher training for existing </w:t>
            </w:r>
            <w:proofErr w:type="gramStart"/>
            <w:r w:rsidRPr="00F742FD">
              <w:rPr>
                <w:rFonts w:ascii="Calibri" w:hAnsi="Calibri" w:cs="Calibri"/>
                <w:lang w:val="en-US"/>
              </w:rPr>
              <w:t>staff;</w:t>
            </w:r>
            <w:proofErr w:type="gramEnd"/>
            <w:r w:rsidRPr="00F742FD">
              <w:rPr>
                <w:rFonts w:ascii="Calibri" w:hAnsi="Calibri" w:cs="Calibri"/>
              </w:rPr>
              <w:t> </w:t>
            </w:r>
          </w:p>
          <w:p w14:paraId="660D5BBE" w14:textId="77777777" w:rsidR="00F742FD" w:rsidRPr="00F742FD" w:rsidRDefault="00F742FD" w:rsidP="00F742FD">
            <w:pPr>
              <w:pStyle w:val="ListParagraph"/>
              <w:numPr>
                <w:ilvl w:val="0"/>
                <w:numId w:val="3"/>
              </w:numPr>
              <w:rPr>
                <w:rFonts w:ascii="Calibri" w:hAnsi="Calibri" w:cs="Calibri"/>
              </w:rPr>
            </w:pPr>
            <w:r w:rsidRPr="00F742FD">
              <w:rPr>
                <w:rFonts w:ascii="Calibri" w:hAnsi="Calibri" w:cs="Calibri"/>
              </w:rPr>
              <w:t xml:space="preserve">Easily accessible guidance on what respectful, transparent and culturally appropriate engagement looks like in </w:t>
            </w:r>
            <w:proofErr w:type="gramStart"/>
            <w:r w:rsidRPr="00F742FD">
              <w:rPr>
                <w:rFonts w:ascii="Calibri" w:hAnsi="Calibri" w:cs="Calibri"/>
              </w:rPr>
              <w:t>practice;</w:t>
            </w:r>
            <w:proofErr w:type="gramEnd"/>
            <w:r w:rsidRPr="00F742FD">
              <w:rPr>
                <w:rFonts w:ascii="Calibri" w:hAnsi="Calibri" w:cs="Calibri"/>
              </w:rPr>
              <w:t> </w:t>
            </w:r>
          </w:p>
          <w:p w14:paraId="298576D8" w14:textId="77777777" w:rsidR="00F742FD" w:rsidRPr="00F742FD" w:rsidRDefault="00F742FD" w:rsidP="00F742FD">
            <w:pPr>
              <w:pStyle w:val="ListParagraph"/>
              <w:numPr>
                <w:ilvl w:val="0"/>
                <w:numId w:val="3"/>
              </w:numPr>
              <w:rPr>
                <w:rFonts w:ascii="Calibri" w:hAnsi="Calibri" w:cs="Calibri"/>
              </w:rPr>
            </w:pPr>
            <w:r w:rsidRPr="00F742FD">
              <w:rPr>
                <w:rFonts w:ascii="Calibri" w:hAnsi="Calibri" w:cs="Calibri"/>
                <w:lang w:val="en-US"/>
              </w:rPr>
              <w:t xml:space="preserve">Visual, plain English resources about the native title process that staff can provide to </w:t>
            </w:r>
            <w:proofErr w:type="gramStart"/>
            <w:r w:rsidRPr="00F742FD">
              <w:rPr>
                <w:rFonts w:ascii="Calibri" w:hAnsi="Calibri" w:cs="Calibri"/>
                <w:lang w:val="en-US"/>
              </w:rPr>
              <w:t>clients;</w:t>
            </w:r>
            <w:proofErr w:type="gramEnd"/>
            <w:r w:rsidRPr="00F742FD">
              <w:rPr>
                <w:rFonts w:ascii="Calibri" w:hAnsi="Calibri" w:cs="Calibri"/>
              </w:rPr>
              <w:t> </w:t>
            </w:r>
          </w:p>
          <w:p w14:paraId="715B73D1" w14:textId="002D08C0" w:rsidR="00C40797" w:rsidRPr="00D128DC" w:rsidRDefault="00F742FD" w:rsidP="00D128DC">
            <w:pPr>
              <w:pStyle w:val="ListParagraph"/>
              <w:numPr>
                <w:ilvl w:val="0"/>
                <w:numId w:val="3"/>
              </w:numPr>
              <w:rPr>
                <w:rFonts w:ascii="Calibri" w:hAnsi="Calibri" w:cs="Calibri"/>
                <w:b/>
                <w:bCs/>
                <w:lang w:val="en-US"/>
              </w:rPr>
            </w:pPr>
            <w:r w:rsidRPr="00D128DC">
              <w:rPr>
                <w:rFonts w:ascii="Calibri" w:hAnsi="Calibri" w:cs="Calibri"/>
                <w:lang w:val="en-US"/>
              </w:rPr>
              <w:t>Increased numbers of Indigenous project officers and Indigenous people on NQLC staff more broadly.</w:t>
            </w:r>
            <w:r w:rsidRPr="00D128DC">
              <w:rPr>
                <w:rFonts w:ascii="Calibri" w:hAnsi="Calibri" w:cs="Calibri"/>
              </w:rPr>
              <w:t> </w:t>
            </w:r>
          </w:p>
        </w:tc>
      </w:tr>
      <w:tr w:rsidR="00C40797" w14:paraId="158C270C" w14:textId="77777777" w:rsidTr="008F7DBE">
        <w:trPr>
          <w:cantSplit/>
        </w:trPr>
        <w:tc>
          <w:tcPr>
            <w:tcW w:w="9016" w:type="dxa"/>
          </w:tcPr>
          <w:p w14:paraId="0C84E419" w14:textId="77777777" w:rsidR="00C40797" w:rsidRDefault="000A224A" w:rsidP="00D6792F">
            <w:pPr>
              <w:jc w:val="both"/>
              <w:rPr>
                <w:rFonts w:ascii="Calibri" w:hAnsi="Calibri" w:cs="Calibri"/>
                <w:b/>
                <w:bCs/>
                <w:lang w:val="en-US"/>
              </w:rPr>
            </w:pPr>
            <w:r>
              <w:rPr>
                <w:rFonts w:ascii="Calibri" w:hAnsi="Calibri" w:cs="Calibri"/>
                <w:b/>
                <w:bCs/>
                <w:lang w:val="en-US"/>
              </w:rPr>
              <w:t>Response</w:t>
            </w:r>
          </w:p>
          <w:p w14:paraId="3728D42D" w14:textId="77777777" w:rsidR="009A6CC9" w:rsidRDefault="009A6CC9" w:rsidP="009A6CC9">
            <w:pPr>
              <w:rPr>
                <w:rFonts w:ascii="Calibri" w:hAnsi="Calibri" w:cs="Calibri"/>
                <w:lang w:val="en-US"/>
              </w:rPr>
            </w:pPr>
            <w:r>
              <w:rPr>
                <w:rFonts w:ascii="Calibri" w:hAnsi="Calibri" w:cs="Calibri"/>
                <w:lang w:val="en-US"/>
              </w:rPr>
              <w:t xml:space="preserve">Accepted. </w:t>
            </w:r>
          </w:p>
          <w:p w14:paraId="3460A614" w14:textId="77777777" w:rsidR="009A6CC9" w:rsidRDefault="009A6CC9" w:rsidP="009A6CC9">
            <w:pPr>
              <w:rPr>
                <w:rFonts w:ascii="Calibri" w:hAnsi="Calibri" w:cs="Calibri"/>
                <w:lang w:val="en-US"/>
              </w:rPr>
            </w:pPr>
            <w:r>
              <w:rPr>
                <w:rFonts w:ascii="Calibri" w:hAnsi="Calibri" w:cs="Calibri"/>
                <w:lang w:val="en-US"/>
              </w:rPr>
              <w:t xml:space="preserve">Implemented in part. </w:t>
            </w:r>
          </w:p>
          <w:p w14:paraId="7AD01E09" w14:textId="77777777" w:rsidR="009A6CC9" w:rsidRDefault="009A6CC9" w:rsidP="009A6CC9">
            <w:pPr>
              <w:rPr>
                <w:rFonts w:ascii="Calibri" w:hAnsi="Calibri" w:cs="Calibri"/>
                <w:lang w:val="en-US"/>
              </w:rPr>
            </w:pPr>
          </w:p>
          <w:p w14:paraId="1D1D3822" w14:textId="77777777" w:rsidR="009A6CC9" w:rsidRDefault="009A6CC9" w:rsidP="009A6CC9">
            <w:pPr>
              <w:rPr>
                <w:rFonts w:ascii="Calibri" w:hAnsi="Calibri" w:cs="Calibri"/>
              </w:rPr>
            </w:pPr>
            <w:r w:rsidRPr="00980CE7">
              <w:rPr>
                <w:rFonts w:ascii="Calibri" w:hAnsi="Calibri" w:cs="Calibri"/>
              </w:rPr>
              <w:t>Vacancies in key positions has hindered progress past initial scoping. Actions identified to develop and finalise a policy document.  </w:t>
            </w:r>
          </w:p>
          <w:p w14:paraId="04FF2362" w14:textId="77777777" w:rsidR="009A6CC9" w:rsidRPr="00980CE7" w:rsidRDefault="009A6CC9" w:rsidP="009A6CC9">
            <w:pPr>
              <w:rPr>
                <w:rFonts w:ascii="Calibri" w:hAnsi="Calibri" w:cs="Calibri"/>
              </w:rPr>
            </w:pPr>
          </w:p>
          <w:p w14:paraId="1490E41F" w14:textId="240DD044" w:rsidR="000A224A" w:rsidRPr="009A6CC9" w:rsidRDefault="009A6CC9" w:rsidP="009A6CC9">
            <w:pPr>
              <w:rPr>
                <w:rFonts w:ascii="Calibri" w:hAnsi="Calibri" w:cs="Calibri"/>
              </w:rPr>
            </w:pPr>
            <w:r w:rsidRPr="00980CE7">
              <w:rPr>
                <w:rFonts w:ascii="Calibri" w:hAnsi="Calibri" w:cs="Calibri"/>
              </w:rPr>
              <w:t>This is not limited to NQLC, engagement and collaboration occurring across other sectors to identify best practice and shared learning opportunities. Cultural Framework process timeline 6-12 months. </w:t>
            </w:r>
          </w:p>
        </w:tc>
      </w:tr>
      <w:tr w:rsidR="00C40797" w14:paraId="05FCF3E3" w14:textId="77777777" w:rsidTr="008F7DBE">
        <w:trPr>
          <w:cantSplit/>
        </w:trPr>
        <w:tc>
          <w:tcPr>
            <w:tcW w:w="9016" w:type="dxa"/>
          </w:tcPr>
          <w:p w14:paraId="27726E7D" w14:textId="1E736D87" w:rsidR="005334A7" w:rsidRPr="0098478C" w:rsidRDefault="005334A7" w:rsidP="005334A7">
            <w:pPr>
              <w:rPr>
                <w:rFonts w:ascii="Calibri" w:hAnsi="Calibri" w:cs="Calibri"/>
              </w:rPr>
            </w:pPr>
            <w:r w:rsidRPr="009122B7">
              <w:rPr>
                <w:rFonts w:ascii="Calibri" w:hAnsi="Calibri" w:cs="Calibri"/>
                <w:b/>
                <w:bCs/>
              </w:rPr>
              <w:lastRenderedPageBreak/>
              <w:t>Rec 6</w:t>
            </w:r>
            <w:r>
              <w:rPr>
                <w:rFonts w:ascii="Calibri" w:hAnsi="Calibri" w:cs="Calibri"/>
              </w:rPr>
              <w:t xml:space="preserve"> </w:t>
            </w:r>
            <w:r w:rsidRPr="0098478C">
              <w:rPr>
                <w:rFonts w:ascii="Calibri" w:hAnsi="Calibri" w:cs="Calibri"/>
              </w:rPr>
              <w:t>Support staff and clients to consistently understand and apply the NQLC’s complaints processes by providing relevant information in appropriate formats: </w:t>
            </w:r>
          </w:p>
          <w:p w14:paraId="6C057ECF" w14:textId="77777777" w:rsidR="005334A7" w:rsidRPr="0098478C" w:rsidRDefault="005334A7" w:rsidP="005334A7">
            <w:pPr>
              <w:numPr>
                <w:ilvl w:val="0"/>
                <w:numId w:val="6"/>
              </w:numPr>
              <w:rPr>
                <w:rFonts w:ascii="Calibri" w:hAnsi="Calibri" w:cs="Calibri"/>
              </w:rPr>
            </w:pPr>
            <w:r w:rsidRPr="0098478C">
              <w:rPr>
                <w:rFonts w:ascii="Calibri" w:hAnsi="Calibri" w:cs="Calibri"/>
                <w:lang w:val="en-US"/>
              </w:rPr>
              <w:t>For staff, upon commencement of employment and periodically thereafter through clear written guidance.</w:t>
            </w:r>
            <w:r w:rsidRPr="0098478C">
              <w:rPr>
                <w:rFonts w:ascii="Calibri" w:hAnsi="Calibri" w:cs="Calibri"/>
              </w:rPr>
              <w:t> </w:t>
            </w:r>
          </w:p>
          <w:p w14:paraId="1306C695" w14:textId="29DEBD64" w:rsidR="00C40797" w:rsidRPr="005334A7" w:rsidRDefault="005334A7" w:rsidP="005334A7">
            <w:pPr>
              <w:pStyle w:val="ListParagraph"/>
              <w:numPr>
                <w:ilvl w:val="0"/>
                <w:numId w:val="6"/>
              </w:numPr>
              <w:jc w:val="both"/>
              <w:rPr>
                <w:rFonts w:ascii="Calibri" w:hAnsi="Calibri" w:cs="Calibri"/>
                <w:b/>
                <w:bCs/>
                <w:lang w:val="en-US"/>
              </w:rPr>
            </w:pPr>
            <w:r w:rsidRPr="005334A7">
              <w:rPr>
                <w:rFonts w:ascii="Calibri" w:hAnsi="Calibri" w:cs="Calibri"/>
                <w:lang w:val="en-US"/>
              </w:rPr>
              <w:t>For clients, upon commencement of their relationship with the NQLC and at key points in the native title process thereafter.</w:t>
            </w:r>
          </w:p>
        </w:tc>
      </w:tr>
      <w:tr w:rsidR="00C40797" w14:paraId="7AE4EAF6" w14:textId="77777777" w:rsidTr="008F7DBE">
        <w:trPr>
          <w:cantSplit/>
        </w:trPr>
        <w:tc>
          <w:tcPr>
            <w:tcW w:w="9016" w:type="dxa"/>
          </w:tcPr>
          <w:p w14:paraId="3B68ABA5" w14:textId="0D6F248E" w:rsidR="00C40797" w:rsidRDefault="005334A7" w:rsidP="003A2366">
            <w:pPr>
              <w:jc w:val="both"/>
              <w:rPr>
                <w:rFonts w:ascii="Calibri" w:hAnsi="Calibri" w:cs="Calibri"/>
                <w:b/>
                <w:bCs/>
                <w:lang w:val="en-US"/>
              </w:rPr>
            </w:pPr>
            <w:r>
              <w:rPr>
                <w:rFonts w:ascii="Calibri" w:hAnsi="Calibri" w:cs="Calibri"/>
                <w:b/>
                <w:bCs/>
                <w:lang w:val="en-US"/>
              </w:rPr>
              <w:t>Response</w:t>
            </w:r>
          </w:p>
          <w:p w14:paraId="55668FD6" w14:textId="77777777" w:rsidR="003A2366" w:rsidRDefault="003A2366" w:rsidP="003A2366">
            <w:pPr>
              <w:jc w:val="both"/>
              <w:rPr>
                <w:rFonts w:ascii="Calibri" w:hAnsi="Calibri" w:cs="Calibri"/>
                <w:lang w:val="en-US"/>
              </w:rPr>
            </w:pPr>
            <w:r>
              <w:rPr>
                <w:rFonts w:ascii="Calibri" w:hAnsi="Calibri" w:cs="Calibri"/>
                <w:lang w:val="en-US"/>
              </w:rPr>
              <w:t xml:space="preserve">Accepted. </w:t>
            </w:r>
          </w:p>
          <w:p w14:paraId="5AA8F00A" w14:textId="77777777" w:rsidR="003A2366" w:rsidRDefault="003A2366" w:rsidP="003A2366">
            <w:pPr>
              <w:jc w:val="both"/>
              <w:rPr>
                <w:rFonts w:ascii="Calibri" w:hAnsi="Calibri" w:cs="Calibri"/>
                <w:lang w:val="en-US"/>
              </w:rPr>
            </w:pPr>
            <w:r>
              <w:rPr>
                <w:rFonts w:ascii="Calibri" w:hAnsi="Calibri" w:cs="Calibri"/>
                <w:lang w:val="en-US"/>
              </w:rPr>
              <w:t xml:space="preserve">Implemented in part. </w:t>
            </w:r>
          </w:p>
          <w:p w14:paraId="1E0D8DAC" w14:textId="77777777" w:rsidR="003A2366" w:rsidRDefault="003A2366" w:rsidP="003A2366">
            <w:pPr>
              <w:jc w:val="both"/>
              <w:rPr>
                <w:rFonts w:ascii="Calibri" w:hAnsi="Calibri" w:cs="Calibri"/>
                <w:lang w:val="en-US"/>
              </w:rPr>
            </w:pPr>
          </w:p>
          <w:p w14:paraId="28164F17" w14:textId="0900B164" w:rsidR="005334A7" w:rsidRPr="00331BCF" w:rsidRDefault="003A2366" w:rsidP="003A2366">
            <w:pPr>
              <w:jc w:val="both"/>
              <w:rPr>
                <w:rFonts w:ascii="Calibri" w:hAnsi="Calibri" w:cs="Calibri"/>
                <w:b/>
                <w:bCs/>
                <w:lang w:val="en-US"/>
              </w:rPr>
            </w:pPr>
            <w:r w:rsidRPr="00DB2699">
              <w:rPr>
                <w:rFonts w:ascii="Calibri" w:hAnsi="Calibri" w:cs="Calibri"/>
              </w:rPr>
              <w:t>Vacancies in key positions have hindered progress past initial scoping. The complaints process review and drafting projected timeline 6-9 months. </w:t>
            </w:r>
          </w:p>
        </w:tc>
      </w:tr>
      <w:tr w:rsidR="00C40797" w14:paraId="57BEB0D4" w14:textId="77777777" w:rsidTr="008F7DBE">
        <w:trPr>
          <w:cantSplit/>
        </w:trPr>
        <w:tc>
          <w:tcPr>
            <w:tcW w:w="9016" w:type="dxa"/>
          </w:tcPr>
          <w:p w14:paraId="761326A6" w14:textId="7ED13249" w:rsidR="00C40797" w:rsidRPr="00331BCF" w:rsidRDefault="006A7F46" w:rsidP="006A7F46">
            <w:pPr>
              <w:rPr>
                <w:rFonts w:ascii="Calibri" w:hAnsi="Calibri" w:cs="Calibri"/>
                <w:b/>
                <w:bCs/>
                <w:lang w:val="en-US"/>
              </w:rPr>
            </w:pPr>
            <w:r w:rsidRPr="009122B7">
              <w:rPr>
                <w:rFonts w:ascii="Calibri" w:hAnsi="Calibri" w:cs="Calibri"/>
                <w:b/>
                <w:bCs/>
              </w:rPr>
              <w:t>Rec 7</w:t>
            </w:r>
            <w:r>
              <w:rPr>
                <w:rFonts w:ascii="Calibri" w:hAnsi="Calibri" w:cs="Calibri"/>
              </w:rPr>
              <w:t xml:space="preserve"> </w:t>
            </w:r>
            <w:r w:rsidRPr="00331BCF">
              <w:rPr>
                <w:rFonts w:ascii="Calibri" w:hAnsi="Calibri" w:cs="Calibri"/>
              </w:rPr>
              <w:t>Initiate additional group engagement opportunities with Traditional Owners to improve claimant understandings of the native title process, the NQLC’s relationships with claimants and relationships between different claimant groups. </w:t>
            </w:r>
          </w:p>
        </w:tc>
      </w:tr>
      <w:tr w:rsidR="00C40797" w14:paraId="352CBE35" w14:textId="77777777" w:rsidTr="008F7DBE">
        <w:trPr>
          <w:cantSplit/>
        </w:trPr>
        <w:tc>
          <w:tcPr>
            <w:tcW w:w="9016" w:type="dxa"/>
          </w:tcPr>
          <w:p w14:paraId="7707A17E" w14:textId="68605F0C" w:rsidR="00C40797" w:rsidRDefault="005D6A8E" w:rsidP="00D6792F">
            <w:pPr>
              <w:jc w:val="both"/>
              <w:rPr>
                <w:rFonts w:ascii="Calibri" w:hAnsi="Calibri" w:cs="Calibri"/>
                <w:b/>
                <w:bCs/>
                <w:lang w:val="en-US"/>
              </w:rPr>
            </w:pPr>
            <w:r>
              <w:rPr>
                <w:rFonts w:ascii="Calibri" w:hAnsi="Calibri" w:cs="Calibri"/>
                <w:b/>
                <w:bCs/>
                <w:lang w:val="en-US"/>
              </w:rPr>
              <w:t>Response</w:t>
            </w:r>
          </w:p>
          <w:p w14:paraId="1B90B8D6" w14:textId="77777777" w:rsidR="000F1A3C" w:rsidRDefault="000F1A3C" w:rsidP="000F1A3C">
            <w:pPr>
              <w:rPr>
                <w:rFonts w:ascii="Calibri" w:hAnsi="Calibri" w:cs="Calibri"/>
                <w:lang w:val="en-US"/>
              </w:rPr>
            </w:pPr>
            <w:r>
              <w:rPr>
                <w:rFonts w:ascii="Calibri" w:hAnsi="Calibri" w:cs="Calibri"/>
                <w:lang w:val="en-US"/>
              </w:rPr>
              <w:t xml:space="preserve">Accepted. </w:t>
            </w:r>
          </w:p>
          <w:p w14:paraId="1A0FB533" w14:textId="77777777" w:rsidR="000F1A3C" w:rsidRDefault="000F1A3C" w:rsidP="000F1A3C">
            <w:pPr>
              <w:rPr>
                <w:rFonts w:ascii="Calibri" w:hAnsi="Calibri" w:cs="Calibri"/>
                <w:lang w:val="en-US"/>
              </w:rPr>
            </w:pPr>
            <w:r>
              <w:rPr>
                <w:rFonts w:ascii="Calibri" w:hAnsi="Calibri" w:cs="Calibri"/>
                <w:lang w:val="en-US"/>
              </w:rPr>
              <w:t xml:space="preserve">Implemented in part. </w:t>
            </w:r>
          </w:p>
          <w:p w14:paraId="67A715A1" w14:textId="77777777" w:rsidR="000F1A3C" w:rsidRDefault="000F1A3C" w:rsidP="000F1A3C">
            <w:pPr>
              <w:rPr>
                <w:rFonts w:ascii="Calibri" w:hAnsi="Calibri" w:cs="Calibri"/>
                <w:lang w:val="en-US"/>
              </w:rPr>
            </w:pPr>
          </w:p>
          <w:p w14:paraId="18EC1D4C" w14:textId="0FF5B2DC" w:rsidR="005D6A8E" w:rsidRPr="00331BCF" w:rsidRDefault="000F1A3C" w:rsidP="000F1A3C">
            <w:pPr>
              <w:jc w:val="both"/>
              <w:rPr>
                <w:rFonts w:ascii="Calibri" w:hAnsi="Calibri" w:cs="Calibri"/>
                <w:b/>
                <w:bCs/>
                <w:lang w:val="en-US"/>
              </w:rPr>
            </w:pPr>
            <w:r w:rsidRPr="00D266DA">
              <w:rPr>
                <w:rFonts w:ascii="Calibri" w:hAnsi="Calibri" w:cs="Calibri"/>
                <w:lang w:val="en-US"/>
              </w:rPr>
              <w:t xml:space="preserve">Working with the National Native Title Council to </w:t>
            </w:r>
            <w:proofErr w:type="spellStart"/>
            <w:r w:rsidRPr="00D266DA">
              <w:rPr>
                <w:rFonts w:ascii="Calibri" w:hAnsi="Calibri" w:cs="Calibri"/>
                <w:lang w:val="en-US"/>
              </w:rPr>
              <w:t>organise</w:t>
            </w:r>
            <w:proofErr w:type="spellEnd"/>
            <w:r w:rsidRPr="00D266DA">
              <w:rPr>
                <w:rFonts w:ascii="Calibri" w:hAnsi="Calibri" w:cs="Calibri"/>
                <w:lang w:val="en-US"/>
              </w:rPr>
              <w:t xml:space="preserve"> PBC forum. Also working with the QRBA to explore key topics and strategies for NTRB-SPs to incorporate into a broader plan. Acknowledging there is a gap nationally on this topic and limited funding at Traditional Owners and PBC level, restricts the broader engagement opportunities. Work will continue to connect and collaborate with Traditional Owners in NQLC region.</w:t>
            </w:r>
            <w:r w:rsidRPr="00D266DA">
              <w:rPr>
                <w:rFonts w:ascii="Calibri" w:hAnsi="Calibri" w:cs="Calibri"/>
              </w:rPr>
              <w:t> </w:t>
            </w:r>
          </w:p>
        </w:tc>
      </w:tr>
      <w:tr w:rsidR="00C40797" w14:paraId="65157D8A" w14:textId="77777777" w:rsidTr="008F7DBE">
        <w:trPr>
          <w:cantSplit/>
        </w:trPr>
        <w:tc>
          <w:tcPr>
            <w:tcW w:w="9016" w:type="dxa"/>
          </w:tcPr>
          <w:p w14:paraId="110AC432" w14:textId="1EEAF19D" w:rsidR="00C40797" w:rsidRPr="00331BCF" w:rsidRDefault="00502E23" w:rsidP="00502E23">
            <w:pPr>
              <w:jc w:val="both"/>
              <w:rPr>
                <w:rFonts w:ascii="Calibri" w:hAnsi="Calibri" w:cs="Calibri"/>
                <w:b/>
                <w:bCs/>
                <w:lang w:val="en-US"/>
              </w:rPr>
            </w:pPr>
            <w:r w:rsidRPr="009122B7">
              <w:rPr>
                <w:rFonts w:ascii="Calibri" w:hAnsi="Calibri" w:cs="Calibri"/>
                <w:b/>
                <w:bCs/>
              </w:rPr>
              <w:t>Rec 8</w:t>
            </w:r>
            <w:r>
              <w:rPr>
                <w:rFonts w:ascii="Calibri" w:hAnsi="Calibri" w:cs="Calibri"/>
              </w:rPr>
              <w:t xml:space="preserve"> </w:t>
            </w:r>
            <w:r w:rsidRPr="00331BCF">
              <w:rPr>
                <w:rFonts w:ascii="Calibri" w:hAnsi="Calibri" w:cs="Calibri"/>
              </w:rPr>
              <w:t>Work with stakeholders and other NTRB-SPs to develop a policy for the NQLC’s use of cultural materials. This policy should address key issues including how the NQLC will explain and obtain consent for potential uses of cultural materials when first engaging with a claim group and how it will continue to communicate with claim groups regarding its ongoing use of cultural materials. </w:t>
            </w:r>
          </w:p>
        </w:tc>
      </w:tr>
      <w:tr w:rsidR="00C40797" w14:paraId="1944487D" w14:textId="77777777" w:rsidTr="008F7DBE">
        <w:trPr>
          <w:cantSplit/>
        </w:trPr>
        <w:tc>
          <w:tcPr>
            <w:tcW w:w="9016" w:type="dxa"/>
          </w:tcPr>
          <w:p w14:paraId="5A5549D7" w14:textId="77777777" w:rsidR="00C40797" w:rsidRDefault="00502E23" w:rsidP="00D6792F">
            <w:pPr>
              <w:jc w:val="both"/>
              <w:rPr>
                <w:rFonts w:ascii="Calibri" w:hAnsi="Calibri" w:cs="Calibri"/>
                <w:b/>
                <w:bCs/>
                <w:lang w:val="en-US"/>
              </w:rPr>
            </w:pPr>
            <w:r>
              <w:rPr>
                <w:rFonts w:ascii="Calibri" w:hAnsi="Calibri" w:cs="Calibri"/>
                <w:b/>
                <w:bCs/>
                <w:lang w:val="en-US"/>
              </w:rPr>
              <w:t xml:space="preserve">Response </w:t>
            </w:r>
          </w:p>
          <w:p w14:paraId="3F11345D" w14:textId="77777777" w:rsidR="00A626EE" w:rsidRDefault="00A626EE" w:rsidP="00A626EE">
            <w:pPr>
              <w:jc w:val="both"/>
              <w:rPr>
                <w:rFonts w:ascii="Calibri" w:hAnsi="Calibri" w:cs="Calibri"/>
                <w:lang w:val="en-US"/>
              </w:rPr>
            </w:pPr>
            <w:r>
              <w:rPr>
                <w:rFonts w:ascii="Calibri" w:hAnsi="Calibri" w:cs="Calibri"/>
                <w:lang w:val="en-US"/>
              </w:rPr>
              <w:t xml:space="preserve">Accepted. </w:t>
            </w:r>
          </w:p>
          <w:p w14:paraId="1212A982" w14:textId="77777777" w:rsidR="00A626EE" w:rsidRDefault="00A626EE" w:rsidP="00A626EE">
            <w:pPr>
              <w:jc w:val="both"/>
              <w:rPr>
                <w:rFonts w:ascii="Calibri" w:hAnsi="Calibri" w:cs="Calibri"/>
                <w:lang w:val="en-US"/>
              </w:rPr>
            </w:pPr>
            <w:r>
              <w:rPr>
                <w:rFonts w:ascii="Calibri" w:hAnsi="Calibri" w:cs="Calibri"/>
                <w:lang w:val="en-US"/>
              </w:rPr>
              <w:t xml:space="preserve">Implemented in part. </w:t>
            </w:r>
          </w:p>
          <w:p w14:paraId="70FD8BE8" w14:textId="77777777" w:rsidR="00A626EE" w:rsidRDefault="00A626EE" w:rsidP="00A626EE">
            <w:pPr>
              <w:jc w:val="both"/>
              <w:rPr>
                <w:rFonts w:ascii="Calibri" w:hAnsi="Calibri" w:cs="Calibri"/>
              </w:rPr>
            </w:pPr>
          </w:p>
          <w:p w14:paraId="72C561C2" w14:textId="49ED3F83" w:rsidR="00502E23" w:rsidRPr="00331BCF" w:rsidRDefault="00A626EE" w:rsidP="00A626EE">
            <w:pPr>
              <w:jc w:val="both"/>
              <w:rPr>
                <w:rFonts w:ascii="Calibri" w:hAnsi="Calibri" w:cs="Calibri"/>
                <w:b/>
                <w:bCs/>
                <w:lang w:val="en-US"/>
              </w:rPr>
            </w:pPr>
            <w:r w:rsidRPr="0069664C">
              <w:rPr>
                <w:rFonts w:ascii="Calibri" w:hAnsi="Calibri" w:cs="Calibri"/>
              </w:rPr>
              <w:t>The limited number of meetings at state level has limited opportunities for state conversations. Work will continue to raise the policy as an agenda item and progress works to develop a policy. timeframe next 12 months. </w:t>
            </w:r>
          </w:p>
        </w:tc>
      </w:tr>
      <w:tr w:rsidR="00C40797" w14:paraId="38D51093" w14:textId="77777777" w:rsidTr="008F7DBE">
        <w:trPr>
          <w:cantSplit/>
        </w:trPr>
        <w:tc>
          <w:tcPr>
            <w:tcW w:w="9016" w:type="dxa"/>
            <w:shd w:val="clear" w:color="auto" w:fill="C1E4F5" w:themeFill="accent1" w:themeFillTint="33"/>
          </w:tcPr>
          <w:p w14:paraId="19B7BCDC" w14:textId="18BF1D82" w:rsidR="00C40797" w:rsidRPr="00331BCF" w:rsidRDefault="00285174" w:rsidP="00285174">
            <w:pPr>
              <w:rPr>
                <w:rFonts w:ascii="Calibri" w:hAnsi="Calibri" w:cs="Calibri"/>
                <w:b/>
                <w:bCs/>
                <w:lang w:val="en-US"/>
              </w:rPr>
            </w:pPr>
            <w:r w:rsidRPr="00285174">
              <w:rPr>
                <w:rFonts w:ascii="Calibri" w:hAnsi="Calibri" w:cs="Calibri"/>
                <w:b/>
                <w:bCs/>
                <w:shd w:val="clear" w:color="auto" w:fill="C1E4F5" w:themeFill="accent1" w:themeFillTint="33"/>
                <w:lang w:val="en-GB"/>
              </w:rPr>
              <w:t>TOR 4</w:t>
            </w:r>
            <w:r w:rsidRPr="00285174">
              <w:rPr>
                <w:rFonts w:ascii="Calibri" w:hAnsi="Calibri" w:cs="Calibri"/>
                <w:shd w:val="clear" w:color="auto" w:fill="C1E4F5" w:themeFill="accent1" w:themeFillTint="33"/>
                <w:lang w:val="en-GB"/>
              </w:rPr>
              <w:t xml:space="preserve"> Extent to which each organisation performs its functions in a cost-effective manner, including by identifying the key cost drivers for the organisation.</w:t>
            </w:r>
            <w:r w:rsidRPr="00285174">
              <w:rPr>
                <w:rFonts w:ascii="Calibri" w:hAnsi="Calibri" w:cs="Calibri"/>
                <w:shd w:val="clear" w:color="auto" w:fill="C1E4F5" w:themeFill="accent1" w:themeFillTint="33"/>
              </w:rPr>
              <w:t> </w:t>
            </w:r>
          </w:p>
        </w:tc>
      </w:tr>
      <w:tr w:rsidR="00D77F49" w14:paraId="3EB82DF9" w14:textId="77777777" w:rsidTr="008F7DBE">
        <w:trPr>
          <w:cantSplit/>
        </w:trPr>
        <w:tc>
          <w:tcPr>
            <w:tcW w:w="9016" w:type="dxa"/>
          </w:tcPr>
          <w:p w14:paraId="0ACB924C" w14:textId="25085612" w:rsidR="00D77F49" w:rsidRPr="00CB27AB" w:rsidRDefault="004716E8" w:rsidP="00285174">
            <w:pPr>
              <w:rPr>
                <w:rFonts w:ascii="Calibri" w:hAnsi="Calibri" w:cs="Calibri"/>
                <w:shd w:val="clear" w:color="auto" w:fill="C1E4F5" w:themeFill="accent1" w:themeFillTint="33"/>
                <w:lang w:val="en-GB"/>
              </w:rPr>
            </w:pPr>
            <w:r w:rsidRPr="00CB27AB">
              <w:rPr>
                <w:rFonts w:ascii="Calibri" w:hAnsi="Calibri" w:cs="Calibri"/>
                <w:b/>
                <w:bCs/>
              </w:rPr>
              <w:t>Rec</w:t>
            </w:r>
            <w:r w:rsidRPr="00CB27AB">
              <w:rPr>
                <w:rFonts w:ascii="Calibri" w:hAnsi="Calibri" w:cs="Calibri"/>
              </w:rPr>
              <w:t xml:space="preserve"> </w:t>
            </w:r>
            <w:r w:rsidR="00CB27AB" w:rsidRPr="00CB27AB">
              <w:rPr>
                <w:rFonts w:ascii="Calibri" w:hAnsi="Calibri" w:cs="Calibri"/>
              </w:rPr>
              <w:t>Nil.</w:t>
            </w:r>
          </w:p>
        </w:tc>
      </w:tr>
      <w:tr w:rsidR="00D77F49" w14:paraId="6E06F3E7" w14:textId="77777777" w:rsidTr="008F7DBE">
        <w:trPr>
          <w:cantSplit/>
          <w:trHeight w:val="832"/>
        </w:trPr>
        <w:tc>
          <w:tcPr>
            <w:tcW w:w="9016" w:type="dxa"/>
            <w:shd w:val="clear" w:color="auto" w:fill="C1E4F5" w:themeFill="accent1" w:themeFillTint="33"/>
          </w:tcPr>
          <w:p w14:paraId="398CEA58" w14:textId="409C7DB1" w:rsidR="00D77F49" w:rsidRPr="00CB27AB" w:rsidRDefault="009813E9" w:rsidP="00285174">
            <w:pPr>
              <w:rPr>
                <w:rFonts w:ascii="Calibri" w:hAnsi="Calibri" w:cs="Calibri"/>
                <w:shd w:val="clear" w:color="auto" w:fill="C1E4F5" w:themeFill="accent1" w:themeFillTint="33"/>
                <w:lang w:val="en-GB"/>
              </w:rPr>
            </w:pPr>
            <w:r w:rsidRPr="00C922AF">
              <w:rPr>
                <w:rFonts w:ascii="Calibri" w:hAnsi="Calibri" w:cs="Calibri"/>
                <w:b/>
                <w:bCs/>
                <w:lang w:val="en-US"/>
              </w:rPr>
              <w:t>TOR 5</w:t>
            </w:r>
            <w:r w:rsidRPr="00C922AF">
              <w:rPr>
                <w:rFonts w:ascii="Calibri" w:hAnsi="Calibri" w:cs="Calibri"/>
                <w:lang w:val="en-US"/>
              </w:rPr>
              <w:t xml:space="preserve"> </w:t>
            </w:r>
            <w:r w:rsidRPr="00C922AF">
              <w:rPr>
                <w:rFonts w:ascii="Calibri" w:hAnsi="Calibri" w:cs="Calibri"/>
                <w:lang w:val="en-GB"/>
              </w:rPr>
              <w:t>Extent to which each organisation has governance and management structures, and organisational policies and an organisational culture that support efficient and effective project delivery.</w:t>
            </w:r>
            <w:r w:rsidRPr="00C922AF">
              <w:rPr>
                <w:rFonts w:ascii="Calibri" w:hAnsi="Calibri" w:cs="Calibri"/>
              </w:rPr>
              <w:t> </w:t>
            </w:r>
            <w:r w:rsidR="006579C4" w:rsidRPr="006579C4">
              <w:rPr>
                <w:rFonts w:ascii="Calibri" w:hAnsi="Calibri" w:cs="Calibri"/>
                <w:b/>
                <w:bCs/>
              </w:rPr>
              <w:t>(Rec 9-11)</w:t>
            </w:r>
          </w:p>
        </w:tc>
      </w:tr>
      <w:tr w:rsidR="00D77F49" w14:paraId="51121DD5" w14:textId="77777777" w:rsidTr="008F7DBE">
        <w:trPr>
          <w:cantSplit/>
        </w:trPr>
        <w:tc>
          <w:tcPr>
            <w:tcW w:w="9016" w:type="dxa"/>
          </w:tcPr>
          <w:p w14:paraId="5DC7B25A" w14:textId="6EFA2A1A" w:rsidR="00D77F49" w:rsidRPr="00CB27AB" w:rsidRDefault="000A5E38" w:rsidP="000A5E38">
            <w:pPr>
              <w:rPr>
                <w:rFonts w:ascii="Calibri" w:hAnsi="Calibri" w:cs="Calibri"/>
                <w:shd w:val="clear" w:color="auto" w:fill="C1E4F5" w:themeFill="accent1" w:themeFillTint="33"/>
                <w:lang w:val="en-GB"/>
              </w:rPr>
            </w:pPr>
            <w:r w:rsidRPr="0067302A">
              <w:rPr>
                <w:rFonts w:ascii="Calibri" w:hAnsi="Calibri" w:cs="Calibri"/>
                <w:b/>
                <w:bCs/>
              </w:rPr>
              <w:lastRenderedPageBreak/>
              <w:t>Rec 9</w:t>
            </w:r>
            <w:r>
              <w:rPr>
                <w:rFonts w:ascii="Calibri" w:hAnsi="Calibri" w:cs="Calibri"/>
              </w:rPr>
              <w:t xml:space="preserve"> </w:t>
            </w:r>
            <w:r w:rsidRPr="0067302A">
              <w:rPr>
                <w:rFonts w:ascii="Calibri" w:hAnsi="Calibri" w:cs="Calibri"/>
              </w:rPr>
              <w:t>Implement a process for the CEO and Board to work together to clarify their respective roles and relationships in line with the principles of good governance. Revisit previous efforts to strengthen the NQLC’s governance model through increasing the skills set of the Board. This should include further training for current Board Directors, implementing minimum skill requirements for all new Directors and including a minimum of two independent professional Board Directors. </w:t>
            </w:r>
          </w:p>
        </w:tc>
      </w:tr>
      <w:tr w:rsidR="00D77F49" w14:paraId="626BC58E" w14:textId="77777777" w:rsidTr="008F7DBE">
        <w:trPr>
          <w:cantSplit/>
        </w:trPr>
        <w:tc>
          <w:tcPr>
            <w:tcW w:w="9016" w:type="dxa"/>
          </w:tcPr>
          <w:p w14:paraId="0BA6563E" w14:textId="77777777" w:rsidR="00D77F49" w:rsidRPr="00BB72A6" w:rsidRDefault="006B4059" w:rsidP="00BB72A6">
            <w:pPr>
              <w:jc w:val="both"/>
              <w:rPr>
                <w:rFonts w:ascii="Calibri" w:hAnsi="Calibri" w:cs="Calibri"/>
                <w:b/>
                <w:bCs/>
              </w:rPr>
            </w:pPr>
            <w:r w:rsidRPr="00BB72A6">
              <w:rPr>
                <w:rFonts w:ascii="Calibri" w:hAnsi="Calibri" w:cs="Calibri"/>
                <w:b/>
                <w:bCs/>
              </w:rPr>
              <w:t xml:space="preserve">Response </w:t>
            </w:r>
          </w:p>
          <w:p w14:paraId="2BD53F09" w14:textId="77777777" w:rsidR="00BB72A6" w:rsidRDefault="00BB72A6" w:rsidP="00BB72A6">
            <w:pPr>
              <w:jc w:val="both"/>
              <w:rPr>
                <w:rFonts w:ascii="Calibri" w:hAnsi="Calibri" w:cs="Calibri"/>
                <w:lang w:val="en-US"/>
              </w:rPr>
            </w:pPr>
            <w:r>
              <w:rPr>
                <w:rFonts w:ascii="Calibri" w:hAnsi="Calibri" w:cs="Calibri"/>
                <w:lang w:val="en-US"/>
              </w:rPr>
              <w:t xml:space="preserve">Accepted. </w:t>
            </w:r>
          </w:p>
          <w:p w14:paraId="2EE007E0" w14:textId="77777777" w:rsidR="00BB72A6" w:rsidRDefault="00BB72A6" w:rsidP="00BB72A6">
            <w:pPr>
              <w:jc w:val="both"/>
              <w:rPr>
                <w:rFonts w:ascii="Calibri" w:hAnsi="Calibri" w:cs="Calibri"/>
                <w:lang w:val="en-US"/>
              </w:rPr>
            </w:pPr>
            <w:r>
              <w:rPr>
                <w:rFonts w:ascii="Calibri" w:hAnsi="Calibri" w:cs="Calibri"/>
                <w:lang w:val="en-US"/>
              </w:rPr>
              <w:t xml:space="preserve">Implemented in part. </w:t>
            </w:r>
          </w:p>
          <w:p w14:paraId="639ADA6A" w14:textId="77777777" w:rsidR="00BB72A6" w:rsidRDefault="00BB72A6" w:rsidP="00BB72A6">
            <w:pPr>
              <w:jc w:val="both"/>
              <w:rPr>
                <w:rFonts w:ascii="Calibri" w:hAnsi="Calibri" w:cs="Calibri"/>
              </w:rPr>
            </w:pPr>
          </w:p>
          <w:p w14:paraId="481ED8B0" w14:textId="46B9FDA2" w:rsidR="006B4059" w:rsidRPr="006B4059" w:rsidRDefault="00BB72A6" w:rsidP="00BB72A6">
            <w:pPr>
              <w:jc w:val="both"/>
              <w:rPr>
                <w:rFonts w:ascii="Calibri" w:hAnsi="Calibri" w:cs="Calibri"/>
              </w:rPr>
            </w:pPr>
            <w:r w:rsidRPr="00640354">
              <w:rPr>
                <w:rFonts w:ascii="Calibri" w:hAnsi="Calibri" w:cs="Calibri"/>
              </w:rPr>
              <w:t>Currently being considered as part of Rulebook review. Consultant engaged to review and redraft the Rulebook, a 2-phase consultation process applied for members and comments generated will be incorporated. Timeframe for current review 30</w:t>
            </w:r>
            <w:r w:rsidRPr="00640354">
              <w:rPr>
                <w:rFonts w:ascii="Calibri" w:hAnsi="Calibri" w:cs="Calibri"/>
                <w:vertAlign w:val="superscript"/>
              </w:rPr>
              <w:t>th</w:t>
            </w:r>
            <w:r w:rsidRPr="00640354">
              <w:rPr>
                <w:rFonts w:ascii="Calibri" w:hAnsi="Calibri" w:cs="Calibri"/>
              </w:rPr>
              <w:t xml:space="preserve"> June 2025. </w:t>
            </w:r>
          </w:p>
        </w:tc>
      </w:tr>
      <w:tr w:rsidR="00D77F49" w14:paraId="26E2E205" w14:textId="77777777" w:rsidTr="008F7DBE">
        <w:trPr>
          <w:cantSplit/>
        </w:trPr>
        <w:tc>
          <w:tcPr>
            <w:tcW w:w="9016" w:type="dxa"/>
          </w:tcPr>
          <w:p w14:paraId="5DB94041" w14:textId="510AFC26" w:rsidR="00D77F49" w:rsidRPr="006B4059" w:rsidRDefault="00573B06" w:rsidP="00573B06">
            <w:pPr>
              <w:rPr>
                <w:rFonts w:ascii="Calibri" w:hAnsi="Calibri" w:cs="Calibri"/>
              </w:rPr>
            </w:pPr>
            <w:r w:rsidRPr="001359C7">
              <w:rPr>
                <w:rFonts w:ascii="Calibri" w:hAnsi="Calibri" w:cs="Calibri"/>
                <w:b/>
                <w:bCs/>
                <w:lang w:val="en-US"/>
              </w:rPr>
              <w:t>Rec 10</w:t>
            </w:r>
            <w:r>
              <w:rPr>
                <w:rFonts w:ascii="Calibri" w:hAnsi="Calibri" w:cs="Calibri"/>
                <w:lang w:val="en-US"/>
              </w:rPr>
              <w:t xml:space="preserve"> </w:t>
            </w:r>
            <w:r w:rsidRPr="001359C7">
              <w:rPr>
                <w:rFonts w:ascii="Calibri" w:hAnsi="Calibri" w:cs="Calibri"/>
                <w:lang w:val="en-US"/>
              </w:rPr>
              <w:t xml:space="preserve">More clearly </w:t>
            </w:r>
            <w:proofErr w:type="gramStart"/>
            <w:r w:rsidRPr="001359C7">
              <w:rPr>
                <w:rFonts w:ascii="Calibri" w:hAnsi="Calibri" w:cs="Calibri"/>
                <w:lang w:val="en-US"/>
              </w:rPr>
              <w:t>define</w:t>
            </w:r>
            <w:proofErr w:type="gramEnd"/>
            <w:r w:rsidRPr="001359C7">
              <w:rPr>
                <w:rFonts w:ascii="Calibri" w:hAnsi="Calibri" w:cs="Calibri"/>
                <w:lang w:val="en-US"/>
              </w:rPr>
              <w:t xml:space="preserve"> the training opportunities and performance development processes available for all staff and ensure they are consistently applied. This should also include a clear employee value proposition, career pathways for Indigenous staff and adoption of a formal induction program for all new employees, including senior Executives.</w:t>
            </w:r>
            <w:r w:rsidRPr="001359C7">
              <w:rPr>
                <w:rFonts w:ascii="Calibri" w:hAnsi="Calibri" w:cs="Calibri"/>
              </w:rPr>
              <w:t> </w:t>
            </w:r>
          </w:p>
        </w:tc>
      </w:tr>
      <w:tr w:rsidR="00D77F49" w14:paraId="26923D75" w14:textId="77777777" w:rsidTr="008F7DBE">
        <w:trPr>
          <w:cantSplit/>
        </w:trPr>
        <w:tc>
          <w:tcPr>
            <w:tcW w:w="9016" w:type="dxa"/>
          </w:tcPr>
          <w:p w14:paraId="20517111" w14:textId="02F26E23" w:rsidR="00D77F49" w:rsidRPr="002E06EF" w:rsidRDefault="00873DB6" w:rsidP="00285174">
            <w:pPr>
              <w:rPr>
                <w:rFonts w:ascii="Calibri" w:hAnsi="Calibri" w:cs="Calibri"/>
                <w:b/>
                <w:bCs/>
                <w:lang w:val="en-US"/>
              </w:rPr>
            </w:pPr>
            <w:r w:rsidRPr="002E06EF">
              <w:rPr>
                <w:rFonts w:ascii="Calibri" w:hAnsi="Calibri" w:cs="Calibri"/>
                <w:b/>
                <w:bCs/>
                <w:lang w:val="en-US"/>
              </w:rPr>
              <w:t>Response</w:t>
            </w:r>
          </w:p>
          <w:p w14:paraId="1C6C2E41" w14:textId="77777777" w:rsidR="002E06EF" w:rsidRDefault="002E06EF" w:rsidP="002E06EF">
            <w:pPr>
              <w:rPr>
                <w:rFonts w:ascii="Calibri" w:hAnsi="Calibri" w:cs="Calibri"/>
                <w:lang w:val="en-US"/>
              </w:rPr>
            </w:pPr>
            <w:r>
              <w:rPr>
                <w:rFonts w:ascii="Calibri" w:hAnsi="Calibri" w:cs="Calibri"/>
                <w:lang w:val="en-US"/>
              </w:rPr>
              <w:t xml:space="preserve">Accepted. </w:t>
            </w:r>
          </w:p>
          <w:p w14:paraId="7D3733C0" w14:textId="77777777" w:rsidR="002E06EF" w:rsidRDefault="002E06EF" w:rsidP="002E06EF">
            <w:pPr>
              <w:rPr>
                <w:rFonts w:ascii="Calibri" w:hAnsi="Calibri" w:cs="Calibri"/>
                <w:lang w:val="en-US"/>
              </w:rPr>
            </w:pPr>
            <w:r>
              <w:rPr>
                <w:rFonts w:ascii="Calibri" w:hAnsi="Calibri" w:cs="Calibri"/>
                <w:lang w:val="en-US"/>
              </w:rPr>
              <w:t xml:space="preserve">Implemented in part. </w:t>
            </w:r>
          </w:p>
          <w:p w14:paraId="49C9392C" w14:textId="77777777" w:rsidR="002E06EF" w:rsidRDefault="002E06EF" w:rsidP="002E06EF">
            <w:pPr>
              <w:rPr>
                <w:rFonts w:ascii="Calibri" w:hAnsi="Calibri" w:cs="Calibri"/>
              </w:rPr>
            </w:pPr>
          </w:p>
          <w:p w14:paraId="1754AD8A" w14:textId="47A32087" w:rsidR="00873DB6" w:rsidRPr="002B3898" w:rsidRDefault="002E06EF" w:rsidP="002E06EF">
            <w:pPr>
              <w:rPr>
                <w:rFonts w:ascii="Calibri" w:hAnsi="Calibri" w:cs="Calibri"/>
                <w:lang w:val="en-US"/>
              </w:rPr>
            </w:pPr>
            <w:r w:rsidRPr="003360F5">
              <w:rPr>
                <w:rFonts w:ascii="Calibri" w:hAnsi="Calibri" w:cs="Calibri"/>
              </w:rPr>
              <w:t>The current workload on the CFO/HRM is limiting progress. New Executive Management appointments will help progress the training and performance development actions. The skillset of the board needs an evaluation process to confirm abilities and help identify gaps. There are numerous evaluation tools being considered – project will need to be costed. Timeframe 30</w:t>
            </w:r>
            <w:r w:rsidRPr="003360F5">
              <w:rPr>
                <w:rFonts w:ascii="Calibri" w:hAnsi="Calibri" w:cs="Calibri"/>
                <w:vertAlign w:val="superscript"/>
              </w:rPr>
              <w:t>th</w:t>
            </w:r>
            <w:r w:rsidRPr="003360F5">
              <w:rPr>
                <w:rFonts w:ascii="Calibri" w:hAnsi="Calibri" w:cs="Calibri"/>
              </w:rPr>
              <w:t xml:space="preserve"> June 2025. </w:t>
            </w:r>
          </w:p>
        </w:tc>
      </w:tr>
      <w:tr w:rsidR="00D77F49" w14:paraId="70BA2859" w14:textId="77777777" w:rsidTr="008F7DBE">
        <w:trPr>
          <w:cantSplit/>
        </w:trPr>
        <w:tc>
          <w:tcPr>
            <w:tcW w:w="9016" w:type="dxa"/>
          </w:tcPr>
          <w:p w14:paraId="38C17534" w14:textId="6AD31569" w:rsidR="00D77F49" w:rsidRPr="002B3898" w:rsidRDefault="00730B4B" w:rsidP="00730B4B">
            <w:pPr>
              <w:jc w:val="both"/>
              <w:rPr>
                <w:rFonts w:ascii="Calibri" w:hAnsi="Calibri" w:cs="Calibri"/>
                <w:lang w:val="en-US"/>
              </w:rPr>
            </w:pPr>
            <w:r w:rsidRPr="00DC65FB">
              <w:rPr>
                <w:rFonts w:ascii="Calibri" w:hAnsi="Calibri" w:cs="Calibri"/>
                <w:b/>
                <w:bCs/>
                <w:lang w:val="en-US"/>
              </w:rPr>
              <w:t>Rec 11</w:t>
            </w:r>
            <w:r>
              <w:rPr>
                <w:rFonts w:ascii="Calibri" w:hAnsi="Calibri" w:cs="Calibri"/>
                <w:lang w:val="en-US"/>
              </w:rPr>
              <w:t xml:space="preserve"> </w:t>
            </w:r>
            <w:r w:rsidRPr="00DC65FB">
              <w:rPr>
                <w:rFonts w:ascii="Calibri" w:hAnsi="Calibri" w:cs="Calibri"/>
                <w:lang w:val="en-US"/>
              </w:rPr>
              <w:t>Assess the benefits and cost of splitting out human resources (HR) as a distinct and separate executive responsibility so that staff can feel more confidently supported in their professional development and growth in their workplace.</w:t>
            </w:r>
            <w:r w:rsidRPr="00DC65FB">
              <w:rPr>
                <w:rFonts w:ascii="Calibri" w:hAnsi="Calibri" w:cs="Calibri"/>
              </w:rPr>
              <w:t> </w:t>
            </w:r>
          </w:p>
        </w:tc>
      </w:tr>
      <w:tr w:rsidR="00D77F49" w14:paraId="47DCE738" w14:textId="77777777" w:rsidTr="008F7DBE">
        <w:trPr>
          <w:cantSplit/>
        </w:trPr>
        <w:tc>
          <w:tcPr>
            <w:tcW w:w="9016" w:type="dxa"/>
          </w:tcPr>
          <w:p w14:paraId="6BC78474" w14:textId="77777777" w:rsidR="00D77F49" w:rsidRPr="00BE5F5A" w:rsidRDefault="006D76E2" w:rsidP="00285174">
            <w:pPr>
              <w:rPr>
                <w:rFonts w:ascii="Calibri" w:hAnsi="Calibri" w:cs="Calibri"/>
                <w:b/>
                <w:bCs/>
                <w:lang w:val="en-US"/>
              </w:rPr>
            </w:pPr>
            <w:r w:rsidRPr="00BE5F5A">
              <w:rPr>
                <w:rFonts w:ascii="Calibri" w:hAnsi="Calibri" w:cs="Calibri"/>
                <w:b/>
                <w:bCs/>
                <w:lang w:val="en-US"/>
              </w:rPr>
              <w:t xml:space="preserve">Response </w:t>
            </w:r>
          </w:p>
          <w:p w14:paraId="5300EB19" w14:textId="77777777" w:rsidR="005766FD" w:rsidRDefault="005766FD" w:rsidP="005766FD">
            <w:pPr>
              <w:rPr>
                <w:rFonts w:ascii="Calibri" w:hAnsi="Calibri" w:cs="Calibri"/>
                <w:lang w:val="en-US"/>
              </w:rPr>
            </w:pPr>
            <w:r>
              <w:rPr>
                <w:rFonts w:ascii="Calibri" w:hAnsi="Calibri" w:cs="Calibri"/>
                <w:lang w:val="en-US"/>
              </w:rPr>
              <w:t xml:space="preserve">Accepted. </w:t>
            </w:r>
          </w:p>
          <w:p w14:paraId="6547EF87" w14:textId="77777777" w:rsidR="005766FD" w:rsidRDefault="005766FD" w:rsidP="005766FD">
            <w:pPr>
              <w:rPr>
                <w:rFonts w:ascii="Calibri" w:hAnsi="Calibri" w:cs="Calibri"/>
                <w:lang w:val="en-US"/>
              </w:rPr>
            </w:pPr>
            <w:r>
              <w:rPr>
                <w:rFonts w:ascii="Calibri" w:hAnsi="Calibri" w:cs="Calibri"/>
                <w:lang w:val="en-US"/>
              </w:rPr>
              <w:t xml:space="preserve">Implemented in part. </w:t>
            </w:r>
          </w:p>
          <w:p w14:paraId="13BCF8E5" w14:textId="77777777" w:rsidR="005766FD" w:rsidRPr="00F437C5" w:rsidRDefault="005766FD" w:rsidP="005766FD">
            <w:pPr>
              <w:rPr>
                <w:rFonts w:ascii="Calibri" w:hAnsi="Calibri" w:cs="Calibri"/>
                <w:lang w:val="en-US"/>
              </w:rPr>
            </w:pPr>
          </w:p>
          <w:p w14:paraId="53A51D6A" w14:textId="77777777" w:rsidR="005766FD" w:rsidRPr="007E030A" w:rsidRDefault="005766FD" w:rsidP="005766FD">
            <w:pPr>
              <w:rPr>
                <w:rFonts w:ascii="Calibri" w:hAnsi="Calibri" w:cs="Calibri"/>
              </w:rPr>
            </w:pPr>
            <w:r w:rsidRPr="007E030A">
              <w:rPr>
                <w:rFonts w:ascii="Calibri" w:hAnsi="Calibri" w:cs="Calibri"/>
                <w:lang w:val="en-US"/>
              </w:rPr>
              <w:t>HRO position created and advertised. Timeframe October 2024.</w:t>
            </w:r>
            <w:r w:rsidRPr="007E030A">
              <w:rPr>
                <w:rFonts w:ascii="Calibri" w:hAnsi="Calibri" w:cs="Calibri"/>
              </w:rPr>
              <w:t> </w:t>
            </w:r>
          </w:p>
          <w:p w14:paraId="26FCB5F3" w14:textId="00665C81" w:rsidR="006D76E2" w:rsidRPr="002B3898" w:rsidRDefault="005766FD" w:rsidP="005766FD">
            <w:pPr>
              <w:rPr>
                <w:rFonts w:ascii="Calibri" w:hAnsi="Calibri" w:cs="Calibri"/>
                <w:lang w:val="en-US"/>
              </w:rPr>
            </w:pPr>
            <w:r w:rsidRPr="007E030A">
              <w:rPr>
                <w:rFonts w:ascii="Calibri" w:hAnsi="Calibri" w:cs="Calibri"/>
                <w:lang w:val="en-US"/>
              </w:rPr>
              <w:t>As part of the implementation strategy, a new employee application (employment hero) was installed 1 July 2024 and in trial phase to address day to day staff issues (leave, sign on/off etc.) which will streamline the existing process (multiple handling).</w:t>
            </w:r>
          </w:p>
        </w:tc>
      </w:tr>
      <w:tr w:rsidR="00D77F49" w14:paraId="6546C448" w14:textId="77777777" w:rsidTr="008F7DBE">
        <w:trPr>
          <w:cantSplit/>
        </w:trPr>
        <w:tc>
          <w:tcPr>
            <w:tcW w:w="9016" w:type="dxa"/>
            <w:shd w:val="clear" w:color="auto" w:fill="C1E4F5" w:themeFill="accent1" w:themeFillTint="33"/>
          </w:tcPr>
          <w:p w14:paraId="76C7AD0D" w14:textId="447343D0" w:rsidR="00D77F49" w:rsidRPr="002B3898" w:rsidRDefault="00B4783B" w:rsidP="00285174">
            <w:pPr>
              <w:rPr>
                <w:rFonts w:ascii="Calibri" w:hAnsi="Calibri" w:cs="Calibri"/>
                <w:lang w:val="en-US"/>
              </w:rPr>
            </w:pPr>
            <w:r w:rsidRPr="00C922AF">
              <w:rPr>
                <w:rFonts w:ascii="Calibri" w:hAnsi="Calibri" w:cs="Calibri"/>
                <w:b/>
                <w:bCs/>
                <w:lang w:val="en-US"/>
              </w:rPr>
              <w:t>TOR 6</w:t>
            </w:r>
            <w:r w:rsidRPr="00C922AF">
              <w:rPr>
                <w:rFonts w:ascii="Calibri" w:hAnsi="Calibri" w:cs="Calibri"/>
                <w:lang w:val="en-US"/>
              </w:rPr>
              <w:t xml:space="preserve"> </w:t>
            </w:r>
            <w:r w:rsidRPr="00C922AF">
              <w:rPr>
                <w:rFonts w:ascii="Calibri" w:hAnsi="Calibri" w:cs="Calibri"/>
                <w:lang w:val="en-GB"/>
              </w:rPr>
              <w:t>Extent to which each organisation is adequately supporting Prescribed Body Corporates towards self-sufficiency.</w:t>
            </w:r>
            <w:r w:rsidRPr="00C922AF">
              <w:rPr>
                <w:rFonts w:ascii="Calibri" w:hAnsi="Calibri" w:cs="Calibri"/>
              </w:rPr>
              <w:t> </w:t>
            </w:r>
            <w:r w:rsidR="002748EF" w:rsidRPr="006579C4">
              <w:rPr>
                <w:rFonts w:ascii="Calibri" w:hAnsi="Calibri" w:cs="Calibri"/>
                <w:b/>
                <w:bCs/>
              </w:rPr>
              <w:t>(Rec 1</w:t>
            </w:r>
            <w:r w:rsidR="002748EF">
              <w:rPr>
                <w:rFonts w:ascii="Calibri" w:hAnsi="Calibri" w:cs="Calibri"/>
                <w:b/>
                <w:bCs/>
              </w:rPr>
              <w:t>2</w:t>
            </w:r>
            <w:r w:rsidR="002748EF" w:rsidRPr="006579C4">
              <w:rPr>
                <w:rFonts w:ascii="Calibri" w:hAnsi="Calibri" w:cs="Calibri"/>
                <w:b/>
                <w:bCs/>
              </w:rPr>
              <w:t>)</w:t>
            </w:r>
          </w:p>
        </w:tc>
      </w:tr>
      <w:tr w:rsidR="00B4783B" w14:paraId="48BAA542" w14:textId="77777777" w:rsidTr="008F7DBE">
        <w:trPr>
          <w:cantSplit/>
        </w:trPr>
        <w:tc>
          <w:tcPr>
            <w:tcW w:w="9016" w:type="dxa"/>
          </w:tcPr>
          <w:p w14:paraId="01A8EDE2" w14:textId="044F66D7" w:rsidR="00B4783B" w:rsidRPr="00C922AF" w:rsidRDefault="0087795F" w:rsidP="00285174">
            <w:pPr>
              <w:rPr>
                <w:rFonts w:ascii="Calibri" w:hAnsi="Calibri" w:cs="Calibri"/>
                <w:b/>
                <w:bCs/>
                <w:lang w:val="en-US"/>
              </w:rPr>
            </w:pPr>
            <w:r w:rsidRPr="006339CB">
              <w:rPr>
                <w:rFonts w:ascii="Calibri" w:hAnsi="Calibri" w:cs="Calibri"/>
                <w:b/>
                <w:bCs/>
                <w:lang w:val="en-US"/>
              </w:rPr>
              <w:t>Rec 12</w:t>
            </w:r>
            <w:r>
              <w:rPr>
                <w:rFonts w:ascii="Calibri" w:hAnsi="Calibri" w:cs="Calibri"/>
                <w:lang w:val="en-US"/>
              </w:rPr>
              <w:t xml:space="preserve"> </w:t>
            </w:r>
            <w:r w:rsidRPr="00DC65FB">
              <w:rPr>
                <w:rFonts w:ascii="Calibri" w:hAnsi="Calibri" w:cs="Calibri"/>
                <w:lang w:val="en-US"/>
              </w:rPr>
              <w:t>Increase transparency by clearly communicating to PBCs what support the NQLC can provide to them within its limited budget.</w:t>
            </w:r>
            <w:r w:rsidRPr="00DC65FB">
              <w:rPr>
                <w:rFonts w:ascii="Calibri" w:hAnsi="Calibri" w:cs="Calibri"/>
              </w:rPr>
              <w:t> </w:t>
            </w:r>
          </w:p>
        </w:tc>
      </w:tr>
      <w:tr w:rsidR="00B4783B" w14:paraId="369FBE4F" w14:textId="77777777" w:rsidTr="008F7DBE">
        <w:trPr>
          <w:cantSplit/>
        </w:trPr>
        <w:tc>
          <w:tcPr>
            <w:tcW w:w="9016" w:type="dxa"/>
          </w:tcPr>
          <w:p w14:paraId="356F1057" w14:textId="77777777" w:rsidR="00B4783B" w:rsidRDefault="0087795F" w:rsidP="00285174">
            <w:pPr>
              <w:rPr>
                <w:rFonts w:ascii="Calibri" w:hAnsi="Calibri" w:cs="Calibri"/>
                <w:b/>
                <w:bCs/>
                <w:lang w:val="en-US"/>
              </w:rPr>
            </w:pPr>
            <w:r>
              <w:rPr>
                <w:rFonts w:ascii="Calibri" w:hAnsi="Calibri" w:cs="Calibri"/>
                <w:b/>
                <w:bCs/>
                <w:lang w:val="en-US"/>
              </w:rPr>
              <w:lastRenderedPageBreak/>
              <w:t xml:space="preserve">Response </w:t>
            </w:r>
          </w:p>
          <w:p w14:paraId="14C26BEF" w14:textId="77777777" w:rsidR="00972BA6" w:rsidRDefault="00972BA6" w:rsidP="00972BA6">
            <w:pPr>
              <w:rPr>
                <w:rFonts w:ascii="Calibri" w:hAnsi="Calibri" w:cs="Calibri"/>
              </w:rPr>
            </w:pPr>
            <w:r>
              <w:rPr>
                <w:rFonts w:ascii="Calibri" w:hAnsi="Calibri" w:cs="Calibri"/>
              </w:rPr>
              <w:t xml:space="preserve">Accepted. </w:t>
            </w:r>
          </w:p>
          <w:p w14:paraId="01B377C2" w14:textId="77777777" w:rsidR="00972BA6" w:rsidRDefault="00972BA6" w:rsidP="00972BA6">
            <w:pPr>
              <w:rPr>
                <w:rFonts w:ascii="Calibri" w:hAnsi="Calibri" w:cs="Calibri"/>
              </w:rPr>
            </w:pPr>
            <w:r>
              <w:rPr>
                <w:rFonts w:ascii="Calibri" w:hAnsi="Calibri" w:cs="Calibri"/>
              </w:rPr>
              <w:t xml:space="preserve">Implemented. </w:t>
            </w:r>
          </w:p>
          <w:p w14:paraId="5D060F56" w14:textId="77777777" w:rsidR="00972BA6" w:rsidRDefault="00972BA6" w:rsidP="00972BA6">
            <w:pPr>
              <w:rPr>
                <w:rFonts w:ascii="Calibri" w:hAnsi="Calibri" w:cs="Calibri"/>
              </w:rPr>
            </w:pPr>
          </w:p>
          <w:p w14:paraId="53386C4E" w14:textId="4C87497C" w:rsidR="0087795F" w:rsidRPr="00C922AF" w:rsidRDefault="00972BA6" w:rsidP="00972BA6">
            <w:pPr>
              <w:rPr>
                <w:rFonts w:ascii="Calibri" w:hAnsi="Calibri" w:cs="Calibri"/>
                <w:b/>
                <w:bCs/>
                <w:lang w:val="en-US"/>
              </w:rPr>
            </w:pPr>
            <w:r w:rsidRPr="00CE430C">
              <w:rPr>
                <w:rFonts w:ascii="Calibri" w:hAnsi="Calibri" w:cs="Calibri"/>
              </w:rPr>
              <w:t>PBSU employs active communication strategies to connect with PBC’s. The appointment of new Media Officer will enhance the level of communication. PBCSU sent letters out with applications for basic support funding to detail services and put together an information sheet and PBCSU continues to engage on a case-by-case basis with PBCs when support is required.  </w:t>
            </w:r>
          </w:p>
        </w:tc>
      </w:tr>
      <w:tr w:rsidR="00B4783B" w14:paraId="52E95D30" w14:textId="77777777" w:rsidTr="008F7DBE">
        <w:trPr>
          <w:cantSplit/>
        </w:trPr>
        <w:tc>
          <w:tcPr>
            <w:tcW w:w="9016" w:type="dxa"/>
            <w:shd w:val="clear" w:color="auto" w:fill="C1E4F5" w:themeFill="accent1" w:themeFillTint="33"/>
          </w:tcPr>
          <w:p w14:paraId="3047F0B0" w14:textId="573BE82D" w:rsidR="00B4783B" w:rsidRPr="00C922AF" w:rsidRDefault="0086525D" w:rsidP="00285174">
            <w:pPr>
              <w:rPr>
                <w:rFonts w:ascii="Calibri" w:hAnsi="Calibri" w:cs="Calibri"/>
                <w:b/>
                <w:bCs/>
                <w:lang w:val="en-US"/>
              </w:rPr>
            </w:pPr>
            <w:r w:rsidRPr="00C922AF">
              <w:rPr>
                <w:rFonts w:ascii="Calibri" w:hAnsi="Calibri" w:cs="Calibri"/>
                <w:b/>
                <w:bCs/>
                <w:lang w:val="en-US"/>
              </w:rPr>
              <w:t>TOR 7</w:t>
            </w:r>
            <w:r w:rsidRPr="00C922AF">
              <w:rPr>
                <w:rFonts w:ascii="Calibri" w:hAnsi="Calibri" w:cs="Calibri"/>
                <w:lang w:val="en-US"/>
              </w:rPr>
              <w:t xml:space="preserve"> </w:t>
            </w:r>
            <w:r w:rsidRPr="00C922AF">
              <w:rPr>
                <w:rFonts w:ascii="Calibri" w:hAnsi="Calibri" w:cs="Calibri"/>
                <w:lang w:val="en-GB"/>
              </w:rPr>
              <w:t>Extent to which each organisation has developed its planning for a post-determination environment.</w:t>
            </w:r>
            <w:r w:rsidRPr="00C922AF">
              <w:rPr>
                <w:rFonts w:ascii="Calibri" w:hAnsi="Calibri" w:cs="Calibri"/>
              </w:rPr>
              <w:t> </w:t>
            </w:r>
            <w:r w:rsidR="002748EF" w:rsidRPr="006579C4">
              <w:rPr>
                <w:rFonts w:ascii="Calibri" w:hAnsi="Calibri" w:cs="Calibri"/>
                <w:b/>
                <w:bCs/>
              </w:rPr>
              <w:t>(Rec 13)</w:t>
            </w:r>
          </w:p>
        </w:tc>
      </w:tr>
      <w:tr w:rsidR="00B4783B" w14:paraId="2850226D" w14:textId="77777777" w:rsidTr="008F7DBE">
        <w:trPr>
          <w:cantSplit/>
        </w:trPr>
        <w:tc>
          <w:tcPr>
            <w:tcW w:w="9016" w:type="dxa"/>
          </w:tcPr>
          <w:p w14:paraId="3274077D" w14:textId="783708DB" w:rsidR="00B4783B" w:rsidRPr="00C922AF" w:rsidRDefault="001D04D0" w:rsidP="00285174">
            <w:pPr>
              <w:rPr>
                <w:rFonts w:ascii="Calibri" w:hAnsi="Calibri" w:cs="Calibri"/>
                <w:b/>
                <w:bCs/>
                <w:lang w:val="en-US"/>
              </w:rPr>
            </w:pPr>
            <w:r w:rsidRPr="006339CB">
              <w:rPr>
                <w:rFonts w:ascii="Calibri" w:hAnsi="Calibri" w:cs="Calibri"/>
                <w:b/>
                <w:bCs/>
              </w:rPr>
              <w:t>Rec 13</w:t>
            </w:r>
            <w:r>
              <w:rPr>
                <w:rFonts w:ascii="Calibri" w:hAnsi="Calibri" w:cs="Calibri"/>
              </w:rPr>
              <w:t xml:space="preserve"> </w:t>
            </w:r>
            <w:r w:rsidRPr="00DC65FB">
              <w:rPr>
                <w:rFonts w:ascii="Calibri" w:hAnsi="Calibri" w:cs="Calibri"/>
              </w:rPr>
              <w:t>Determine the role (or set of roles) the NQLC will play in a post-determination environment, including preparation for future compensation claims. This could be facilitated by reviewing and updating the Strategic Plan and other key corporate documents to ensure that they remain fit-for-purpose and relevant to the current and future work environment. </w:t>
            </w:r>
          </w:p>
        </w:tc>
      </w:tr>
      <w:tr w:rsidR="00B4783B" w14:paraId="2D54F2BB" w14:textId="77777777" w:rsidTr="008F7DBE">
        <w:trPr>
          <w:cantSplit/>
        </w:trPr>
        <w:tc>
          <w:tcPr>
            <w:tcW w:w="9016" w:type="dxa"/>
          </w:tcPr>
          <w:p w14:paraId="0E593646" w14:textId="77777777" w:rsidR="00B4783B" w:rsidRDefault="001D04D0" w:rsidP="00285174">
            <w:pPr>
              <w:rPr>
                <w:rFonts w:ascii="Calibri" w:hAnsi="Calibri" w:cs="Calibri"/>
                <w:b/>
                <w:bCs/>
                <w:lang w:val="en-US"/>
              </w:rPr>
            </w:pPr>
            <w:r>
              <w:rPr>
                <w:rFonts w:ascii="Calibri" w:hAnsi="Calibri" w:cs="Calibri"/>
                <w:b/>
                <w:bCs/>
                <w:lang w:val="en-US"/>
              </w:rPr>
              <w:t xml:space="preserve">Response </w:t>
            </w:r>
          </w:p>
          <w:p w14:paraId="2C073237" w14:textId="77777777" w:rsidR="00C26D88" w:rsidRDefault="00C26D88" w:rsidP="00C26D88">
            <w:pPr>
              <w:rPr>
                <w:rFonts w:ascii="Calibri" w:hAnsi="Calibri" w:cs="Calibri"/>
              </w:rPr>
            </w:pPr>
            <w:r>
              <w:rPr>
                <w:rFonts w:ascii="Calibri" w:hAnsi="Calibri" w:cs="Calibri"/>
              </w:rPr>
              <w:t xml:space="preserve">Accepted. </w:t>
            </w:r>
          </w:p>
          <w:p w14:paraId="2B1E3E13" w14:textId="77777777" w:rsidR="00C26D88" w:rsidRDefault="00C26D88" w:rsidP="00C26D88">
            <w:pPr>
              <w:rPr>
                <w:rFonts w:ascii="Calibri" w:hAnsi="Calibri" w:cs="Calibri"/>
              </w:rPr>
            </w:pPr>
            <w:r>
              <w:rPr>
                <w:rFonts w:ascii="Calibri" w:hAnsi="Calibri" w:cs="Calibri"/>
              </w:rPr>
              <w:t xml:space="preserve">Implemented. </w:t>
            </w:r>
          </w:p>
          <w:p w14:paraId="42402D6D" w14:textId="77777777" w:rsidR="00C26D88" w:rsidRDefault="00C26D88" w:rsidP="00C26D88">
            <w:pPr>
              <w:rPr>
                <w:rFonts w:ascii="Calibri" w:hAnsi="Calibri" w:cs="Calibri"/>
              </w:rPr>
            </w:pPr>
          </w:p>
          <w:p w14:paraId="331B9639" w14:textId="77777777" w:rsidR="00C26D88" w:rsidRPr="002832BD" w:rsidRDefault="00C26D88" w:rsidP="00C26D88">
            <w:pPr>
              <w:rPr>
                <w:rFonts w:ascii="Calibri" w:hAnsi="Calibri" w:cs="Calibri"/>
              </w:rPr>
            </w:pPr>
            <w:r w:rsidRPr="002832BD">
              <w:rPr>
                <w:rFonts w:ascii="Calibri" w:hAnsi="Calibri" w:cs="Calibri"/>
              </w:rPr>
              <w:t>NQLC Strategic Plan and other corporate documents review action completed. The Building Economic Independence in North Queensland project also seeks to map out the process options for the board to consider (project awaiting final board approval) as part of the post determination landscape and NQLC’s potential future role and function. </w:t>
            </w:r>
          </w:p>
          <w:p w14:paraId="445EEA90" w14:textId="77777777" w:rsidR="00C26D88" w:rsidRDefault="00C26D88" w:rsidP="00C26D88">
            <w:pPr>
              <w:rPr>
                <w:rFonts w:ascii="Calibri" w:hAnsi="Calibri" w:cs="Calibri"/>
                <w:lang w:val="en-US"/>
              </w:rPr>
            </w:pPr>
          </w:p>
          <w:p w14:paraId="085978B2" w14:textId="77777777" w:rsidR="00C26D88" w:rsidRPr="002832BD" w:rsidRDefault="00C26D88" w:rsidP="00C26D88">
            <w:pPr>
              <w:rPr>
                <w:rFonts w:ascii="Calibri" w:hAnsi="Calibri" w:cs="Calibri"/>
              </w:rPr>
            </w:pPr>
            <w:r w:rsidRPr="002832BD">
              <w:rPr>
                <w:rFonts w:ascii="Calibri" w:hAnsi="Calibri" w:cs="Calibri"/>
                <w:lang w:val="en-US"/>
              </w:rPr>
              <w:t>Operationally, NQLC Engagement Development &amp; Support Team are working closely and knows business aspirations of PBCs post-determination (to the extent they wish to share). However, work is progressing through discussions about how this can be ‘tracked’ in a post determination space. </w:t>
            </w:r>
            <w:r w:rsidRPr="002832BD">
              <w:rPr>
                <w:rFonts w:ascii="Calibri" w:hAnsi="Calibri" w:cs="Calibri"/>
              </w:rPr>
              <w:t> </w:t>
            </w:r>
          </w:p>
          <w:p w14:paraId="6B780B18" w14:textId="77777777" w:rsidR="00C26D88" w:rsidRDefault="00C26D88" w:rsidP="00C26D88">
            <w:pPr>
              <w:rPr>
                <w:rFonts w:ascii="Calibri" w:hAnsi="Calibri" w:cs="Calibri"/>
                <w:lang w:val="en-US"/>
              </w:rPr>
            </w:pPr>
          </w:p>
          <w:p w14:paraId="774E8E07" w14:textId="77777777" w:rsidR="00C26D88" w:rsidRPr="002832BD" w:rsidRDefault="00C26D88" w:rsidP="00C26D88">
            <w:pPr>
              <w:rPr>
                <w:rFonts w:ascii="Calibri" w:hAnsi="Calibri" w:cs="Calibri"/>
              </w:rPr>
            </w:pPr>
            <w:r w:rsidRPr="002832BD">
              <w:rPr>
                <w:rFonts w:ascii="Calibri" w:hAnsi="Calibri" w:cs="Calibri"/>
                <w:lang w:val="en-US"/>
              </w:rPr>
              <w:t>NQLC is actively engaging with two groups about compensation claims. The process includes engagement with the State to also include historical mining and exploration – a clear risk is the potential for change of state government.</w:t>
            </w:r>
            <w:r w:rsidRPr="002832BD">
              <w:rPr>
                <w:rFonts w:ascii="Calibri" w:hAnsi="Calibri" w:cs="Calibri"/>
              </w:rPr>
              <w:t> </w:t>
            </w:r>
          </w:p>
          <w:p w14:paraId="1BAB9B8E" w14:textId="77777777" w:rsidR="00C26D88" w:rsidRDefault="00C26D88" w:rsidP="00C26D88">
            <w:pPr>
              <w:rPr>
                <w:rFonts w:ascii="Calibri" w:hAnsi="Calibri" w:cs="Calibri"/>
                <w:lang w:val="en-US"/>
              </w:rPr>
            </w:pPr>
          </w:p>
          <w:p w14:paraId="72471DF3" w14:textId="217B578D" w:rsidR="001D04D0" w:rsidRPr="00C922AF" w:rsidRDefault="00C26D88" w:rsidP="00C26D88">
            <w:pPr>
              <w:rPr>
                <w:rFonts w:ascii="Calibri" w:hAnsi="Calibri" w:cs="Calibri"/>
                <w:b/>
                <w:bCs/>
                <w:lang w:val="en-US"/>
              </w:rPr>
            </w:pPr>
            <w:r w:rsidRPr="002832BD">
              <w:rPr>
                <w:rFonts w:ascii="Calibri" w:hAnsi="Calibri" w:cs="Calibri"/>
                <w:lang w:val="en-US"/>
              </w:rPr>
              <w:t>The future act online toolkit not ready – Timeline after June 30, 2025.</w:t>
            </w:r>
          </w:p>
        </w:tc>
      </w:tr>
    </w:tbl>
    <w:p w14:paraId="1F6FC03E" w14:textId="77777777" w:rsidR="001C526F" w:rsidRDefault="001C526F" w:rsidP="00D6792F">
      <w:pPr>
        <w:jc w:val="both"/>
      </w:pPr>
    </w:p>
    <w:sectPr w:rsidR="001C526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F3288" w14:textId="77777777" w:rsidR="008257B5" w:rsidRDefault="008257B5" w:rsidP="001C526F">
      <w:pPr>
        <w:spacing w:after="0" w:line="240" w:lineRule="auto"/>
      </w:pPr>
      <w:r>
        <w:separator/>
      </w:r>
    </w:p>
  </w:endnote>
  <w:endnote w:type="continuationSeparator" w:id="0">
    <w:p w14:paraId="11FED478" w14:textId="77777777" w:rsidR="008257B5" w:rsidRDefault="008257B5" w:rsidP="001C5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EDE4B" w14:textId="7A5ED1D0" w:rsidR="001C526F" w:rsidRDefault="001C526F">
    <w:pPr>
      <w:pStyle w:val="Footer"/>
    </w:pPr>
    <w:r>
      <w:rPr>
        <w:noProof/>
      </w:rPr>
      <mc:AlternateContent>
        <mc:Choice Requires="wps">
          <w:drawing>
            <wp:anchor distT="0" distB="0" distL="0" distR="0" simplePos="0" relativeHeight="251662336" behindDoc="0" locked="0" layoutInCell="1" allowOverlap="1" wp14:anchorId="22A4195E" wp14:editId="65440CB0">
              <wp:simplePos x="635" y="635"/>
              <wp:positionH relativeFrom="page">
                <wp:align>center</wp:align>
              </wp:positionH>
              <wp:positionV relativeFrom="page">
                <wp:align>bottom</wp:align>
              </wp:positionV>
              <wp:extent cx="686435" cy="393700"/>
              <wp:effectExtent l="0" t="0" r="18415" b="0"/>
              <wp:wrapNone/>
              <wp:docPr id="94681955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58EFC2F1" w14:textId="01166DF3" w:rsidR="001C526F" w:rsidRPr="001C526F" w:rsidRDefault="001C526F" w:rsidP="001C526F">
                          <w:pPr>
                            <w:spacing w:after="0"/>
                            <w:rPr>
                              <w:rFonts w:ascii="Arial" w:eastAsia="Arial" w:hAnsi="Arial" w:cs="Arial"/>
                              <w:noProof/>
                              <w:color w:val="FF0000"/>
                            </w:rPr>
                          </w:pPr>
                          <w:r w:rsidRPr="001C526F">
                            <w:rPr>
                              <w:rFonts w:ascii="Arial" w:eastAsia="Arial" w:hAnsi="Arial" w:cs="Arial"/>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A4195E" id="_x0000_t202" coordsize="21600,21600" o:spt="202" path="m,l,21600r21600,l21600,xe">
              <v:stroke joinstyle="miter"/>
              <v:path gradientshapeok="t" o:connecttype="rect"/>
            </v:shapetype>
            <v:shape id="Text Box 5" o:spid="_x0000_s1028" type="#_x0000_t202" alt="OFFICIAL" style="position:absolute;margin-left:0;margin-top:0;width:54.05pt;height:3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A6t853EAIA&#10;ABwEAAAOAAAAAAAAAAAAAAAAAC4CAABkcnMvZTJvRG9jLnhtbFBLAQItABQABgAIAAAAIQAMoFZM&#10;2wAAAAQBAAAPAAAAAAAAAAAAAAAAAGoEAABkcnMvZG93bnJldi54bWxQSwUGAAAAAAQABADzAAAA&#10;cgUAAAAA&#10;" filled="f" stroked="f">
              <v:textbox style="mso-fit-shape-to-text:t" inset="0,0,0,15pt">
                <w:txbxContent>
                  <w:p w14:paraId="58EFC2F1" w14:textId="01166DF3" w:rsidR="001C526F" w:rsidRPr="001C526F" w:rsidRDefault="001C526F" w:rsidP="001C526F">
                    <w:pPr>
                      <w:spacing w:after="0"/>
                      <w:rPr>
                        <w:rFonts w:ascii="Arial" w:eastAsia="Arial" w:hAnsi="Arial" w:cs="Arial"/>
                        <w:noProof/>
                        <w:color w:val="FF0000"/>
                      </w:rPr>
                    </w:pPr>
                    <w:r w:rsidRPr="001C526F">
                      <w:rPr>
                        <w:rFonts w:ascii="Arial" w:eastAsia="Arial" w:hAnsi="Arial" w:cs="Arial"/>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860301"/>
      <w:docPartObj>
        <w:docPartGallery w:val="Page Numbers (Bottom of Page)"/>
        <w:docPartUnique/>
      </w:docPartObj>
    </w:sdtPr>
    <w:sdtEndPr>
      <w:rPr>
        <w:noProof/>
      </w:rPr>
    </w:sdtEndPr>
    <w:sdtContent>
      <w:p w14:paraId="63579DFF" w14:textId="1D82E575" w:rsidR="00382D2D" w:rsidRDefault="00382D2D">
        <w:pPr>
          <w:pStyle w:val="Footer"/>
          <w:jc w:val="right"/>
        </w:pPr>
        <w:r>
          <w:fldChar w:fldCharType="begin"/>
        </w:r>
        <w:r>
          <w:instrText xml:space="preserve"> PAGE   \* MERGEFORMAT </w:instrText>
        </w:r>
        <w:r>
          <w:fldChar w:fldCharType="separate"/>
        </w:r>
        <w:r>
          <w:rPr>
            <w:noProof/>
          </w:rPr>
          <w:t>2</w:t>
        </w:r>
        <w:r>
          <w:rPr>
            <w:noProof/>
          </w:rPr>
          <w:fldChar w:fldCharType="end"/>
        </w:r>
        <w:r w:rsidR="0038611A">
          <w:rPr>
            <w:noProof/>
          </w:rPr>
          <w:t>/5</w:t>
        </w:r>
      </w:p>
    </w:sdtContent>
  </w:sdt>
  <w:p w14:paraId="04BC6FA6" w14:textId="298962DF" w:rsidR="001C526F" w:rsidRPr="0038611A" w:rsidRDefault="00382D2D">
    <w:pPr>
      <w:pStyle w:val="Footer"/>
      <w:rPr>
        <w:rFonts w:cs="Calibri"/>
      </w:rPr>
    </w:pPr>
    <w:r w:rsidRPr="0038611A">
      <w:rPr>
        <w:rFonts w:cs="Calibri"/>
      </w:rPr>
      <w:t>North Queensland Land Council Response</w:t>
    </w:r>
    <w:r w:rsidR="007A3A42">
      <w:rPr>
        <w:rFonts w:cs="Calibri"/>
      </w:rPr>
      <w:t xml:space="preserve"> as </w:t>
    </w:r>
    <w:proofErr w:type="gramStart"/>
    <w:r w:rsidR="007A3A42">
      <w:rPr>
        <w:rFonts w:cs="Calibri"/>
      </w:rPr>
      <w:t>at</w:t>
    </w:r>
    <w:proofErr w:type="gramEnd"/>
    <w:r w:rsidR="007A3A42">
      <w:rPr>
        <w:rFonts w:cs="Calibri"/>
      </w:rPr>
      <w:t xml:space="preserve"> January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C2260" w14:textId="31C5E120" w:rsidR="001C526F" w:rsidRDefault="001C526F">
    <w:pPr>
      <w:pStyle w:val="Footer"/>
    </w:pPr>
    <w:r>
      <w:rPr>
        <w:noProof/>
      </w:rPr>
      <mc:AlternateContent>
        <mc:Choice Requires="wps">
          <w:drawing>
            <wp:anchor distT="0" distB="0" distL="0" distR="0" simplePos="0" relativeHeight="251661312" behindDoc="0" locked="0" layoutInCell="1" allowOverlap="1" wp14:anchorId="0F5A4758" wp14:editId="036246BC">
              <wp:simplePos x="635" y="635"/>
              <wp:positionH relativeFrom="page">
                <wp:align>center</wp:align>
              </wp:positionH>
              <wp:positionV relativeFrom="page">
                <wp:align>bottom</wp:align>
              </wp:positionV>
              <wp:extent cx="686435" cy="393700"/>
              <wp:effectExtent l="0" t="0" r="18415" b="0"/>
              <wp:wrapNone/>
              <wp:docPr id="209739305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5209B686" w14:textId="59AC076C" w:rsidR="001C526F" w:rsidRPr="001C526F" w:rsidRDefault="001C526F" w:rsidP="001C526F">
                          <w:pPr>
                            <w:spacing w:after="0"/>
                            <w:rPr>
                              <w:rFonts w:ascii="Arial" w:eastAsia="Arial" w:hAnsi="Arial" w:cs="Arial"/>
                              <w:noProof/>
                              <w:color w:val="FF0000"/>
                            </w:rPr>
                          </w:pPr>
                          <w:r w:rsidRPr="001C526F">
                            <w:rPr>
                              <w:rFonts w:ascii="Arial" w:eastAsia="Arial" w:hAnsi="Arial" w:cs="Arial"/>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5A4758" id="_x0000_t202" coordsize="21600,21600" o:spt="202" path="m,l,21600r21600,l21600,xe">
              <v:stroke joinstyle="miter"/>
              <v:path gradientshapeok="t" o:connecttype="rect"/>
            </v:shapetype>
            <v:shape id="Text Box 4" o:spid="_x0000_s1030" type="#_x0000_t202" alt="OFFICIAL" style="position:absolute;margin-left:0;margin-top:0;width:54.05pt;height:3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BUNGH6EAIA&#10;ABwEAAAOAAAAAAAAAAAAAAAAAC4CAABkcnMvZTJvRG9jLnhtbFBLAQItABQABgAIAAAAIQAMoFZM&#10;2wAAAAQBAAAPAAAAAAAAAAAAAAAAAGoEAABkcnMvZG93bnJldi54bWxQSwUGAAAAAAQABADzAAAA&#10;cgUAAAAA&#10;" filled="f" stroked="f">
              <v:textbox style="mso-fit-shape-to-text:t" inset="0,0,0,15pt">
                <w:txbxContent>
                  <w:p w14:paraId="5209B686" w14:textId="59AC076C" w:rsidR="001C526F" w:rsidRPr="001C526F" w:rsidRDefault="001C526F" w:rsidP="001C526F">
                    <w:pPr>
                      <w:spacing w:after="0"/>
                      <w:rPr>
                        <w:rFonts w:ascii="Arial" w:eastAsia="Arial" w:hAnsi="Arial" w:cs="Arial"/>
                        <w:noProof/>
                        <w:color w:val="FF0000"/>
                      </w:rPr>
                    </w:pPr>
                    <w:r w:rsidRPr="001C526F">
                      <w:rPr>
                        <w:rFonts w:ascii="Arial" w:eastAsia="Arial" w:hAnsi="Arial" w:cs="Arial"/>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52800" w14:textId="77777777" w:rsidR="008257B5" w:rsidRDefault="008257B5" w:rsidP="001C526F">
      <w:pPr>
        <w:spacing w:after="0" w:line="240" w:lineRule="auto"/>
      </w:pPr>
      <w:r>
        <w:separator/>
      </w:r>
    </w:p>
  </w:footnote>
  <w:footnote w:type="continuationSeparator" w:id="0">
    <w:p w14:paraId="155CF4C4" w14:textId="77777777" w:rsidR="008257B5" w:rsidRDefault="008257B5" w:rsidP="001C52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13E15" w14:textId="389E7E41" w:rsidR="001C526F" w:rsidRDefault="001C526F">
    <w:pPr>
      <w:pStyle w:val="Header"/>
    </w:pPr>
    <w:r>
      <w:rPr>
        <w:noProof/>
      </w:rPr>
      <mc:AlternateContent>
        <mc:Choice Requires="wps">
          <w:drawing>
            <wp:anchor distT="0" distB="0" distL="0" distR="0" simplePos="0" relativeHeight="251659264" behindDoc="0" locked="0" layoutInCell="1" allowOverlap="1" wp14:anchorId="335E5270" wp14:editId="454602E7">
              <wp:simplePos x="635" y="635"/>
              <wp:positionH relativeFrom="page">
                <wp:align>center</wp:align>
              </wp:positionH>
              <wp:positionV relativeFrom="page">
                <wp:align>top</wp:align>
              </wp:positionV>
              <wp:extent cx="686435" cy="393700"/>
              <wp:effectExtent l="0" t="0" r="18415" b="6350"/>
              <wp:wrapNone/>
              <wp:docPr id="195233917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21D1A110" w14:textId="021C9B2A" w:rsidR="001C526F" w:rsidRPr="001C526F" w:rsidRDefault="001C526F" w:rsidP="001C526F">
                          <w:pPr>
                            <w:spacing w:after="0"/>
                            <w:rPr>
                              <w:rFonts w:ascii="Arial" w:eastAsia="Arial" w:hAnsi="Arial" w:cs="Arial"/>
                              <w:noProof/>
                              <w:color w:val="FF0000"/>
                            </w:rPr>
                          </w:pPr>
                          <w:r w:rsidRPr="001C526F">
                            <w:rPr>
                              <w:rFonts w:ascii="Arial" w:eastAsia="Arial" w:hAnsi="Arial" w:cs="Arial"/>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5E5270" id="_x0000_t202" coordsize="21600,21600" o:spt="202" path="m,l,21600r21600,l21600,xe">
              <v:stroke joinstyle="miter"/>
              <v:path gradientshapeok="t" o:connecttype="rect"/>
            </v:shapetype>
            <v:shape id="Text Box 2" o:spid="_x0000_s1026" type="#_x0000_t202" alt="OFFICIAL" style="position:absolute;margin-left:0;margin-top:0;width:54.05pt;height:3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" filled="f" stroked="f">
              <v:textbox style="mso-fit-shape-to-text:t" inset="0,15pt,0,0">
                <w:txbxContent>
                  <w:p w14:paraId="21D1A110" w14:textId="021C9B2A" w:rsidR="001C526F" w:rsidRPr="001C526F" w:rsidRDefault="001C526F" w:rsidP="001C526F">
                    <w:pPr>
                      <w:spacing w:after="0"/>
                      <w:rPr>
                        <w:rFonts w:ascii="Arial" w:eastAsia="Arial" w:hAnsi="Arial" w:cs="Arial"/>
                        <w:noProof/>
                        <w:color w:val="FF0000"/>
                      </w:rPr>
                    </w:pPr>
                    <w:r w:rsidRPr="001C526F">
                      <w:rPr>
                        <w:rFonts w:ascii="Arial" w:eastAsia="Arial" w:hAnsi="Arial" w:cs="Arial"/>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AE781" w14:textId="191C0A4C" w:rsidR="001C526F" w:rsidRDefault="001C526F">
    <w:pPr>
      <w:pStyle w:val="Header"/>
    </w:pPr>
    <w:r>
      <w:rPr>
        <w:noProof/>
      </w:rPr>
      <mc:AlternateContent>
        <mc:Choice Requires="wps">
          <w:drawing>
            <wp:anchor distT="0" distB="0" distL="0" distR="0" simplePos="0" relativeHeight="251660288" behindDoc="0" locked="0" layoutInCell="1" allowOverlap="1" wp14:anchorId="63C3C466" wp14:editId="55946E28">
              <wp:simplePos x="914400" y="449580"/>
              <wp:positionH relativeFrom="page">
                <wp:align>center</wp:align>
              </wp:positionH>
              <wp:positionV relativeFrom="page">
                <wp:align>top</wp:align>
              </wp:positionV>
              <wp:extent cx="686435" cy="393700"/>
              <wp:effectExtent l="0" t="0" r="18415" b="6350"/>
              <wp:wrapNone/>
              <wp:docPr id="213439737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38BE57A6" w14:textId="5F63DCF4" w:rsidR="001C526F" w:rsidRPr="001C526F" w:rsidRDefault="001C526F" w:rsidP="001C526F">
                          <w:pPr>
                            <w:spacing w:after="0"/>
                            <w:rPr>
                              <w:rFonts w:ascii="Arial" w:eastAsia="Arial" w:hAnsi="Arial" w:cs="Arial"/>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C3C466" id="_x0000_t202" coordsize="21600,21600" o:spt="202" path="m,l,21600r21600,l21600,xe">
              <v:stroke joinstyle="miter"/>
              <v:path gradientshapeok="t" o:connecttype="rect"/>
            </v:shapetype>
            <v:shape id="Text Box 3" o:spid="_x0000_s1027" type="#_x0000_t202" alt="OFFICIAL" style="position:absolute;margin-left:0;margin-top:0;width:54.05pt;height:3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" filled="f" stroked="f">
              <v:textbox style="mso-fit-shape-to-text:t" inset="0,15pt,0,0">
                <w:txbxContent>
                  <w:p w14:paraId="38BE57A6" w14:textId="5F63DCF4" w:rsidR="001C526F" w:rsidRPr="001C526F" w:rsidRDefault="001C526F" w:rsidP="001C526F">
                    <w:pPr>
                      <w:spacing w:after="0"/>
                      <w:rPr>
                        <w:rFonts w:ascii="Arial" w:eastAsia="Arial" w:hAnsi="Arial" w:cs="Arial"/>
                        <w:noProof/>
                        <w:color w:val="FF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79078" w14:textId="60EC9266" w:rsidR="001C526F" w:rsidRDefault="001C526F">
    <w:pPr>
      <w:pStyle w:val="Header"/>
    </w:pPr>
    <w:r>
      <w:rPr>
        <w:noProof/>
      </w:rPr>
      <mc:AlternateContent>
        <mc:Choice Requires="wps">
          <w:drawing>
            <wp:anchor distT="0" distB="0" distL="0" distR="0" simplePos="0" relativeHeight="251658240" behindDoc="0" locked="0" layoutInCell="1" allowOverlap="1" wp14:anchorId="6EB92CAB" wp14:editId="09EEEE8C">
              <wp:simplePos x="635" y="635"/>
              <wp:positionH relativeFrom="page">
                <wp:align>center</wp:align>
              </wp:positionH>
              <wp:positionV relativeFrom="page">
                <wp:align>top</wp:align>
              </wp:positionV>
              <wp:extent cx="686435" cy="393700"/>
              <wp:effectExtent l="0" t="0" r="18415" b="6350"/>
              <wp:wrapNone/>
              <wp:docPr id="44796726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5DBAF355" w14:textId="6815FC70" w:rsidR="001C526F" w:rsidRPr="001C526F" w:rsidRDefault="001C526F" w:rsidP="001C526F">
                          <w:pPr>
                            <w:spacing w:after="0"/>
                            <w:rPr>
                              <w:rFonts w:ascii="Arial" w:eastAsia="Arial" w:hAnsi="Arial" w:cs="Arial"/>
                              <w:noProof/>
                              <w:color w:val="FF0000"/>
                            </w:rPr>
                          </w:pPr>
                          <w:r w:rsidRPr="001C526F">
                            <w:rPr>
                              <w:rFonts w:ascii="Arial" w:eastAsia="Arial" w:hAnsi="Arial" w:cs="Arial"/>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B92CAB" id="_x0000_t202" coordsize="21600,21600" o:spt="202" path="m,l,21600r21600,l21600,xe">
              <v:stroke joinstyle="miter"/>
              <v:path gradientshapeok="t" o:connecttype="rect"/>
            </v:shapetype>
            <v:shape id="Text Box 1" o:spid="_x0000_s1029" type="#_x0000_t202" alt="OFFICIAL" style="position:absolute;margin-left:0;margin-top:0;width:54.05pt;height:3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" filled="f" stroked="f">
              <v:textbox style="mso-fit-shape-to-text:t" inset="0,15pt,0,0">
                <w:txbxContent>
                  <w:p w14:paraId="5DBAF355" w14:textId="6815FC70" w:rsidR="001C526F" w:rsidRPr="001C526F" w:rsidRDefault="001C526F" w:rsidP="001C526F">
                    <w:pPr>
                      <w:spacing w:after="0"/>
                      <w:rPr>
                        <w:rFonts w:ascii="Arial" w:eastAsia="Arial" w:hAnsi="Arial" w:cs="Arial"/>
                        <w:noProof/>
                        <w:color w:val="FF0000"/>
                      </w:rPr>
                    </w:pPr>
                    <w:r w:rsidRPr="001C526F">
                      <w:rPr>
                        <w:rFonts w:ascii="Arial" w:eastAsia="Arial" w:hAnsi="Arial" w:cs="Arial"/>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78F3"/>
    <w:multiLevelType w:val="hybridMultilevel"/>
    <w:tmpl w:val="C840F0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412D25FE"/>
    <w:multiLevelType w:val="hybridMultilevel"/>
    <w:tmpl w:val="57C48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77049CF"/>
    <w:multiLevelType w:val="hybridMultilevel"/>
    <w:tmpl w:val="923A32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5FF61DFE"/>
    <w:multiLevelType w:val="hybridMultilevel"/>
    <w:tmpl w:val="A1B4FC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7C3C63BE"/>
    <w:multiLevelType w:val="hybridMultilevel"/>
    <w:tmpl w:val="9FA4E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DFB69D2"/>
    <w:multiLevelType w:val="hybridMultilevel"/>
    <w:tmpl w:val="D0060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25213459">
    <w:abstractNumId w:val="0"/>
  </w:num>
  <w:num w:numId="2" w16cid:durableId="1570379435">
    <w:abstractNumId w:val="2"/>
  </w:num>
  <w:num w:numId="3" w16cid:durableId="1884363760">
    <w:abstractNumId w:val="4"/>
  </w:num>
  <w:num w:numId="4" w16cid:durableId="393553711">
    <w:abstractNumId w:val="5"/>
  </w:num>
  <w:num w:numId="5" w16cid:durableId="419759783">
    <w:abstractNumId w:val="3"/>
  </w:num>
  <w:num w:numId="6" w16cid:durableId="1312641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26F"/>
    <w:rsid w:val="000219AC"/>
    <w:rsid w:val="000A224A"/>
    <w:rsid w:val="000A5E38"/>
    <w:rsid w:val="000F1A3C"/>
    <w:rsid w:val="001663B3"/>
    <w:rsid w:val="00191FC9"/>
    <w:rsid w:val="001B048F"/>
    <w:rsid w:val="001C526F"/>
    <w:rsid w:val="001D04D0"/>
    <w:rsid w:val="001F2886"/>
    <w:rsid w:val="00246151"/>
    <w:rsid w:val="00270DDB"/>
    <w:rsid w:val="002748EF"/>
    <w:rsid w:val="002816B1"/>
    <w:rsid w:val="00285174"/>
    <w:rsid w:val="002B3898"/>
    <w:rsid w:val="002E06EF"/>
    <w:rsid w:val="003157BA"/>
    <w:rsid w:val="0033497F"/>
    <w:rsid w:val="00355B38"/>
    <w:rsid w:val="0037376B"/>
    <w:rsid w:val="00382D2D"/>
    <w:rsid w:val="0038611A"/>
    <w:rsid w:val="003A2366"/>
    <w:rsid w:val="003D4E7E"/>
    <w:rsid w:val="00440729"/>
    <w:rsid w:val="004716E8"/>
    <w:rsid w:val="00481A75"/>
    <w:rsid w:val="00502E23"/>
    <w:rsid w:val="005169A2"/>
    <w:rsid w:val="00531C43"/>
    <w:rsid w:val="005334A7"/>
    <w:rsid w:val="00573B06"/>
    <w:rsid w:val="005766FD"/>
    <w:rsid w:val="005B48CD"/>
    <w:rsid w:val="005D6A8E"/>
    <w:rsid w:val="006579C4"/>
    <w:rsid w:val="006601B1"/>
    <w:rsid w:val="006757D8"/>
    <w:rsid w:val="006A75FC"/>
    <w:rsid w:val="006A7F46"/>
    <w:rsid w:val="006B4059"/>
    <w:rsid w:val="006D76E2"/>
    <w:rsid w:val="00730B4B"/>
    <w:rsid w:val="007730D4"/>
    <w:rsid w:val="007A3A42"/>
    <w:rsid w:val="008257B5"/>
    <w:rsid w:val="0086525D"/>
    <w:rsid w:val="00873DB6"/>
    <w:rsid w:val="0087795F"/>
    <w:rsid w:val="008F48CE"/>
    <w:rsid w:val="008F7DBE"/>
    <w:rsid w:val="00972BA6"/>
    <w:rsid w:val="009813E9"/>
    <w:rsid w:val="009A6CC9"/>
    <w:rsid w:val="009F2A8E"/>
    <w:rsid w:val="00A01EB4"/>
    <w:rsid w:val="00A4253A"/>
    <w:rsid w:val="00A626EE"/>
    <w:rsid w:val="00AA46F2"/>
    <w:rsid w:val="00B4783B"/>
    <w:rsid w:val="00B64C3B"/>
    <w:rsid w:val="00BB72A6"/>
    <w:rsid w:val="00BE5F5A"/>
    <w:rsid w:val="00C146CB"/>
    <w:rsid w:val="00C26D88"/>
    <w:rsid w:val="00C40797"/>
    <w:rsid w:val="00C672D7"/>
    <w:rsid w:val="00C8049B"/>
    <w:rsid w:val="00CB27AB"/>
    <w:rsid w:val="00D128DC"/>
    <w:rsid w:val="00D6792F"/>
    <w:rsid w:val="00D77F49"/>
    <w:rsid w:val="00E36F89"/>
    <w:rsid w:val="00E71A89"/>
    <w:rsid w:val="00E80941"/>
    <w:rsid w:val="00F33DCE"/>
    <w:rsid w:val="00F742FD"/>
    <w:rsid w:val="00FD7F0E"/>
    <w:rsid w:val="00FE33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9C7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52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52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52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52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52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52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52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52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52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2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52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52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52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52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52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52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52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526F"/>
    <w:rPr>
      <w:rFonts w:eastAsiaTheme="majorEastAsia" w:cstheme="majorBidi"/>
      <w:color w:val="272727" w:themeColor="text1" w:themeTint="D8"/>
    </w:rPr>
  </w:style>
  <w:style w:type="paragraph" w:styleId="Title">
    <w:name w:val="Title"/>
    <w:basedOn w:val="Normal"/>
    <w:next w:val="Normal"/>
    <w:link w:val="TitleChar"/>
    <w:uiPriority w:val="10"/>
    <w:qFormat/>
    <w:rsid w:val="001C52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2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2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52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26F"/>
    <w:pPr>
      <w:spacing w:before="160"/>
      <w:jc w:val="center"/>
    </w:pPr>
    <w:rPr>
      <w:i/>
      <w:iCs/>
      <w:color w:val="404040" w:themeColor="text1" w:themeTint="BF"/>
    </w:rPr>
  </w:style>
  <w:style w:type="character" w:customStyle="1" w:styleId="QuoteChar">
    <w:name w:val="Quote Char"/>
    <w:basedOn w:val="DefaultParagraphFont"/>
    <w:link w:val="Quote"/>
    <w:uiPriority w:val="29"/>
    <w:rsid w:val="001C526F"/>
    <w:rPr>
      <w:i/>
      <w:iCs/>
      <w:color w:val="404040" w:themeColor="text1" w:themeTint="BF"/>
    </w:rPr>
  </w:style>
  <w:style w:type="paragraph" w:styleId="ListParagraph">
    <w:name w:val="List Paragraph"/>
    <w:basedOn w:val="Normal"/>
    <w:uiPriority w:val="34"/>
    <w:qFormat/>
    <w:rsid w:val="001C526F"/>
    <w:pPr>
      <w:ind w:left="720"/>
      <w:contextualSpacing/>
    </w:pPr>
  </w:style>
  <w:style w:type="character" w:styleId="IntenseEmphasis">
    <w:name w:val="Intense Emphasis"/>
    <w:basedOn w:val="DefaultParagraphFont"/>
    <w:uiPriority w:val="21"/>
    <w:qFormat/>
    <w:rsid w:val="001C526F"/>
    <w:rPr>
      <w:i/>
      <w:iCs/>
      <w:color w:val="0F4761" w:themeColor="accent1" w:themeShade="BF"/>
    </w:rPr>
  </w:style>
  <w:style w:type="paragraph" w:styleId="IntenseQuote">
    <w:name w:val="Intense Quote"/>
    <w:basedOn w:val="Normal"/>
    <w:next w:val="Normal"/>
    <w:link w:val="IntenseQuoteChar"/>
    <w:uiPriority w:val="30"/>
    <w:qFormat/>
    <w:rsid w:val="001C52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526F"/>
    <w:rPr>
      <w:i/>
      <w:iCs/>
      <w:color w:val="0F4761" w:themeColor="accent1" w:themeShade="BF"/>
    </w:rPr>
  </w:style>
  <w:style w:type="character" w:styleId="IntenseReference">
    <w:name w:val="Intense Reference"/>
    <w:basedOn w:val="DefaultParagraphFont"/>
    <w:uiPriority w:val="32"/>
    <w:qFormat/>
    <w:rsid w:val="001C526F"/>
    <w:rPr>
      <w:b/>
      <w:bCs/>
      <w:smallCaps/>
      <w:color w:val="0F4761" w:themeColor="accent1" w:themeShade="BF"/>
      <w:spacing w:val="5"/>
    </w:rPr>
  </w:style>
  <w:style w:type="paragraph" w:styleId="Header">
    <w:name w:val="header"/>
    <w:basedOn w:val="Normal"/>
    <w:link w:val="HeaderChar"/>
    <w:uiPriority w:val="99"/>
    <w:unhideWhenUsed/>
    <w:rsid w:val="001C52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526F"/>
  </w:style>
  <w:style w:type="paragraph" w:styleId="Footer">
    <w:name w:val="footer"/>
    <w:basedOn w:val="Normal"/>
    <w:link w:val="FooterChar"/>
    <w:uiPriority w:val="99"/>
    <w:unhideWhenUsed/>
    <w:rsid w:val="001C52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526F"/>
  </w:style>
  <w:style w:type="table" w:styleId="TableGrid">
    <w:name w:val="Table Grid"/>
    <w:basedOn w:val="TableNormal"/>
    <w:uiPriority w:val="39"/>
    <w:rsid w:val="006A7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1b6f4da-6f5a-4ad4-ae79-c01bdd3395d0}"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1679</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2025-10-23T01:09:00Z</dcterms:created>
  <dcterms:modified xsi:type="dcterms:W3CDTF">2025-10-23T01:09:00Z</dcterms:modified>
</cp:coreProperties>
</file>