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039" w14:textId="3F29E520" w:rsidR="00C8049B" w:rsidRPr="008023BE" w:rsidRDefault="004771F3" w:rsidP="00330585">
      <w:pPr>
        <w:jc w:val="center"/>
        <w:rPr>
          <w:rFonts w:ascii="Calibri" w:hAnsi="Calibri" w:cs="Calibri"/>
          <w:b/>
          <w:bCs/>
          <w:caps/>
          <w:sz w:val="28"/>
          <w:szCs w:val="28"/>
        </w:rPr>
      </w:pPr>
      <w:r w:rsidRPr="008023BE">
        <w:rPr>
          <w:rFonts w:ascii="Calibri" w:hAnsi="Calibri" w:cs="Calibri"/>
          <w:b/>
          <w:bCs/>
          <w:caps/>
          <w:sz w:val="28"/>
          <w:szCs w:val="28"/>
        </w:rPr>
        <w:t xml:space="preserve">Response to Nous Review Recommendations </w:t>
      </w:r>
      <w:r w:rsidR="00A16E46" w:rsidRPr="008023BE">
        <w:rPr>
          <w:rFonts w:ascii="Calibri" w:hAnsi="Calibri" w:cs="Calibri"/>
          <w:b/>
          <w:bCs/>
          <w:caps/>
          <w:sz w:val="28"/>
          <w:szCs w:val="28"/>
        </w:rPr>
        <w:t>–</w:t>
      </w:r>
      <w:r w:rsidR="00330585" w:rsidRPr="008023BE">
        <w:rPr>
          <w:rFonts w:ascii="Calibri" w:hAnsi="Calibri" w:cs="Calibri"/>
          <w:b/>
          <w:bCs/>
          <w:caps/>
          <w:sz w:val="28"/>
          <w:szCs w:val="28"/>
        </w:rPr>
        <w:t xml:space="preserve"> </w:t>
      </w:r>
      <w:r w:rsidR="000C2177" w:rsidRPr="008023BE">
        <w:rPr>
          <w:rFonts w:ascii="Calibri" w:hAnsi="Calibri" w:cs="Calibri"/>
          <w:b/>
          <w:bCs/>
          <w:caps/>
          <w:sz w:val="28"/>
          <w:szCs w:val="28"/>
        </w:rPr>
        <w:t>Northern Land Council</w:t>
      </w:r>
      <w:r w:rsidR="00A16E46" w:rsidRPr="008023BE">
        <w:rPr>
          <w:rFonts w:ascii="Calibri" w:hAnsi="Calibri" w:cs="Calibri"/>
          <w:b/>
          <w:bCs/>
          <w:caps/>
          <w:sz w:val="28"/>
          <w:szCs w:val="28"/>
        </w:rPr>
        <w:t xml:space="preserve"> (</w:t>
      </w:r>
      <w:r w:rsidR="000C2177" w:rsidRPr="008023BE">
        <w:rPr>
          <w:rFonts w:ascii="Calibri" w:hAnsi="Calibri" w:cs="Calibri"/>
          <w:b/>
          <w:bCs/>
          <w:caps/>
          <w:sz w:val="28"/>
          <w:szCs w:val="28"/>
        </w:rPr>
        <w:t>NLC</w:t>
      </w:r>
      <w:r w:rsidR="00A16E46" w:rsidRPr="008023BE">
        <w:rPr>
          <w:rFonts w:ascii="Calibri" w:hAnsi="Calibri" w:cs="Calibri"/>
          <w:b/>
          <w:bCs/>
          <w:caps/>
          <w:sz w:val="28"/>
          <w:szCs w:val="28"/>
        </w:rPr>
        <w:t>)</w:t>
      </w:r>
    </w:p>
    <w:tbl>
      <w:tblPr>
        <w:tblStyle w:val="TableGrid"/>
        <w:tblW w:w="0" w:type="auto"/>
        <w:tblLook w:val="04A0" w:firstRow="1" w:lastRow="0" w:firstColumn="1" w:lastColumn="0" w:noHBand="0" w:noVBand="1"/>
      </w:tblPr>
      <w:tblGrid>
        <w:gridCol w:w="9016"/>
      </w:tblGrid>
      <w:tr w:rsidR="004771F3" w14:paraId="4DEA21B5" w14:textId="77777777" w:rsidTr="0019740C">
        <w:trPr>
          <w:cantSplit/>
        </w:trPr>
        <w:tc>
          <w:tcPr>
            <w:tcW w:w="9016" w:type="dxa"/>
            <w:shd w:val="clear" w:color="auto" w:fill="C1E4F5" w:themeFill="accent1" w:themeFillTint="33"/>
          </w:tcPr>
          <w:p w14:paraId="384BC5A5" w14:textId="1391176D" w:rsidR="004771F3" w:rsidRDefault="004771F3" w:rsidP="00594576">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0019740C">
              <w:rPr>
                <w:rFonts w:ascii="Calibri" w:hAnsi="Calibri" w:cs="Calibri"/>
                <w:lang w:val="en-GB"/>
              </w:rPr>
              <w:t xml:space="preserve"> </w:t>
            </w:r>
            <w:r w:rsidR="0019740C" w:rsidRPr="0019740C">
              <w:rPr>
                <w:rFonts w:ascii="Calibri" w:hAnsi="Calibri" w:cs="Calibri"/>
                <w:b/>
                <w:bCs/>
                <w:lang w:val="en-GB"/>
              </w:rPr>
              <w:t>(Rec 1-2)</w:t>
            </w:r>
          </w:p>
        </w:tc>
      </w:tr>
      <w:tr w:rsidR="004771F3" w14:paraId="0FC42064" w14:textId="77777777" w:rsidTr="0019740C">
        <w:trPr>
          <w:cantSplit/>
        </w:trPr>
        <w:tc>
          <w:tcPr>
            <w:tcW w:w="9016" w:type="dxa"/>
          </w:tcPr>
          <w:p w14:paraId="2A1C03A2" w14:textId="0BF3A3AB" w:rsidR="004771F3" w:rsidRPr="008C54EF" w:rsidRDefault="00A7646F" w:rsidP="00117691">
            <w:pPr>
              <w:tabs>
                <w:tab w:val="left" w:pos="2370"/>
              </w:tabs>
              <w:jc w:val="both"/>
            </w:pPr>
            <w:r w:rsidRPr="00577E32">
              <w:rPr>
                <w:rFonts w:ascii="Calibri" w:hAnsi="Calibri" w:cs="Calibri"/>
                <w:b/>
                <w:bCs/>
                <w:lang w:val="en-US"/>
              </w:rPr>
              <w:t>Rec 1</w:t>
            </w:r>
            <w:r>
              <w:rPr>
                <w:rFonts w:ascii="Calibri" w:hAnsi="Calibri" w:cs="Calibri"/>
                <w:lang w:val="en-US"/>
              </w:rPr>
              <w:t xml:space="preserve"> </w:t>
            </w:r>
            <w:r w:rsidRPr="00C92595">
              <w:rPr>
                <w:rFonts w:ascii="Calibri" w:hAnsi="Calibri" w:cs="Calibri"/>
                <w:lang w:val="en-US"/>
              </w:rPr>
              <w:t>The NLC should deliver more intensive and effective supervision and support for junior native title lawyers and commit to deliver stronger supervision of their work</w:t>
            </w:r>
            <w:r w:rsidRPr="00C92595">
              <w:rPr>
                <w:rFonts w:ascii="Calibri" w:hAnsi="Calibri" w:cs="Calibri"/>
              </w:rPr>
              <w:t> </w:t>
            </w:r>
          </w:p>
        </w:tc>
      </w:tr>
      <w:tr w:rsidR="00117691" w14:paraId="2B068F72" w14:textId="77777777" w:rsidTr="0019740C">
        <w:trPr>
          <w:cantSplit/>
        </w:trPr>
        <w:tc>
          <w:tcPr>
            <w:tcW w:w="9016" w:type="dxa"/>
          </w:tcPr>
          <w:p w14:paraId="3B87F5D0" w14:textId="77777777" w:rsidR="00117691" w:rsidRDefault="002271B1" w:rsidP="00117691">
            <w:pPr>
              <w:tabs>
                <w:tab w:val="left" w:pos="2370"/>
              </w:tabs>
              <w:jc w:val="both"/>
              <w:rPr>
                <w:rFonts w:ascii="Calibri" w:hAnsi="Calibri" w:cs="Calibri"/>
                <w:b/>
                <w:bCs/>
                <w:lang w:val="en-US"/>
              </w:rPr>
            </w:pPr>
            <w:r>
              <w:rPr>
                <w:rFonts w:ascii="Calibri" w:hAnsi="Calibri" w:cs="Calibri"/>
                <w:b/>
                <w:bCs/>
                <w:lang w:val="en-US"/>
              </w:rPr>
              <w:t>Response</w:t>
            </w:r>
          </w:p>
          <w:p w14:paraId="69EDFEFB" w14:textId="77777777" w:rsidR="002271B1" w:rsidRDefault="002271B1" w:rsidP="002271B1">
            <w:pPr>
              <w:rPr>
                <w:rFonts w:ascii="Calibri" w:hAnsi="Calibri" w:cs="Calibri"/>
                <w:lang w:val="en-US"/>
              </w:rPr>
            </w:pPr>
            <w:r>
              <w:rPr>
                <w:rFonts w:ascii="Calibri" w:hAnsi="Calibri" w:cs="Calibri"/>
                <w:lang w:val="en-US"/>
              </w:rPr>
              <w:t>Accepted.</w:t>
            </w:r>
          </w:p>
          <w:p w14:paraId="6A5BDBE4" w14:textId="77777777" w:rsidR="002271B1" w:rsidRDefault="002271B1" w:rsidP="002271B1">
            <w:pPr>
              <w:rPr>
                <w:rFonts w:ascii="Calibri" w:hAnsi="Calibri" w:cs="Calibri"/>
                <w:lang w:val="en-US"/>
              </w:rPr>
            </w:pPr>
            <w:r>
              <w:rPr>
                <w:rFonts w:ascii="Calibri" w:hAnsi="Calibri" w:cs="Calibri"/>
                <w:lang w:val="en-US"/>
              </w:rPr>
              <w:t xml:space="preserve">Yet to be implemented. </w:t>
            </w:r>
          </w:p>
          <w:p w14:paraId="610FAB91" w14:textId="77777777" w:rsidR="002271B1" w:rsidRDefault="002271B1" w:rsidP="002271B1">
            <w:pPr>
              <w:rPr>
                <w:rFonts w:ascii="Calibri" w:hAnsi="Calibri" w:cs="Calibri"/>
                <w:lang w:val="en-US"/>
              </w:rPr>
            </w:pPr>
          </w:p>
          <w:p w14:paraId="3135CF8A" w14:textId="77777777" w:rsidR="002271B1" w:rsidRPr="005406FD" w:rsidRDefault="002271B1" w:rsidP="002271B1">
            <w:pPr>
              <w:rPr>
                <w:rFonts w:ascii="Calibri" w:hAnsi="Calibri" w:cs="Calibri"/>
              </w:rPr>
            </w:pPr>
            <w:r w:rsidRPr="005406FD">
              <w:rPr>
                <w:rFonts w:ascii="Calibri" w:hAnsi="Calibri" w:cs="Calibri"/>
              </w:rPr>
              <w:t xml:space="preserve">The Northern Land Council had </w:t>
            </w:r>
            <w:proofErr w:type="gramStart"/>
            <w:r w:rsidRPr="005406FD">
              <w:rPr>
                <w:rFonts w:ascii="Calibri" w:hAnsi="Calibri" w:cs="Calibri"/>
              </w:rPr>
              <w:t>a number of</w:t>
            </w:r>
            <w:proofErr w:type="gramEnd"/>
            <w:r w:rsidRPr="005406FD">
              <w:rPr>
                <w:rFonts w:ascii="Calibri" w:hAnsi="Calibri" w:cs="Calibri"/>
              </w:rPr>
              <w:t xml:space="preserve"> senior staff departures within its legal branch over the 2024 calendar year.  </w:t>
            </w:r>
          </w:p>
          <w:p w14:paraId="7867B041" w14:textId="77777777" w:rsidR="002271B1" w:rsidRPr="005406FD" w:rsidRDefault="002271B1" w:rsidP="002271B1">
            <w:pPr>
              <w:rPr>
                <w:rFonts w:ascii="Calibri" w:hAnsi="Calibri" w:cs="Calibri"/>
              </w:rPr>
            </w:pPr>
            <w:r w:rsidRPr="005406FD">
              <w:rPr>
                <w:rFonts w:ascii="Calibri" w:hAnsi="Calibri" w:cs="Calibri"/>
              </w:rPr>
              <w:t> </w:t>
            </w:r>
          </w:p>
          <w:p w14:paraId="3CE1A69F" w14:textId="77777777" w:rsidR="002271B1" w:rsidRPr="005406FD" w:rsidRDefault="002271B1" w:rsidP="002271B1">
            <w:pPr>
              <w:rPr>
                <w:rFonts w:ascii="Calibri" w:hAnsi="Calibri" w:cs="Calibri"/>
              </w:rPr>
            </w:pPr>
            <w:r w:rsidRPr="005406FD">
              <w:rPr>
                <w:rFonts w:ascii="Calibri" w:hAnsi="Calibri" w:cs="Calibri"/>
              </w:rPr>
              <w:t xml:space="preserve">Replacing those staff members has proved to be challenging and as </w:t>
            </w:r>
            <w:proofErr w:type="gramStart"/>
            <w:r w:rsidRPr="005406FD">
              <w:rPr>
                <w:rFonts w:ascii="Calibri" w:hAnsi="Calibri" w:cs="Calibri"/>
              </w:rPr>
              <w:t>at</w:t>
            </w:r>
            <w:proofErr w:type="gramEnd"/>
            <w:r w:rsidRPr="005406FD">
              <w:rPr>
                <w:rFonts w:ascii="Calibri" w:hAnsi="Calibri" w:cs="Calibri"/>
              </w:rPr>
              <w:t xml:space="preserve"> November 2024, </w:t>
            </w:r>
            <w:proofErr w:type="gramStart"/>
            <w:r w:rsidRPr="005406FD">
              <w:rPr>
                <w:rFonts w:ascii="Calibri" w:hAnsi="Calibri" w:cs="Calibri"/>
              </w:rPr>
              <w:t>a number of</w:t>
            </w:r>
            <w:proofErr w:type="gramEnd"/>
            <w:r w:rsidRPr="005406FD">
              <w:rPr>
                <w:rFonts w:ascii="Calibri" w:hAnsi="Calibri" w:cs="Calibri"/>
              </w:rPr>
              <w:t xml:space="preserve"> vacancies have not been filled. </w:t>
            </w:r>
          </w:p>
          <w:p w14:paraId="37C20917" w14:textId="77777777" w:rsidR="002271B1" w:rsidRPr="005406FD" w:rsidRDefault="002271B1" w:rsidP="002271B1">
            <w:pPr>
              <w:rPr>
                <w:rFonts w:ascii="Calibri" w:hAnsi="Calibri" w:cs="Calibri"/>
              </w:rPr>
            </w:pPr>
            <w:r w:rsidRPr="005406FD">
              <w:rPr>
                <w:rFonts w:ascii="Calibri" w:hAnsi="Calibri" w:cs="Calibri"/>
              </w:rPr>
              <w:t> </w:t>
            </w:r>
          </w:p>
          <w:p w14:paraId="29E37D57" w14:textId="77777777" w:rsidR="002271B1" w:rsidRPr="005406FD" w:rsidRDefault="002271B1" w:rsidP="002271B1">
            <w:pPr>
              <w:rPr>
                <w:rFonts w:ascii="Calibri" w:hAnsi="Calibri" w:cs="Calibri"/>
              </w:rPr>
            </w:pPr>
            <w:r w:rsidRPr="005406FD">
              <w:rPr>
                <w:rFonts w:ascii="Calibri" w:hAnsi="Calibri" w:cs="Calibri"/>
              </w:rPr>
              <w:t>As such it has not been able to establish nor commit to more intensive and effective supervision for junior native title lawyers. We are conscious of this feedback received and are reviewing management structures.  </w:t>
            </w:r>
          </w:p>
          <w:p w14:paraId="174C3F1C" w14:textId="77777777" w:rsidR="002271B1" w:rsidRPr="005406FD" w:rsidRDefault="002271B1" w:rsidP="002271B1">
            <w:pPr>
              <w:rPr>
                <w:rFonts w:ascii="Calibri" w:hAnsi="Calibri" w:cs="Calibri"/>
              </w:rPr>
            </w:pPr>
            <w:r w:rsidRPr="005406FD">
              <w:rPr>
                <w:rFonts w:ascii="Calibri" w:hAnsi="Calibri" w:cs="Calibri"/>
              </w:rPr>
              <w:t> </w:t>
            </w:r>
          </w:p>
          <w:p w14:paraId="54ED3491" w14:textId="631DDA1B" w:rsidR="002271B1" w:rsidRPr="00A1601B" w:rsidRDefault="002271B1" w:rsidP="002271B1">
            <w:pPr>
              <w:tabs>
                <w:tab w:val="left" w:pos="2370"/>
              </w:tabs>
              <w:jc w:val="both"/>
              <w:rPr>
                <w:rFonts w:ascii="Calibri" w:hAnsi="Calibri" w:cs="Calibri"/>
                <w:b/>
                <w:bCs/>
                <w:lang w:val="en-US"/>
              </w:rPr>
            </w:pPr>
            <w:r w:rsidRPr="005406FD">
              <w:rPr>
                <w:rFonts w:ascii="Calibri" w:hAnsi="Calibri" w:cs="Calibri"/>
              </w:rPr>
              <w:t>Timeframes on our ability to commit to additional intensive supervision is largely dependent on the latest round of recruitment. Ongoing routine supervision and support provided to all lawyers in the branch will continue and we are exploring options with external providers with respect to maintaining adequate supervision. </w:t>
            </w:r>
          </w:p>
        </w:tc>
      </w:tr>
      <w:tr w:rsidR="003C71ED" w14:paraId="029194E6" w14:textId="77777777" w:rsidTr="0019740C">
        <w:trPr>
          <w:cantSplit/>
        </w:trPr>
        <w:tc>
          <w:tcPr>
            <w:tcW w:w="9016" w:type="dxa"/>
          </w:tcPr>
          <w:p w14:paraId="648FFAB3" w14:textId="0BEDBD03" w:rsidR="003C71ED" w:rsidRDefault="003C71ED" w:rsidP="003C71ED">
            <w:pPr>
              <w:tabs>
                <w:tab w:val="left" w:pos="2370"/>
              </w:tabs>
              <w:jc w:val="both"/>
              <w:rPr>
                <w:rFonts w:ascii="Calibri" w:hAnsi="Calibri" w:cs="Calibri"/>
                <w:b/>
                <w:bCs/>
                <w:lang w:val="en-US"/>
              </w:rPr>
            </w:pPr>
            <w:r w:rsidRPr="00577E32">
              <w:rPr>
                <w:rFonts w:ascii="Calibri" w:hAnsi="Calibri" w:cs="Calibri"/>
                <w:b/>
                <w:bCs/>
                <w:lang w:val="en-US"/>
              </w:rPr>
              <w:t>Rec 2</w:t>
            </w:r>
            <w:r>
              <w:rPr>
                <w:rFonts w:ascii="Calibri" w:hAnsi="Calibri" w:cs="Calibri"/>
                <w:lang w:val="en-US"/>
              </w:rPr>
              <w:t xml:space="preserve"> </w:t>
            </w:r>
            <w:r w:rsidRPr="00C92595">
              <w:rPr>
                <w:rFonts w:ascii="Calibri" w:hAnsi="Calibri" w:cs="Calibri"/>
                <w:lang w:val="en-US"/>
              </w:rPr>
              <w:t>The NLC should design and deliver training to support legal and anthropological staff to better understand their respective roles in native title.</w:t>
            </w:r>
          </w:p>
        </w:tc>
      </w:tr>
      <w:tr w:rsidR="003C71ED" w14:paraId="1446A839" w14:textId="77777777" w:rsidTr="0019740C">
        <w:trPr>
          <w:cantSplit/>
        </w:trPr>
        <w:tc>
          <w:tcPr>
            <w:tcW w:w="9016" w:type="dxa"/>
          </w:tcPr>
          <w:p w14:paraId="5DE8696E" w14:textId="77777777" w:rsidR="003C71ED" w:rsidRDefault="00C858F3" w:rsidP="003C71ED">
            <w:pPr>
              <w:tabs>
                <w:tab w:val="left" w:pos="2370"/>
              </w:tabs>
              <w:jc w:val="both"/>
              <w:rPr>
                <w:rFonts w:ascii="Calibri" w:hAnsi="Calibri" w:cs="Calibri"/>
                <w:b/>
                <w:bCs/>
                <w:lang w:val="en-US"/>
              </w:rPr>
            </w:pPr>
            <w:r>
              <w:rPr>
                <w:rFonts w:ascii="Calibri" w:hAnsi="Calibri" w:cs="Calibri"/>
                <w:b/>
                <w:bCs/>
                <w:lang w:val="en-US"/>
              </w:rPr>
              <w:t>Response</w:t>
            </w:r>
          </w:p>
          <w:p w14:paraId="38218524" w14:textId="77777777" w:rsidR="00C858F3" w:rsidRDefault="00C858F3" w:rsidP="00C858F3">
            <w:pPr>
              <w:rPr>
                <w:rFonts w:ascii="Calibri" w:hAnsi="Calibri" w:cs="Calibri"/>
                <w:lang w:val="en-US"/>
              </w:rPr>
            </w:pPr>
            <w:r>
              <w:rPr>
                <w:rFonts w:ascii="Calibri" w:hAnsi="Calibri" w:cs="Calibri"/>
                <w:lang w:val="en-US"/>
              </w:rPr>
              <w:t>Accepted.</w:t>
            </w:r>
          </w:p>
          <w:p w14:paraId="78FD8A4B" w14:textId="77777777" w:rsidR="00C858F3" w:rsidRDefault="00C858F3" w:rsidP="00C858F3">
            <w:pPr>
              <w:rPr>
                <w:rFonts w:ascii="Calibri" w:hAnsi="Calibri" w:cs="Calibri"/>
                <w:lang w:val="en-US"/>
              </w:rPr>
            </w:pPr>
            <w:r>
              <w:rPr>
                <w:rFonts w:ascii="Calibri" w:hAnsi="Calibri" w:cs="Calibri"/>
                <w:lang w:val="en-US"/>
              </w:rPr>
              <w:t xml:space="preserve">Yet to be implemented. </w:t>
            </w:r>
          </w:p>
          <w:p w14:paraId="31AF65BE" w14:textId="77777777" w:rsidR="00C858F3" w:rsidRPr="00C922AF" w:rsidRDefault="00C858F3" w:rsidP="00C858F3">
            <w:pPr>
              <w:rPr>
                <w:rFonts w:ascii="Calibri" w:hAnsi="Calibri" w:cs="Calibri"/>
                <w:lang w:val="en-US"/>
              </w:rPr>
            </w:pPr>
          </w:p>
          <w:p w14:paraId="30DF05A9" w14:textId="77777777" w:rsidR="00C858F3" w:rsidRPr="00F56233" w:rsidRDefault="00C858F3" w:rsidP="00C858F3">
            <w:pPr>
              <w:rPr>
                <w:rFonts w:ascii="Calibri" w:hAnsi="Calibri" w:cs="Calibri"/>
              </w:rPr>
            </w:pPr>
            <w:r w:rsidRPr="00F56233">
              <w:rPr>
                <w:rFonts w:ascii="Calibri" w:hAnsi="Calibri" w:cs="Calibri"/>
                <w:lang w:val="en-US"/>
              </w:rPr>
              <w:t>This will be pursued once senior vacancies within the legal branch have been filled.</w:t>
            </w:r>
            <w:r w:rsidRPr="00F56233">
              <w:rPr>
                <w:rFonts w:ascii="Calibri" w:hAnsi="Calibri" w:cs="Calibri"/>
              </w:rPr>
              <w:t> </w:t>
            </w:r>
          </w:p>
          <w:p w14:paraId="76E903DA" w14:textId="77777777" w:rsidR="00C858F3" w:rsidRPr="00F56233" w:rsidRDefault="00C858F3" w:rsidP="00C858F3">
            <w:pPr>
              <w:rPr>
                <w:rFonts w:ascii="Calibri" w:hAnsi="Calibri" w:cs="Calibri"/>
              </w:rPr>
            </w:pPr>
            <w:r w:rsidRPr="00F56233">
              <w:rPr>
                <w:rFonts w:ascii="Calibri" w:hAnsi="Calibri" w:cs="Calibri"/>
              </w:rPr>
              <w:t> </w:t>
            </w:r>
          </w:p>
          <w:p w14:paraId="6926E5B1" w14:textId="6445ABC4" w:rsidR="00C858F3" w:rsidRPr="00577E32" w:rsidRDefault="00C858F3" w:rsidP="00C858F3">
            <w:pPr>
              <w:tabs>
                <w:tab w:val="left" w:pos="2370"/>
              </w:tabs>
              <w:jc w:val="both"/>
              <w:rPr>
                <w:rFonts w:ascii="Calibri" w:hAnsi="Calibri" w:cs="Calibri"/>
                <w:b/>
                <w:bCs/>
                <w:lang w:val="en-US"/>
              </w:rPr>
            </w:pPr>
            <w:r w:rsidRPr="00F56233">
              <w:rPr>
                <w:rFonts w:ascii="Calibri" w:hAnsi="Calibri" w:cs="Calibri"/>
                <w:lang w:val="en-US"/>
              </w:rPr>
              <w:t>The above said there is a degree of crossover between the roles of a lawyer and anthropologist in the claims process. Both professionals provide advice to the NLC and claimants on the group’s composition; albeit from different perspectives.</w:t>
            </w:r>
          </w:p>
        </w:tc>
      </w:tr>
      <w:tr w:rsidR="00AB2C53" w14:paraId="49BC6AD0" w14:textId="77777777" w:rsidTr="0019740C">
        <w:trPr>
          <w:cantSplit/>
        </w:trPr>
        <w:tc>
          <w:tcPr>
            <w:tcW w:w="9016" w:type="dxa"/>
            <w:shd w:val="clear" w:color="auto" w:fill="C1E4F5" w:themeFill="accent1" w:themeFillTint="33"/>
          </w:tcPr>
          <w:p w14:paraId="4C28867E" w14:textId="3795E18A" w:rsidR="00AB2C53" w:rsidRDefault="006276A1" w:rsidP="00594576">
            <w:pPr>
              <w:jc w:val="both"/>
              <w:rPr>
                <w:rFonts w:ascii="Calibri" w:hAnsi="Calibri" w:cs="Calibri"/>
                <w:lang w:val="en-US"/>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7D548B" w:rsidRPr="0019740C">
              <w:rPr>
                <w:rFonts w:ascii="Calibri" w:hAnsi="Calibri" w:cs="Calibri"/>
                <w:b/>
                <w:bCs/>
                <w:lang w:val="en-GB"/>
              </w:rPr>
              <w:t xml:space="preserve">(Rec </w:t>
            </w:r>
            <w:r w:rsidR="007D548B">
              <w:rPr>
                <w:rFonts w:ascii="Calibri" w:hAnsi="Calibri" w:cs="Calibri"/>
                <w:b/>
                <w:bCs/>
                <w:lang w:val="en-GB"/>
              </w:rPr>
              <w:t>3-5</w:t>
            </w:r>
            <w:r w:rsidR="007D548B" w:rsidRPr="0019740C">
              <w:rPr>
                <w:rFonts w:ascii="Calibri" w:hAnsi="Calibri" w:cs="Calibri"/>
                <w:b/>
                <w:bCs/>
                <w:lang w:val="en-GB"/>
              </w:rPr>
              <w:t>)</w:t>
            </w:r>
          </w:p>
        </w:tc>
      </w:tr>
      <w:tr w:rsidR="00172AFD" w14:paraId="1689F6EA" w14:textId="77777777" w:rsidTr="0019740C">
        <w:trPr>
          <w:cantSplit/>
          <w:trHeight w:val="348"/>
        </w:trPr>
        <w:tc>
          <w:tcPr>
            <w:tcW w:w="9016" w:type="dxa"/>
          </w:tcPr>
          <w:p w14:paraId="0149D31E" w14:textId="77777777" w:rsidR="00172AFD" w:rsidRDefault="00172AFD" w:rsidP="00172AFD">
            <w:pPr>
              <w:jc w:val="both"/>
              <w:rPr>
                <w:rFonts w:ascii="Calibri" w:hAnsi="Calibri" w:cs="Calibri"/>
                <w:lang w:val="en-US"/>
              </w:rPr>
            </w:pPr>
            <w:r w:rsidRPr="00577E32">
              <w:rPr>
                <w:rFonts w:ascii="Calibri" w:hAnsi="Calibri" w:cs="Calibri"/>
                <w:b/>
                <w:bCs/>
                <w:lang w:val="en-US"/>
              </w:rPr>
              <w:t>Rec 3</w:t>
            </w:r>
            <w:r>
              <w:rPr>
                <w:rFonts w:ascii="Calibri" w:hAnsi="Calibri" w:cs="Calibri"/>
                <w:lang w:val="en-US"/>
              </w:rPr>
              <w:t xml:space="preserve"> </w:t>
            </w:r>
            <w:r w:rsidRPr="00AD0277">
              <w:rPr>
                <w:rFonts w:ascii="Calibri" w:hAnsi="Calibri" w:cs="Calibri"/>
                <w:lang w:val="en-US"/>
              </w:rPr>
              <w:t xml:space="preserve">The NLC should create an internal facing assessment and </w:t>
            </w:r>
            <w:proofErr w:type="spellStart"/>
            <w:r w:rsidRPr="00AD0277">
              <w:rPr>
                <w:rFonts w:ascii="Calibri" w:hAnsi="Calibri" w:cs="Calibri"/>
                <w:lang w:val="en-US"/>
              </w:rPr>
              <w:t>prioritisation</w:t>
            </w:r>
            <w:proofErr w:type="spellEnd"/>
            <w:r w:rsidRPr="00AD0277">
              <w:rPr>
                <w:rFonts w:ascii="Calibri" w:hAnsi="Calibri" w:cs="Calibri"/>
                <w:lang w:val="en-US"/>
              </w:rPr>
              <w:t xml:space="preserve"> policy which includes the likelihood that land subject to a development application will be </w:t>
            </w:r>
            <w:proofErr w:type="spellStart"/>
            <w:r w:rsidRPr="00AD0277">
              <w:rPr>
                <w:rFonts w:ascii="Calibri" w:hAnsi="Calibri" w:cs="Calibri"/>
                <w:lang w:val="en-US"/>
              </w:rPr>
              <w:t>prioritised</w:t>
            </w:r>
            <w:proofErr w:type="spellEnd"/>
            <w:r w:rsidRPr="00AD0277">
              <w:rPr>
                <w:rFonts w:ascii="Calibri" w:hAnsi="Calibri" w:cs="Calibri"/>
                <w:lang w:val="en-US"/>
              </w:rPr>
              <w:t>.</w:t>
            </w:r>
            <w:r w:rsidRPr="00AD0277">
              <w:rPr>
                <w:rFonts w:ascii="Calibri" w:hAnsi="Calibri" w:cs="Calibri"/>
              </w:rPr>
              <w:t> </w:t>
            </w:r>
          </w:p>
          <w:p w14:paraId="7021F6EC" w14:textId="77777777" w:rsidR="0095164D" w:rsidRPr="0095164D" w:rsidRDefault="0095164D" w:rsidP="0095164D">
            <w:pPr>
              <w:rPr>
                <w:rFonts w:ascii="Calibri" w:hAnsi="Calibri" w:cs="Calibri"/>
                <w:lang w:val="en-US"/>
              </w:rPr>
            </w:pPr>
          </w:p>
          <w:p w14:paraId="4FCED3EF" w14:textId="77777777" w:rsidR="0095164D" w:rsidRPr="0095164D" w:rsidRDefault="0095164D" w:rsidP="0095164D">
            <w:pPr>
              <w:rPr>
                <w:rFonts w:ascii="Calibri" w:hAnsi="Calibri" w:cs="Calibri"/>
                <w:lang w:val="en-US"/>
              </w:rPr>
            </w:pPr>
          </w:p>
          <w:p w14:paraId="7E5D0B5D" w14:textId="77777777" w:rsidR="0095164D" w:rsidRDefault="0095164D" w:rsidP="0095164D">
            <w:pPr>
              <w:rPr>
                <w:rFonts w:ascii="Calibri" w:hAnsi="Calibri" w:cs="Calibri"/>
                <w:lang w:val="en-US"/>
              </w:rPr>
            </w:pPr>
          </w:p>
          <w:p w14:paraId="116E488E" w14:textId="77777777" w:rsidR="0095164D" w:rsidRPr="0095164D" w:rsidRDefault="0095164D" w:rsidP="0095164D">
            <w:pPr>
              <w:rPr>
                <w:rFonts w:ascii="Calibri" w:hAnsi="Calibri" w:cs="Calibri"/>
                <w:lang w:val="en-US"/>
              </w:rPr>
            </w:pPr>
          </w:p>
          <w:p w14:paraId="16460066" w14:textId="4EE2187F" w:rsidR="0095164D" w:rsidRPr="0095164D" w:rsidRDefault="0095164D" w:rsidP="0095164D">
            <w:pPr>
              <w:tabs>
                <w:tab w:val="left" w:pos="2173"/>
              </w:tabs>
              <w:rPr>
                <w:rFonts w:ascii="Calibri" w:hAnsi="Calibri" w:cs="Calibri"/>
                <w:lang w:val="en-US"/>
              </w:rPr>
            </w:pPr>
            <w:r>
              <w:rPr>
                <w:rFonts w:ascii="Calibri" w:hAnsi="Calibri" w:cs="Calibri"/>
                <w:lang w:val="en-US"/>
              </w:rPr>
              <w:tab/>
            </w:r>
          </w:p>
        </w:tc>
      </w:tr>
      <w:tr w:rsidR="00C13DCE" w14:paraId="69228161" w14:textId="77777777" w:rsidTr="0019740C">
        <w:trPr>
          <w:cantSplit/>
          <w:trHeight w:val="348"/>
        </w:trPr>
        <w:tc>
          <w:tcPr>
            <w:tcW w:w="9016" w:type="dxa"/>
          </w:tcPr>
          <w:p w14:paraId="136A8B6B" w14:textId="77777777" w:rsidR="00160558" w:rsidRDefault="00160558" w:rsidP="00160558">
            <w:pPr>
              <w:rPr>
                <w:rFonts w:ascii="Calibri" w:hAnsi="Calibri" w:cs="Calibri"/>
                <w:lang w:val="en-US"/>
              </w:rPr>
            </w:pPr>
            <w:r>
              <w:rPr>
                <w:rFonts w:ascii="Calibri" w:hAnsi="Calibri" w:cs="Calibri"/>
                <w:b/>
                <w:bCs/>
                <w:lang w:val="en-US"/>
              </w:rPr>
              <w:lastRenderedPageBreak/>
              <w:t>Response</w:t>
            </w:r>
            <w:r>
              <w:rPr>
                <w:rFonts w:ascii="Calibri" w:hAnsi="Calibri" w:cs="Calibri"/>
                <w:b/>
                <w:bCs/>
                <w:lang w:val="en-US"/>
              </w:rPr>
              <w:br/>
            </w:r>
            <w:r>
              <w:rPr>
                <w:rFonts w:ascii="Calibri" w:hAnsi="Calibri" w:cs="Calibri"/>
                <w:lang w:val="en-US"/>
              </w:rPr>
              <w:t>Accepted.</w:t>
            </w:r>
          </w:p>
          <w:p w14:paraId="7973404A" w14:textId="77777777" w:rsidR="00160558" w:rsidRDefault="00160558" w:rsidP="00160558">
            <w:pPr>
              <w:rPr>
                <w:rFonts w:ascii="Calibri" w:hAnsi="Calibri" w:cs="Calibri"/>
                <w:lang w:val="en-US"/>
              </w:rPr>
            </w:pPr>
            <w:r>
              <w:rPr>
                <w:rFonts w:ascii="Calibri" w:hAnsi="Calibri" w:cs="Calibri"/>
                <w:lang w:val="en-US"/>
              </w:rPr>
              <w:t xml:space="preserve">Yet to be implemented. </w:t>
            </w:r>
          </w:p>
          <w:p w14:paraId="55764E78" w14:textId="77777777" w:rsidR="00160558" w:rsidRPr="00C922AF" w:rsidRDefault="00160558" w:rsidP="00160558">
            <w:pPr>
              <w:rPr>
                <w:rFonts w:ascii="Calibri" w:hAnsi="Calibri" w:cs="Calibri"/>
                <w:lang w:val="en-US"/>
              </w:rPr>
            </w:pPr>
          </w:p>
          <w:p w14:paraId="36AD278A" w14:textId="77777777" w:rsidR="00160558" w:rsidRPr="00045053" w:rsidRDefault="00160558" w:rsidP="00160558">
            <w:pPr>
              <w:rPr>
                <w:rFonts w:ascii="Calibri" w:hAnsi="Calibri" w:cs="Calibri"/>
              </w:rPr>
            </w:pPr>
            <w:r w:rsidRPr="00045053">
              <w:rPr>
                <w:rFonts w:ascii="Calibri" w:hAnsi="Calibri" w:cs="Calibri"/>
                <w:lang w:val="en-US"/>
              </w:rPr>
              <w:t xml:space="preserve">The NLC will create an internal facing native title policy and procedure that addresses </w:t>
            </w:r>
            <w:proofErr w:type="spellStart"/>
            <w:r w:rsidRPr="00045053">
              <w:rPr>
                <w:rFonts w:ascii="Calibri" w:hAnsi="Calibri" w:cs="Calibri"/>
                <w:lang w:val="en-US"/>
              </w:rPr>
              <w:t>prioritisation</w:t>
            </w:r>
            <w:proofErr w:type="spellEnd"/>
            <w:r w:rsidRPr="00045053">
              <w:rPr>
                <w:rFonts w:ascii="Calibri" w:hAnsi="Calibri" w:cs="Calibri"/>
                <w:lang w:val="en-US"/>
              </w:rPr>
              <w:t xml:space="preserve"> by Q3 2025.</w:t>
            </w:r>
            <w:r w:rsidRPr="00045053">
              <w:rPr>
                <w:rFonts w:ascii="Calibri" w:hAnsi="Calibri" w:cs="Calibri"/>
              </w:rPr>
              <w:t> </w:t>
            </w:r>
          </w:p>
          <w:p w14:paraId="2BD299B9" w14:textId="77777777" w:rsidR="00160558" w:rsidRPr="00045053" w:rsidRDefault="00160558" w:rsidP="00160558">
            <w:pPr>
              <w:rPr>
                <w:rFonts w:ascii="Calibri" w:hAnsi="Calibri" w:cs="Calibri"/>
              </w:rPr>
            </w:pPr>
            <w:r w:rsidRPr="00045053">
              <w:rPr>
                <w:rFonts w:ascii="Calibri" w:hAnsi="Calibri" w:cs="Calibri"/>
              </w:rPr>
              <w:t> </w:t>
            </w:r>
          </w:p>
          <w:p w14:paraId="56AA94FD" w14:textId="496017B6" w:rsidR="00C13DCE" w:rsidRPr="000F1B07" w:rsidRDefault="00160558" w:rsidP="00160558">
            <w:pPr>
              <w:jc w:val="both"/>
              <w:rPr>
                <w:rFonts w:ascii="Calibri" w:hAnsi="Calibri" w:cs="Calibri"/>
                <w:b/>
                <w:bCs/>
                <w:lang w:val="en-US"/>
              </w:rPr>
            </w:pPr>
            <w:r w:rsidRPr="00045053">
              <w:rPr>
                <w:rFonts w:ascii="Calibri" w:hAnsi="Calibri" w:cs="Calibri"/>
              </w:rPr>
              <w:t xml:space="preserve">We note that there is no requirement in the </w:t>
            </w:r>
            <w:r w:rsidRPr="00045053">
              <w:rPr>
                <w:rFonts w:ascii="Calibri" w:hAnsi="Calibri" w:cs="Calibri"/>
                <w:i/>
                <w:iCs/>
              </w:rPr>
              <w:t xml:space="preserve">Native Title Act 1993 </w:t>
            </w:r>
            <w:r w:rsidRPr="00045053">
              <w:rPr>
                <w:rFonts w:ascii="Calibri" w:hAnsi="Calibri" w:cs="Calibri"/>
              </w:rPr>
              <w:t>(</w:t>
            </w:r>
            <w:proofErr w:type="spellStart"/>
            <w:r w:rsidRPr="00045053">
              <w:rPr>
                <w:rFonts w:ascii="Calibri" w:hAnsi="Calibri" w:cs="Calibri"/>
              </w:rPr>
              <w:t>Cth</w:t>
            </w:r>
            <w:proofErr w:type="spellEnd"/>
            <w:r w:rsidRPr="00045053">
              <w:rPr>
                <w:rFonts w:ascii="Calibri" w:hAnsi="Calibri" w:cs="Calibri"/>
              </w:rPr>
              <w:t>) (</w:t>
            </w:r>
            <w:r w:rsidRPr="00045053">
              <w:rPr>
                <w:rFonts w:ascii="Calibri" w:hAnsi="Calibri" w:cs="Calibri"/>
                <w:b/>
                <w:bCs/>
              </w:rPr>
              <w:t>NTA</w:t>
            </w:r>
            <w:r w:rsidRPr="00045053">
              <w:rPr>
                <w:rFonts w:ascii="Calibri" w:hAnsi="Calibri" w:cs="Calibri"/>
              </w:rPr>
              <w:t>) to develop such a document.</w:t>
            </w:r>
          </w:p>
        </w:tc>
      </w:tr>
      <w:tr w:rsidR="00460391" w14:paraId="7AAAAB3F" w14:textId="77777777" w:rsidTr="0019740C">
        <w:trPr>
          <w:cantSplit/>
          <w:trHeight w:val="348"/>
        </w:trPr>
        <w:tc>
          <w:tcPr>
            <w:tcW w:w="9016" w:type="dxa"/>
          </w:tcPr>
          <w:p w14:paraId="37EC2DED" w14:textId="4F2A90F1" w:rsidR="00460391" w:rsidRDefault="001269F0" w:rsidP="00160558">
            <w:pPr>
              <w:rPr>
                <w:rFonts w:ascii="Calibri" w:hAnsi="Calibri" w:cs="Calibri"/>
                <w:b/>
                <w:bCs/>
                <w:lang w:val="en-US"/>
              </w:rPr>
            </w:pPr>
            <w:r w:rsidRPr="00950402">
              <w:rPr>
                <w:rFonts w:ascii="Calibri" w:hAnsi="Calibri" w:cs="Calibri"/>
                <w:b/>
                <w:bCs/>
              </w:rPr>
              <w:t>Rec 4</w:t>
            </w:r>
            <w:r>
              <w:rPr>
                <w:rFonts w:ascii="Calibri" w:hAnsi="Calibri" w:cs="Calibri"/>
              </w:rPr>
              <w:t xml:space="preserve"> </w:t>
            </w:r>
            <w:r w:rsidRPr="00AD0277">
              <w:rPr>
                <w:rFonts w:ascii="Calibri" w:hAnsi="Calibri" w:cs="Calibri"/>
              </w:rPr>
              <w:t>The NLC should publish information on the NLC website about the ways in which the NLC assesses and prioritises applications for assistance to improve transparency for Traditional Owners. </w:t>
            </w:r>
          </w:p>
        </w:tc>
      </w:tr>
      <w:tr w:rsidR="001269F0" w14:paraId="5BCCFD08" w14:textId="77777777" w:rsidTr="0019740C">
        <w:trPr>
          <w:cantSplit/>
          <w:trHeight w:val="348"/>
        </w:trPr>
        <w:tc>
          <w:tcPr>
            <w:tcW w:w="9016" w:type="dxa"/>
          </w:tcPr>
          <w:p w14:paraId="34462D57" w14:textId="77777777" w:rsidR="0097023E" w:rsidRDefault="0097023E" w:rsidP="0097023E">
            <w:pPr>
              <w:rPr>
                <w:rFonts w:ascii="Calibri" w:hAnsi="Calibri" w:cs="Calibri"/>
                <w:lang w:val="en-US"/>
              </w:rPr>
            </w:pPr>
            <w:r>
              <w:rPr>
                <w:rFonts w:ascii="Calibri" w:hAnsi="Calibri" w:cs="Calibri"/>
                <w:b/>
                <w:bCs/>
              </w:rPr>
              <w:t>Response</w:t>
            </w:r>
            <w:r>
              <w:rPr>
                <w:rFonts w:ascii="Calibri" w:hAnsi="Calibri" w:cs="Calibri"/>
                <w:b/>
                <w:bCs/>
              </w:rPr>
              <w:br/>
            </w:r>
            <w:r>
              <w:rPr>
                <w:rFonts w:ascii="Calibri" w:hAnsi="Calibri" w:cs="Calibri"/>
                <w:lang w:val="en-US"/>
              </w:rPr>
              <w:t>Accepted.</w:t>
            </w:r>
          </w:p>
          <w:p w14:paraId="03461F27" w14:textId="77777777" w:rsidR="0097023E" w:rsidRDefault="0097023E" w:rsidP="0097023E">
            <w:pPr>
              <w:rPr>
                <w:rFonts w:ascii="Calibri" w:hAnsi="Calibri" w:cs="Calibri"/>
                <w:lang w:val="en-US"/>
              </w:rPr>
            </w:pPr>
            <w:r>
              <w:rPr>
                <w:rFonts w:ascii="Calibri" w:hAnsi="Calibri" w:cs="Calibri"/>
                <w:lang w:val="en-US"/>
              </w:rPr>
              <w:t xml:space="preserve">Yet to be implemented. </w:t>
            </w:r>
          </w:p>
          <w:p w14:paraId="153A4854" w14:textId="77777777" w:rsidR="0097023E" w:rsidRDefault="0097023E" w:rsidP="0097023E">
            <w:pPr>
              <w:rPr>
                <w:rFonts w:ascii="Calibri" w:hAnsi="Calibri" w:cs="Calibri"/>
                <w:lang w:val="en-US"/>
              </w:rPr>
            </w:pPr>
          </w:p>
          <w:p w14:paraId="4E48D981" w14:textId="3425C5A7" w:rsidR="001269F0" w:rsidRPr="00950402" w:rsidRDefault="0097023E" w:rsidP="0097023E">
            <w:pPr>
              <w:rPr>
                <w:rFonts w:ascii="Calibri" w:hAnsi="Calibri" w:cs="Calibri"/>
                <w:b/>
                <w:bCs/>
              </w:rPr>
            </w:pPr>
            <w:r w:rsidRPr="002665D5">
              <w:rPr>
                <w:rFonts w:ascii="Calibri" w:hAnsi="Calibri" w:cs="Calibri"/>
              </w:rPr>
              <w:t>The NLC will publish information on how it assesses and prioritises applications for assistance on its website by Q3 2025. </w:t>
            </w:r>
            <w:r w:rsidRPr="002665D5">
              <w:rPr>
                <w:rFonts w:ascii="Calibri" w:hAnsi="Calibri" w:cs="Calibri"/>
                <w:lang w:val="en-US"/>
              </w:rPr>
              <w:t>We note that there is no requirement in NTA to develop such a document.</w:t>
            </w:r>
          </w:p>
        </w:tc>
      </w:tr>
      <w:tr w:rsidR="00EA3DAC" w14:paraId="5A1848F2" w14:textId="77777777" w:rsidTr="0019740C">
        <w:trPr>
          <w:cantSplit/>
          <w:trHeight w:val="348"/>
        </w:trPr>
        <w:tc>
          <w:tcPr>
            <w:tcW w:w="9016" w:type="dxa"/>
          </w:tcPr>
          <w:p w14:paraId="09F6BF5F" w14:textId="348CEEC3" w:rsidR="00EA3DAC" w:rsidRDefault="00BA3795" w:rsidP="0097023E">
            <w:pPr>
              <w:rPr>
                <w:rFonts w:ascii="Calibri" w:hAnsi="Calibri" w:cs="Calibri"/>
                <w:b/>
                <w:bCs/>
              </w:rPr>
            </w:pPr>
            <w:r w:rsidRPr="00950402">
              <w:rPr>
                <w:rFonts w:ascii="Calibri" w:hAnsi="Calibri" w:cs="Calibri"/>
                <w:b/>
                <w:bCs/>
              </w:rPr>
              <w:t>Rec 5</w:t>
            </w:r>
            <w:r>
              <w:rPr>
                <w:rFonts w:ascii="Calibri" w:hAnsi="Calibri" w:cs="Calibri"/>
              </w:rPr>
              <w:t xml:space="preserve"> </w:t>
            </w:r>
            <w:r w:rsidRPr="00B62832">
              <w:rPr>
                <w:rFonts w:ascii="Calibri" w:hAnsi="Calibri" w:cs="Calibri"/>
              </w:rPr>
              <w:t xml:space="preserve">The NLC should consider how to resource and deliver native title outcomes in areas not subject to development claims </w:t>
            </w:r>
            <w:proofErr w:type="gramStart"/>
            <w:r w:rsidRPr="00B62832">
              <w:rPr>
                <w:rFonts w:ascii="Calibri" w:hAnsi="Calibri" w:cs="Calibri"/>
              </w:rPr>
              <w:t>in order to</w:t>
            </w:r>
            <w:proofErr w:type="gramEnd"/>
            <w:r w:rsidRPr="00B62832">
              <w:rPr>
                <w:rFonts w:ascii="Calibri" w:hAnsi="Calibri" w:cs="Calibri"/>
              </w:rPr>
              <w:t xml:space="preserve"> support more equitable outcomes </w:t>
            </w:r>
          </w:p>
        </w:tc>
      </w:tr>
      <w:tr w:rsidR="000222CA" w14:paraId="22118773" w14:textId="77777777" w:rsidTr="0019740C">
        <w:trPr>
          <w:cantSplit/>
          <w:trHeight w:val="348"/>
        </w:trPr>
        <w:tc>
          <w:tcPr>
            <w:tcW w:w="9016" w:type="dxa"/>
          </w:tcPr>
          <w:p w14:paraId="26F09D33" w14:textId="43A11C6E" w:rsidR="000222CA" w:rsidRDefault="000222CA" w:rsidP="000222CA">
            <w:pPr>
              <w:rPr>
                <w:rFonts w:ascii="Calibri" w:hAnsi="Calibri" w:cs="Calibri"/>
                <w:lang w:val="en-US"/>
              </w:rPr>
            </w:pPr>
            <w:r w:rsidRPr="000222CA">
              <w:rPr>
                <w:rFonts w:ascii="Calibri" w:hAnsi="Calibri" w:cs="Calibri"/>
                <w:b/>
                <w:bCs/>
                <w:lang w:val="en-US"/>
              </w:rPr>
              <w:t>Response</w:t>
            </w:r>
            <w:r>
              <w:rPr>
                <w:rFonts w:ascii="Calibri" w:hAnsi="Calibri" w:cs="Calibri"/>
                <w:lang w:val="en-US"/>
              </w:rPr>
              <w:br/>
              <w:t>Accepted.</w:t>
            </w:r>
          </w:p>
          <w:p w14:paraId="77CB8591" w14:textId="77777777" w:rsidR="000222CA" w:rsidRDefault="000222CA" w:rsidP="000222CA">
            <w:pPr>
              <w:rPr>
                <w:rFonts w:ascii="Calibri" w:hAnsi="Calibri" w:cs="Calibri"/>
                <w:lang w:val="en-US"/>
              </w:rPr>
            </w:pPr>
            <w:r>
              <w:rPr>
                <w:rFonts w:ascii="Calibri" w:hAnsi="Calibri" w:cs="Calibri"/>
                <w:lang w:val="en-US"/>
              </w:rPr>
              <w:t xml:space="preserve">Yet to be implemented. </w:t>
            </w:r>
          </w:p>
          <w:p w14:paraId="55CFF5EC" w14:textId="77777777" w:rsidR="000222CA" w:rsidRDefault="000222CA" w:rsidP="000222CA">
            <w:pPr>
              <w:rPr>
                <w:rFonts w:ascii="Calibri" w:hAnsi="Calibri" w:cs="Calibri"/>
                <w:lang w:val="en-US"/>
              </w:rPr>
            </w:pPr>
          </w:p>
          <w:p w14:paraId="261A4E74" w14:textId="77777777" w:rsidR="000222CA" w:rsidRPr="00AE20C2" w:rsidRDefault="000222CA" w:rsidP="000222CA">
            <w:pPr>
              <w:rPr>
                <w:rFonts w:ascii="Calibri" w:hAnsi="Calibri" w:cs="Calibri"/>
              </w:rPr>
            </w:pPr>
            <w:r w:rsidRPr="00AE20C2">
              <w:rPr>
                <w:rFonts w:ascii="Calibri" w:hAnsi="Calibri" w:cs="Calibri"/>
                <w:lang w:val="en-US"/>
              </w:rPr>
              <w:t xml:space="preserve">The NLC is resource constrained in its ability to respond to and </w:t>
            </w:r>
            <w:proofErr w:type="spellStart"/>
            <w:r w:rsidRPr="00AE20C2">
              <w:rPr>
                <w:rFonts w:ascii="Calibri" w:hAnsi="Calibri" w:cs="Calibri"/>
                <w:lang w:val="en-US"/>
              </w:rPr>
              <w:t>prioritises</w:t>
            </w:r>
            <w:proofErr w:type="spellEnd"/>
            <w:r w:rsidRPr="00AE20C2">
              <w:rPr>
                <w:rFonts w:ascii="Calibri" w:hAnsi="Calibri" w:cs="Calibri"/>
                <w:lang w:val="en-US"/>
              </w:rPr>
              <w:t xml:space="preserve"> claims based on:</w:t>
            </w:r>
            <w:r w:rsidRPr="00AE20C2">
              <w:rPr>
                <w:rFonts w:ascii="Calibri" w:hAnsi="Calibri" w:cs="Calibri"/>
              </w:rPr>
              <w:t> </w:t>
            </w:r>
          </w:p>
          <w:p w14:paraId="5A408B4F" w14:textId="77777777" w:rsidR="000222CA" w:rsidRPr="00AE20C2" w:rsidRDefault="000222CA" w:rsidP="000222CA">
            <w:pPr>
              <w:rPr>
                <w:rFonts w:ascii="Calibri" w:hAnsi="Calibri" w:cs="Calibri"/>
              </w:rPr>
            </w:pPr>
            <w:r w:rsidRPr="00AE20C2">
              <w:rPr>
                <w:rFonts w:ascii="Calibri" w:hAnsi="Calibri" w:cs="Calibri"/>
              </w:rPr>
              <w:t> </w:t>
            </w:r>
          </w:p>
          <w:p w14:paraId="792D475D" w14:textId="0A50A26E" w:rsidR="000222CA" w:rsidRPr="00AF4294" w:rsidRDefault="000222CA" w:rsidP="00AF4294">
            <w:pPr>
              <w:pStyle w:val="ListParagraph"/>
              <w:numPr>
                <w:ilvl w:val="0"/>
                <w:numId w:val="18"/>
              </w:numPr>
              <w:rPr>
                <w:rFonts w:ascii="Calibri" w:hAnsi="Calibri" w:cs="Calibri"/>
              </w:rPr>
            </w:pPr>
            <w:r w:rsidRPr="00AF4294">
              <w:rPr>
                <w:rFonts w:ascii="Calibri" w:hAnsi="Calibri" w:cs="Calibri"/>
                <w:lang w:val="en-US"/>
              </w:rPr>
              <w:t>whether the claim area is subject to the threat of development; and</w:t>
            </w:r>
            <w:r w:rsidRPr="00AF4294">
              <w:rPr>
                <w:rFonts w:ascii="Calibri" w:hAnsi="Calibri" w:cs="Calibri"/>
              </w:rPr>
              <w:t> </w:t>
            </w:r>
          </w:p>
          <w:p w14:paraId="5917A9AE" w14:textId="77777777" w:rsidR="000222CA" w:rsidRPr="00AE20C2" w:rsidRDefault="000222CA" w:rsidP="000222CA">
            <w:pPr>
              <w:ind w:left="-360"/>
              <w:rPr>
                <w:rFonts w:ascii="Calibri" w:hAnsi="Calibri" w:cs="Calibri"/>
              </w:rPr>
            </w:pPr>
            <w:r w:rsidRPr="00AE20C2">
              <w:rPr>
                <w:rFonts w:ascii="Calibri" w:hAnsi="Calibri" w:cs="Calibri"/>
              </w:rPr>
              <w:t> </w:t>
            </w:r>
          </w:p>
          <w:p w14:paraId="7BD54B74" w14:textId="5047ABB6" w:rsidR="000222CA" w:rsidRPr="00AF4294" w:rsidRDefault="000222CA" w:rsidP="00AF4294">
            <w:pPr>
              <w:pStyle w:val="ListParagraph"/>
              <w:numPr>
                <w:ilvl w:val="0"/>
                <w:numId w:val="18"/>
              </w:numPr>
              <w:rPr>
                <w:rFonts w:ascii="Calibri" w:hAnsi="Calibri" w:cs="Calibri"/>
              </w:rPr>
            </w:pPr>
            <w:r w:rsidRPr="00AF4294">
              <w:rPr>
                <w:rFonts w:ascii="Calibri" w:hAnsi="Calibri" w:cs="Calibri"/>
                <w:lang w:val="en-US"/>
              </w:rPr>
              <w:t>progressing strategically important claims.</w:t>
            </w:r>
            <w:r w:rsidRPr="00AF4294">
              <w:rPr>
                <w:rFonts w:ascii="Calibri" w:hAnsi="Calibri" w:cs="Calibri"/>
              </w:rPr>
              <w:t> </w:t>
            </w:r>
          </w:p>
          <w:p w14:paraId="40BC99C7" w14:textId="77777777" w:rsidR="000222CA" w:rsidRPr="00AE20C2" w:rsidRDefault="000222CA" w:rsidP="000222CA">
            <w:pPr>
              <w:rPr>
                <w:rFonts w:ascii="Calibri" w:hAnsi="Calibri" w:cs="Calibri"/>
              </w:rPr>
            </w:pPr>
            <w:r w:rsidRPr="00AE20C2">
              <w:rPr>
                <w:rFonts w:ascii="Calibri" w:hAnsi="Calibri" w:cs="Calibri"/>
              </w:rPr>
              <w:t> </w:t>
            </w:r>
          </w:p>
          <w:p w14:paraId="1E642BDB" w14:textId="77777777" w:rsidR="000222CA" w:rsidRPr="00AE20C2" w:rsidRDefault="000222CA" w:rsidP="000222CA">
            <w:pPr>
              <w:rPr>
                <w:rFonts w:ascii="Calibri" w:hAnsi="Calibri" w:cs="Calibri"/>
              </w:rPr>
            </w:pPr>
            <w:r w:rsidRPr="00AE20C2">
              <w:rPr>
                <w:rFonts w:ascii="Calibri" w:hAnsi="Calibri" w:cs="Calibri"/>
              </w:rPr>
              <w:t>Section 203</w:t>
            </w:r>
            <w:proofErr w:type="gramStart"/>
            <w:r w:rsidRPr="00AE20C2">
              <w:rPr>
                <w:rFonts w:ascii="Calibri" w:hAnsi="Calibri" w:cs="Calibri"/>
              </w:rPr>
              <w:t>B(</w:t>
            </w:r>
            <w:proofErr w:type="gramEnd"/>
            <w:r w:rsidRPr="00AE20C2">
              <w:rPr>
                <w:rFonts w:ascii="Calibri" w:hAnsi="Calibri" w:cs="Calibri"/>
              </w:rPr>
              <w:t>4) of the NTA provides that native title representative bodies and service providers (</w:t>
            </w:r>
            <w:r w:rsidRPr="00AE20C2">
              <w:rPr>
                <w:rFonts w:ascii="Calibri" w:hAnsi="Calibri" w:cs="Calibri"/>
                <w:b/>
                <w:bCs/>
              </w:rPr>
              <w:t>NTRB-SP</w:t>
            </w:r>
            <w:r w:rsidRPr="00AE20C2">
              <w:rPr>
                <w:rFonts w:ascii="Calibri" w:hAnsi="Calibri" w:cs="Calibri"/>
              </w:rPr>
              <w:t>) must give priority to the protection of the interests of native title holders when determining their priorities and allocating its resources.  </w:t>
            </w:r>
          </w:p>
          <w:p w14:paraId="03F32BC2" w14:textId="77777777" w:rsidR="000222CA" w:rsidRPr="00AE20C2" w:rsidRDefault="000222CA" w:rsidP="000222CA">
            <w:pPr>
              <w:rPr>
                <w:rFonts w:ascii="Calibri" w:hAnsi="Calibri" w:cs="Calibri"/>
              </w:rPr>
            </w:pPr>
            <w:r w:rsidRPr="00AE20C2">
              <w:rPr>
                <w:rFonts w:ascii="Calibri" w:hAnsi="Calibri" w:cs="Calibri"/>
              </w:rPr>
              <w:t> </w:t>
            </w:r>
          </w:p>
          <w:p w14:paraId="22E2519F" w14:textId="77777777" w:rsidR="000222CA" w:rsidRPr="00AE20C2" w:rsidRDefault="000222CA" w:rsidP="000222CA">
            <w:pPr>
              <w:rPr>
                <w:rFonts w:ascii="Calibri" w:hAnsi="Calibri" w:cs="Calibri"/>
              </w:rPr>
            </w:pPr>
            <w:r w:rsidRPr="00AE20C2">
              <w:rPr>
                <w:rFonts w:ascii="Calibri" w:hAnsi="Calibri" w:cs="Calibri"/>
                <w:lang w:val="en-US"/>
              </w:rPr>
              <w:t>Where there is no threat of development or the claim does not support a broader strategy, a claim is progressed in line with a myriad of factors, including the resourcing the NLC has available.</w:t>
            </w:r>
            <w:r w:rsidRPr="00AE20C2">
              <w:rPr>
                <w:rFonts w:ascii="Calibri" w:hAnsi="Calibri" w:cs="Calibri"/>
              </w:rPr>
              <w:t> </w:t>
            </w:r>
          </w:p>
          <w:p w14:paraId="5F6217AD" w14:textId="77777777" w:rsidR="000222CA" w:rsidRPr="00AE20C2" w:rsidRDefault="000222CA" w:rsidP="000222CA">
            <w:pPr>
              <w:rPr>
                <w:rFonts w:ascii="Calibri" w:hAnsi="Calibri" w:cs="Calibri"/>
              </w:rPr>
            </w:pPr>
            <w:r w:rsidRPr="00AE20C2">
              <w:rPr>
                <w:rFonts w:ascii="Calibri" w:hAnsi="Calibri" w:cs="Calibri"/>
              </w:rPr>
              <w:t> </w:t>
            </w:r>
          </w:p>
          <w:p w14:paraId="2B1A112C" w14:textId="51333CA9" w:rsidR="000222CA" w:rsidRDefault="000222CA" w:rsidP="000222CA">
            <w:pPr>
              <w:rPr>
                <w:rFonts w:ascii="Calibri" w:hAnsi="Calibri" w:cs="Calibri"/>
                <w:b/>
                <w:bCs/>
              </w:rPr>
            </w:pPr>
            <w:r w:rsidRPr="00AE20C2">
              <w:rPr>
                <w:rFonts w:ascii="Calibri" w:hAnsi="Calibri" w:cs="Calibri"/>
              </w:rPr>
              <w:t>In any event, this will be considered and developed in line with the development of an internal facing document developed in accordance with Recommendation 3.</w:t>
            </w:r>
          </w:p>
        </w:tc>
      </w:tr>
      <w:tr w:rsidR="000222CA" w14:paraId="20E5EB0D" w14:textId="77777777" w:rsidTr="0019740C">
        <w:trPr>
          <w:cantSplit/>
        </w:trPr>
        <w:tc>
          <w:tcPr>
            <w:tcW w:w="9016" w:type="dxa"/>
            <w:shd w:val="clear" w:color="auto" w:fill="C1E4F5" w:themeFill="accent1" w:themeFillTint="33"/>
          </w:tcPr>
          <w:p w14:paraId="2A7335DB" w14:textId="75750A4C" w:rsidR="000222CA" w:rsidRDefault="000222CA" w:rsidP="000222CA">
            <w:pPr>
              <w:jc w:val="both"/>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7D548B" w:rsidRPr="0019740C">
              <w:rPr>
                <w:rFonts w:ascii="Calibri" w:hAnsi="Calibri" w:cs="Calibri"/>
                <w:b/>
                <w:bCs/>
                <w:lang w:val="en-GB"/>
              </w:rPr>
              <w:t xml:space="preserve">(Rec </w:t>
            </w:r>
            <w:r w:rsidR="007D548B">
              <w:rPr>
                <w:rFonts w:ascii="Calibri" w:hAnsi="Calibri" w:cs="Calibri"/>
                <w:b/>
                <w:bCs/>
                <w:lang w:val="en-GB"/>
              </w:rPr>
              <w:t>6</w:t>
            </w:r>
            <w:r w:rsidR="007D548B" w:rsidRPr="0019740C">
              <w:rPr>
                <w:rFonts w:ascii="Calibri" w:hAnsi="Calibri" w:cs="Calibri"/>
                <w:b/>
                <w:bCs/>
                <w:lang w:val="en-GB"/>
              </w:rPr>
              <w:t>)</w:t>
            </w:r>
          </w:p>
        </w:tc>
      </w:tr>
      <w:tr w:rsidR="000222CA" w14:paraId="000EE5F2" w14:textId="77777777" w:rsidTr="0019740C">
        <w:trPr>
          <w:cantSplit/>
        </w:trPr>
        <w:tc>
          <w:tcPr>
            <w:tcW w:w="9016" w:type="dxa"/>
          </w:tcPr>
          <w:p w14:paraId="070904EE" w14:textId="67287F06" w:rsidR="000222CA" w:rsidRPr="00940F82" w:rsidRDefault="006A2263" w:rsidP="000222CA">
            <w:pPr>
              <w:jc w:val="both"/>
              <w:rPr>
                <w:rFonts w:ascii="Calibri" w:hAnsi="Calibri" w:cs="Calibri"/>
                <w:lang w:val="en-US"/>
              </w:rPr>
            </w:pPr>
            <w:r w:rsidRPr="00950402">
              <w:rPr>
                <w:rFonts w:ascii="Calibri" w:hAnsi="Calibri" w:cs="Calibri"/>
                <w:b/>
                <w:bCs/>
              </w:rPr>
              <w:lastRenderedPageBreak/>
              <w:t>Rec 6</w:t>
            </w:r>
            <w:r>
              <w:rPr>
                <w:rFonts w:ascii="Calibri" w:hAnsi="Calibri" w:cs="Calibri"/>
              </w:rPr>
              <w:t xml:space="preserve"> </w:t>
            </w:r>
            <w:r w:rsidRPr="00B62832">
              <w:rPr>
                <w:rFonts w:ascii="Calibri" w:hAnsi="Calibri" w:cs="Calibri"/>
              </w:rPr>
              <w:t>The NLC should update the Complaints section of its website to include information on the process for handling complaints and the timeframes in which the complainant will receive a response.  </w:t>
            </w:r>
          </w:p>
        </w:tc>
      </w:tr>
      <w:tr w:rsidR="000222CA" w14:paraId="23E28911" w14:textId="77777777" w:rsidTr="0019740C">
        <w:trPr>
          <w:cantSplit/>
        </w:trPr>
        <w:tc>
          <w:tcPr>
            <w:tcW w:w="9016" w:type="dxa"/>
          </w:tcPr>
          <w:p w14:paraId="0EF20531" w14:textId="77777777" w:rsidR="000222CA" w:rsidRPr="007009A2" w:rsidRDefault="000222CA" w:rsidP="000222CA">
            <w:pPr>
              <w:jc w:val="both"/>
              <w:rPr>
                <w:rFonts w:ascii="Calibri" w:hAnsi="Calibri" w:cs="Calibri"/>
                <w:b/>
                <w:bCs/>
                <w:lang w:val="en-US"/>
              </w:rPr>
            </w:pPr>
            <w:r w:rsidRPr="007009A2">
              <w:rPr>
                <w:rFonts w:ascii="Calibri" w:hAnsi="Calibri" w:cs="Calibri"/>
                <w:b/>
                <w:bCs/>
                <w:lang w:val="en-US"/>
              </w:rPr>
              <w:t>Response</w:t>
            </w:r>
          </w:p>
          <w:p w14:paraId="569DA66A" w14:textId="4B52373C" w:rsidR="000222CA" w:rsidRDefault="000222CA" w:rsidP="000222CA">
            <w:pPr>
              <w:rPr>
                <w:rFonts w:ascii="Calibri" w:hAnsi="Calibri" w:cs="Calibri"/>
                <w:lang w:val="en-US"/>
              </w:rPr>
            </w:pPr>
            <w:r>
              <w:rPr>
                <w:rFonts w:ascii="Calibri" w:hAnsi="Calibri" w:cs="Calibri"/>
                <w:lang w:val="en-US"/>
              </w:rPr>
              <w:t>Accepted.</w:t>
            </w:r>
          </w:p>
          <w:p w14:paraId="280B0DA6" w14:textId="77777777" w:rsidR="001D3E82" w:rsidRDefault="001D3E82" w:rsidP="001D3E82">
            <w:pPr>
              <w:rPr>
                <w:rFonts w:ascii="Calibri" w:hAnsi="Calibri" w:cs="Calibri"/>
                <w:lang w:val="en-US"/>
              </w:rPr>
            </w:pPr>
            <w:r>
              <w:rPr>
                <w:rFonts w:ascii="Calibri" w:hAnsi="Calibri" w:cs="Calibri"/>
                <w:lang w:val="en-US"/>
              </w:rPr>
              <w:t xml:space="preserve">Partially implemented. </w:t>
            </w:r>
          </w:p>
          <w:p w14:paraId="4B175B17" w14:textId="77777777" w:rsidR="001D3E82" w:rsidRDefault="001D3E82" w:rsidP="001D3E82">
            <w:pPr>
              <w:rPr>
                <w:rFonts w:ascii="Calibri" w:hAnsi="Calibri" w:cs="Calibri"/>
                <w:lang w:val="en-US"/>
              </w:rPr>
            </w:pPr>
          </w:p>
          <w:p w14:paraId="5A0E6DA0" w14:textId="77777777" w:rsidR="001D3E82" w:rsidRPr="00932A48" w:rsidRDefault="001D3E82" w:rsidP="001D3E82">
            <w:pPr>
              <w:rPr>
                <w:rFonts w:ascii="Calibri" w:hAnsi="Calibri" w:cs="Calibri"/>
              </w:rPr>
            </w:pPr>
            <w:r w:rsidRPr="00932A48">
              <w:rPr>
                <w:rFonts w:ascii="Calibri" w:hAnsi="Calibri" w:cs="Calibri"/>
                <w:lang w:val="en-US"/>
              </w:rPr>
              <w:t>The NLC will update its website to include information on the complaints handling process.</w:t>
            </w:r>
            <w:r w:rsidRPr="00932A48">
              <w:rPr>
                <w:rFonts w:ascii="Calibri" w:hAnsi="Calibri" w:cs="Calibri"/>
              </w:rPr>
              <w:t> </w:t>
            </w:r>
          </w:p>
          <w:p w14:paraId="27F6031F" w14:textId="151727CD" w:rsidR="000222CA" w:rsidRDefault="001D3E82" w:rsidP="00715868">
            <w:pPr>
              <w:rPr>
                <w:rFonts w:ascii="Calibri" w:hAnsi="Calibri" w:cs="Calibri"/>
                <w:lang w:val="en-US"/>
              </w:rPr>
            </w:pPr>
            <w:r w:rsidRPr="00932A48">
              <w:rPr>
                <w:rFonts w:ascii="Calibri" w:hAnsi="Calibri" w:cs="Calibri"/>
              </w:rPr>
              <w:t> </w:t>
            </w:r>
            <w:r w:rsidRPr="00932A48">
              <w:rPr>
                <w:rFonts w:ascii="Calibri" w:hAnsi="Calibri" w:cs="Calibri"/>
              </w:rPr>
              <w:br/>
              <w:t xml:space="preserve">The NLC has implemented new processes that align with the Commonwealth Ombudsman’s Better Practice Guide </w:t>
            </w:r>
            <w:proofErr w:type="gramStart"/>
            <w:r w:rsidRPr="00932A48">
              <w:rPr>
                <w:rFonts w:ascii="Calibri" w:hAnsi="Calibri" w:cs="Calibri"/>
              </w:rPr>
              <w:t>For</w:t>
            </w:r>
            <w:proofErr w:type="gramEnd"/>
            <w:r w:rsidRPr="00932A48">
              <w:rPr>
                <w:rFonts w:ascii="Calibri" w:hAnsi="Calibri" w:cs="Calibri"/>
              </w:rPr>
              <w:t xml:space="preserve"> Complaints Handling whereby all complainants are acknowledged and notified that the NLC seeks to respond to their complaint within 30 business days.</w:t>
            </w:r>
          </w:p>
        </w:tc>
      </w:tr>
      <w:tr w:rsidR="000222CA" w14:paraId="2E1A14A7" w14:textId="77777777" w:rsidTr="0019740C">
        <w:trPr>
          <w:cantSplit/>
        </w:trPr>
        <w:tc>
          <w:tcPr>
            <w:tcW w:w="9016" w:type="dxa"/>
            <w:shd w:val="clear" w:color="auto" w:fill="C1E4F5" w:themeFill="accent1" w:themeFillTint="33"/>
          </w:tcPr>
          <w:p w14:paraId="7416E9F3" w14:textId="45C06979" w:rsidR="000222CA" w:rsidRDefault="000222CA" w:rsidP="000222CA">
            <w:pPr>
              <w:jc w:val="both"/>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p>
        </w:tc>
      </w:tr>
      <w:tr w:rsidR="000222CA" w14:paraId="02BA3EFF" w14:textId="77777777" w:rsidTr="0019740C">
        <w:trPr>
          <w:cantSplit/>
        </w:trPr>
        <w:tc>
          <w:tcPr>
            <w:tcW w:w="9016" w:type="dxa"/>
          </w:tcPr>
          <w:p w14:paraId="72780DE7" w14:textId="7B5BBFAA" w:rsidR="000222CA" w:rsidRDefault="000222CA" w:rsidP="000222CA">
            <w:pPr>
              <w:jc w:val="both"/>
              <w:rPr>
                <w:rFonts w:ascii="Calibri" w:hAnsi="Calibri" w:cs="Calibri"/>
                <w:lang w:val="en-US"/>
              </w:rPr>
            </w:pPr>
            <w:r w:rsidRPr="00F66D39">
              <w:rPr>
                <w:rFonts w:ascii="Calibri" w:hAnsi="Calibri" w:cs="Calibri"/>
                <w:b/>
                <w:bCs/>
              </w:rPr>
              <w:t>Rec</w:t>
            </w:r>
            <w:r>
              <w:rPr>
                <w:rFonts w:ascii="Calibri" w:hAnsi="Calibri" w:cs="Calibri"/>
              </w:rPr>
              <w:t xml:space="preserve"> </w:t>
            </w:r>
            <w:r w:rsidR="00AB5DFB">
              <w:rPr>
                <w:rFonts w:ascii="Calibri" w:hAnsi="Calibri" w:cs="Calibri"/>
              </w:rPr>
              <w:t>Nil</w:t>
            </w:r>
          </w:p>
        </w:tc>
      </w:tr>
      <w:tr w:rsidR="000222CA" w14:paraId="1D01D827" w14:textId="77777777" w:rsidTr="0019740C">
        <w:trPr>
          <w:cantSplit/>
        </w:trPr>
        <w:tc>
          <w:tcPr>
            <w:tcW w:w="9016" w:type="dxa"/>
            <w:shd w:val="clear" w:color="auto" w:fill="C1E4F5" w:themeFill="accent1" w:themeFillTint="33"/>
          </w:tcPr>
          <w:p w14:paraId="7C171808" w14:textId="597BC3C0" w:rsidR="000222CA" w:rsidRPr="009E6AF2" w:rsidRDefault="000222CA" w:rsidP="000222CA">
            <w:pPr>
              <w:jc w:val="both"/>
              <w:rPr>
                <w:rFonts w:ascii="Calibri" w:hAnsi="Calibri" w:cs="Calibri"/>
                <w:b/>
                <w:bCs/>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7D548B" w:rsidRPr="0019740C">
              <w:rPr>
                <w:rFonts w:ascii="Calibri" w:hAnsi="Calibri" w:cs="Calibri"/>
                <w:b/>
                <w:bCs/>
                <w:lang w:val="en-GB"/>
              </w:rPr>
              <w:t xml:space="preserve">(Rec </w:t>
            </w:r>
            <w:r w:rsidR="007D548B">
              <w:rPr>
                <w:rFonts w:ascii="Calibri" w:hAnsi="Calibri" w:cs="Calibri"/>
                <w:b/>
                <w:bCs/>
                <w:lang w:val="en-GB"/>
              </w:rPr>
              <w:t>7-9</w:t>
            </w:r>
            <w:r w:rsidR="007D548B" w:rsidRPr="0019740C">
              <w:rPr>
                <w:rFonts w:ascii="Calibri" w:hAnsi="Calibri" w:cs="Calibri"/>
                <w:b/>
                <w:bCs/>
                <w:lang w:val="en-GB"/>
              </w:rPr>
              <w:t>)</w:t>
            </w:r>
          </w:p>
        </w:tc>
      </w:tr>
      <w:tr w:rsidR="00590C40" w14:paraId="191A43C8" w14:textId="77777777" w:rsidTr="0019740C">
        <w:trPr>
          <w:cantSplit/>
        </w:trPr>
        <w:tc>
          <w:tcPr>
            <w:tcW w:w="9016" w:type="dxa"/>
          </w:tcPr>
          <w:p w14:paraId="1F524DF4" w14:textId="77777777" w:rsidR="00590C40" w:rsidRDefault="00590C40" w:rsidP="00590C40">
            <w:pPr>
              <w:rPr>
                <w:rFonts w:ascii="Calibri" w:hAnsi="Calibri" w:cs="Calibri"/>
              </w:rPr>
            </w:pPr>
            <w:r w:rsidRPr="00950402">
              <w:rPr>
                <w:rFonts w:ascii="Calibri" w:hAnsi="Calibri" w:cs="Calibri"/>
                <w:b/>
                <w:bCs/>
              </w:rPr>
              <w:t>Rec 7</w:t>
            </w:r>
            <w:r>
              <w:rPr>
                <w:rFonts w:ascii="Calibri" w:hAnsi="Calibri" w:cs="Calibri"/>
              </w:rPr>
              <w:t xml:space="preserve"> </w:t>
            </w:r>
            <w:r w:rsidRPr="00B62832">
              <w:rPr>
                <w:rFonts w:ascii="Calibri" w:hAnsi="Calibri" w:cs="Calibri"/>
              </w:rPr>
              <w:t>The NLC should implement mechanisms to help create and maintain a culture where staff feel safe to give and receive feedback, and behavioural issues can be constructively managed. </w:t>
            </w:r>
          </w:p>
          <w:p w14:paraId="3385467C" w14:textId="77777777" w:rsidR="00590C40" w:rsidRPr="00EE677A" w:rsidRDefault="00590C40" w:rsidP="00590C40">
            <w:pPr>
              <w:rPr>
                <w:rFonts w:ascii="Calibri" w:hAnsi="Calibri" w:cs="Calibri"/>
              </w:rPr>
            </w:pPr>
          </w:p>
          <w:p w14:paraId="1AEDC968" w14:textId="77777777" w:rsidR="00590C40" w:rsidRDefault="00590C40" w:rsidP="00590C40">
            <w:pPr>
              <w:rPr>
                <w:rFonts w:ascii="Calibri" w:hAnsi="Calibri" w:cs="Calibri"/>
              </w:rPr>
            </w:pPr>
            <w:r w:rsidRPr="00950402">
              <w:rPr>
                <w:rFonts w:ascii="Calibri" w:hAnsi="Calibri" w:cs="Calibri"/>
                <w:b/>
                <w:bCs/>
                <w:lang w:val="en-US"/>
              </w:rPr>
              <w:t>Rec 8</w:t>
            </w:r>
            <w:r>
              <w:rPr>
                <w:rFonts w:ascii="Calibri" w:hAnsi="Calibri" w:cs="Calibri"/>
                <w:lang w:val="en-US"/>
              </w:rPr>
              <w:t xml:space="preserve"> </w:t>
            </w:r>
            <w:r w:rsidRPr="009F5A34">
              <w:rPr>
                <w:rFonts w:ascii="Calibri" w:hAnsi="Calibri" w:cs="Calibri"/>
                <w:lang w:val="en-US"/>
              </w:rPr>
              <w:t>The NLC should ensure that performance reviews are held annually to ensure staff have opportunities to develop and are adequately supported to deliver high quality work. </w:t>
            </w:r>
            <w:r w:rsidRPr="009F5A34">
              <w:rPr>
                <w:rFonts w:ascii="Calibri" w:hAnsi="Calibri" w:cs="Calibri"/>
              </w:rPr>
              <w:t> </w:t>
            </w:r>
            <w:r w:rsidRPr="00B62832">
              <w:rPr>
                <w:rFonts w:ascii="Calibri" w:hAnsi="Calibri" w:cs="Calibri"/>
              </w:rPr>
              <w:t> </w:t>
            </w:r>
          </w:p>
          <w:p w14:paraId="2F5463C3" w14:textId="77777777" w:rsidR="00590C40" w:rsidRPr="00EE677A" w:rsidRDefault="00590C40" w:rsidP="00590C40">
            <w:pPr>
              <w:rPr>
                <w:rFonts w:ascii="Calibri" w:hAnsi="Calibri" w:cs="Calibri"/>
              </w:rPr>
            </w:pPr>
          </w:p>
          <w:p w14:paraId="013CEB44" w14:textId="53840688" w:rsidR="00590C40" w:rsidRPr="009E6AF2" w:rsidRDefault="00590C40" w:rsidP="00590C40">
            <w:pPr>
              <w:jc w:val="both"/>
              <w:rPr>
                <w:rFonts w:ascii="Calibri" w:hAnsi="Calibri" w:cs="Calibri"/>
                <w:b/>
                <w:bCs/>
                <w:lang w:val="en-US"/>
              </w:rPr>
            </w:pPr>
            <w:r w:rsidRPr="00950402">
              <w:rPr>
                <w:rFonts w:ascii="Calibri" w:hAnsi="Calibri" w:cs="Calibri"/>
                <w:b/>
                <w:bCs/>
              </w:rPr>
              <w:t>Rec 9</w:t>
            </w:r>
            <w:r>
              <w:rPr>
                <w:rFonts w:ascii="Calibri" w:hAnsi="Calibri" w:cs="Calibri"/>
              </w:rPr>
              <w:t xml:space="preserve"> </w:t>
            </w:r>
            <w:r w:rsidRPr="009F5A34">
              <w:rPr>
                <w:rFonts w:ascii="Calibri" w:hAnsi="Calibri" w:cs="Calibri"/>
              </w:rPr>
              <w:t xml:space="preserve">The NLC should improve its responsiveness to allegations of bullying and harassment, with managers to ensure that formal and informal reports regarding alleged incidents and/or patterns of behaviour are referred to the </w:t>
            </w:r>
            <w:r>
              <w:rPr>
                <w:rFonts w:ascii="Calibri" w:hAnsi="Calibri" w:cs="Calibri"/>
              </w:rPr>
              <w:t>correct channels within NLC.</w:t>
            </w:r>
          </w:p>
        </w:tc>
      </w:tr>
      <w:tr w:rsidR="00590C40" w14:paraId="7B323944" w14:textId="77777777" w:rsidTr="0019740C">
        <w:trPr>
          <w:cantSplit/>
        </w:trPr>
        <w:tc>
          <w:tcPr>
            <w:tcW w:w="9016" w:type="dxa"/>
          </w:tcPr>
          <w:p w14:paraId="35844690" w14:textId="47AC5539" w:rsidR="00590C40" w:rsidRPr="007009A2" w:rsidRDefault="00590C40" w:rsidP="00590C40">
            <w:pPr>
              <w:jc w:val="both"/>
              <w:rPr>
                <w:rFonts w:ascii="Calibri" w:hAnsi="Calibri" w:cs="Calibri"/>
                <w:b/>
                <w:bCs/>
                <w:lang w:val="en-US"/>
              </w:rPr>
            </w:pPr>
            <w:r w:rsidRPr="007009A2">
              <w:rPr>
                <w:rFonts w:ascii="Calibri" w:hAnsi="Calibri" w:cs="Calibri"/>
                <w:b/>
                <w:bCs/>
                <w:lang w:val="en-US"/>
              </w:rPr>
              <w:lastRenderedPageBreak/>
              <w:t>Response</w:t>
            </w:r>
            <w:r w:rsidR="007A63DA">
              <w:rPr>
                <w:rFonts w:ascii="Calibri" w:hAnsi="Calibri" w:cs="Calibri"/>
                <w:b/>
                <w:bCs/>
                <w:lang w:val="en-US"/>
              </w:rPr>
              <w:t xml:space="preserve"> for Rec 7, 8, and 9</w:t>
            </w:r>
          </w:p>
          <w:p w14:paraId="2FDBE5E1" w14:textId="4A57537F" w:rsidR="00426AB5" w:rsidRDefault="00426AB5" w:rsidP="00426AB5">
            <w:pPr>
              <w:rPr>
                <w:rFonts w:ascii="Calibri" w:hAnsi="Calibri" w:cs="Calibri"/>
                <w:lang w:val="en-US"/>
              </w:rPr>
            </w:pPr>
            <w:r>
              <w:rPr>
                <w:rFonts w:ascii="Calibri" w:hAnsi="Calibri" w:cs="Calibri"/>
                <w:lang w:val="en-US"/>
              </w:rPr>
              <w:t>Accepted.</w:t>
            </w:r>
          </w:p>
          <w:p w14:paraId="220EBDB6" w14:textId="77777777" w:rsidR="00426AB5" w:rsidRDefault="00426AB5" w:rsidP="00426AB5">
            <w:pPr>
              <w:rPr>
                <w:rFonts w:ascii="Calibri" w:hAnsi="Calibri" w:cs="Calibri"/>
                <w:lang w:val="en-US"/>
              </w:rPr>
            </w:pPr>
            <w:r>
              <w:rPr>
                <w:rFonts w:ascii="Calibri" w:hAnsi="Calibri" w:cs="Calibri"/>
                <w:lang w:val="en-US"/>
              </w:rPr>
              <w:t xml:space="preserve">Partially implemented.  </w:t>
            </w:r>
          </w:p>
          <w:p w14:paraId="2A90A1D8" w14:textId="77777777" w:rsidR="00426AB5" w:rsidRDefault="00426AB5" w:rsidP="00426AB5">
            <w:pPr>
              <w:rPr>
                <w:rFonts w:ascii="Calibri" w:hAnsi="Calibri" w:cs="Calibri"/>
                <w:lang w:val="en-US"/>
              </w:rPr>
            </w:pPr>
          </w:p>
          <w:p w14:paraId="099DB430" w14:textId="77777777" w:rsidR="00426AB5" w:rsidRPr="005A0FC1" w:rsidRDefault="00426AB5" w:rsidP="00426AB5">
            <w:pPr>
              <w:rPr>
                <w:rFonts w:ascii="Calibri" w:hAnsi="Calibri" w:cs="Calibri"/>
              </w:rPr>
            </w:pPr>
            <w:r w:rsidRPr="005A0FC1">
              <w:rPr>
                <w:rFonts w:ascii="Calibri" w:hAnsi="Calibri" w:cs="Calibri"/>
                <w:lang w:val="en-US"/>
              </w:rPr>
              <w:t>The NLC maintains a zero-tolerance approach to bullying and harassment.</w:t>
            </w:r>
            <w:r w:rsidRPr="005A0FC1">
              <w:rPr>
                <w:rFonts w:ascii="Calibri" w:hAnsi="Calibri" w:cs="Calibri"/>
              </w:rPr>
              <w:t> </w:t>
            </w:r>
          </w:p>
          <w:p w14:paraId="02164B51" w14:textId="77777777" w:rsidR="00426AB5" w:rsidRPr="005A0FC1" w:rsidRDefault="00426AB5" w:rsidP="00426AB5">
            <w:pPr>
              <w:rPr>
                <w:rFonts w:ascii="Calibri" w:hAnsi="Calibri" w:cs="Calibri"/>
              </w:rPr>
            </w:pPr>
            <w:r w:rsidRPr="005A0FC1">
              <w:rPr>
                <w:rFonts w:ascii="Calibri" w:hAnsi="Calibri" w:cs="Calibri"/>
              </w:rPr>
              <w:t> </w:t>
            </w:r>
          </w:p>
          <w:p w14:paraId="2C54068B" w14:textId="77777777" w:rsidR="00426AB5" w:rsidRDefault="00426AB5" w:rsidP="00426AB5">
            <w:pPr>
              <w:rPr>
                <w:rFonts w:ascii="Calibri" w:hAnsi="Calibri" w:cs="Calibri"/>
              </w:rPr>
            </w:pPr>
            <w:r w:rsidRPr="005A0FC1">
              <w:rPr>
                <w:rFonts w:ascii="Calibri" w:hAnsi="Calibri" w:cs="Calibri"/>
              </w:rPr>
              <w:t>Since the final report was released, the NLC has delivered mandatory psychosocial hazard training to all members of its senior and middle management group. The training has been focused on identifying current hazards within the workplace, developing managers abilities to effectively respond to those hazards and how to effectively assist staff when such challenges (including those relating to bullying and harassment) arise. </w:t>
            </w:r>
          </w:p>
          <w:p w14:paraId="2E8BCB1B" w14:textId="77777777" w:rsidR="00426AB5" w:rsidRDefault="00426AB5" w:rsidP="00426AB5">
            <w:pPr>
              <w:rPr>
                <w:rFonts w:ascii="Calibri" w:hAnsi="Calibri" w:cs="Calibri"/>
              </w:rPr>
            </w:pPr>
          </w:p>
          <w:p w14:paraId="43FB95A9" w14:textId="77777777" w:rsidR="00426AB5" w:rsidRPr="005A0FC1" w:rsidRDefault="00426AB5" w:rsidP="00426AB5">
            <w:pPr>
              <w:rPr>
                <w:rFonts w:ascii="Calibri" w:hAnsi="Calibri" w:cs="Calibri"/>
              </w:rPr>
            </w:pPr>
            <w:r w:rsidRPr="005A0FC1">
              <w:rPr>
                <w:rFonts w:ascii="Calibri" w:hAnsi="Calibri" w:cs="Calibri"/>
                <w:lang w:val="en-US"/>
              </w:rPr>
              <w:t>The NLC People and Culture Service is also developing a comprehensive management framework to roll out to the management team, outlining their obligations as managers (including their obligations on annual performance reviews). </w:t>
            </w:r>
            <w:r w:rsidRPr="005A0FC1">
              <w:rPr>
                <w:rFonts w:ascii="Calibri" w:hAnsi="Calibri" w:cs="Calibri"/>
              </w:rPr>
              <w:t> </w:t>
            </w:r>
          </w:p>
          <w:p w14:paraId="25A95FD8" w14:textId="77777777" w:rsidR="00426AB5" w:rsidRPr="005A0FC1" w:rsidRDefault="00426AB5" w:rsidP="00426AB5">
            <w:pPr>
              <w:rPr>
                <w:rFonts w:ascii="Calibri" w:hAnsi="Calibri" w:cs="Calibri"/>
              </w:rPr>
            </w:pPr>
            <w:r w:rsidRPr="005A0FC1">
              <w:rPr>
                <w:rFonts w:ascii="Calibri" w:hAnsi="Calibri" w:cs="Calibri"/>
              </w:rPr>
              <w:t> </w:t>
            </w:r>
          </w:p>
          <w:p w14:paraId="66919C9E" w14:textId="6DCEA713" w:rsidR="00590C40" w:rsidRPr="00D83E0D" w:rsidRDefault="00426AB5" w:rsidP="00426AB5">
            <w:pPr>
              <w:rPr>
                <w:rFonts w:ascii="Calibri" w:hAnsi="Calibri" w:cs="Calibri"/>
              </w:rPr>
            </w:pPr>
            <w:r w:rsidRPr="005A0FC1">
              <w:rPr>
                <w:rFonts w:ascii="Calibri" w:hAnsi="Calibri" w:cs="Calibri"/>
              </w:rPr>
              <w:t>Staff are encouraged to complete incidents reports regarding incidents and patterns of behaviour and the NLC will undertake more education activities with staff to ensure that they are aware of the appropriate channels to report bullying and harassment. </w:t>
            </w:r>
          </w:p>
        </w:tc>
      </w:tr>
      <w:tr w:rsidR="00590C40" w14:paraId="0A5CC5B1" w14:textId="77777777" w:rsidTr="0019740C">
        <w:trPr>
          <w:cantSplit/>
        </w:trPr>
        <w:tc>
          <w:tcPr>
            <w:tcW w:w="9016" w:type="dxa"/>
            <w:shd w:val="clear" w:color="auto" w:fill="C1E4F5" w:themeFill="accent1" w:themeFillTint="33"/>
          </w:tcPr>
          <w:p w14:paraId="767890ED" w14:textId="252C898E" w:rsidR="00590C40" w:rsidRPr="006B0A39" w:rsidRDefault="00590C40" w:rsidP="00590C40">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7D548B" w:rsidRPr="0019740C">
              <w:rPr>
                <w:rFonts w:ascii="Calibri" w:hAnsi="Calibri" w:cs="Calibri"/>
                <w:b/>
                <w:bCs/>
                <w:lang w:val="en-GB"/>
              </w:rPr>
              <w:t xml:space="preserve">(Rec </w:t>
            </w:r>
            <w:r w:rsidR="007D548B">
              <w:rPr>
                <w:rFonts w:ascii="Calibri" w:hAnsi="Calibri" w:cs="Calibri"/>
                <w:b/>
                <w:bCs/>
                <w:lang w:val="en-GB"/>
              </w:rPr>
              <w:t>10-11</w:t>
            </w:r>
            <w:r w:rsidR="007D548B" w:rsidRPr="0019740C">
              <w:rPr>
                <w:rFonts w:ascii="Calibri" w:hAnsi="Calibri" w:cs="Calibri"/>
                <w:b/>
                <w:bCs/>
                <w:lang w:val="en-GB"/>
              </w:rPr>
              <w:t>)</w:t>
            </w:r>
          </w:p>
        </w:tc>
      </w:tr>
      <w:tr w:rsidR="00590C40" w14:paraId="242F7191" w14:textId="77777777" w:rsidTr="0019740C">
        <w:trPr>
          <w:cantSplit/>
        </w:trPr>
        <w:tc>
          <w:tcPr>
            <w:tcW w:w="9016" w:type="dxa"/>
          </w:tcPr>
          <w:p w14:paraId="68446DA6" w14:textId="2D7F7E50" w:rsidR="00590C40" w:rsidRPr="006B0A39" w:rsidRDefault="00B0043C" w:rsidP="00590C40">
            <w:pPr>
              <w:rPr>
                <w:rFonts w:ascii="Calibri" w:hAnsi="Calibri" w:cs="Calibri"/>
                <w:b/>
                <w:bCs/>
                <w:lang w:val="en-US"/>
              </w:rPr>
            </w:pPr>
            <w:r w:rsidRPr="00950402">
              <w:rPr>
                <w:rFonts w:ascii="Calibri" w:hAnsi="Calibri" w:cs="Calibri"/>
                <w:b/>
                <w:bCs/>
              </w:rPr>
              <w:t>Rec 10</w:t>
            </w:r>
            <w:r>
              <w:rPr>
                <w:rFonts w:ascii="Calibri" w:hAnsi="Calibri" w:cs="Calibri"/>
              </w:rPr>
              <w:t xml:space="preserve"> </w:t>
            </w:r>
            <w:r w:rsidRPr="009F4CA1">
              <w:rPr>
                <w:rFonts w:ascii="Calibri" w:hAnsi="Calibri" w:cs="Calibri"/>
              </w:rPr>
              <w:t>The NLC should prioritise the development and pro-active communication of a policy and related processes through which common law holders can elect to leave the TED PBC and establish their own PBC. These processes should be timely, transparent and efficient.  </w:t>
            </w:r>
          </w:p>
        </w:tc>
      </w:tr>
      <w:tr w:rsidR="00590C40" w14:paraId="0294F5A6" w14:textId="77777777" w:rsidTr="0019740C">
        <w:trPr>
          <w:cantSplit/>
        </w:trPr>
        <w:tc>
          <w:tcPr>
            <w:tcW w:w="9016" w:type="dxa"/>
          </w:tcPr>
          <w:p w14:paraId="277F96E4" w14:textId="77777777" w:rsidR="00590C40" w:rsidRPr="007009A2" w:rsidRDefault="00590C40" w:rsidP="00590C40">
            <w:pPr>
              <w:jc w:val="both"/>
              <w:rPr>
                <w:rFonts w:ascii="Calibri" w:hAnsi="Calibri" w:cs="Calibri"/>
                <w:b/>
                <w:bCs/>
                <w:lang w:val="en-US"/>
              </w:rPr>
            </w:pPr>
            <w:r w:rsidRPr="007009A2">
              <w:rPr>
                <w:rFonts w:ascii="Calibri" w:hAnsi="Calibri" w:cs="Calibri"/>
                <w:b/>
                <w:bCs/>
                <w:lang w:val="en-US"/>
              </w:rPr>
              <w:t>Response</w:t>
            </w:r>
          </w:p>
          <w:p w14:paraId="690F306D" w14:textId="77777777" w:rsidR="0063630B" w:rsidRDefault="0063630B" w:rsidP="0063630B">
            <w:pPr>
              <w:rPr>
                <w:rFonts w:ascii="Calibri" w:hAnsi="Calibri" w:cs="Calibri"/>
                <w:lang w:val="en-US"/>
              </w:rPr>
            </w:pPr>
            <w:r>
              <w:rPr>
                <w:rFonts w:ascii="Calibri" w:hAnsi="Calibri" w:cs="Calibri"/>
                <w:lang w:val="en-US"/>
              </w:rPr>
              <w:t xml:space="preserve">Not accepted. </w:t>
            </w:r>
          </w:p>
          <w:p w14:paraId="06C1A8E2" w14:textId="77777777" w:rsidR="0063630B" w:rsidRDefault="0063630B" w:rsidP="0063630B">
            <w:pPr>
              <w:rPr>
                <w:rFonts w:ascii="Calibri" w:hAnsi="Calibri" w:cs="Calibri"/>
                <w:lang w:val="en-US"/>
              </w:rPr>
            </w:pPr>
          </w:p>
          <w:p w14:paraId="4E788D10" w14:textId="77777777" w:rsidR="0063630B" w:rsidRPr="00772C19" w:rsidRDefault="0063630B" w:rsidP="0063630B">
            <w:pPr>
              <w:rPr>
                <w:rFonts w:ascii="Calibri" w:hAnsi="Calibri" w:cs="Calibri"/>
              </w:rPr>
            </w:pPr>
            <w:r w:rsidRPr="00772C19">
              <w:rPr>
                <w:rFonts w:ascii="Calibri" w:hAnsi="Calibri" w:cs="Calibri"/>
                <w:lang w:val="en-US"/>
              </w:rPr>
              <w:t>The NLC does not accept this recommendation on the following basis:</w:t>
            </w:r>
            <w:r w:rsidRPr="00772C19">
              <w:rPr>
                <w:rFonts w:ascii="Calibri" w:hAnsi="Calibri" w:cs="Calibri"/>
              </w:rPr>
              <w:t> </w:t>
            </w:r>
          </w:p>
          <w:p w14:paraId="01C88A0A" w14:textId="77777777" w:rsidR="0063630B" w:rsidRPr="00772C19" w:rsidRDefault="0063630B" w:rsidP="0063630B">
            <w:pPr>
              <w:rPr>
                <w:rFonts w:ascii="Calibri" w:hAnsi="Calibri" w:cs="Calibri"/>
              </w:rPr>
            </w:pPr>
            <w:r w:rsidRPr="00772C19">
              <w:rPr>
                <w:rFonts w:ascii="Calibri" w:hAnsi="Calibri" w:cs="Calibri"/>
              </w:rPr>
              <w:t> </w:t>
            </w:r>
          </w:p>
          <w:p w14:paraId="05645257" w14:textId="77777777" w:rsidR="0063630B" w:rsidRPr="00772C19" w:rsidRDefault="0063630B" w:rsidP="0063630B">
            <w:pPr>
              <w:numPr>
                <w:ilvl w:val="0"/>
                <w:numId w:val="14"/>
              </w:numPr>
              <w:rPr>
                <w:rFonts w:ascii="Calibri" w:hAnsi="Calibri" w:cs="Calibri"/>
              </w:rPr>
            </w:pPr>
            <w:r w:rsidRPr="00772C19">
              <w:rPr>
                <w:rFonts w:ascii="Calibri" w:hAnsi="Calibri" w:cs="Calibri"/>
                <w:lang w:val="en-US"/>
              </w:rPr>
              <w:t>PBC replacement is not a stand-alone NTRB-SP function under the NTA.</w:t>
            </w:r>
            <w:r w:rsidRPr="00772C19">
              <w:rPr>
                <w:rFonts w:ascii="Calibri" w:hAnsi="Calibri" w:cs="Calibri"/>
              </w:rPr>
              <w:t> </w:t>
            </w:r>
          </w:p>
          <w:p w14:paraId="74B789A1" w14:textId="77777777" w:rsidR="0063630B" w:rsidRPr="00772C19" w:rsidRDefault="0063630B" w:rsidP="0063630B">
            <w:pPr>
              <w:numPr>
                <w:ilvl w:val="0"/>
                <w:numId w:val="15"/>
              </w:numPr>
              <w:rPr>
                <w:rFonts w:ascii="Calibri" w:hAnsi="Calibri" w:cs="Calibri"/>
              </w:rPr>
            </w:pPr>
            <w:r w:rsidRPr="00772C19">
              <w:rPr>
                <w:rFonts w:ascii="Calibri" w:hAnsi="Calibri" w:cs="Calibri"/>
                <w:lang w:val="en-US"/>
              </w:rPr>
              <w:t>Other NTRB-SPs across Australia do not publish policies on PBC replacement.</w:t>
            </w:r>
            <w:r w:rsidRPr="00772C19">
              <w:rPr>
                <w:rFonts w:ascii="Calibri" w:hAnsi="Calibri" w:cs="Calibri"/>
              </w:rPr>
              <w:t> </w:t>
            </w:r>
          </w:p>
          <w:p w14:paraId="4027D4E6" w14:textId="77777777" w:rsidR="0063630B" w:rsidRPr="00772C19" w:rsidRDefault="0063630B" w:rsidP="0063630B">
            <w:pPr>
              <w:numPr>
                <w:ilvl w:val="0"/>
                <w:numId w:val="16"/>
              </w:numPr>
              <w:ind w:left="360"/>
              <w:rPr>
                <w:rFonts w:ascii="Calibri" w:hAnsi="Calibri" w:cs="Calibri"/>
              </w:rPr>
            </w:pPr>
            <w:r w:rsidRPr="00772C19">
              <w:rPr>
                <w:rFonts w:ascii="Calibri" w:hAnsi="Calibri" w:cs="Calibri"/>
              </w:rPr>
              <w:t xml:space="preserve">The process required to authorise replacement of a PBC will depend on the traditional laws and customs of the </w:t>
            </w:r>
            <w:proofErr w:type="gramStart"/>
            <w:r w:rsidRPr="00772C19">
              <w:rPr>
                <w:rFonts w:ascii="Calibri" w:hAnsi="Calibri" w:cs="Calibri"/>
              </w:rPr>
              <w:t>particular common</w:t>
            </w:r>
            <w:proofErr w:type="gramEnd"/>
            <w:r w:rsidRPr="00772C19">
              <w:rPr>
                <w:rFonts w:ascii="Calibri" w:hAnsi="Calibri" w:cs="Calibri"/>
              </w:rPr>
              <w:t xml:space="preserve"> law holding group and ultimately be determined by the Federal Court. </w:t>
            </w:r>
          </w:p>
          <w:p w14:paraId="531F4A01" w14:textId="77777777" w:rsidR="0063630B" w:rsidRPr="00772C19" w:rsidRDefault="0063630B" w:rsidP="0063630B">
            <w:pPr>
              <w:numPr>
                <w:ilvl w:val="0"/>
                <w:numId w:val="17"/>
              </w:numPr>
              <w:ind w:left="360"/>
              <w:rPr>
                <w:rFonts w:ascii="Calibri" w:hAnsi="Calibri" w:cs="Calibri"/>
              </w:rPr>
            </w:pPr>
            <w:r w:rsidRPr="00772C19">
              <w:rPr>
                <w:rFonts w:ascii="Calibri" w:hAnsi="Calibri" w:cs="Calibri"/>
              </w:rPr>
              <w:t>It is currently an administrative and logistical challenge each year to complete its core native title activities. Without significant additional funding and support, attempting to assist groups across at least 80 determinations to establish and operate their own PBCs is unviable and will undermine the NLC’s core capacities as a Land Council and NTRB-SP. </w:t>
            </w:r>
          </w:p>
          <w:p w14:paraId="54A61588" w14:textId="7266E905" w:rsidR="00590C40" w:rsidRPr="006B0A39" w:rsidRDefault="0063630B" w:rsidP="0063630B">
            <w:pPr>
              <w:rPr>
                <w:rFonts w:ascii="Calibri" w:hAnsi="Calibri" w:cs="Calibri"/>
                <w:b/>
                <w:bCs/>
                <w:lang w:val="en-US"/>
              </w:rPr>
            </w:pPr>
            <w:r w:rsidRPr="00772C19">
              <w:rPr>
                <w:rFonts w:ascii="Calibri" w:hAnsi="Calibri" w:cs="Calibri"/>
              </w:rPr>
              <w:t>If instructions are received from common law native title holders currently represented by Top End (Default PBC/CLA) Aboriginal Corporation RNTBC, NLC lawyers will assist in the establishment and transfer for their common law native title rights to a new PBC.</w:t>
            </w:r>
          </w:p>
        </w:tc>
      </w:tr>
      <w:tr w:rsidR="00590C40" w14:paraId="09220C93" w14:textId="77777777" w:rsidTr="0019740C">
        <w:trPr>
          <w:cantSplit/>
        </w:trPr>
        <w:tc>
          <w:tcPr>
            <w:tcW w:w="9016" w:type="dxa"/>
          </w:tcPr>
          <w:p w14:paraId="588F3646" w14:textId="25F3BE76" w:rsidR="00590C40" w:rsidRPr="006B0A39" w:rsidRDefault="00E71C4E" w:rsidP="00590C40">
            <w:pPr>
              <w:rPr>
                <w:rFonts w:ascii="Calibri" w:hAnsi="Calibri" w:cs="Calibri"/>
                <w:b/>
                <w:bCs/>
                <w:lang w:val="en-US"/>
              </w:rPr>
            </w:pPr>
            <w:r w:rsidRPr="006A1532">
              <w:rPr>
                <w:rFonts w:ascii="Calibri" w:hAnsi="Calibri" w:cs="Calibri"/>
                <w:b/>
                <w:bCs/>
              </w:rPr>
              <w:t>Rec 11</w:t>
            </w:r>
            <w:r>
              <w:rPr>
                <w:rFonts w:ascii="Calibri" w:hAnsi="Calibri" w:cs="Calibri"/>
              </w:rPr>
              <w:t xml:space="preserve"> </w:t>
            </w:r>
            <w:r w:rsidRPr="009F4CA1">
              <w:rPr>
                <w:rFonts w:ascii="Calibri" w:hAnsi="Calibri" w:cs="Calibri"/>
              </w:rPr>
              <w:t>The NLC should prioritise the finalisation and implementation of a new NLC Repatriation Policy for cultural materials, including the process of obtaining and retaining consent for the collection of cultural materials.  </w:t>
            </w:r>
          </w:p>
        </w:tc>
      </w:tr>
      <w:tr w:rsidR="00590C40" w14:paraId="71095D01" w14:textId="77777777" w:rsidTr="0019740C">
        <w:trPr>
          <w:cantSplit/>
        </w:trPr>
        <w:tc>
          <w:tcPr>
            <w:tcW w:w="9016" w:type="dxa"/>
          </w:tcPr>
          <w:p w14:paraId="15C45C05" w14:textId="5B84AF36" w:rsidR="00590C40" w:rsidRPr="00305D2D" w:rsidRDefault="00590C40" w:rsidP="00590C40">
            <w:pPr>
              <w:rPr>
                <w:rFonts w:ascii="Calibri" w:hAnsi="Calibri" w:cs="Calibri"/>
                <w:b/>
                <w:bCs/>
              </w:rPr>
            </w:pPr>
            <w:r w:rsidRPr="00305D2D">
              <w:rPr>
                <w:rFonts w:ascii="Calibri" w:hAnsi="Calibri" w:cs="Calibri"/>
                <w:b/>
                <w:bCs/>
              </w:rPr>
              <w:lastRenderedPageBreak/>
              <w:t>Response</w:t>
            </w:r>
          </w:p>
          <w:p w14:paraId="0F3C4CD3" w14:textId="77777777" w:rsidR="00AB28A3" w:rsidRDefault="00AB28A3" w:rsidP="00AB28A3">
            <w:pPr>
              <w:rPr>
                <w:rFonts w:ascii="Calibri" w:hAnsi="Calibri" w:cs="Calibri"/>
                <w:lang w:val="en-US"/>
              </w:rPr>
            </w:pPr>
            <w:r>
              <w:rPr>
                <w:rFonts w:ascii="Calibri" w:hAnsi="Calibri" w:cs="Calibri"/>
                <w:lang w:val="en-US"/>
              </w:rPr>
              <w:t>Accepted.</w:t>
            </w:r>
          </w:p>
          <w:p w14:paraId="175BEF7B" w14:textId="77777777" w:rsidR="00AB28A3" w:rsidRDefault="00AB28A3" w:rsidP="00AB28A3">
            <w:pPr>
              <w:rPr>
                <w:rFonts w:ascii="Calibri" w:hAnsi="Calibri" w:cs="Calibri"/>
                <w:lang w:val="en-US"/>
              </w:rPr>
            </w:pPr>
            <w:r>
              <w:rPr>
                <w:rFonts w:ascii="Calibri" w:hAnsi="Calibri" w:cs="Calibri"/>
                <w:lang w:val="en-US"/>
              </w:rPr>
              <w:t xml:space="preserve">Partially implemented. </w:t>
            </w:r>
          </w:p>
          <w:p w14:paraId="3CFEF755" w14:textId="77777777" w:rsidR="00AB28A3" w:rsidRDefault="00AB28A3" w:rsidP="00AB28A3">
            <w:pPr>
              <w:rPr>
                <w:rFonts w:ascii="Calibri" w:hAnsi="Calibri" w:cs="Calibri"/>
                <w:lang w:val="en-US"/>
              </w:rPr>
            </w:pPr>
          </w:p>
          <w:p w14:paraId="1C6353D2" w14:textId="77777777" w:rsidR="00AB28A3" w:rsidRPr="00FE6A60" w:rsidRDefault="00AB28A3" w:rsidP="00AB28A3">
            <w:pPr>
              <w:rPr>
                <w:rFonts w:ascii="Calibri" w:hAnsi="Calibri" w:cs="Calibri"/>
              </w:rPr>
            </w:pPr>
            <w:r w:rsidRPr="00FE6A60">
              <w:rPr>
                <w:rFonts w:ascii="Calibri" w:hAnsi="Calibri" w:cs="Calibri"/>
                <w:lang w:val="en-US"/>
              </w:rPr>
              <w:t>This recommendation is accepted and is being progressed by the NLC in multiple ways. </w:t>
            </w:r>
            <w:r w:rsidRPr="00FE6A60">
              <w:rPr>
                <w:rFonts w:ascii="Calibri" w:hAnsi="Calibri" w:cs="Calibri"/>
              </w:rPr>
              <w:t> </w:t>
            </w:r>
          </w:p>
          <w:p w14:paraId="29934DE5" w14:textId="77777777" w:rsidR="00AB28A3" w:rsidRPr="00FE6A60" w:rsidRDefault="00AB28A3" w:rsidP="00AB28A3">
            <w:pPr>
              <w:rPr>
                <w:rFonts w:ascii="Calibri" w:hAnsi="Calibri" w:cs="Calibri"/>
              </w:rPr>
            </w:pPr>
            <w:r w:rsidRPr="00FE6A60">
              <w:rPr>
                <w:rFonts w:ascii="Calibri" w:hAnsi="Calibri" w:cs="Calibri"/>
              </w:rPr>
              <w:t> </w:t>
            </w:r>
          </w:p>
          <w:p w14:paraId="13202349" w14:textId="77777777" w:rsidR="00AB28A3" w:rsidRPr="00FE6A60" w:rsidRDefault="00AB28A3" w:rsidP="00AB28A3">
            <w:pPr>
              <w:rPr>
                <w:rFonts w:ascii="Calibri" w:hAnsi="Calibri" w:cs="Calibri"/>
              </w:rPr>
            </w:pPr>
            <w:r w:rsidRPr="00FE6A60">
              <w:rPr>
                <w:rFonts w:ascii="Calibri" w:hAnsi="Calibri" w:cs="Calibri"/>
                <w:lang w:val="en-US"/>
              </w:rPr>
              <w:t xml:space="preserve">The NLC is close to </w:t>
            </w:r>
            <w:proofErr w:type="spellStart"/>
            <w:r w:rsidRPr="00FE6A60">
              <w:rPr>
                <w:rFonts w:ascii="Calibri" w:hAnsi="Calibri" w:cs="Calibri"/>
                <w:lang w:val="en-US"/>
              </w:rPr>
              <w:t>finalising</w:t>
            </w:r>
            <w:proofErr w:type="spellEnd"/>
            <w:r w:rsidRPr="00FE6A60">
              <w:rPr>
                <w:rFonts w:ascii="Calibri" w:hAnsi="Calibri" w:cs="Calibri"/>
                <w:lang w:val="en-US"/>
              </w:rPr>
              <w:t xml:space="preserve"> a policy on the repatriation of cultural objects and artefacts, including skeletal remains. </w:t>
            </w:r>
            <w:r w:rsidRPr="00FE6A60">
              <w:rPr>
                <w:rFonts w:ascii="Calibri" w:hAnsi="Calibri" w:cs="Calibri"/>
              </w:rPr>
              <w:t> </w:t>
            </w:r>
          </w:p>
          <w:p w14:paraId="52F659DF" w14:textId="77777777" w:rsidR="00AB28A3" w:rsidRPr="00FE6A60" w:rsidRDefault="00AB28A3" w:rsidP="00AB28A3">
            <w:pPr>
              <w:rPr>
                <w:rFonts w:ascii="Calibri" w:hAnsi="Calibri" w:cs="Calibri"/>
              </w:rPr>
            </w:pPr>
            <w:r w:rsidRPr="00FE6A60">
              <w:rPr>
                <w:rFonts w:ascii="Calibri" w:hAnsi="Calibri" w:cs="Calibri"/>
              </w:rPr>
              <w:t> </w:t>
            </w:r>
          </w:p>
          <w:p w14:paraId="4FE29C3F" w14:textId="77777777" w:rsidR="00AB28A3" w:rsidRPr="00FE6A60" w:rsidRDefault="00AB28A3" w:rsidP="00AB28A3">
            <w:pPr>
              <w:rPr>
                <w:rFonts w:ascii="Calibri" w:hAnsi="Calibri" w:cs="Calibri"/>
              </w:rPr>
            </w:pPr>
            <w:r w:rsidRPr="00FE6A60">
              <w:rPr>
                <w:rFonts w:ascii="Calibri" w:hAnsi="Calibri" w:cs="Calibri"/>
                <w:lang w:val="en-US"/>
              </w:rPr>
              <w:t>It is currently working with the Central Land Council and other parties on developing a framework on the return of claim materials and relevant anthropological and claim materials held by past staff and consultants engaged by the Land Councils with the intention of making those materials eventually available to claimants.</w:t>
            </w:r>
            <w:r w:rsidRPr="00FE6A60">
              <w:rPr>
                <w:rFonts w:ascii="Calibri" w:hAnsi="Calibri" w:cs="Calibri"/>
              </w:rPr>
              <w:t> </w:t>
            </w:r>
          </w:p>
          <w:p w14:paraId="43910DBB" w14:textId="77777777" w:rsidR="00AB28A3" w:rsidRPr="00FE6A60" w:rsidRDefault="00AB28A3" w:rsidP="00AB28A3">
            <w:pPr>
              <w:rPr>
                <w:rFonts w:ascii="Calibri" w:hAnsi="Calibri" w:cs="Calibri"/>
              </w:rPr>
            </w:pPr>
            <w:r w:rsidRPr="00FE6A60">
              <w:rPr>
                <w:rFonts w:ascii="Calibri" w:hAnsi="Calibri" w:cs="Calibri"/>
              </w:rPr>
              <w:t> </w:t>
            </w:r>
          </w:p>
          <w:p w14:paraId="6297B50B" w14:textId="2EC8878A" w:rsidR="00590C40" w:rsidRPr="006B0A39" w:rsidRDefault="00AB28A3" w:rsidP="00AB28A3">
            <w:pPr>
              <w:rPr>
                <w:rFonts w:ascii="Calibri" w:hAnsi="Calibri" w:cs="Calibri"/>
                <w:b/>
                <w:bCs/>
                <w:lang w:val="en-US"/>
              </w:rPr>
            </w:pPr>
            <w:r w:rsidRPr="00FE6A60">
              <w:rPr>
                <w:rFonts w:ascii="Calibri" w:hAnsi="Calibri" w:cs="Calibri"/>
              </w:rPr>
              <w:t xml:space="preserve">An overarching repatriation policy for other materials to claimants and PBCs (if applicable) will be worked </w:t>
            </w:r>
            <w:proofErr w:type="gramStart"/>
            <w:r w:rsidRPr="00FE6A60">
              <w:rPr>
                <w:rFonts w:ascii="Calibri" w:hAnsi="Calibri" w:cs="Calibri"/>
              </w:rPr>
              <w:t>through</w:t>
            </w:r>
            <w:proofErr w:type="gramEnd"/>
            <w:r w:rsidRPr="00FE6A60">
              <w:rPr>
                <w:rFonts w:ascii="Calibri" w:hAnsi="Calibri" w:cs="Calibri"/>
              </w:rPr>
              <w:t xml:space="preserve"> and we will aim to have this policy finalised by the close of 2026. </w:t>
            </w:r>
          </w:p>
        </w:tc>
      </w:tr>
      <w:tr w:rsidR="00590C40" w14:paraId="730408A2" w14:textId="77777777" w:rsidTr="0019740C">
        <w:trPr>
          <w:cantSplit/>
        </w:trPr>
        <w:tc>
          <w:tcPr>
            <w:tcW w:w="9016" w:type="dxa"/>
            <w:shd w:val="clear" w:color="auto" w:fill="C1E4F5" w:themeFill="accent1" w:themeFillTint="33"/>
          </w:tcPr>
          <w:p w14:paraId="18FB1291" w14:textId="1F732C41" w:rsidR="00590C40" w:rsidRDefault="00590C40" w:rsidP="00590C40">
            <w:pPr>
              <w:rPr>
                <w:rFonts w:ascii="Calibri" w:hAnsi="Calibri" w:cs="Calibri"/>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7D548B" w:rsidRPr="0019740C">
              <w:rPr>
                <w:rFonts w:ascii="Calibri" w:hAnsi="Calibri" w:cs="Calibri"/>
                <w:b/>
                <w:bCs/>
                <w:lang w:val="en-GB"/>
              </w:rPr>
              <w:t>(Rec 1</w:t>
            </w:r>
            <w:r w:rsidR="007D548B">
              <w:rPr>
                <w:rFonts w:ascii="Calibri" w:hAnsi="Calibri" w:cs="Calibri"/>
                <w:b/>
                <w:bCs/>
                <w:lang w:val="en-GB"/>
              </w:rPr>
              <w:t>2-13</w:t>
            </w:r>
            <w:r w:rsidR="007D548B" w:rsidRPr="0019740C">
              <w:rPr>
                <w:rFonts w:ascii="Calibri" w:hAnsi="Calibri" w:cs="Calibri"/>
                <w:b/>
                <w:bCs/>
                <w:lang w:val="en-GB"/>
              </w:rPr>
              <w:t>)</w:t>
            </w:r>
          </w:p>
        </w:tc>
      </w:tr>
      <w:tr w:rsidR="00590C40" w14:paraId="60DF38C9" w14:textId="77777777" w:rsidTr="0019740C">
        <w:trPr>
          <w:cantSplit/>
        </w:trPr>
        <w:tc>
          <w:tcPr>
            <w:tcW w:w="9016" w:type="dxa"/>
          </w:tcPr>
          <w:p w14:paraId="3EC32E97" w14:textId="73B3BB39" w:rsidR="00590C40" w:rsidRDefault="00F609BB" w:rsidP="00590C40">
            <w:pPr>
              <w:rPr>
                <w:rFonts w:ascii="Calibri" w:hAnsi="Calibri" w:cs="Calibri"/>
                <w:lang w:val="en-US"/>
              </w:rPr>
            </w:pPr>
            <w:r w:rsidRPr="006A1532">
              <w:rPr>
                <w:rFonts w:ascii="Calibri" w:hAnsi="Calibri" w:cs="Calibri"/>
                <w:b/>
                <w:bCs/>
              </w:rPr>
              <w:t>Rec 12</w:t>
            </w:r>
            <w:r>
              <w:rPr>
                <w:rFonts w:ascii="Calibri" w:hAnsi="Calibri" w:cs="Calibri"/>
              </w:rPr>
              <w:t xml:space="preserve"> </w:t>
            </w:r>
            <w:r w:rsidRPr="00577E32">
              <w:rPr>
                <w:rFonts w:ascii="Calibri" w:hAnsi="Calibri" w:cs="Calibri"/>
              </w:rPr>
              <w:t>The NLC should develop and implement a process that enables regular feedback in relation to post-determination priorities of groups of common law holders of native title in the 86 determinations represent </w:t>
            </w:r>
          </w:p>
        </w:tc>
      </w:tr>
      <w:tr w:rsidR="00590C40" w14:paraId="777C150C" w14:textId="77777777" w:rsidTr="0019740C">
        <w:trPr>
          <w:cantSplit/>
        </w:trPr>
        <w:tc>
          <w:tcPr>
            <w:tcW w:w="9016" w:type="dxa"/>
          </w:tcPr>
          <w:p w14:paraId="59F8CB38" w14:textId="77777777" w:rsidR="00590C40" w:rsidRPr="007009A2" w:rsidRDefault="00590C40" w:rsidP="00590C40">
            <w:pPr>
              <w:jc w:val="both"/>
              <w:rPr>
                <w:rFonts w:ascii="Calibri" w:hAnsi="Calibri" w:cs="Calibri"/>
                <w:b/>
                <w:bCs/>
                <w:lang w:val="en-US"/>
              </w:rPr>
            </w:pPr>
            <w:r w:rsidRPr="007009A2">
              <w:rPr>
                <w:rFonts w:ascii="Calibri" w:hAnsi="Calibri" w:cs="Calibri"/>
                <w:b/>
                <w:bCs/>
                <w:lang w:val="en-US"/>
              </w:rPr>
              <w:t>Response</w:t>
            </w:r>
          </w:p>
          <w:p w14:paraId="1063907C" w14:textId="77777777" w:rsidR="00C03B2B" w:rsidRDefault="00C03B2B" w:rsidP="00C03B2B">
            <w:pPr>
              <w:rPr>
                <w:rFonts w:ascii="Calibri" w:hAnsi="Calibri" w:cs="Calibri"/>
                <w:lang w:val="en-US"/>
              </w:rPr>
            </w:pPr>
            <w:r>
              <w:rPr>
                <w:rFonts w:ascii="Calibri" w:hAnsi="Calibri" w:cs="Calibri"/>
                <w:lang w:val="en-US"/>
              </w:rPr>
              <w:t xml:space="preserve">Not accepted.  </w:t>
            </w:r>
          </w:p>
          <w:p w14:paraId="56AA92C1" w14:textId="77777777" w:rsidR="00C03B2B" w:rsidRDefault="00C03B2B" w:rsidP="00C03B2B">
            <w:pPr>
              <w:rPr>
                <w:rFonts w:ascii="Calibri" w:hAnsi="Calibri" w:cs="Calibri"/>
              </w:rPr>
            </w:pPr>
          </w:p>
          <w:p w14:paraId="68CCC84F" w14:textId="77777777" w:rsidR="00C03B2B" w:rsidRPr="00CD5056" w:rsidRDefault="00C03B2B" w:rsidP="00C03B2B">
            <w:pPr>
              <w:rPr>
                <w:rFonts w:ascii="Calibri" w:hAnsi="Calibri" w:cs="Calibri"/>
              </w:rPr>
            </w:pPr>
            <w:r w:rsidRPr="00CD5056">
              <w:rPr>
                <w:rFonts w:ascii="Calibri" w:hAnsi="Calibri" w:cs="Calibri"/>
              </w:rPr>
              <w:t>Ultimately the post-determination priorities of groups of common law native title holder in the 86 determinations are matters for those common law native title holders and not within the NLC’s role as a NTRB-SP. </w:t>
            </w:r>
          </w:p>
          <w:p w14:paraId="132D6282" w14:textId="77777777" w:rsidR="00C03B2B" w:rsidRPr="00CD5056" w:rsidRDefault="00C03B2B" w:rsidP="00C03B2B">
            <w:pPr>
              <w:rPr>
                <w:rFonts w:ascii="Calibri" w:hAnsi="Calibri" w:cs="Calibri"/>
              </w:rPr>
            </w:pPr>
            <w:r w:rsidRPr="00CD5056">
              <w:rPr>
                <w:rFonts w:ascii="Calibri" w:hAnsi="Calibri" w:cs="Calibri"/>
              </w:rPr>
              <w:t> </w:t>
            </w:r>
          </w:p>
          <w:p w14:paraId="4F28C69B" w14:textId="77777777" w:rsidR="00C03B2B" w:rsidRPr="00CD5056" w:rsidRDefault="00C03B2B" w:rsidP="00C03B2B">
            <w:pPr>
              <w:rPr>
                <w:rFonts w:ascii="Calibri" w:hAnsi="Calibri" w:cs="Calibri"/>
              </w:rPr>
            </w:pPr>
            <w:r w:rsidRPr="00CD5056">
              <w:rPr>
                <w:rFonts w:ascii="Calibri" w:hAnsi="Calibri" w:cs="Calibri"/>
              </w:rPr>
              <w:t>The NLC intends to work with Top End Default to establish and maintain better representative structures for common law native title holders who have opted into using it. </w:t>
            </w:r>
          </w:p>
          <w:p w14:paraId="6A57F6AE" w14:textId="77777777" w:rsidR="00C03B2B" w:rsidRPr="00CD5056" w:rsidRDefault="00C03B2B" w:rsidP="00C03B2B">
            <w:pPr>
              <w:rPr>
                <w:rFonts w:ascii="Calibri" w:hAnsi="Calibri" w:cs="Calibri"/>
              </w:rPr>
            </w:pPr>
            <w:r w:rsidRPr="00CD5056">
              <w:rPr>
                <w:rFonts w:ascii="Calibri" w:hAnsi="Calibri" w:cs="Calibri"/>
              </w:rPr>
              <w:t> </w:t>
            </w:r>
          </w:p>
          <w:p w14:paraId="0D02B2AE" w14:textId="4B9F7143" w:rsidR="00590C40" w:rsidRDefault="00C03B2B" w:rsidP="00C03B2B">
            <w:pPr>
              <w:rPr>
                <w:rFonts w:ascii="Calibri" w:hAnsi="Calibri" w:cs="Calibri"/>
                <w:lang w:val="en-US"/>
              </w:rPr>
            </w:pPr>
            <w:r w:rsidRPr="00CD5056">
              <w:rPr>
                <w:rFonts w:ascii="Calibri" w:hAnsi="Calibri" w:cs="Calibri"/>
                <w:lang w:val="en-US"/>
              </w:rPr>
              <w:t>As part of that process, there will be more opportunities for engagement with common law native title holders.</w:t>
            </w:r>
          </w:p>
          <w:p w14:paraId="0087DED4" w14:textId="3B8D623A" w:rsidR="00590C40" w:rsidRDefault="00590C40" w:rsidP="00590C40">
            <w:pPr>
              <w:rPr>
                <w:rFonts w:ascii="Calibri" w:hAnsi="Calibri" w:cs="Calibri"/>
                <w:lang w:val="en-US"/>
              </w:rPr>
            </w:pPr>
            <w:r w:rsidRPr="002E3AA6">
              <w:rPr>
                <w:rFonts w:ascii="Calibri" w:hAnsi="Calibri" w:cs="Calibri"/>
                <w:lang w:val="en-US"/>
              </w:rPr>
              <w:t>This will form part of the new strategic plan moving forward post CYU#1 Claim and will be worked on over an extended period.</w:t>
            </w:r>
            <w:r w:rsidRPr="002E3AA6">
              <w:rPr>
                <w:rFonts w:ascii="Calibri" w:hAnsi="Calibri" w:cs="Calibri"/>
              </w:rPr>
              <w:t> </w:t>
            </w:r>
          </w:p>
        </w:tc>
      </w:tr>
      <w:tr w:rsidR="0066281E" w14:paraId="6D7C7544" w14:textId="77777777" w:rsidTr="0019740C">
        <w:trPr>
          <w:cantSplit/>
        </w:trPr>
        <w:tc>
          <w:tcPr>
            <w:tcW w:w="9016" w:type="dxa"/>
          </w:tcPr>
          <w:p w14:paraId="17492E28" w14:textId="7254EB26" w:rsidR="0066281E" w:rsidRPr="007009A2" w:rsidRDefault="000578AA" w:rsidP="00590C40">
            <w:pPr>
              <w:jc w:val="both"/>
              <w:rPr>
                <w:rFonts w:ascii="Calibri" w:hAnsi="Calibri" w:cs="Calibri"/>
                <w:b/>
                <w:bCs/>
                <w:lang w:val="en-US"/>
              </w:rPr>
            </w:pPr>
            <w:r w:rsidRPr="008904F8">
              <w:rPr>
                <w:rFonts w:ascii="Calibri" w:hAnsi="Calibri" w:cs="Calibri"/>
                <w:b/>
                <w:bCs/>
                <w:lang w:val="en-US"/>
              </w:rPr>
              <w:t>Rec 13</w:t>
            </w:r>
            <w:r>
              <w:rPr>
                <w:rFonts w:ascii="Calibri" w:hAnsi="Calibri" w:cs="Calibri"/>
                <w:lang w:val="en-US"/>
              </w:rPr>
              <w:t xml:space="preserve"> </w:t>
            </w:r>
            <w:r w:rsidRPr="00577E32">
              <w:rPr>
                <w:rFonts w:ascii="Calibri" w:hAnsi="Calibri" w:cs="Calibri"/>
                <w:lang w:val="en-US"/>
              </w:rPr>
              <w:t>The NLC should clarify the extent to which its post-determination services are available to independent PBCs, on what condition and what price.</w:t>
            </w:r>
            <w:r w:rsidRPr="00577E32">
              <w:rPr>
                <w:rFonts w:ascii="Calibri" w:hAnsi="Calibri" w:cs="Calibri"/>
              </w:rPr>
              <w:t> </w:t>
            </w:r>
          </w:p>
        </w:tc>
      </w:tr>
      <w:tr w:rsidR="00271C30" w14:paraId="44492766" w14:textId="77777777" w:rsidTr="0019740C">
        <w:trPr>
          <w:cantSplit/>
        </w:trPr>
        <w:tc>
          <w:tcPr>
            <w:tcW w:w="9016" w:type="dxa"/>
          </w:tcPr>
          <w:p w14:paraId="25299D42" w14:textId="21606798" w:rsidR="00271C30" w:rsidRPr="00271C30" w:rsidRDefault="00271C30" w:rsidP="00271C30">
            <w:pPr>
              <w:rPr>
                <w:rFonts w:ascii="Calibri" w:hAnsi="Calibri" w:cs="Calibri"/>
                <w:b/>
                <w:bCs/>
                <w:lang w:val="en-US"/>
              </w:rPr>
            </w:pPr>
            <w:r w:rsidRPr="00271C30">
              <w:rPr>
                <w:rFonts w:ascii="Calibri" w:hAnsi="Calibri" w:cs="Calibri"/>
                <w:b/>
                <w:bCs/>
                <w:lang w:val="en-US"/>
              </w:rPr>
              <w:lastRenderedPageBreak/>
              <w:t>Response</w:t>
            </w:r>
          </w:p>
          <w:p w14:paraId="373A28F4" w14:textId="29E083B6" w:rsidR="00271C30" w:rsidRDefault="00271C30" w:rsidP="00271C30">
            <w:pPr>
              <w:rPr>
                <w:rFonts w:ascii="Calibri" w:hAnsi="Calibri" w:cs="Calibri"/>
                <w:lang w:val="en-US"/>
              </w:rPr>
            </w:pPr>
            <w:r>
              <w:rPr>
                <w:rFonts w:ascii="Calibri" w:hAnsi="Calibri" w:cs="Calibri"/>
                <w:lang w:val="en-US"/>
              </w:rPr>
              <w:t xml:space="preserve">Not accepted. </w:t>
            </w:r>
          </w:p>
          <w:p w14:paraId="4D41DAA7" w14:textId="77777777" w:rsidR="00271C30" w:rsidRDefault="00271C30" w:rsidP="00271C30">
            <w:pPr>
              <w:rPr>
                <w:rFonts w:ascii="Calibri" w:hAnsi="Calibri" w:cs="Calibri"/>
                <w:lang w:val="en-US"/>
              </w:rPr>
            </w:pPr>
          </w:p>
          <w:p w14:paraId="726E137A" w14:textId="77777777" w:rsidR="00271C30" w:rsidRPr="00CD5056" w:rsidRDefault="00271C30" w:rsidP="00271C30">
            <w:pPr>
              <w:rPr>
                <w:rFonts w:ascii="Calibri" w:hAnsi="Calibri" w:cs="Calibri"/>
              </w:rPr>
            </w:pPr>
            <w:r w:rsidRPr="00CD5056">
              <w:rPr>
                <w:rFonts w:ascii="Calibri" w:hAnsi="Calibri" w:cs="Calibri"/>
                <w:lang w:val="en-US"/>
              </w:rPr>
              <w:t>The NLC disputes the role attributed to it in relation to post-determination matters. </w:t>
            </w:r>
            <w:r w:rsidRPr="00CD5056">
              <w:rPr>
                <w:rFonts w:ascii="Calibri" w:hAnsi="Calibri" w:cs="Calibri"/>
              </w:rPr>
              <w:t> </w:t>
            </w:r>
          </w:p>
          <w:p w14:paraId="03EE3539" w14:textId="77777777" w:rsidR="00271C30" w:rsidRPr="00CD5056" w:rsidRDefault="00271C30" w:rsidP="00271C30">
            <w:pPr>
              <w:rPr>
                <w:rFonts w:ascii="Calibri" w:hAnsi="Calibri" w:cs="Calibri"/>
              </w:rPr>
            </w:pPr>
            <w:r w:rsidRPr="00CD5056">
              <w:rPr>
                <w:rFonts w:ascii="Calibri" w:hAnsi="Calibri" w:cs="Calibri"/>
              </w:rPr>
              <w:t> </w:t>
            </w:r>
          </w:p>
          <w:p w14:paraId="647C6F99" w14:textId="77777777" w:rsidR="00271C30" w:rsidRPr="00CD5056" w:rsidRDefault="00271C30" w:rsidP="00271C30">
            <w:pPr>
              <w:rPr>
                <w:rFonts w:ascii="Calibri" w:hAnsi="Calibri" w:cs="Calibri"/>
              </w:rPr>
            </w:pPr>
            <w:r w:rsidRPr="00CD5056">
              <w:rPr>
                <w:rFonts w:ascii="Calibri" w:hAnsi="Calibri" w:cs="Calibri"/>
              </w:rPr>
              <w:t>The NLC will prioritise establishing formalised processes for Common Law Native Title Holders with determined claims to establish PBCs and transfer their native title rights from Top End Default. </w:t>
            </w:r>
          </w:p>
          <w:p w14:paraId="0778E72C" w14:textId="14D21AA6" w:rsidR="00271C30" w:rsidRPr="007009A2" w:rsidRDefault="00271C30" w:rsidP="00271C30">
            <w:pPr>
              <w:tabs>
                <w:tab w:val="left" w:pos="2116"/>
              </w:tabs>
              <w:jc w:val="both"/>
              <w:rPr>
                <w:rFonts w:ascii="Calibri" w:hAnsi="Calibri" w:cs="Calibri"/>
                <w:b/>
                <w:bCs/>
                <w:lang w:val="en-US"/>
              </w:rPr>
            </w:pPr>
            <w:r w:rsidRPr="00CD5056">
              <w:rPr>
                <w:rFonts w:ascii="Calibri" w:hAnsi="Calibri" w:cs="Calibri"/>
              </w:rPr>
              <w:t> </w:t>
            </w:r>
            <w:r w:rsidRPr="00CD5056">
              <w:rPr>
                <w:rFonts w:ascii="Calibri" w:hAnsi="Calibri" w:cs="Calibri"/>
              </w:rPr>
              <w:br/>
              <w:t>Until the critical mass of PBCs is established, the post-determination services that are available to PBCs in the NLC’s region can be managed on a case-by-case basis. </w:t>
            </w:r>
          </w:p>
        </w:tc>
      </w:tr>
    </w:tbl>
    <w:p w14:paraId="22B72C67" w14:textId="77777777" w:rsidR="004771F3" w:rsidRDefault="004771F3"/>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7006" w14:textId="77777777" w:rsidR="00D04CB8" w:rsidRDefault="00D04CB8" w:rsidP="004771F3">
      <w:pPr>
        <w:spacing w:after="0" w:line="240" w:lineRule="auto"/>
      </w:pPr>
      <w:r>
        <w:separator/>
      </w:r>
    </w:p>
  </w:endnote>
  <w:endnote w:type="continuationSeparator" w:id="0">
    <w:p w14:paraId="0938CC3F" w14:textId="77777777" w:rsidR="00D04CB8" w:rsidRDefault="00D04CB8" w:rsidP="004771F3">
      <w:pPr>
        <w:spacing w:after="0" w:line="240" w:lineRule="auto"/>
      </w:pPr>
      <w:r>
        <w:continuationSeparator/>
      </w:r>
    </w:p>
  </w:endnote>
  <w:endnote w:type="continuationNotice" w:id="1">
    <w:p w14:paraId="19DA96AB" w14:textId="77777777" w:rsidR="00D04CB8" w:rsidRDefault="00D04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734170B0"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FF6E50">
          <w:rPr>
            <w:noProof/>
          </w:rPr>
          <w:t>/6</w:t>
        </w:r>
      </w:p>
    </w:sdtContent>
  </w:sdt>
  <w:p w14:paraId="4093C261" w14:textId="66125FB8" w:rsidR="004771F3" w:rsidRDefault="005B44C3">
    <w:pPr>
      <w:pStyle w:val="Footer"/>
    </w:pPr>
    <w:r>
      <w:t>Northern Land Council</w:t>
    </w:r>
    <w:r w:rsidR="00DD79EC" w:rsidRPr="00DD79EC">
      <w:t xml:space="preserve"> </w:t>
    </w:r>
    <w:r w:rsidR="00CB2290">
      <w:t>R</w:t>
    </w:r>
    <w:r w:rsidR="00F441AC">
      <w:t>esponse</w:t>
    </w:r>
    <w:r w:rsidR="0095164D">
      <w:t xml:space="preserve"> as </w:t>
    </w:r>
    <w:proofErr w:type="gramStart"/>
    <w:r w:rsidR="0095164D">
      <w:t>at</w:t>
    </w:r>
    <w:proofErr w:type="gramEnd"/>
    <w:r w:rsidR="0095164D">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D49D" w14:textId="77777777" w:rsidR="00D04CB8" w:rsidRDefault="00D04CB8" w:rsidP="004771F3">
      <w:pPr>
        <w:spacing w:after="0" w:line="240" w:lineRule="auto"/>
      </w:pPr>
      <w:r>
        <w:separator/>
      </w:r>
    </w:p>
  </w:footnote>
  <w:footnote w:type="continuationSeparator" w:id="0">
    <w:p w14:paraId="34A19811" w14:textId="77777777" w:rsidR="00D04CB8" w:rsidRDefault="00D04CB8" w:rsidP="004771F3">
      <w:pPr>
        <w:spacing w:after="0" w:line="240" w:lineRule="auto"/>
      </w:pPr>
      <w:r>
        <w:continuationSeparator/>
      </w:r>
    </w:p>
  </w:footnote>
  <w:footnote w:type="continuationNotice" w:id="1">
    <w:p w14:paraId="3F04A698" w14:textId="77777777" w:rsidR="00D04CB8" w:rsidRDefault="00D04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C45E0"/>
    <w:multiLevelType w:val="multilevel"/>
    <w:tmpl w:val="EFB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D3F8F"/>
    <w:multiLevelType w:val="hybridMultilevel"/>
    <w:tmpl w:val="12906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1D7C28"/>
    <w:multiLevelType w:val="hybridMultilevel"/>
    <w:tmpl w:val="B2365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F92F32"/>
    <w:multiLevelType w:val="hybridMultilevel"/>
    <w:tmpl w:val="DAD8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60956"/>
    <w:multiLevelType w:val="multilevel"/>
    <w:tmpl w:val="A420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D862303"/>
    <w:multiLevelType w:val="multilevel"/>
    <w:tmpl w:val="B44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652F4F"/>
    <w:multiLevelType w:val="multilevel"/>
    <w:tmpl w:val="40AEE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4D2EF1"/>
    <w:multiLevelType w:val="multilevel"/>
    <w:tmpl w:val="1C343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2593D"/>
    <w:multiLevelType w:val="multilevel"/>
    <w:tmpl w:val="6F547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849302">
    <w:abstractNumId w:val="17"/>
  </w:num>
  <w:num w:numId="2" w16cid:durableId="1127285451">
    <w:abstractNumId w:val="10"/>
  </w:num>
  <w:num w:numId="3" w16cid:durableId="461190126">
    <w:abstractNumId w:val="6"/>
  </w:num>
  <w:num w:numId="4" w16cid:durableId="1277173127">
    <w:abstractNumId w:val="11"/>
  </w:num>
  <w:num w:numId="5" w16cid:durableId="740759474">
    <w:abstractNumId w:val="8"/>
  </w:num>
  <w:num w:numId="6" w16cid:durableId="652680975">
    <w:abstractNumId w:val="12"/>
  </w:num>
  <w:num w:numId="7" w16cid:durableId="1568302850">
    <w:abstractNumId w:val="0"/>
  </w:num>
  <w:num w:numId="8" w16cid:durableId="957180694">
    <w:abstractNumId w:val="14"/>
  </w:num>
  <w:num w:numId="9" w16cid:durableId="940835993">
    <w:abstractNumId w:val="4"/>
  </w:num>
  <w:num w:numId="10" w16cid:durableId="357857398">
    <w:abstractNumId w:val="15"/>
  </w:num>
  <w:num w:numId="11" w16cid:durableId="977105904">
    <w:abstractNumId w:val="3"/>
  </w:num>
  <w:num w:numId="12" w16cid:durableId="1619948271">
    <w:abstractNumId w:val="5"/>
  </w:num>
  <w:num w:numId="13" w16cid:durableId="1549296742">
    <w:abstractNumId w:val="16"/>
  </w:num>
  <w:num w:numId="14" w16cid:durableId="485124248">
    <w:abstractNumId w:val="9"/>
  </w:num>
  <w:num w:numId="15" w16cid:durableId="581961065">
    <w:abstractNumId w:val="13"/>
  </w:num>
  <w:num w:numId="16" w16cid:durableId="1767536214">
    <w:abstractNumId w:val="7"/>
  </w:num>
  <w:num w:numId="17" w16cid:durableId="1505516423">
    <w:abstractNumId w:val="1"/>
  </w:num>
  <w:num w:numId="18" w16cid:durableId="195127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222CA"/>
    <w:rsid w:val="00023BB7"/>
    <w:rsid w:val="00033CBB"/>
    <w:rsid w:val="00033FDE"/>
    <w:rsid w:val="00042F44"/>
    <w:rsid w:val="00045087"/>
    <w:rsid w:val="000578AA"/>
    <w:rsid w:val="00087CB6"/>
    <w:rsid w:val="000A029E"/>
    <w:rsid w:val="000A420B"/>
    <w:rsid w:val="000A7229"/>
    <w:rsid w:val="000C2177"/>
    <w:rsid w:val="000F1B07"/>
    <w:rsid w:val="00117691"/>
    <w:rsid w:val="001269F0"/>
    <w:rsid w:val="00130141"/>
    <w:rsid w:val="00156EC2"/>
    <w:rsid w:val="00160558"/>
    <w:rsid w:val="00172AFD"/>
    <w:rsid w:val="0019740C"/>
    <w:rsid w:val="001C1BE9"/>
    <w:rsid w:val="001D3E82"/>
    <w:rsid w:val="0020440A"/>
    <w:rsid w:val="00211EF0"/>
    <w:rsid w:val="00213712"/>
    <w:rsid w:val="002271B1"/>
    <w:rsid w:val="00246151"/>
    <w:rsid w:val="00247196"/>
    <w:rsid w:val="00261A7A"/>
    <w:rsid w:val="00270DDB"/>
    <w:rsid w:val="00271C30"/>
    <w:rsid w:val="0029597E"/>
    <w:rsid w:val="002A0C79"/>
    <w:rsid w:val="002D4928"/>
    <w:rsid w:val="00305D2D"/>
    <w:rsid w:val="00310F46"/>
    <w:rsid w:val="00330585"/>
    <w:rsid w:val="00362891"/>
    <w:rsid w:val="003771F8"/>
    <w:rsid w:val="00390005"/>
    <w:rsid w:val="003A45F7"/>
    <w:rsid w:val="003C71ED"/>
    <w:rsid w:val="003D1F6A"/>
    <w:rsid w:val="003D503B"/>
    <w:rsid w:val="003D643F"/>
    <w:rsid w:val="003F21C6"/>
    <w:rsid w:val="00426AB5"/>
    <w:rsid w:val="00460391"/>
    <w:rsid w:val="00467620"/>
    <w:rsid w:val="00474F50"/>
    <w:rsid w:val="004771F3"/>
    <w:rsid w:val="00492BE1"/>
    <w:rsid w:val="00496185"/>
    <w:rsid w:val="004F1D6A"/>
    <w:rsid w:val="004F3109"/>
    <w:rsid w:val="005365A9"/>
    <w:rsid w:val="00590C40"/>
    <w:rsid w:val="00594576"/>
    <w:rsid w:val="005B44C3"/>
    <w:rsid w:val="005F5748"/>
    <w:rsid w:val="005F6C95"/>
    <w:rsid w:val="006077C5"/>
    <w:rsid w:val="006276A1"/>
    <w:rsid w:val="0063630B"/>
    <w:rsid w:val="0066281E"/>
    <w:rsid w:val="0068009F"/>
    <w:rsid w:val="006A2263"/>
    <w:rsid w:val="006A7195"/>
    <w:rsid w:val="006D0692"/>
    <w:rsid w:val="006E12F1"/>
    <w:rsid w:val="007009A2"/>
    <w:rsid w:val="00715868"/>
    <w:rsid w:val="00740895"/>
    <w:rsid w:val="00766DAE"/>
    <w:rsid w:val="00795FB2"/>
    <w:rsid w:val="007A2219"/>
    <w:rsid w:val="007A63DA"/>
    <w:rsid w:val="007B2A40"/>
    <w:rsid w:val="007C4B32"/>
    <w:rsid w:val="007D4FCA"/>
    <w:rsid w:val="007D548B"/>
    <w:rsid w:val="007E580A"/>
    <w:rsid w:val="008012EF"/>
    <w:rsid w:val="00802100"/>
    <w:rsid w:val="008023BE"/>
    <w:rsid w:val="0080667C"/>
    <w:rsid w:val="00816493"/>
    <w:rsid w:val="0082142C"/>
    <w:rsid w:val="00827D8C"/>
    <w:rsid w:val="00872D60"/>
    <w:rsid w:val="00894FFB"/>
    <w:rsid w:val="008C54EF"/>
    <w:rsid w:val="008C7DDA"/>
    <w:rsid w:val="00913850"/>
    <w:rsid w:val="00926FC6"/>
    <w:rsid w:val="00932ABA"/>
    <w:rsid w:val="00934114"/>
    <w:rsid w:val="00940F82"/>
    <w:rsid w:val="009501B6"/>
    <w:rsid w:val="00951063"/>
    <w:rsid w:val="0095164D"/>
    <w:rsid w:val="0097023E"/>
    <w:rsid w:val="00976A33"/>
    <w:rsid w:val="009A2C59"/>
    <w:rsid w:val="009A6308"/>
    <w:rsid w:val="00A018F4"/>
    <w:rsid w:val="00A10CF9"/>
    <w:rsid w:val="00A1601B"/>
    <w:rsid w:val="00A16E46"/>
    <w:rsid w:val="00A319EC"/>
    <w:rsid w:val="00A43906"/>
    <w:rsid w:val="00A55CD5"/>
    <w:rsid w:val="00A7646F"/>
    <w:rsid w:val="00A96533"/>
    <w:rsid w:val="00AA3EE6"/>
    <w:rsid w:val="00AB28A3"/>
    <w:rsid w:val="00AB2C53"/>
    <w:rsid w:val="00AB5DFB"/>
    <w:rsid w:val="00AC05D7"/>
    <w:rsid w:val="00AC09AD"/>
    <w:rsid w:val="00AC5DDF"/>
    <w:rsid w:val="00AD4F39"/>
    <w:rsid w:val="00AF4294"/>
    <w:rsid w:val="00B0043C"/>
    <w:rsid w:val="00B12293"/>
    <w:rsid w:val="00B17761"/>
    <w:rsid w:val="00B22E97"/>
    <w:rsid w:val="00B34614"/>
    <w:rsid w:val="00B44CF1"/>
    <w:rsid w:val="00B532BA"/>
    <w:rsid w:val="00BA3795"/>
    <w:rsid w:val="00BC1744"/>
    <w:rsid w:val="00BD1D50"/>
    <w:rsid w:val="00C03B2B"/>
    <w:rsid w:val="00C062E1"/>
    <w:rsid w:val="00C13DCE"/>
    <w:rsid w:val="00C25445"/>
    <w:rsid w:val="00C47A39"/>
    <w:rsid w:val="00C62DF6"/>
    <w:rsid w:val="00C672D7"/>
    <w:rsid w:val="00C8049B"/>
    <w:rsid w:val="00C8255C"/>
    <w:rsid w:val="00C858F3"/>
    <w:rsid w:val="00CB2290"/>
    <w:rsid w:val="00CB571F"/>
    <w:rsid w:val="00CB6837"/>
    <w:rsid w:val="00D04CB8"/>
    <w:rsid w:val="00D266B5"/>
    <w:rsid w:val="00D452A4"/>
    <w:rsid w:val="00D7316B"/>
    <w:rsid w:val="00D83E0D"/>
    <w:rsid w:val="00D96EB1"/>
    <w:rsid w:val="00DA7E3C"/>
    <w:rsid w:val="00DD79EC"/>
    <w:rsid w:val="00E15BC3"/>
    <w:rsid w:val="00E26F03"/>
    <w:rsid w:val="00E62F22"/>
    <w:rsid w:val="00E630FB"/>
    <w:rsid w:val="00E71C4E"/>
    <w:rsid w:val="00E759B4"/>
    <w:rsid w:val="00E9137B"/>
    <w:rsid w:val="00E91C0E"/>
    <w:rsid w:val="00EA3DAC"/>
    <w:rsid w:val="00EF2789"/>
    <w:rsid w:val="00EF408B"/>
    <w:rsid w:val="00F041D0"/>
    <w:rsid w:val="00F277BE"/>
    <w:rsid w:val="00F441AC"/>
    <w:rsid w:val="00F55ECC"/>
    <w:rsid w:val="00F609BB"/>
    <w:rsid w:val="00F7606E"/>
    <w:rsid w:val="00F90201"/>
    <w:rsid w:val="00FB014F"/>
    <w:rsid w:val="00FD061A"/>
    <w:rsid w:val="00FD7D15"/>
    <w:rsid w:val="00FE28BA"/>
    <w:rsid w:val="00FF0F49"/>
    <w:rsid w:val="00FF6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570963997">
      <w:bodyDiv w:val="1"/>
      <w:marLeft w:val="0"/>
      <w:marRight w:val="0"/>
      <w:marTop w:val="0"/>
      <w:marBottom w:val="0"/>
      <w:divBdr>
        <w:top w:val="none" w:sz="0" w:space="0" w:color="auto"/>
        <w:left w:val="none" w:sz="0" w:space="0" w:color="auto"/>
        <w:bottom w:val="none" w:sz="0" w:space="0" w:color="auto"/>
        <w:right w:val="none" w:sz="0" w:space="0" w:color="auto"/>
      </w:divBdr>
    </w:div>
    <w:div w:id="1686514644">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2025-10-23T01:13:00Z</dcterms:created>
  <dcterms:modified xsi:type="dcterms:W3CDTF">2025-10-23T01:13:00Z</dcterms:modified>
</cp:coreProperties>
</file>