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7C710" w14:textId="2929BD34" w:rsidR="00185B2B" w:rsidRPr="00623C12" w:rsidRDefault="00185B2B" w:rsidP="00665DC6">
      <w:pPr>
        <w:pStyle w:val="Covertitle"/>
        <w:rPr>
          <w:rFonts w:cs="Segoe UI"/>
          <w:b/>
          <w:color w:val="00264D" w:themeColor="background2"/>
          <w:sz w:val="64"/>
          <w:szCs w:val="64"/>
        </w:rPr>
      </w:pPr>
      <w:bookmarkStart w:id="0" w:name="_Ref164753243"/>
      <w:bookmarkEnd w:id="0"/>
      <w:r>
        <w:rPr>
          <w:noProof/>
        </w:rPr>
        <w:drawing>
          <wp:anchor distT="0" distB="0" distL="114300" distR="114300" simplePos="0" relativeHeight="251658240" behindDoc="1" locked="0" layoutInCell="1" allowOverlap="1" wp14:anchorId="0DBE1537" wp14:editId="4F53F910">
            <wp:simplePos x="0" y="0"/>
            <wp:positionH relativeFrom="page">
              <wp:align>center</wp:align>
            </wp:positionH>
            <wp:positionV relativeFrom="page">
              <wp:align>center</wp:align>
            </wp:positionV>
            <wp:extent cx="7559998" cy="10693741"/>
            <wp:effectExtent l="0" t="0" r="3175" b="0"/>
            <wp:wrapNone/>
            <wp:docPr id="495" name="Picture 495" descr="Decorative image for title page showing abstract murmuring wa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Decorative image for title page showing abstract murmuring wave design"/>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71790004"/>
          <w:docPartObj>
            <w:docPartGallery w:val="Cover Pages"/>
            <w:docPartUnique/>
          </w:docPartObj>
        </w:sdtPr>
        <w:sdtEndPr>
          <w:rPr>
            <w:color w:val="00264D" w:themeColor="background2"/>
            <w:sz w:val="36"/>
            <w:szCs w:val="36"/>
          </w:rPr>
        </w:sdtEndPr>
        <w:sdtContent>
          <w:r w:rsidR="00604219">
            <w:rPr>
              <w:rFonts w:cs="Segoe UI"/>
              <w:b/>
              <w:color w:val="00264D" w:themeColor="background2"/>
              <w:sz w:val="64"/>
              <w:szCs w:val="64"/>
            </w:rPr>
            <w:t>Review of First Nations Legal and Research Services</w:t>
          </w:r>
          <w:r w:rsidR="00980A07">
            <w:rPr>
              <w:rFonts w:cs="Segoe UI"/>
              <w:b/>
              <w:color w:val="00264D" w:themeColor="background2"/>
              <w:sz w:val="64"/>
              <w:szCs w:val="64"/>
            </w:rPr>
            <w:t>, 2019-22</w:t>
          </w:r>
        </w:sdtContent>
      </w:sdt>
    </w:p>
    <w:p w14:paraId="7ECC9B22" w14:textId="50F5C7ED" w:rsidR="00185B2B" w:rsidRPr="00CA17C8" w:rsidRDefault="0011473A" w:rsidP="00665DC6">
      <w:pPr>
        <w:pStyle w:val="CoverPage-Client"/>
        <w:spacing w:before="360"/>
        <w:rPr>
          <w:rStyle w:val="CoverPage-ClientChar"/>
          <w:rFonts w:cs="Segoe UI"/>
          <w:color w:val="C97306" w:themeColor="accent3" w:themeShade="BF"/>
        </w:rPr>
      </w:pPr>
      <w:r w:rsidRPr="00CA17C8">
        <w:rPr>
          <w:rStyle w:val="CoverPage-ClientChar"/>
          <w:rFonts w:cs="Segoe UI"/>
          <w:color w:val="C97306" w:themeColor="accent3" w:themeShade="BF"/>
        </w:rPr>
        <w:t>National Indigenous Australians Agency</w:t>
      </w:r>
    </w:p>
    <w:p w14:paraId="2619D998" w14:textId="5836CB40" w:rsidR="003117CE" w:rsidRPr="003117CE" w:rsidRDefault="003117CE" w:rsidP="00665DC6">
      <w:pPr>
        <w:pStyle w:val="CoverPage-Client"/>
        <w:spacing w:before="360"/>
        <w:rPr>
          <w:rFonts w:cs="Segoe UI"/>
          <w:color w:val="00264D" w:themeColor="background2"/>
          <w:sz w:val="20"/>
          <w:szCs w:val="10"/>
        </w:rPr>
      </w:pPr>
      <w:r w:rsidRPr="003117CE">
        <w:rPr>
          <w:rStyle w:val="CoverPage-ClientChar"/>
          <w:rFonts w:cs="Segoe UI"/>
          <w:color w:val="00264D" w:themeColor="background2"/>
          <w:sz w:val="20"/>
          <w:szCs w:val="10"/>
        </w:rPr>
        <w:t>June 2024</w:t>
      </w:r>
    </w:p>
    <w:p w14:paraId="0A685DE4" w14:textId="08E353B6" w:rsidR="00185B2B" w:rsidRPr="00623C12" w:rsidRDefault="00185B2B" w:rsidP="00665DC6">
      <w:pPr>
        <w:pStyle w:val="CoverPage-Date"/>
        <w:spacing w:before="240"/>
      </w:pPr>
    </w:p>
    <w:p w14:paraId="60E6B517" w14:textId="7463A4D5" w:rsidR="00185B2B" w:rsidRDefault="00185B2B" w:rsidP="00665DC6">
      <w:pPr>
        <w:suppressAutoHyphens/>
        <w:spacing w:after="0" w:line="680" w:lineRule="exact"/>
        <w:sectPr w:rsidR="00185B2B" w:rsidSect="00192E4F">
          <w:headerReference w:type="even" r:id="rId10"/>
          <w:headerReference w:type="default" r:id="rId11"/>
          <w:footerReference w:type="even" r:id="rId12"/>
          <w:footerReference w:type="default" r:id="rId13"/>
          <w:headerReference w:type="first" r:id="rId14"/>
          <w:footerReference w:type="first" r:id="rId15"/>
          <w:pgSz w:w="11907" w:h="16839" w:code="9"/>
          <w:pgMar w:top="4820" w:right="1418" w:bottom="1701" w:left="1559" w:header="737" w:footer="567" w:gutter="0"/>
          <w:pgNumType w:start="0"/>
          <w:cols w:space="720"/>
          <w:titlePg/>
          <w:docGrid w:linePitch="360"/>
        </w:sectPr>
      </w:pPr>
    </w:p>
    <w:sdt>
      <w:sdtPr>
        <w:rPr>
          <w:rFonts w:ascii="Segoe UI" w:eastAsiaTheme="minorEastAsia" w:hAnsi="Segoe UI" w:cstheme="minorBidi"/>
          <w:color w:val="auto"/>
          <w:sz w:val="19"/>
          <w:szCs w:val="19"/>
          <w:lang w:val="en-AU"/>
        </w:rPr>
        <w:id w:val="-1344392540"/>
        <w:docPartObj>
          <w:docPartGallery w:val="Table of Contents"/>
          <w:docPartUnique/>
        </w:docPartObj>
      </w:sdtPr>
      <w:sdtContent>
        <w:p w14:paraId="02EB495C" w14:textId="7AA99CC0" w:rsidR="001B2F3D" w:rsidRPr="0011473A" w:rsidRDefault="001B2F3D">
          <w:pPr>
            <w:pStyle w:val="TOCHeading"/>
            <w:rPr>
              <w:color w:val="00264D" w:themeColor="background2"/>
            </w:rPr>
          </w:pPr>
          <w:r w:rsidRPr="0011473A">
            <w:rPr>
              <w:color w:val="00264D" w:themeColor="background2"/>
            </w:rPr>
            <w:t>Contents</w:t>
          </w:r>
        </w:p>
        <w:p w14:paraId="2A477DFF" w14:textId="4700A900" w:rsidR="00DB7433" w:rsidRPr="006172ED" w:rsidRDefault="00731255">
          <w:pPr>
            <w:pStyle w:val="TOC1"/>
            <w:rPr>
              <w:rFonts w:asciiTheme="minorHAnsi" w:eastAsiaTheme="minorEastAsia" w:hAnsiTheme="minorHAnsi" w:cstheme="minorHAnsi"/>
              <w:kern w:val="2"/>
              <w:sz w:val="24"/>
              <w:szCs w:val="24"/>
              <w:lang w:val="en-AU" w:eastAsia="en-AU"/>
              <w14:ligatures w14:val="standardContextual"/>
            </w:rPr>
          </w:pPr>
          <w:r w:rsidRPr="006172ED">
            <w:rPr>
              <w:rFonts w:asciiTheme="minorHAnsi" w:hAnsiTheme="minorHAnsi" w:cstheme="minorHAnsi"/>
            </w:rPr>
            <w:fldChar w:fldCharType="begin"/>
          </w:r>
          <w:r w:rsidRPr="006172ED">
            <w:rPr>
              <w:rFonts w:asciiTheme="minorHAnsi" w:hAnsiTheme="minorHAnsi" w:cstheme="minorHAnsi"/>
            </w:rPr>
            <w:instrText xml:space="preserve"> TOC \o "1-2" \h \z \u </w:instrText>
          </w:r>
          <w:r w:rsidRPr="006172ED">
            <w:rPr>
              <w:rFonts w:asciiTheme="minorHAnsi" w:hAnsiTheme="minorHAnsi" w:cstheme="minorHAnsi"/>
            </w:rPr>
            <w:fldChar w:fldCharType="separate"/>
          </w:r>
          <w:hyperlink w:anchor="_Toc170469978" w:history="1">
            <w:r w:rsidR="00DB7433" w:rsidRPr="006172ED">
              <w:rPr>
                <w:rStyle w:val="Hyperlink"/>
                <w:rFonts w:asciiTheme="minorHAnsi" w:hAnsiTheme="minorHAnsi" w:cstheme="minorHAnsi"/>
              </w:rPr>
              <w:t>1</w:t>
            </w:r>
            <w:r w:rsidR="00DB7433" w:rsidRPr="006172ED">
              <w:rPr>
                <w:rFonts w:asciiTheme="minorHAnsi" w:eastAsiaTheme="minorEastAsia" w:hAnsiTheme="minorHAnsi" w:cstheme="minorHAnsi"/>
                <w:kern w:val="2"/>
                <w:sz w:val="24"/>
                <w:szCs w:val="24"/>
                <w:lang w:val="en-AU" w:eastAsia="en-AU"/>
                <w14:ligatures w14:val="standardContextual"/>
              </w:rPr>
              <w:tab/>
            </w:r>
            <w:r w:rsidR="00DB7433" w:rsidRPr="006172ED">
              <w:rPr>
                <w:rStyle w:val="Hyperlink"/>
                <w:rFonts w:asciiTheme="minorHAnsi" w:hAnsiTheme="minorHAnsi" w:cstheme="minorHAnsi"/>
              </w:rPr>
              <w:t>Profile of First Nations Legal and Research Services</w:t>
            </w:r>
            <w:r w:rsidR="00DB7433" w:rsidRPr="006172ED">
              <w:rPr>
                <w:rFonts w:asciiTheme="minorHAnsi" w:hAnsiTheme="minorHAnsi" w:cstheme="minorHAnsi"/>
                <w:webHidden/>
              </w:rPr>
              <w:tab/>
            </w:r>
            <w:r w:rsidR="00DB7433" w:rsidRPr="006172ED">
              <w:rPr>
                <w:rFonts w:asciiTheme="minorHAnsi" w:hAnsiTheme="minorHAnsi" w:cstheme="minorHAnsi"/>
                <w:webHidden/>
              </w:rPr>
              <w:fldChar w:fldCharType="begin"/>
            </w:r>
            <w:r w:rsidR="00DB7433" w:rsidRPr="006172ED">
              <w:rPr>
                <w:rFonts w:asciiTheme="minorHAnsi" w:hAnsiTheme="minorHAnsi" w:cstheme="minorHAnsi"/>
                <w:webHidden/>
              </w:rPr>
              <w:instrText xml:space="preserve"> PAGEREF _Toc170469978 \h </w:instrText>
            </w:r>
            <w:r w:rsidR="00DB7433" w:rsidRPr="006172ED">
              <w:rPr>
                <w:rFonts w:asciiTheme="minorHAnsi" w:hAnsiTheme="minorHAnsi" w:cstheme="minorHAnsi"/>
                <w:webHidden/>
              </w:rPr>
            </w:r>
            <w:r w:rsidR="00DB7433" w:rsidRPr="006172ED">
              <w:rPr>
                <w:rFonts w:asciiTheme="minorHAnsi" w:hAnsiTheme="minorHAnsi" w:cstheme="minorHAnsi"/>
                <w:webHidden/>
              </w:rPr>
              <w:fldChar w:fldCharType="separate"/>
            </w:r>
            <w:r w:rsidR="00AB7E95">
              <w:rPr>
                <w:rFonts w:asciiTheme="minorHAnsi" w:hAnsiTheme="minorHAnsi" w:cstheme="minorHAnsi"/>
                <w:webHidden/>
              </w:rPr>
              <w:t>2</w:t>
            </w:r>
            <w:r w:rsidR="00DB7433" w:rsidRPr="006172ED">
              <w:rPr>
                <w:rFonts w:asciiTheme="minorHAnsi" w:hAnsiTheme="minorHAnsi" w:cstheme="minorHAnsi"/>
                <w:webHidden/>
              </w:rPr>
              <w:fldChar w:fldCharType="end"/>
            </w:r>
          </w:hyperlink>
        </w:p>
        <w:p w14:paraId="13B97548" w14:textId="67C8C1A5" w:rsidR="00DB7433" w:rsidRPr="006172ED" w:rsidRDefault="00DB7433">
          <w:pPr>
            <w:pStyle w:val="TOC1"/>
            <w:rPr>
              <w:rFonts w:asciiTheme="minorHAnsi" w:eastAsiaTheme="minorEastAsia" w:hAnsiTheme="minorHAnsi" w:cstheme="minorHAnsi"/>
              <w:kern w:val="2"/>
              <w:sz w:val="24"/>
              <w:szCs w:val="24"/>
              <w:lang w:val="en-AU" w:eastAsia="en-AU"/>
              <w14:ligatures w14:val="standardContextual"/>
            </w:rPr>
          </w:pPr>
          <w:hyperlink w:anchor="_Toc170469979" w:history="1">
            <w:r w:rsidRPr="006172ED">
              <w:rPr>
                <w:rStyle w:val="Hyperlink"/>
                <w:rFonts w:asciiTheme="minorHAnsi" w:eastAsia="Times New Roman" w:hAnsiTheme="minorHAnsi" w:cstheme="minorHAnsi"/>
                <w:lang w:eastAsia="en-AU"/>
              </w:rPr>
              <w:t>2</w:t>
            </w:r>
            <w:r w:rsidRPr="006172ED">
              <w:rPr>
                <w:rFonts w:asciiTheme="minorHAnsi" w:eastAsiaTheme="minorEastAsia" w:hAnsiTheme="minorHAnsi" w:cstheme="minorHAnsi"/>
                <w:kern w:val="2"/>
                <w:sz w:val="24"/>
                <w:szCs w:val="24"/>
                <w:lang w:val="en-AU" w:eastAsia="en-AU"/>
                <w14:ligatures w14:val="standardContextual"/>
              </w:rPr>
              <w:tab/>
            </w:r>
            <w:r w:rsidRPr="006172ED">
              <w:rPr>
                <w:rStyle w:val="Hyperlink"/>
                <w:rFonts w:asciiTheme="minorHAnsi" w:eastAsia="Times New Roman" w:hAnsiTheme="minorHAnsi" w:cstheme="minorHAnsi"/>
                <w:lang w:eastAsia="en-AU"/>
              </w:rPr>
              <w:t>Scope of the Review</w:t>
            </w:r>
            <w:r w:rsidRPr="006172ED">
              <w:rPr>
                <w:rFonts w:asciiTheme="minorHAnsi" w:hAnsiTheme="minorHAnsi" w:cstheme="minorHAnsi"/>
                <w:webHidden/>
              </w:rPr>
              <w:tab/>
            </w:r>
            <w:r w:rsidRPr="006172ED">
              <w:rPr>
                <w:rFonts w:asciiTheme="minorHAnsi" w:hAnsiTheme="minorHAnsi" w:cstheme="minorHAnsi"/>
                <w:webHidden/>
              </w:rPr>
              <w:fldChar w:fldCharType="begin"/>
            </w:r>
            <w:r w:rsidRPr="006172ED">
              <w:rPr>
                <w:rFonts w:asciiTheme="minorHAnsi" w:hAnsiTheme="minorHAnsi" w:cstheme="minorHAnsi"/>
                <w:webHidden/>
              </w:rPr>
              <w:instrText xml:space="preserve"> PAGEREF _Toc170469979 \h </w:instrText>
            </w:r>
            <w:r w:rsidRPr="006172ED">
              <w:rPr>
                <w:rFonts w:asciiTheme="minorHAnsi" w:hAnsiTheme="minorHAnsi" w:cstheme="minorHAnsi"/>
                <w:webHidden/>
              </w:rPr>
            </w:r>
            <w:r w:rsidRPr="006172ED">
              <w:rPr>
                <w:rFonts w:asciiTheme="minorHAnsi" w:hAnsiTheme="minorHAnsi" w:cstheme="minorHAnsi"/>
                <w:webHidden/>
              </w:rPr>
              <w:fldChar w:fldCharType="separate"/>
            </w:r>
            <w:r w:rsidR="00AB7E95">
              <w:rPr>
                <w:rFonts w:asciiTheme="minorHAnsi" w:hAnsiTheme="minorHAnsi" w:cstheme="minorHAnsi"/>
                <w:webHidden/>
              </w:rPr>
              <w:t>4</w:t>
            </w:r>
            <w:r w:rsidRPr="006172ED">
              <w:rPr>
                <w:rFonts w:asciiTheme="minorHAnsi" w:hAnsiTheme="minorHAnsi" w:cstheme="minorHAnsi"/>
                <w:webHidden/>
              </w:rPr>
              <w:fldChar w:fldCharType="end"/>
            </w:r>
          </w:hyperlink>
        </w:p>
        <w:p w14:paraId="4CD5163C" w14:textId="3F2FA9C6" w:rsidR="00DB7433" w:rsidRPr="006172ED" w:rsidRDefault="00DB7433">
          <w:pPr>
            <w:pStyle w:val="TOC1"/>
            <w:rPr>
              <w:rFonts w:asciiTheme="minorHAnsi" w:eastAsiaTheme="minorEastAsia" w:hAnsiTheme="minorHAnsi" w:cstheme="minorHAnsi"/>
              <w:kern w:val="2"/>
              <w:sz w:val="24"/>
              <w:szCs w:val="24"/>
              <w:lang w:val="en-AU" w:eastAsia="en-AU"/>
              <w14:ligatures w14:val="standardContextual"/>
            </w:rPr>
          </w:pPr>
          <w:hyperlink w:anchor="_Toc170469980" w:history="1">
            <w:r w:rsidRPr="006172ED">
              <w:rPr>
                <w:rStyle w:val="Hyperlink"/>
                <w:rFonts w:asciiTheme="minorHAnsi" w:eastAsia="Times New Roman" w:hAnsiTheme="minorHAnsi" w:cstheme="minorHAnsi"/>
                <w:lang w:eastAsia="en-AU"/>
              </w:rPr>
              <w:t>3</w:t>
            </w:r>
            <w:r w:rsidRPr="006172ED">
              <w:rPr>
                <w:rFonts w:asciiTheme="minorHAnsi" w:eastAsiaTheme="minorEastAsia" w:hAnsiTheme="minorHAnsi" w:cstheme="minorHAnsi"/>
                <w:kern w:val="2"/>
                <w:sz w:val="24"/>
                <w:szCs w:val="24"/>
                <w:lang w:val="en-AU" w:eastAsia="en-AU"/>
                <w14:ligatures w14:val="standardContextual"/>
              </w:rPr>
              <w:tab/>
            </w:r>
            <w:r w:rsidRPr="006172ED">
              <w:rPr>
                <w:rStyle w:val="Hyperlink"/>
                <w:rFonts w:asciiTheme="minorHAnsi" w:eastAsia="Times New Roman" w:hAnsiTheme="minorHAnsi" w:cstheme="minorHAnsi"/>
                <w:lang w:eastAsia="en-AU"/>
              </w:rPr>
              <w:t>List of abbreviations</w:t>
            </w:r>
            <w:r w:rsidRPr="006172ED">
              <w:rPr>
                <w:rFonts w:asciiTheme="minorHAnsi" w:hAnsiTheme="minorHAnsi" w:cstheme="minorHAnsi"/>
                <w:webHidden/>
              </w:rPr>
              <w:tab/>
            </w:r>
            <w:r w:rsidRPr="006172ED">
              <w:rPr>
                <w:rFonts w:asciiTheme="minorHAnsi" w:hAnsiTheme="minorHAnsi" w:cstheme="minorHAnsi"/>
                <w:webHidden/>
              </w:rPr>
              <w:fldChar w:fldCharType="begin"/>
            </w:r>
            <w:r w:rsidRPr="006172ED">
              <w:rPr>
                <w:rFonts w:asciiTheme="minorHAnsi" w:hAnsiTheme="minorHAnsi" w:cstheme="minorHAnsi"/>
                <w:webHidden/>
              </w:rPr>
              <w:instrText xml:space="preserve"> PAGEREF _Toc170469980 \h </w:instrText>
            </w:r>
            <w:r w:rsidRPr="006172ED">
              <w:rPr>
                <w:rFonts w:asciiTheme="minorHAnsi" w:hAnsiTheme="minorHAnsi" w:cstheme="minorHAnsi"/>
                <w:webHidden/>
              </w:rPr>
            </w:r>
            <w:r w:rsidRPr="006172ED">
              <w:rPr>
                <w:rFonts w:asciiTheme="minorHAnsi" w:hAnsiTheme="minorHAnsi" w:cstheme="minorHAnsi"/>
                <w:webHidden/>
              </w:rPr>
              <w:fldChar w:fldCharType="separate"/>
            </w:r>
            <w:r w:rsidR="00AB7E95">
              <w:rPr>
                <w:rFonts w:asciiTheme="minorHAnsi" w:hAnsiTheme="minorHAnsi" w:cstheme="minorHAnsi"/>
                <w:webHidden/>
              </w:rPr>
              <w:t>6</w:t>
            </w:r>
            <w:r w:rsidRPr="006172ED">
              <w:rPr>
                <w:rFonts w:asciiTheme="minorHAnsi" w:hAnsiTheme="minorHAnsi" w:cstheme="minorHAnsi"/>
                <w:webHidden/>
              </w:rPr>
              <w:fldChar w:fldCharType="end"/>
            </w:r>
          </w:hyperlink>
        </w:p>
        <w:p w14:paraId="25C2D5CA" w14:textId="2DEA0976" w:rsidR="00DB7433" w:rsidRPr="006172ED" w:rsidRDefault="00DB7433">
          <w:pPr>
            <w:pStyle w:val="TOC1"/>
            <w:rPr>
              <w:rFonts w:asciiTheme="minorHAnsi" w:eastAsiaTheme="minorEastAsia" w:hAnsiTheme="minorHAnsi" w:cstheme="minorHAnsi"/>
              <w:kern w:val="2"/>
              <w:sz w:val="24"/>
              <w:szCs w:val="24"/>
              <w:lang w:val="en-AU" w:eastAsia="en-AU"/>
              <w14:ligatures w14:val="standardContextual"/>
            </w:rPr>
          </w:pPr>
          <w:hyperlink w:anchor="_Toc170469981" w:history="1">
            <w:r w:rsidRPr="006172ED">
              <w:rPr>
                <w:rStyle w:val="Hyperlink"/>
                <w:rFonts w:asciiTheme="minorHAnsi" w:eastAsia="Times New Roman" w:hAnsiTheme="minorHAnsi" w:cstheme="minorHAnsi"/>
                <w:lang w:eastAsia="en-AU"/>
              </w:rPr>
              <w:t>4</w:t>
            </w:r>
            <w:r w:rsidRPr="006172ED">
              <w:rPr>
                <w:rFonts w:asciiTheme="minorHAnsi" w:eastAsiaTheme="minorEastAsia" w:hAnsiTheme="minorHAnsi" w:cstheme="minorHAnsi"/>
                <w:kern w:val="2"/>
                <w:sz w:val="24"/>
                <w:szCs w:val="24"/>
                <w:lang w:val="en-AU" w:eastAsia="en-AU"/>
                <w14:ligatures w14:val="standardContextual"/>
              </w:rPr>
              <w:tab/>
            </w:r>
            <w:r w:rsidRPr="006172ED">
              <w:rPr>
                <w:rStyle w:val="Hyperlink"/>
                <w:rFonts w:asciiTheme="minorHAnsi" w:eastAsia="Times New Roman" w:hAnsiTheme="minorHAnsi" w:cstheme="minorHAnsi"/>
                <w:lang w:eastAsia="en-AU"/>
              </w:rPr>
              <w:t>Executive summary of performance and recommendations</w:t>
            </w:r>
            <w:r w:rsidRPr="006172ED">
              <w:rPr>
                <w:rFonts w:asciiTheme="minorHAnsi" w:hAnsiTheme="minorHAnsi" w:cstheme="minorHAnsi"/>
                <w:webHidden/>
              </w:rPr>
              <w:tab/>
            </w:r>
            <w:r w:rsidRPr="006172ED">
              <w:rPr>
                <w:rFonts w:asciiTheme="minorHAnsi" w:hAnsiTheme="minorHAnsi" w:cstheme="minorHAnsi"/>
                <w:webHidden/>
              </w:rPr>
              <w:fldChar w:fldCharType="begin"/>
            </w:r>
            <w:r w:rsidRPr="006172ED">
              <w:rPr>
                <w:rFonts w:asciiTheme="minorHAnsi" w:hAnsiTheme="minorHAnsi" w:cstheme="minorHAnsi"/>
                <w:webHidden/>
              </w:rPr>
              <w:instrText xml:space="preserve"> PAGEREF _Toc170469981 \h </w:instrText>
            </w:r>
            <w:r w:rsidRPr="006172ED">
              <w:rPr>
                <w:rFonts w:asciiTheme="minorHAnsi" w:hAnsiTheme="minorHAnsi" w:cstheme="minorHAnsi"/>
                <w:webHidden/>
              </w:rPr>
            </w:r>
            <w:r w:rsidRPr="006172ED">
              <w:rPr>
                <w:rFonts w:asciiTheme="minorHAnsi" w:hAnsiTheme="minorHAnsi" w:cstheme="minorHAnsi"/>
                <w:webHidden/>
              </w:rPr>
              <w:fldChar w:fldCharType="separate"/>
            </w:r>
            <w:r w:rsidR="00AB7E95">
              <w:rPr>
                <w:rFonts w:asciiTheme="minorHAnsi" w:hAnsiTheme="minorHAnsi" w:cstheme="minorHAnsi"/>
                <w:webHidden/>
              </w:rPr>
              <w:t>8</w:t>
            </w:r>
            <w:r w:rsidRPr="006172ED">
              <w:rPr>
                <w:rFonts w:asciiTheme="minorHAnsi" w:hAnsiTheme="minorHAnsi" w:cstheme="minorHAnsi"/>
                <w:webHidden/>
              </w:rPr>
              <w:fldChar w:fldCharType="end"/>
            </w:r>
          </w:hyperlink>
        </w:p>
        <w:p w14:paraId="3E905FA1" w14:textId="0928F230" w:rsidR="00DB7433" w:rsidRPr="006172ED" w:rsidRDefault="00DB7433">
          <w:pPr>
            <w:pStyle w:val="TOC1"/>
            <w:rPr>
              <w:rFonts w:asciiTheme="minorHAnsi" w:eastAsiaTheme="minorEastAsia" w:hAnsiTheme="minorHAnsi" w:cstheme="minorHAnsi"/>
              <w:kern w:val="2"/>
              <w:sz w:val="24"/>
              <w:szCs w:val="24"/>
              <w:lang w:val="en-AU" w:eastAsia="en-AU"/>
              <w14:ligatures w14:val="standardContextual"/>
            </w:rPr>
          </w:pPr>
          <w:hyperlink w:anchor="_Toc170469982" w:history="1">
            <w:r w:rsidRPr="006172ED">
              <w:rPr>
                <w:rStyle w:val="Hyperlink"/>
                <w:rFonts w:asciiTheme="minorHAnsi" w:eastAsia="Times New Roman" w:hAnsiTheme="minorHAnsi" w:cstheme="minorHAnsi"/>
                <w:lang w:eastAsia="en-AU"/>
              </w:rPr>
              <w:t>5</w:t>
            </w:r>
            <w:r w:rsidRPr="006172ED">
              <w:rPr>
                <w:rFonts w:asciiTheme="minorHAnsi" w:eastAsiaTheme="minorEastAsia" w:hAnsiTheme="minorHAnsi" w:cstheme="minorHAnsi"/>
                <w:kern w:val="2"/>
                <w:sz w:val="24"/>
                <w:szCs w:val="24"/>
                <w:lang w:val="en-AU" w:eastAsia="en-AU"/>
                <w14:ligatures w14:val="standardContextual"/>
              </w:rPr>
              <w:tab/>
            </w:r>
            <w:r w:rsidRPr="006172ED">
              <w:rPr>
                <w:rStyle w:val="Hyperlink"/>
                <w:rFonts w:asciiTheme="minorHAnsi" w:eastAsia="Times New Roman" w:hAnsiTheme="minorHAnsi" w:cstheme="minorHAnsi"/>
                <w:lang w:eastAsia="en-AU"/>
              </w:rPr>
              <w:t>Performance assessment</w:t>
            </w:r>
            <w:r w:rsidRPr="006172ED">
              <w:rPr>
                <w:rFonts w:asciiTheme="minorHAnsi" w:hAnsiTheme="minorHAnsi" w:cstheme="minorHAnsi"/>
                <w:webHidden/>
              </w:rPr>
              <w:tab/>
            </w:r>
            <w:r w:rsidRPr="006172ED">
              <w:rPr>
                <w:rFonts w:asciiTheme="minorHAnsi" w:hAnsiTheme="minorHAnsi" w:cstheme="minorHAnsi"/>
                <w:webHidden/>
              </w:rPr>
              <w:fldChar w:fldCharType="begin"/>
            </w:r>
            <w:r w:rsidRPr="006172ED">
              <w:rPr>
                <w:rFonts w:asciiTheme="minorHAnsi" w:hAnsiTheme="minorHAnsi" w:cstheme="minorHAnsi"/>
                <w:webHidden/>
              </w:rPr>
              <w:instrText xml:space="preserve"> PAGEREF _Toc170469982 \h </w:instrText>
            </w:r>
            <w:r w:rsidRPr="006172ED">
              <w:rPr>
                <w:rFonts w:asciiTheme="minorHAnsi" w:hAnsiTheme="minorHAnsi" w:cstheme="minorHAnsi"/>
                <w:webHidden/>
              </w:rPr>
            </w:r>
            <w:r w:rsidRPr="006172ED">
              <w:rPr>
                <w:rFonts w:asciiTheme="minorHAnsi" w:hAnsiTheme="minorHAnsi" w:cstheme="minorHAnsi"/>
                <w:webHidden/>
              </w:rPr>
              <w:fldChar w:fldCharType="separate"/>
            </w:r>
            <w:r w:rsidR="00AB7E95">
              <w:rPr>
                <w:rFonts w:asciiTheme="minorHAnsi" w:hAnsiTheme="minorHAnsi" w:cstheme="minorHAnsi"/>
                <w:webHidden/>
              </w:rPr>
              <w:t>15</w:t>
            </w:r>
            <w:r w:rsidRPr="006172ED">
              <w:rPr>
                <w:rFonts w:asciiTheme="minorHAnsi" w:hAnsiTheme="minorHAnsi" w:cstheme="minorHAnsi"/>
                <w:webHidden/>
              </w:rPr>
              <w:fldChar w:fldCharType="end"/>
            </w:r>
          </w:hyperlink>
        </w:p>
        <w:p w14:paraId="43B174A3" w14:textId="618FDBF8" w:rsidR="00DB7433" w:rsidRPr="006172ED" w:rsidRDefault="00DB7433">
          <w:pPr>
            <w:pStyle w:val="TOC2"/>
            <w:rPr>
              <w:rFonts w:asciiTheme="minorHAnsi" w:eastAsiaTheme="minorEastAsia" w:hAnsiTheme="minorHAnsi" w:cstheme="minorHAnsi"/>
              <w:kern w:val="2"/>
              <w:sz w:val="24"/>
              <w:szCs w:val="24"/>
              <w:lang w:val="en-AU"/>
              <w14:ligatures w14:val="standardContextual"/>
            </w:rPr>
          </w:pPr>
          <w:hyperlink w:anchor="_Toc170469983" w:history="1">
            <w:r w:rsidRPr="006172ED">
              <w:rPr>
                <w:rStyle w:val="Hyperlink"/>
                <w:rFonts w:asciiTheme="minorHAnsi" w:hAnsiTheme="minorHAnsi" w:cstheme="minorHAnsi"/>
              </w:rPr>
              <w:t>5.1</w:t>
            </w:r>
            <w:r w:rsidRPr="006172ED">
              <w:rPr>
                <w:rFonts w:asciiTheme="minorHAnsi" w:eastAsiaTheme="minorEastAsia" w:hAnsiTheme="minorHAnsi" w:cstheme="minorHAnsi"/>
                <w:kern w:val="2"/>
                <w:sz w:val="24"/>
                <w:szCs w:val="24"/>
                <w:lang w:val="en-AU"/>
                <w14:ligatures w14:val="standardContextual"/>
              </w:rPr>
              <w:tab/>
            </w:r>
            <w:r w:rsidRPr="006172ED">
              <w:rPr>
                <w:rStyle w:val="Hyperlink"/>
                <w:rFonts w:asciiTheme="minorHAnsi" w:hAnsiTheme="minorHAnsi" w:cstheme="minorHAnsi"/>
              </w:rPr>
              <w:t>TOR 1 | Extent to which each organisation has achieved positive native title outcomes for persons who hold or may hold native title in its region taking account, where relevant, of disruptions caused by COVID-19.</w:t>
            </w:r>
            <w:r w:rsidRPr="006172ED">
              <w:rPr>
                <w:rFonts w:asciiTheme="minorHAnsi" w:hAnsiTheme="minorHAnsi" w:cstheme="minorHAnsi"/>
                <w:webHidden/>
              </w:rPr>
              <w:tab/>
            </w:r>
            <w:r w:rsidRPr="006172ED">
              <w:rPr>
                <w:rFonts w:asciiTheme="minorHAnsi" w:hAnsiTheme="minorHAnsi" w:cstheme="minorHAnsi"/>
                <w:webHidden/>
              </w:rPr>
              <w:fldChar w:fldCharType="begin"/>
            </w:r>
            <w:r w:rsidRPr="006172ED">
              <w:rPr>
                <w:rFonts w:asciiTheme="minorHAnsi" w:hAnsiTheme="minorHAnsi" w:cstheme="minorHAnsi"/>
                <w:webHidden/>
              </w:rPr>
              <w:instrText xml:space="preserve"> PAGEREF _Toc170469983 \h </w:instrText>
            </w:r>
            <w:r w:rsidRPr="006172ED">
              <w:rPr>
                <w:rFonts w:asciiTheme="minorHAnsi" w:hAnsiTheme="minorHAnsi" w:cstheme="minorHAnsi"/>
                <w:webHidden/>
              </w:rPr>
            </w:r>
            <w:r w:rsidRPr="006172ED">
              <w:rPr>
                <w:rFonts w:asciiTheme="minorHAnsi" w:hAnsiTheme="minorHAnsi" w:cstheme="minorHAnsi"/>
                <w:webHidden/>
              </w:rPr>
              <w:fldChar w:fldCharType="separate"/>
            </w:r>
            <w:r w:rsidR="00AB7E95">
              <w:rPr>
                <w:rFonts w:asciiTheme="minorHAnsi" w:hAnsiTheme="minorHAnsi" w:cstheme="minorHAnsi"/>
                <w:webHidden/>
              </w:rPr>
              <w:t>15</w:t>
            </w:r>
            <w:r w:rsidRPr="006172ED">
              <w:rPr>
                <w:rFonts w:asciiTheme="minorHAnsi" w:hAnsiTheme="minorHAnsi" w:cstheme="minorHAnsi"/>
                <w:webHidden/>
              </w:rPr>
              <w:fldChar w:fldCharType="end"/>
            </w:r>
          </w:hyperlink>
        </w:p>
        <w:p w14:paraId="09D46031" w14:textId="1D3EBA31" w:rsidR="00DB7433" w:rsidRPr="006172ED" w:rsidRDefault="00DB7433">
          <w:pPr>
            <w:pStyle w:val="TOC2"/>
            <w:rPr>
              <w:rFonts w:asciiTheme="minorHAnsi" w:eastAsiaTheme="minorEastAsia" w:hAnsiTheme="minorHAnsi" w:cstheme="minorHAnsi"/>
              <w:kern w:val="2"/>
              <w:sz w:val="24"/>
              <w:szCs w:val="24"/>
              <w:lang w:val="en-AU"/>
              <w14:ligatures w14:val="standardContextual"/>
            </w:rPr>
          </w:pPr>
          <w:hyperlink w:anchor="_Toc170469984" w:history="1">
            <w:r w:rsidRPr="006172ED">
              <w:rPr>
                <w:rStyle w:val="Hyperlink"/>
                <w:rFonts w:asciiTheme="minorHAnsi" w:hAnsiTheme="minorHAnsi" w:cstheme="minorHAnsi"/>
              </w:rPr>
              <w:t>5.2</w:t>
            </w:r>
            <w:r w:rsidRPr="006172ED">
              <w:rPr>
                <w:rFonts w:asciiTheme="minorHAnsi" w:eastAsiaTheme="minorEastAsia" w:hAnsiTheme="minorHAnsi" w:cstheme="minorHAnsi"/>
                <w:kern w:val="2"/>
                <w:sz w:val="24"/>
                <w:szCs w:val="24"/>
                <w:lang w:val="en-AU"/>
                <w14:ligatures w14:val="standardContextual"/>
              </w:rPr>
              <w:tab/>
            </w:r>
            <w:r w:rsidRPr="006172ED">
              <w:rPr>
                <w:rStyle w:val="Hyperlink"/>
                <w:rFonts w:asciiTheme="minorHAnsi" w:hAnsiTheme="minorHAnsi" w:cstheme="minorHAnsi"/>
              </w:rPr>
              <w:t>TOR 2 | Extent to which each organisation assesses and prioritises applications for assistance in a manner that is equitable, transparent, and robust and is well publicised and understood by clients and potential clients.</w:t>
            </w:r>
            <w:r w:rsidRPr="006172ED">
              <w:rPr>
                <w:rFonts w:asciiTheme="minorHAnsi" w:hAnsiTheme="minorHAnsi" w:cstheme="minorHAnsi"/>
                <w:webHidden/>
              </w:rPr>
              <w:tab/>
            </w:r>
            <w:r w:rsidRPr="006172ED">
              <w:rPr>
                <w:rFonts w:asciiTheme="minorHAnsi" w:hAnsiTheme="minorHAnsi" w:cstheme="minorHAnsi"/>
                <w:webHidden/>
              </w:rPr>
              <w:fldChar w:fldCharType="begin"/>
            </w:r>
            <w:r w:rsidRPr="006172ED">
              <w:rPr>
                <w:rFonts w:asciiTheme="minorHAnsi" w:hAnsiTheme="minorHAnsi" w:cstheme="minorHAnsi"/>
                <w:webHidden/>
              </w:rPr>
              <w:instrText xml:space="preserve"> PAGEREF _Toc170469984 \h </w:instrText>
            </w:r>
            <w:r w:rsidRPr="006172ED">
              <w:rPr>
                <w:rFonts w:asciiTheme="minorHAnsi" w:hAnsiTheme="minorHAnsi" w:cstheme="minorHAnsi"/>
                <w:webHidden/>
              </w:rPr>
            </w:r>
            <w:r w:rsidRPr="006172ED">
              <w:rPr>
                <w:rFonts w:asciiTheme="minorHAnsi" w:hAnsiTheme="minorHAnsi" w:cstheme="minorHAnsi"/>
                <w:webHidden/>
              </w:rPr>
              <w:fldChar w:fldCharType="separate"/>
            </w:r>
            <w:r w:rsidR="00AB7E95">
              <w:rPr>
                <w:rFonts w:asciiTheme="minorHAnsi" w:hAnsiTheme="minorHAnsi" w:cstheme="minorHAnsi"/>
                <w:webHidden/>
              </w:rPr>
              <w:t>30</w:t>
            </w:r>
            <w:r w:rsidRPr="006172ED">
              <w:rPr>
                <w:rFonts w:asciiTheme="minorHAnsi" w:hAnsiTheme="minorHAnsi" w:cstheme="minorHAnsi"/>
                <w:webHidden/>
              </w:rPr>
              <w:fldChar w:fldCharType="end"/>
            </w:r>
          </w:hyperlink>
        </w:p>
        <w:p w14:paraId="337AFC83" w14:textId="76AD5D4C" w:rsidR="00DB7433" w:rsidRPr="006172ED" w:rsidRDefault="00DB7433">
          <w:pPr>
            <w:pStyle w:val="TOC2"/>
            <w:rPr>
              <w:rFonts w:asciiTheme="minorHAnsi" w:eastAsiaTheme="minorEastAsia" w:hAnsiTheme="minorHAnsi" w:cstheme="minorHAnsi"/>
              <w:kern w:val="2"/>
              <w:sz w:val="24"/>
              <w:szCs w:val="24"/>
              <w:lang w:val="en-AU"/>
              <w14:ligatures w14:val="standardContextual"/>
            </w:rPr>
          </w:pPr>
          <w:hyperlink w:anchor="_Toc170469985" w:history="1">
            <w:r w:rsidRPr="006172ED">
              <w:rPr>
                <w:rStyle w:val="Hyperlink"/>
                <w:rFonts w:asciiTheme="minorHAnsi" w:hAnsiTheme="minorHAnsi" w:cstheme="minorHAnsi"/>
              </w:rPr>
              <w:t>5.3</w:t>
            </w:r>
            <w:r w:rsidRPr="006172ED">
              <w:rPr>
                <w:rFonts w:asciiTheme="minorHAnsi" w:eastAsiaTheme="minorEastAsia" w:hAnsiTheme="minorHAnsi" w:cstheme="minorHAnsi"/>
                <w:kern w:val="2"/>
                <w:sz w:val="24"/>
                <w:szCs w:val="24"/>
                <w:lang w:val="en-AU"/>
                <w14:ligatures w14:val="standardContextual"/>
              </w:rPr>
              <w:tab/>
            </w:r>
            <w:r w:rsidRPr="006172ED">
              <w:rPr>
                <w:rStyle w:val="Hyperlink"/>
                <w:rFonts w:asciiTheme="minorHAnsi" w:hAnsiTheme="minorHAnsi" w:cstheme="minorHAnsi"/>
              </w:rPr>
              <w:t>TOR 3 | Extent to which each organisation deals respectfully, equitably, transparently and in a culturally appropriate manner with persons who hold or may hold native title in its region, including by adequately investigating and resolving complaints.</w:t>
            </w:r>
            <w:r w:rsidRPr="006172ED">
              <w:rPr>
                <w:rFonts w:asciiTheme="minorHAnsi" w:hAnsiTheme="minorHAnsi" w:cstheme="minorHAnsi"/>
                <w:webHidden/>
              </w:rPr>
              <w:tab/>
            </w:r>
            <w:r w:rsidRPr="006172ED">
              <w:rPr>
                <w:rFonts w:asciiTheme="minorHAnsi" w:hAnsiTheme="minorHAnsi" w:cstheme="minorHAnsi"/>
                <w:webHidden/>
              </w:rPr>
              <w:fldChar w:fldCharType="begin"/>
            </w:r>
            <w:r w:rsidRPr="006172ED">
              <w:rPr>
                <w:rFonts w:asciiTheme="minorHAnsi" w:hAnsiTheme="minorHAnsi" w:cstheme="minorHAnsi"/>
                <w:webHidden/>
              </w:rPr>
              <w:instrText xml:space="preserve"> PAGEREF _Toc170469985 \h </w:instrText>
            </w:r>
            <w:r w:rsidRPr="006172ED">
              <w:rPr>
                <w:rFonts w:asciiTheme="minorHAnsi" w:hAnsiTheme="minorHAnsi" w:cstheme="minorHAnsi"/>
                <w:webHidden/>
              </w:rPr>
            </w:r>
            <w:r w:rsidRPr="006172ED">
              <w:rPr>
                <w:rFonts w:asciiTheme="minorHAnsi" w:hAnsiTheme="minorHAnsi" w:cstheme="minorHAnsi"/>
                <w:webHidden/>
              </w:rPr>
              <w:fldChar w:fldCharType="separate"/>
            </w:r>
            <w:r w:rsidR="00AB7E95">
              <w:rPr>
                <w:rFonts w:asciiTheme="minorHAnsi" w:hAnsiTheme="minorHAnsi" w:cstheme="minorHAnsi"/>
                <w:webHidden/>
              </w:rPr>
              <w:t>33</w:t>
            </w:r>
            <w:r w:rsidRPr="006172ED">
              <w:rPr>
                <w:rFonts w:asciiTheme="minorHAnsi" w:hAnsiTheme="minorHAnsi" w:cstheme="minorHAnsi"/>
                <w:webHidden/>
              </w:rPr>
              <w:fldChar w:fldCharType="end"/>
            </w:r>
          </w:hyperlink>
        </w:p>
        <w:p w14:paraId="1035F6B9" w14:textId="20A097F7" w:rsidR="00DB7433" w:rsidRPr="006172ED" w:rsidRDefault="00DB7433">
          <w:pPr>
            <w:pStyle w:val="TOC2"/>
            <w:rPr>
              <w:rFonts w:asciiTheme="minorHAnsi" w:eastAsiaTheme="minorEastAsia" w:hAnsiTheme="minorHAnsi" w:cstheme="minorHAnsi"/>
              <w:kern w:val="2"/>
              <w:sz w:val="24"/>
              <w:szCs w:val="24"/>
              <w:lang w:val="en-AU"/>
              <w14:ligatures w14:val="standardContextual"/>
            </w:rPr>
          </w:pPr>
          <w:hyperlink w:anchor="_Toc170469986" w:history="1">
            <w:r w:rsidRPr="006172ED">
              <w:rPr>
                <w:rStyle w:val="Hyperlink"/>
                <w:rFonts w:asciiTheme="minorHAnsi" w:hAnsiTheme="minorHAnsi" w:cstheme="minorHAnsi"/>
              </w:rPr>
              <w:t>5.4</w:t>
            </w:r>
            <w:r w:rsidRPr="006172ED">
              <w:rPr>
                <w:rFonts w:asciiTheme="minorHAnsi" w:eastAsiaTheme="minorEastAsia" w:hAnsiTheme="minorHAnsi" w:cstheme="minorHAnsi"/>
                <w:kern w:val="2"/>
                <w:sz w:val="24"/>
                <w:szCs w:val="24"/>
                <w:lang w:val="en-AU"/>
                <w14:ligatures w14:val="standardContextual"/>
              </w:rPr>
              <w:tab/>
            </w:r>
            <w:r w:rsidRPr="006172ED">
              <w:rPr>
                <w:rStyle w:val="Hyperlink"/>
                <w:rFonts w:asciiTheme="minorHAnsi" w:hAnsiTheme="minorHAnsi" w:cstheme="minorHAnsi"/>
              </w:rPr>
              <w:t>TOR 4 | Extent to which each organisation performs its functions in a cost-effective manner, including by identifying the key cost drivers for the organisation.</w:t>
            </w:r>
            <w:r w:rsidRPr="006172ED">
              <w:rPr>
                <w:rFonts w:asciiTheme="minorHAnsi" w:hAnsiTheme="minorHAnsi" w:cstheme="minorHAnsi"/>
                <w:webHidden/>
              </w:rPr>
              <w:tab/>
            </w:r>
            <w:r w:rsidRPr="006172ED">
              <w:rPr>
                <w:rFonts w:asciiTheme="minorHAnsi" w:hAnsiTheme="minorHAnsi" w:cstheme="minorHAnsi"/>
                <w:webHidden/>
              </w:rPr>
              <w:fldChar w:fldCharType="begin"/>
            </w:r>
            <w:r w:rsidRPr="006172ED">
              <w:rPr>
                <w:rFonts w:asciiTheme="minorHAnsi" w:hAnsiTheme="minorHAnsi" w:cstheme="minorHAnsi"/>
                <w:webHidden/>
              </w:rPr>
              <w:instrText xml:space="preserve"> PAGEREF _Toc170469986 \h </w:instrText>
            </w:r>
            <w:r w:rsidRPr="006172ED">
              <w:rPr>
                <w:rFonts w:asciiTheme="minorHAnsi" w:hAnsiTheme="minorHAnsi" w:cstheme="minorHAnsi"/>
                <w:webHidden/>
              </w:rPr>
            </w:r>
            <w:r w:rsidRPr="006172ED">
              <w:rPr>
                <w:rFonts w:asciiTheme="minorHAnsi" w:hAnsiTheme="minorHAnsi" w:cstheme="minorHAnsi"/>
                <w:webHidden/>
              </w:rPr>
              <w:fldChar w:fldCharType="separate"/>
            </w:r>
            <w:r w:rsidR="00AB7E95">
              <w:rPr>
                <w:rFonts w:asciiTheme="minorHAnsi" w:hAnsiTheme="minorHAnsi" w:cstheme="minorHAnsi"/>
                <w:webHidden/>
              </w:rPr>
              <w:t>37</w:t>
            </w:r>
            <w:r w:rsidRPr="006172ED">
              <w:rPr>
                <w:rFonts w:asciiTheme="minorHAnsi" w:hAnsiTheme="minorHAnsi" w:cstheme="minorHAnsi"/>
                <w:webHidden/>
              </w:rPr>
              <w:fldChar w:fldCharType="end"/>
            </w:r>
          </w:hyperlink>
        </w:p>
        <w:p w14:paraId="0146D57A" w14:textId="34DCC18C" w:rsidR="00DB7433" w:rsidRPr="006172ED" w:rsidRDefault="00DB7433">
          <w:pPr>
            <w:pStyle w:val="TOC2"/>
            <w:rPr>
              <w:rFonts w:asciiTheme="minorHAnsi" w:eastAsiaTheme="minorEastAsia" w:hAnsiTheme="minorHAnsi" w:cstheme="minorHAnsi"/>
              <w:kern w:val="2"/>
              <w:sz w:val="24"/>
              <w:szCs w:val="24"/>
              <w:lang w:val="en-AU"/>
              <w14:ligatures w14:val="standardContextual"/>
            </w:rPr>
          </w:pPr>
          <w:hyperlink w:anchor="_Toc170469987" w:history="1">
            <w:r w:rsidRPr="006172ED">
              <w:rPr>
                <w:rStyle w:val="Hyperlink"/>
                <w:rFonts w:asciiTheme="minorHAnsi" w:hAnsiTheme="minorHAnsi" w:cstheme="minorHAnsi"/>
              </w:rPr>
              <w:t>5.5</w:t>
            </w:r>
            <w:r w:rsidRPr="006172ED">
              <w:rPr>
                <w:rFonts w:asciiTheme="minorHAnsi" w:eastAsiaTheme="minorEastAsia" w:hAnsiTheme="minorHAnsi" w:cstheme="minorHAnsi"/>
                <w:kern w:val="2"/>
                <w:sz w:val="24"/>
                <w:szCs w:val="24"/>
                <w:lang w:val="en-AU"/>
                <w14:ligatures w14:val="standardContextual"/>
              </w:rPr>
              <w:tab/>
            </w:r>
            <w:r w:rsidRPr="006172ED">
              <w:rPr>
                <w:rStyle w:val="Hyperlink"/>
                <w:rFonts w:asciiTheme="minorHAnsi" w:hAnsiTheme="minorHAnsi" w:cstheme="minorHAnsi"/>
              </w:rPr>
              <w:t>TOR 5 | Extent to which each organisation has governance and management structures, and organisational policies and an organisational culture that support efficient and effective project delivery.</w:t>
            </w:r>
            <w:r w:rsidRPr="006172ED">
              <w:rPr>
                <w:rFonts w:asciiTheme="minorHAnsi" w:hAnsiTheme="minorHAnsi" w:cstheme="minorHAnsi"/>
                <w:webHidden/>
              </w:rPr>
              <w:tab/>
            </w:r>
            <w:r w:rsidRPr="006172ED">
              <w:rPr>
                <w:rFonts w:asciiTheme="minorHAnsi" w:hAnsiTheme="minorHAnsi" w:cstheme="minorHAnsi"/>
                <w:webHidden/>
              </w:rPr>
              <w:fldChar w:fldCharType="begin"/>
            </w:r>
            <w:r w:rsidRPr="006172ED">
              <w:rPr>
                <w:rFonts w:asciiTheme="minorHAnsi" w:hAnsiTheme="minorHAnsi" w:cstheme="minorHAnsi"/>
                <w:webHidden/>
              </w:rPr>
              <w:instrText xml:space="preserve"> PAGEREF _Toc170469987 \h </w:instrText>
            </w:r>
            <w:r w:rsidRPr="006172ED">
              <w:rPr>
                <w:rFonts w:asciiTheme="minorHAnsi" w:hAnsiTheme="minorHAnsi" w:cstheme="minorHAnsi"/>
                <w:webHidden/>
              </w:rPr>
            </w:r>
            <w:r w:rsidRPr="006172ED">
              <w:rPr>
                <w:rFonts w:asciiTheme="minorHAnsi" w:hAnsiTheme="minorHAnsi" w:cstheme="minorHAnsi"/>
                <w:webHidden/>
              </w:rPr>
              <w:fldChar w:fldCharType="separate"/>
            </w:r>
            <w:r w:rsidR="00AB7E95">
              <w:rPr>
                <w:rFonts w:asciiTheme="minorHAnsi" w:hAnsiTheme="minorHAnsi" w:cstheme="minorHAnsi"/>
                <w:webHidden/>
              </w:rPr>
              <w:t>42</w:t>
            </w:r>
            <w:r w:rsidRPr="006172ED">
              <w:rPr>
                <w:rFonts w:asciiTheme="minorHAnsi" w:hAnsiTheme="minorHAnsi" w:cstheme="minorHAnsi"/>
                <w:webHidden/>
              </w:rPr>
              <w:fldChar w:fldCharType="end"/>
            </w:r>
          </w:hyperlink>
        </w:p>
        <w:p w14:paraId="15785AA0" w14:textId="740E107A" w:rsidR="00DB7433" w:rsidRPr="006172ED" w:rsidRDefault="00DB7433">
          <w:pPr>
            <w:pStyle w:val="TOC2"/>
            <w:rPr>
              <w:rFonts w:asciiTheme="minorHAnsi" w:eastAsiaTheme="minorEastAsia" w:hAnsiTheme="minorHAnsi" w:cstheme="minorHAnsi"/>
              <w:kern w:val="2"/>
              <w:sz w:val="24"/>
              <w:szCs w:val="24"/>
              <w:lang w:val="en-AU"/>
              <w14:ligatures w14:val="standardContextual"/>
            </w:rPr>
          </w:pPr>
          <w:hyperlink w:anchor="_Toc170469988" w:history="1">
            <w:r w:rsidRPr="006172ED">
              <w:rPr>
                <w:rStyle w:val="Hyperlink"/>
                <w:rFonts w:asciiTheme="minorHAnsi" w:hAnsiTheme="minorHAnsi" w:cstheme="minorHAnsi"/>
              </w:rPr>
              <w:t>5.6</w:t>
            </w:r>
            <w:r w:rsidRPr="006172ED">
              <w:rPr>
                <w:rFonts w:asciiTheme="minorHAnsi" w:eastAsiaTheme="minorEastAsia" w:hAnsiTheme="minorHAnsi" w:cstheme="minorHAnsi"/>
                <w:kern w:val="2"/>
                <w:sz w:val="24"/>
                <w:szCs w:val="24"/>
                <w:lang w:val="en-AU"/>
                <w14:ligatures w14:val="standardContextual"/>
              </w:rPr>
              <w:tab/>
            </w:r>
            <w:r w:rsidRPr="006172ED">
              <w:rPr>
                <w:rStyle w:val="Hyperlink"/>
                <w:rFonts w:asciiTheme="minorHAnsi" w:hAnsiTheme="minorHAnsi" w:cstheme="minorHAnsi"/>
              </w:rPr>
              <w:t>TOR 6 | Extent to which each organisation is adequately supporting Prescribed Body Corporates towards self-sufficiency.</w:t>
            </w:r>
            <w:r w:rsidRPr="006172ED">
              <w:rPr>
                <w:rFonts w:asciiTheme="minorHAnsi" w:hAnsiTheme="minorHAnsi" w:cstheme="minorHAnsi"/>
                <w:webHidden/>
              </w:rPr>
              <w:tab/>
            </w:r>
            <w:r w:rsidRPr="006172ED">
              <w:rPr>
                <w:rFonts w:asciiTheme="minorHAnsi" w:hAnsiTheme="minorHAnsi" w:cstheme="minorHAnsi"/>
                <w:webHidden/>
              </w:rPr>
              <w:fldChar w:fldCharType="begin"/>
            </w:r>
            <w:r w:rsidRPr="006172ED">
              <w:rPr>
                <w:rFonts w:asciiTheme="minorHAnsi" w:hAnsiTheme="minorHAnsi" w:cstheme="minorHAnsi"/>
                <w:webHidden/>
              </w:rPr>
              <w:instrText xml:space="preserve"> PAGEREF _Toc170469988 \h </w:instrText>
            </w:r>
            <w:r w:rsidRPr="006172ED">
              <w:rPr>
                <w:rFonts w:asciiTheme="minorHAnsi" w:hAnsiTheme="minorHAnsi" w:cstheme="minorHAnsi"/>
                <w:webHidden/>
              </w:rPr>
            </w:r>
            <w:r w:rsidRPr="006172ED">
              <w:rPr>
                <w:rFonts w:asciiTheme="minorHAnsi" w:hAnsiTheme="minorHAnsi" w:cstheme="minorHAnsi"/>
                <w:webHidden/>
              </w:rPr>
              <w:fldChar w:fldCharType="separate"/>
            </w:r>
            <w:r w:rsidR="00AB7E95">
              <w:rPr>
                <w:rFonts w:asciiTheme="minorHAnsi" w:hAnsiTheme="minorHAnsi" w:cstheme="minorHAnsi"/>
                <w:webHidden/>
              </w:rPr>
              <w:t>51</w:t>
            </w:r>
            <w:r w:rsidRPr="006172ED">
              <w:rPr>
                <w:rFonts w:asciiTheme="minorHAnsi" w:hAnsiTheme="minorHAnsi" w:cstheme="minorHAnsi"/>
                <w:webHidden/>
              </w:rPr>
              <w:fldChar w:fldCharType="end"/>
            </w:r>
          </w:hyperlink>
        </w:p>
        <w:p w14:paraId="45397388" w14:textId="08793BEB" w:rsidR="00DB7433" w:rsidRPr="006172ED" w:rsidRDefault="00DB7433">
          <w:pPr>
            <w:pStyle w:val="TOC2"/>
            <w:rPr>
              <w:rFonts w:asciiTheme="minorHAnsi" w:eastAsiaTheme="minorEastAsia" w:hAnsiTheme="minorHAnsi" w:cstheme="minorHAnsi"/>
              <w:kern w:val="2"/>
              <w:sz w:val="24"/>
              <w:szCs w:val="24"/>
              <w:lang w:val="en-AU"/>
              <w14:ligatures w14:val="standardContextual"/>
            </w:rPr>
          </w:pPr>
          <w:hyperlink w:anchor="_Toc170469989" w:history="1">
            <w:r w:rsidRPr="006172ED">
              <w:rPr>
                <w:rStyle w:val="Hyperlink"/>
                <w:rFonts w:asciiTheme="minorHAnsi" w:hAnsiTheme="minorHAnsi" w:cstheme="minorHAnsi"/>
              </w:rPr>
              <w:t>5.7</w:t>
            </w:r>
            <w:r w:rsidRPr="006172ED">
              <w:rPr>
                <w:rFonts w:asciiTheme="minorHAnsi" w:eastAsiaTheme="minorEastAsia" w:hAnsiTheme="minorHAnsi" w:cstheme="minorHAnsi"/>
                <w:kern w:val="2"/>
                <w:sz w:val="24"/>
                <w:szCs w:val="24"/>
                <w:lang w:val="en-AU"/>
                <w14:ligatures w14:val="standardContextual"/>
              </w:rPr>
              <w:tab/>
            </w:r>
            <w:r w:rsidRPr="006172ED">
              <w:rPr>
                <w:rStyle w:val="Hyperlink"/>
                <w:rFonts w:asciiTheme="minorHAnsi" w:hAnsiTheme="minorHAnsi" w:cstheme="minorHAnsi"/>
              </w:rPr>
              <w:t>TOR 7 | Extent to which each organisation has developed its planning for a post-determination environment.</w:t>
            </w:r>
            <w:r w:rsidRPr="006172ED">
              <w:rPr>
                <w:rFonts w:asciiTheme="minorHAnsi" w:hAnsiTheme="minorHAnsi" w:cstheme="minorHAnsi"/>
                <w:webHidden/>
              </w:rPr>
              <w:tab/>
            </w:r>
            <w:r w:rsidRPr="006172ED">
              <w:rPr>
                <w:rFonts w:asciiTheme="minorHAnsi" w:hAnsiTheme="minorHAnsi" w:cstheme="minorHAnsi"/>
                <w:webHidden/>
              </w:rPr>
              <w:fldChar w:fldCharType="begin"/>
            </w:r>
            <w:r w:rsidRPr="006172ED">
              <w:rPr>
                <w:rFonts w:asciiTheme="minorHAnsi" w:hAnsiTheme="minorHAnsi" w:cstheme="minorHAnsi"/>
                <w:webHidden/>
              </w:rPr>
              <w:instrText xml:space="preserve"> PAGEREF _Toc170469989 \h </w:instrText>
            </w:r>
            <w:r w:rsidRPr="006172ED">
              <w:rPr>
                <w:rFonts w:asciiTheme="minorHAnsi" w:hAnsiTheme="minorHAnsi" w:cstheme="minorHAnsi"/>
                <w:webHidden/>
              </w:rPr>
            </w:r>
            <w:r w:rsidRPr="006172ED">
              <w:rPr>
                <w:rFonts w:asciiTheme="minorHAnsi" w:hAnsiTheme="minorHAnsi" w:cstheme="minorHAnsi"/>
                <w:webHidden/>
              </w:rPr>
              <w:fldChar w:fldCharType="separate"/>
            </w:r>
            <w:r w:rsidR="00AB7E95">
              <w:rPr>
                <w:rFonts w:asciiTheme="minorHAnsi" w:hAnsiTheme="minorHAnsi" w:cstheme="minorHAnsi"/>
                <w:webHidden/>
              </w:rPr>
              <w:t>58</w:t>
            </w:r>
            <w:r w:rsidRPr="006172ED">
              <w:rPr>
                <w:rFonts w:asciiTheme="minorHAnsi" w:hAnsiTheme="minorHAnsi" w:cstheme="minorHAnsi"/>
                <w:webHidden/>
              </w:rPr>
              <w:fldChar w:fldCharType="end"/>
            </w:r>
          </w:hyperlink>
        </w:p>
        <w:p w14:paraId="481211B8" w14:textId="431E61E1" w:rsidR="00DB7433" w:rsidRPr="006172ED" w:rsidRDefault="00DB7433">
          <w:pPr>
            <w:pStyle w:val="TOC1"/>
            <w:rPr>
              <w:rFonts w:asciiTheme="minorHAnsi" w:eastAsiaTheme="minorEastAsia" w:hAnsiTheme="minorHAnsi" w:cstheme="minorHAnsi"/>
              <w:kern w:val="2"/>
              <w:sz w:val="24"/>
              <w:szCs w:val="24"/>
              <w:lang w:val="en-AU" w:eastAsia="en-AU"/>
              <w14:ligatures w14:val="standardContextual"/>
            </w:rPr>
          </w:pPr>
          <w:hyperlink w:anchor="_Toc170469990" w:history="1">
            <w:r w:rsidRPr="006172ED">
              <w:rPr>
                <w:rStyle w:val="Hyperlink"/>
                <w:rFonts w:asciiTheme="minorHAnsi" w:hAnsiTheme="minorHAnsi" w:cstheme="minorHAnsi"/>
              </w:rPr>
              <w:t>Appendix A</w:t>
            </w:r>
            <w:r w:rsidRPr="006172ED">
              <w:rPr>
                <w:rFonts w:asciiTheme="minorHAnsi" w:eastAsiaTheme="minorEastAsia" w:hAnsiTheme="minorHAnsi" w:cstheme="minorHAnsi"/>
                <w:kern w:val="2"/>
                <w:sz w:val="24"/>
                <w:szCs w:val="24"/>
                <w:lang w:val="en-AU" w:eastAsia="en-AU"/>
                <w14:ligatures w14:val="standardContextual"/>
              </w:rPr>
              <w:tab/>
            </w:r>
            <w:r w:rsidRPr="006172ED">
              <w:rPr>
                <w:rStyle w:val="Hyperlink"/>
                <w:rFonts w:asciiTheme="minorHAnsi" w:hAnsiTheme="minorHAnsi" w:cstheme="minorHAnsi"/>
              </w:rPr>
              <w:t>Project Terms of Reference and performance indicators for individual reports</w:t>
            </w:r>
            <w:r w:rsidRPr="006172ED">
              <w:rPr>
                <w:rFonts w:asciiTheme="minorHAnsi" w:hAnsiTheme="minorHAnsi" w:cstheme="minorHAnsi"/>
                <w:webHidden/>
              </w:rPr>
              <w:tab/>
            </w:r>
            <w:r w:rsidRPr="006172ED">
              <w:rPr>
                <w:rFonts w:asciiTheme="minorHAnsi" w:hAnsiTheme="minorHAnsi" w:cstheme="minorHAnsi"/>
                <w:webHidden/>
              </w:rPr>
              <w:fldChar w:fldCharType="begin"/>
            </w:r>
            <w:r w:rsidRPr="006172ED">
              <w:rPr>
                <w:rFonts w:asciiTheme="minorHAnsi" w:hAnsiTheme="minorHAnsi" w:cstheme="minorHAnsi"/>
                <w:webHidden/>
              </w:rPr>
              <w:instrText xml:space="preserve"> PAGEREF _Toc170469990 \h </w:instrText>
            </w:r>
            <w:r w:rsidRPr="006172ED">
              <w:rPr>
                <w:rFonts w:asciiTheme="minorHAnsi" w:hAnsiTheme="minorHAnsi" w:cstheme="minorHAnsi"/>
                <w:webHidden/>
              </w:rPr>
            </w:r>
            <w:r w:rsidRPr="006172ED">
              <w:rPr>
                <w:rFonts w:asciiTheme="minorHAnsi" w:hAnsiTheme="minorHAnsi" w:cstheme="minorHAnsi"/>
                <w:webHidden/>
              </w:rPr>
              <w:fldChar w:fldCharType="separate"/>
            </w:r>
            <w:r w:rsidR="00AB7E95">
              <w:rPr>
                <w:rFonts w:asciiTheme="minorHAnsi" w:hAnsiTheme="minorHAnsi" w:cstheme="minorHAnsi"/>
                <w:webHidden/>
              </w:rPr>
              <w:t>63</w:t>
            </w:r>
            <w:r w:rsidRPr="006172ED">
              <w:rPr>
                <w:rFonts w:asciiTheme="minorHAnsi" w:hAnsiTheme="minorHAnsi" w:cstheme="minorHAnsi"/>
                <w:webHidden/>
              </w:rPr>
              <w:fldChar w:fldCharType="end"/>
            </w:r>
          </w:hyperlink>
        </w:p>
        <w:p w14:paraId="783E91D0" w14:textId="619551C2" w:rsidR="00DB7433" w:rsidRPr="006172ED" w:rsidRDefault="00DB7433">
          <w:pPr>
            <w:pStyle w:val="TOC1"/>
            <w:rPr>
              <w:rFonts w:asciiTheme="minorHAnsi" w:eastAsiaTheme="minorEastAsia" w:hAnsiTheme="minorHAnsi" w:cstheme="minorHAnsi"/>
              <w:kern w:val="2"/>
              <w:sz w:val="24"/>
              <w:szCs w:val="24"/>
              <w:lang w:val="en-AU" w:eastAsia="en-AU"/>
              <w14:ligatures w14:val="standardContextual"/>
            </w:rPr>
          </w:pPr>
          <w:hyperlink w:anchor="_Toc170469991" w:history="1">
            <w:r w:rsidRPr="006172ED">
              <w:rPr>
                <w:rStyle w:val="Hyperlink"/>
                <w:rFonts w:asciiTheme="minorHAnsi" w:hAnsiTheme="minorHAnsi" w:cstheme="minorHAnsi"/>
              </w:rPr>
              <w:t>Appendix B</w:t>
            </w:r>
            <w:r w:rsidRPr="006172ED">
              <w:rPr>
                <w:rFonts w:asciiTheme="minorHAnsi" w:eastAsiaTheme="minorEastAsia" w:hAnsiTheme="minorHAnsi" w:cstheme="minorHAnsi"/>
                <w:kern w:val="2"/>
                <w:sz w:val="24"/>
                <w:szCs w:val="24"/>
                <w:lang w:val="en-AU" w:eastAsia="en-AU"/>
                <w14:ligatures w14:val="standardContextual"/>
              </w:rPr>
              <w:tab/>
            </w:r>
            <w:r w:rsidRPr="006172ED">
              <w:rPr>
                <w:rStyle w:val="Hyperlink"/>
                <w:rFonts w:asciiTheme="minorHAnsi" w:hAnsiTheme="minorHAnsi" w:cstheme="minorHAnsi"/>
              </w:rPr>
              <w:t>Stakeholders consulted</w:t>
            </w:r>
            <w:r w:rsidRPr="006172ED">
              <w:rPr>
                <w:rFonts w:asciiTheme="minorHAnsi" w:hAnsiTheme="minorHAnsi" w:cstheme="minorHAnsi"/>
                <w:webHidden/>
              </w:rPr>
              <w:tab/>
            </w:r>
            <w:r w:rsidRPr="006172ED">
              <w:rPr>
                <w:rFonts w:asciiTheme="minorHAnsi" w:hAnsiTheme="minorHAnsi" w:cstheme="minorHAnsi"/>
                <w:webHidden/>
              </w:rPr>
              <w:fldChar w:fldCharType="begin"/>
            </w:r>
            <w:r w:rsidRPr="006172ED">
              <w:rPr>
                <w:rFonts w:asciiTheme="minorHAnsi" w:hAnsiTheme="minorHAnsi" w:cstheme="minorHAnsi"/>
                <w:webHidden/>
              </w:rPr>
              <w:instrText xml:space="preserve"> PAGEREF _Toc170469991 \h </w:instrText>
            </w:r>
            <w:r w:rsidRPr="006172ED">
              <w:rPr>
                <w:rFonts w:asciiTheme="minorHAnsi" w:hAnsiTheme="minorHAnsi" w:cstheme="minorHAnsi"/>
                <w:webHidden/>
              </w:rPr>
            </w:r>
            <w:r w:rsidRPr="006172ED">
              <w:rPr>
                <w:rFonts w:asciiTheme="minorHAnsi" w:hAnsiTheme="minorHAnsi" w:cstheme="minorHAnsi"/>
                <w:webHidden/>
              </w:rPr>
              <w:fldChar w:fldCharType="separate"/>
            </w:r>
            <w:r w:rsidR="00AB7E95">
              <w:rPr>
                <w:rFonts w:asciiTheme="minorHAnsi" w:hAnsiTheme="minorHAnsi" w:cstheme="minorHAnsi"/>
                <w:webHidden/>
              </w:rPr>
              <w:t>66</w:t>
            </w:r>
            <w:r w:rsidRPr="006172ED">
              <w:rPr>
                <w:rFonts w:asciiTheme="minorHAnsi" w:hAnsiTheme="minorHAnsi" w:cstheme="minorHAnsi"/>
                <w:webHidden/>
              </w:rPr>
              <w:fldChar w:fldCharType="end"/>
            </w:r>
          </w:hyperlink>
        </w:p>
        <w:p w14:paraId="136CCDD4" w14:textId="7F5C27F4" w:rsidR="00DB7433" w:rsidRPr="006172ED" w:rsidRDefault="00DB7433">
          <w:pPr>
            <w:pStyle w:val="TOC1"/>
            <w:rPr>
              <w:rFonts w:asciiTheme="minorHAnsi" w:eastAsiaTheme="minorEastAsia" w:hAnsiTheme="minorHAnsi" w:cstheme="minorHAnsi"/>
              <w:kern w:val="2"/>
              <w:sz w:val="24"/>
              <w:szCs w:val="24"/>
              <w:lang w:val="en-AU" w:eastAsia="en-AU"/>
              <w14:ligatures w14:val="standardContextual"/>
            </w:rPr>
          </w:pPr>
          <w:hyperlink w:anchor="_Toc170469992" w:history="1">
            <w:r w:rsidRPr="006172ED">
              <w:rPr>
                <w:rStyle w:val="Hyperlink"/>
                <w:rFonts w:asciiTheme="minorHAnsi" w:hAnsiTheme="minorHAnsi" w:cstheme="minorHAnsi"/>
              </w:rPr>
              <w:t>Appendix C</w:t>
            </w:r>
            <w:r w:rsidRPr="006172ED">
              <w:rPr>
                <w:rFonts w:asciiTheme="minorHAnsi" w:eastAsiaTheme="minorEastAsia" w:hAnsiTheme="minorHAnsi" w:cstheme="minorHAnsi"/>
                <w:kern w:val="2"/>
                <w:sz w:val="24"/>
                <w:szCs w:val="24"/>
                <w:lang w:val="en-AU" w:eastAsia="en-AU"/>
                <w14:ligatures w14:val="standardContextual"/>
              </w:rPr>
              <w:tab/>
            </w:r>
            <w:r w:rsidRPr="006172ED">
              <w:rPr>
                <w:rStyle w:val="Hyperlink"/>
                <w:rFonts w:asciiTheme="minorHAnsi" w:hAnsiTheme="minorHAnsi" w:cstheme="minorHAnsi"/>
              </w:rPr>
              <w:t>Documents reviewed</w:t>
            </w:r>
            <w:r w:rsidRPr="006172ED">
              <w:rPr>
                <w:rFonts w:asciiTheme="minorHAnsi" w:hAnsiTheme="minorHAnsi" w:cstheme="minorHAnsi"/>
                <w:webHidden/>
              </w:rPr>
              <w:tab/>
            </w:r>
            <w:r w:rsidRPr="006172ED">
              <w:rPr>
                <w:rFonts w:asciiTheme="minorHAnsi" w:hAnsiTheme="minorHAnsi" w:cstheme="minorHAnsi"/>
                <w:webHidden/>
              </w:rPr>
              <w:fldChar w:fldCharType="begin"/>
            </w:r>
            <w:r w:rsidRPr="006172ED">
              <w:rPr>
                <w:rFonts w:asciiTheme="minorHAnsi" w:hAnsiTheme="minorHAnsi" w:cstheme="minorHAnsi"/>
                <w:webHidden/>
              </w:rPr>
              <w:instrText xml:space="preserve"> PAGEREF _Toc170469992 \h </w:instrText>
            </w:r>
            <w:r w:rsidRPr="006172ED">
              <w:rPr>
                <w:rFonts w:asciiTheme="minorHAnsi" w:hAnsiTheme="minorHAnsi" w:cstheme="minorHAnsi"/>
                <w:webHidden/>
              </w:rPr>
            </w:r>
            <w:r w:rsidRPr="006172ED">
              <w:rPr>
                <w:rFonts w:asciiTheme="minorHAnsi" w:hAnsiTheme="minorHAnsi" w:cstheme="minorHAnsi"/>
                <w:webHidden/>
              </w:rPr>
              <w:fldChar w:fldCharType="separate"/>
            </w:r>
            <w:r w:rsidR="00AB7E95">
              <w:rPr>
                <w:rFonts w:asciiTheme="minorHAnsi" w:hAnsiTheme="minorHAnsi" w:cstheme="minorHAnsi"/>
                <w:webHidden/>
              </w:rPr>
              <w:t>67</w:t>
            </w:r>
            <w:r w:rsidRPr="006172ED">
              <w:rPr>
                <w:rFonts w:asciiTheme="minorHAnsi" w:hAnsiTheme="minorHAnsi" w:cstheme="minorHAnsi"/>
                <w:webHidden/>
              </w:rPr>
              <w:fldChar w:fldCharType="end"/>
            </w:r>
          </w:hyperlink>
        </w:p>
        <w:p w14:paraId="5020FBD5" w14:textId="7691F7C9" w:rsidR="00DB7433" w:rsidRPr="006172ED" w:rsidRDefault="00DB7433">
          <w:pPr>
            <w:pStyle w:val="TOC1"/>
            <w:rPr>
              <w:rFonts w:asciiTheme="minorHAnsi" w:eastAsiaTheme="minorEastAsia" w:hAnsiTheme="minorHAnsi" w:cstheme="minorHAnsi"/>
              <w:kern w:val="2"/>
              <w:sz w:val="24"/>
              <w:szCs w:val="24"/>
              <w:lang w:val="en-AU" w:eastAsia="en-AU"/>
              <w14:ligatures w14:val="standardContextual"/>
            </w:rPr>
          </w:pPr>
          <w:hyperlink w:anchor="_Toc170469993" w:history="1">
            <w:r w:rsidRPr="006172ED">
              <w:rPr>
                <w:rStyle w:val="Hyperlink"/>
                <w:rFonts w:asciiTheme="minorHAnsi" w:hAnsiTheme="minorHAnsi" w:cstheme="minorHAnsi"/>
              </w:rPr>
              <w:t>Appendix D</w:t>
            </w:r>
            <w:r w:rsidRPr="006172ED">
              <w:rPr>
                <w:rFonts w:asciiTheme="minorHAnsi" w:eastAsiaTheme="minorEastAsia" w:hAnsiTheme="minorHAnsi" w:cstheme="minorHAnsi"/>
                <w:kern w:val="2"/>
                <w:sz w:val="24"/>
                <w:szCs w:val="24"/>
                <w:lang w:val="en-AU" w:eastAsia="en-AU"/>
                <w14:ligatures w14:val="standardContextual"/>
              </w:rPr>
              <w:tab/>
            </w:r>
            <w:r w:rsidRPr="006172ED">
              <w:rPr>
                <w:rStyle w:val="Hyperlink"/>
                <w:rFonts w:asciiTheme="minorHAnsi" w:hAnsiTheme="minorHAnsi" w:cstheme="minorHAnsi"/>
              </w:rPr>
              <w:t>Glossary</w:t>
            </w:r>
            <w:r w:rsidRPr="006172ED">
              <w:rPr>
                <w:rFonts w:asciiTheme="minorHAnsi" w:hAnsiTheme="minorHAnsi" w:cstheme="minorHAnsi"/>
                <w:webHidden/>
              </w:rPr>
              <w:tab/>
            </w:r>
            <w:r w:rsidRPr="006172ED">
              <w:rPr>
                <w:rFonts w:asciiTheme="minorHAnsi" w:hAnsiTheme="minorHAnsi" w:cstheme="minorHAnsi"/>
                <w:webHidden/>
              </w:rPr>
              <w:fldChar w:fldCharType="begin"/>
            </w:r>
            <w:r w:rsidRPr="006172ED">
              <w:rPr>
                <w:rFonts w:asciiTheme="minorHAnsi" w:hAnsiTheme="minorHAnsi" w:cstheme="minorHAnsi"/>
                <w:webHidden/>
              </w:rPr>
              <w:instrText xml:space="preserve"> PAGEREF _Toc170469993 \h </w:instrText>
            </w:r>
            <w:r w:rsidRPr="006172ED">
              <w:rPr>
                <w:rFonts w:asciiTheme="minorHAnsi" w:hAnsiTheme="minorHAnsi" w:cstheme="minorHAnsi"/>
                <w:webHidden/>
              </w:rPr>
            </w:r>
            <w:r w:rsidRPr="006172ED">
              <w:rPr>
                <w:rFonts w:asciiTheme="minorHAnsi" w:hAnsiTheme="minorHAnsi" w:cstheme="minorHAnsi"/>
                <w:webHidden/>
              </w:rPr>
              <w:fldChar w:fldCharType="separate"/>
            </w:r>
            <w:r w:rsidR="00AB7E95">
              <w:rPr>
                <w:rFonts w:asciiTheme="minorHAnsi" w:hAnsiTheme="minorHAnsi" w:cstheme="minorHAnsi"/>
                <w:webHidden/>
              </w:rPr>
              <w:t>69</w:t>
            </w:r>
            <w:r w:rsidRPr="006172ED">
              <w:rPr>
                <w:rFonts w:asciiTheme="minorHAnsi" w:hAnsiTheme="minorHAnsi" w:cstheme="minorHAnsi"/>
                <w:webHidden/>
              </w:rPr>
              <w:fldChar w:fldCharType="end"/>
            </w:r>
          </w:hyperlink>
        </w:p>
        <w:p w14:paraId="1769FD2E" w14:textId="1C69EE9A" w:rsidR="001B2F3D" w:rsidRPr="002F0423" w:rsidRDefault="00731255">
          <w:r w:rsidRPr="006172ED">
            <w:rPr>
              <w:rFonts w:asciiTheme="minorHAnsi" w:hAnsiTheme="minorHAnsi" w:cstheme="minorHAnsi"/>
              <w:noProof/>
              <w:lang w:val="en-US"/>
            </w:rPr>
            <w:fldChar w:fldCharType="end"/>
          </w:r>
        </w:p>
      </w:sdtContent>
    </w:sdt>
    <w:p w14:paraId="3D1B258D" w14:textId="69FF07F6" w:rsidR="006808F5" w:rsidRDefault="00E055A5" w:rsidP="00E055A5">
      <w:pPr>
        <w:tabs>
          <w:tab w:val="left" w:pos="2823"/>
        </w:tabs>
        <w:rPr>
          <w:lang w:eastAsia="en-AU"/>
        </w:rPr>
      </w:pPr>
      <w:r>
        <w:rPr>
          <w:lang w:eastAsia="en-AU"/>
        </w:rPr>
        <w:tab/>
      </w:r>
    </w:p>
    <w:p w14:paraId="3CF3A74C" w14:textId="77777777" w:rsidR="008E2276" w:rsidRDefault="008E2276">
      <w:pPr>
        <w:spacing w:after="165"/>
        <w:rPr>
          <w:lang w:eastAsia="en-AU"/>
        </w:rPr>
      </w:pPr>
      <w:r>
        <w:rPr>
          <w:lang w:eastAsia="en-AU"/>
        </w:rPr>
        <w:br w:type="page"/>
      </w:r>
    </w:p>
    <w:p w14:paraId="03CB0C5E" w14:textId="77777777" w:rsidR="009B1F40" w:rsidRDefault="009B1F40" w:rsidP="00D00268">
      <w:pPr>
        <w:pStyle w:val="Heading1"/>
        <w:numPr>
          <w:ilvl w:val="0"/>
          <w:numId w:val="17"/>
        </w:numPr>
        <w:spacing w:after="120"/>
        <w:ind w:right="-113"/>
      </w:pPr>
      <w:bookmarkStart w:id="1" w:name="_Toc170469978"/>
      <w:r>
        <w:lastRenderedPageBreak/>
        <w:t>Profile of First Nations Legal and Research Services</w:t>
      </w:r>
      <w:bookmarkEnd w:id="1"/>
    </w:p>
    <w:p w14:paraId="1FA63211" w14:textId="77777777" w:rsidR="009B1F40" w:rsidRPr="00A55C88" w:rsidRDefault="009B1F40" w:rsidP="009B1F40">
      <w:pPr>
        <w:pStyle w:val="Heading5"/>
        <w:numPr>
          <w:ilvl w:val="0"/>
          <w:numId w:val="0"/>
        </w:numPr>
      </w:pPr>
      <w:r>
        <w:t>First Nations Legal and Research Services (FNLRS)</w:t>
      </w:r>
      <w:r w:rsidRPr="00A55C88">
        <w:t xml:space="preserve"> is based in </w:t>
      </w:r>
      <w:r>
        <w:t>Melbourne, providing services to prospective and current native title holders across Victoria</w:t>
      </w:r>
    </w:p>
    <w:p w14:paraId="45DB6754" w14:textId="6F062508" w:rsidR="009B1F40" w:rsidRDefault="009B1F40" w:rsidP="009B1F40">
      <w:pPr>
        <w:spacing w:after="165"/>
      </w:pPr>
      <w:r>
        <w:rPr>
          <w:noProof/>
          <w:lang w:eastAsia="en-AU"/>
        </w:rPr>
        <w:drawing>
          <wp:anchor distT="0" distB="0" distL="114300" distR="114300" simplePos="0" relativeHeight="251658246" behindDoc="0" locked="0" layoutInCell="1" allowOverlap="1" wp14:anchorId="2FCB507B" wp14:editId="484BABE0">
            <wp:simplePos x="0" y="0"/>
            <wp:positionH relativeFrom="column">
              <wp:posOffset>3896360</wp:posOffset>
            </wp:positionH>
            <wp:positionV relativeFrom="paragraph">
              <wp:posOffset>313055</wp:posOffset>
            </wp:positionV>
            <wp:extent cx="2237740" cy="1793875"/>
            <wp:effectExtent l="0" t="0" r="0" b="0"/>
            <wp:wrapSquare wrapText="bothSides"/>
            <wp:docPr id="1189945504" name="Picture 1189945504" descr="Map of Australia with state of Victoria highlighted in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45504" name="Picture 1189945504" descr="Map of Australia with state of Victoria highlighted in blu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7740" cy="1793875"/>
                    </a:xfrm>
                    <a:prstGeom prst="rect">
                      <a:avLst/>
                    </a:prstGeom>
                    <a:noFill/>
                  </pic:spPr>
                </pic:pic>
              </a:graphicData>
            </a:graphic>
            <wp14:sizeRelH relativeFrom="page">
              <wp14:pctWidth>0</wp14:pctWidth>
            </wp14:sizeRelH>
            <wp14:sizeRelV relativeFrom="page">
              <wp14:pctHeight>0</wp14:pctHeight>
            </wp14:sizeRelV>
          </wp:anchor>
        </w:drawing>
      </w:r>
      <w:r>
        <w:t xml:space="preserve">FNLRS is the </w:t>
      </w:r>
      <w:r w:rsidR="00253D30">
        <w:t>N</w:t>
      </w:r>
      <w:r w:rsidR="00253D30" w:rsidRPr="004E39AD">
        <w:t>ative Title Service Provider</w:t>
      </w:r>
      <w:r w:rsidR="004E39AD" w:rsidRPr="004E39AD">
        <w:t xml:space="preserve"> </w:t>
      </w:r>
      <w:r w:rsidR="004E39AD">
        <w:t>(</w:t>
      </w:r>
      <w:r>
        <w:t>NTSP</w:t>
      </w:r>
      <w:r w:rsidR="004E39AD">
        <w:t>)</w:t>
      </w:r>
      <w:r>
        <w:t xml:space="preserve"> for the state of Victoria. The organisation was established in 2003</w:t>
      </w:r>
      <w:r>
        <w:rPr>
          <w:rStyle w:val="FootnoteReference"/>
        </w:rPr>
        <w:footnoteReference w:id="2"/>
      </w:r>
      <w:r>
        <w:t xml:space="preserve"> as a public company limited by guarantee under the </w:t>
      </w:r>
      <w:r>
        <w:rPr>
          <w:i/>
          <w:iCs/>
        </w:rPr>
        <w:t xml:space="preserve">Corporations Act 2001 </w:t>
      </w:r>
      <w:r>
        <w:t>(</w:t>
      </w:r>
      <w:proofErr w:type="spellStart"/>
      <w:r>
        <w:t>Cth</w:t>
      </w:r>
      <w:proofErr w:type="spellEnd"/>
      <w:r>
        <w:t xml:space="preserve">). FNLRS’s </w:t>
      </w:r>
      <w:r w:rsidR="00253D30">
        <w:t>R</w:t>
      </w:r>
      <w:r w:rsidR="00253D30" w:rsidRPr="004E39AD">
        <w:t xml:space="preserve">epresentative </w:t>
      </w:r>
      <w:r w:rsidR="004E39AD" w:rsidRPr="004E39AD">
        <w:t>Aboriginal</w:t>
      </w:r>
      <w:r w:rsidR="00253D30" w:rsidRPr="004E39AD">
        <w:t>/</w:t>
      </w:r>
      <w:r w:rsidR="004E39AD" w:rsidRPr="004E39AD">
        <w:t xml:space="preserve">Torres Strait Islander </w:t>
      </w:r>
      <w:r w:rsidR="00253D30" w:rsidRPr="004E39AD">
        <w:t>Bod</w:t>
      </w:r>
      <w:r w:rsidR="004E39AD" w:rsidRPr="004E39AD">
        <w:t xml:space="preserve">y </w:t>
      </w:r>
      <w:r w:rsidR="004E39AD">
        <w:t>(</w:t>
      </w:r>
      <w:r>
        <w:t>RATSIB</w:t>
      </w:r>
      <w:r w:rsidR="004E39AD">
        <w:t>)</w:t>
      </w:r>
      <w:r>
        <w:t xml:space="preserve"> area covers </w:t>
      </w:r>
      <w:r w:rsidR="004E39AD">
        <w:t xml:space="preserve">about </w:t>
      </w:r>
      <w:r w:rsidRPr="003E7C78">
        <w:t>227,416</w:t>
      </w:r>
      <w:r>
        <w:t xml:space="preserve"> square kilometres of land and sea accounting for all of Victoria.</w:t>
      </w:r>
      <w:r w:rsidRPr="005C6224">
        <w:t xml:space="preserve"> </w:t>
      </w:r>
    </w:p>
    <w:p w14:paraId="0D17E15A" w14:textId="5ACAA5ED" w:rsidR="009B1F40" w:rsidRPr="00D9286E" w:rsidRDefault="009B1F40" w:rsidP="00B51D34">
      <w:r>
        <w:t xml:space="preserve">Traditional Owners in Victoria can achieve land title recognition and rights under the </w:t>
      </w:r>
      <w:r w:rsidRPr="002E768A">
        <w:rPr>
          <w:i/>
        </w:rPr>
        <w:t>Native Title Act</w:t>
      </w:r>
      <w:r w:rsidR="00872E1B">
        <w:rPr>
          <w:i/>
        </w:rPr>
        <w:t xml:space="preserve"> </w:t>
      </w:r>
      <w:r w:rsidR="0014178C" w:rsidRPr="0014178C">
        <w:rPr>
          <w:i/>
        </w:rPr>
        <w:t>1993</w:t>
      </w:r>
      <w:r w:rsidR="0014178C" w:rsidRPr="00871A51">
        <w:t xml:space="preserve"> (</w:t>
      </w:r>
      <w:proofErr w:type="spellStart"/>
      <w:r w:rsidR="0014178C" w:rsidRPr="00871A51">
        <w:t>Cth</w:t>
      </w:r>
      <w:proofErr w:type="spellEnd"/>
      <w:r w:rsidR="0014178C" w:rsidRPr="00871A51">
        <w:t xml:space="preserve">) </w:t>
      </w:r>
      <w:r w:rsidR="0014178C" w:rsidRPr="00E14D71">
        <w:t>(the NTA)</w:t>
      </w:r>
      <w:r w:rsidR="00872E1B" w:rsidDel="0014178C">
        <w:t xml:space="preserve"> </w:t>
      </w:r>
      <w:r>
        <w:t xml:space="preserve">and through alternative </w:t>
      </w:r>
      <w:r w:rsidR="004E39AD">
        <w:t>s</w:t>
      </w:r>
      <w:r>
        <w:t xml:space="preserve">tate-based mechanisms including the </w:t>
      </w:r>
      <w:r>
        <w:rPr>
          <w:i/>
          <w:iCs/>
        </w:rPr>
        <w:t xml:space="preserve">Traditional Owner Settlement Act </w:t>
      </w:r>
      <w:r w:rsidRPr="00B03EF9">
        <w:rPr>
          <w:i/>
        </w:rPr>
        <w:t>2010</w:t>
      </w:r>
      <w:r w:rsidR="00872E1B">
        <w:rPr>
          <w:i/>
        </w:rPr>
        <w:t xml:space="preserve"> </w:t>
      </w:r>
      <w:r w:rsidR="0010561D">
        <w:t xml:space="preserve">(the </w:t>
      </w:r>
      <w:r w:rsidR="0010561D" w:rsidRPr="00E14D71">
        <w:t>Settlement Act</w:t>
      </w:r>
      <w:r w:rsidR="0010561D">
        <w:t>)</w:t>
      </w:r>
      <w:r w:rsidR="0010561D" w:rsidRPr="00983E66">
        <w:t xml:space="preserve"> </w:t>
      </w:r>
      <w:r w:rsidRPr="00AD4223">
        <w:t xml:space="preserve">and the </w:t>
      </w:r>
      <w:r w:rsidR="00B93B3A" w:rsidRPr="00FB04CE">
        <w:rPr>
          <w:i/>
          <w:iCs/>
        </w:rPr>
        <w:t xml:space="preserve">Victorian Aboriginal Heritage Act 2006 </w:t>
      </w:r>
      <w:r w:rsidR="00B93B3A" w:rsidRPr="00FB04CE">
        <w:t>(</w:t>
      </w:r>
      <w:r w:rsidRPr="00FB04CE">
        <w:t>Aboriginal Heritage Act</w:t>
      </w:r>
      <w:r w:rsidR="00B93B3A" w:rsidRPr="00FB04CE">
        <w:t>)</w:t>
      </w:r>
      <w:r w:rsidR="003B1C68">
        <w:rPr>
          <w:i/>
        </w:rPr>
        <w:t xml:space="preserve">. </w:t>
      </w:r>
      <w:r>
        <w:t xml:space="preserve">The passing of the </w:t>
      </w:r>
      <w:r w:rsidRPr="000A3702">
        <w:rPr>
          <w:i/>
          <w:iCs/>
        </w:rPr>
        <w:t>Advancing the Treaty</w:t>
      </w:r>
      <w:r>
        <w:rPr>
          <w:i/>
          <w:iCs/>
        </w:rPr>
        <w:t xml:space="preserve"> </w:t>
      </w:r>
      <w:r w:rsidRPr="000A3702">
        <w:rPr>
          <w:i/>
          <w:iCs/>
        </w:rPr>
        <w:t xml:space="preserve">Process with Aboriginal Victorians Act </w:t>
      </w:r>
      <w:r w:rsidRPr="003040A5">
        <w:rPr>
          <w:i/>
        </w:rPr>
        <w:t>2018</w:t>
      </w:r>
      <w:r w:rsidRPr="00E74BA1">
        <w:t xml:space="preserve"> </w:t>
      </w:r>
      <w:r w:rsidR="00E74BA1" w:rsidRPr="00E74BA1">
        <w:t xml:space="preserve">(the Treaty Act) </w:t>
      </w:r>
      <w:r>
        <w:t>provides another potential avenue for land rights and the ability for Traditional Owners to</w:t>
      </w:r>
      <w:r w:rsidRPr="006B5891">
        <w:t xml:space="preserve"> engage in formal </w:t>
      </w:r>
      <w:r>
        <w:t>Treaty</w:t>
      </w:r>
      <w:r w:rsidRPr="006B5891">
        <w:t xml:space="preserve"> negotiations.</w:t>
      </w:r>
      <w:r>
        <w:t xml:space="preserve"> These factors contribute to Victoria’s complex policy</w:t>
      </w:r>
      <w:r w:rsidRPr="006B5891">
        <w:t xml:space="preserve"> and </w:t>
      </w:r>
      <w:r>
        <w:t>legislative landscape and have shaped the operating environment of FNLRS.</w:t>
      </w:r>
    </w:p>
    <w:p w14:paraId="682CF962" w14:textId="77777777" w:rsidR="009B1F40" w:rsidRDefault="009B1F40" w:rsidP="00B51D34">
      <w:r w:rsidRPr="001E7292">
        <w:t xml:space="preserve">As </w:t>
      </w:r>
      <w:r>
        <w:t>of</w:t>
      </w:r>
      <w:r w:rsidRPr="001E7292">
        <w:t xml:space="preserve"> 30 June 2022</w:t>
      </w:r>
      <w:r>
        <w:t>:</w:t>
      </w:r>
    </w:p>
    <w:p w14:paraId="20680D94" w14:textId="03CCD300" w:rsidR="009B1F40" w:rsidRPr="00983E66" w:rsidRDefault="009B1F40" w:rsidP="009B1F40">
      <w:pPr>
        <w:pStyle w:val="Bullet"/>
        <w:spacing w:after="165"/>
      </w:pPr>
      <w:r w:rsidRPr="6967B2CC">
        <w:t xml:space="preserve">There had been four determinations of native title within Victoria since the passage of the NTA, none of which occurred </w:t>
      </w:r>
      <w:r w:rsidR="009D5B0B">
        <w:t>between 1 July 2019 to 30 June 2022</w:t>
      </w:r>
      <w:r w:rsidR="009D5B0B" w:rsidRPr="6967B2CC">
        <w:t xml:space="preserve"> </w:t>
      </w:r>
      <w:r w:rsidR="009D5B0B">
        <w:t>(</w:t>
      </w:r>
      <w:r w:rsidRPr="6967B2CC">
        <w:t>the Review period</w:t>
      </w:r>
      <w:r w:rsidR="009D5B0B">
        <w:t>)</w:t>
      </w:r>
      <w:r w:rsidRPr="6967B2CC">
        <w:t xml:space="preserve">. </w:t>
      </w:r>
      <w:r w:rsidR="00983E66" w:rsidRPr="6967B2CC">
        <w:t>There had also been tw</w:t>
      </w:r>
      <w:r w:rsidR="00F015CD" w:rsidRPr="6967B2CC">
        <w:t xml:space="preserve">o </w:t>
      </w:r>
      <w:r w:rsidR="00A30AF0" w:rsidRPr="6967B2CC">
        <w:t xml:space="preserve">comprehensive </w:t>
      </w:r>
      <w:r w:rsidR="00EC428C" w:rsidRPr="6967B2CC">
        <w:t xml:space="preserve">settlement agreements </w:t>
      </w:r>
      <w:r w:rsidR="001E7A70" w:rsidRPr="6967B2CC">
        <w:t>un</w:t>
      </w:r>
      <w:r w:rsidR="00D145AA" w:rsidRPr="6967B2CC">
        <w:t>der the</w:t>
      </w:r>
      <w:r w:rsidR="00983E66" w:rsidRPr="6967B2CC">
        <w:t xml:space="preserve"> Settlement Act</w:t>
      </w:r>
      <w:r w:rsidR="00596D5F" w:rsidRPr="6967B2CC">
        <w:rPr>
          <w:rStyle w:val="FootnoteReference"/>
        </w:rPr>
        <w:footnoteReference w:id="3"/>
      </w:r>
      <w:r w:rsidR="00FA4C75" w:rsidRPr="6967B2CC">
        <w:t>,</w:t>
      </w:r>
      <w:r w:rsidR="00983E66" w:rsidRPr="6967B2CC">
        <w:t xml:space="preserve"> both </w:t>
      </w:r>
      <w:proofErr w:type="gramStart"/>
      <w:r w:rsidR="00F57797" w:rsidRPr="6967B2CC">
        <w:t>entered into</w:t>
      </w:r>
      <w:proofErr w:type="gramEnd"/>
      <w:r w:rsidR="00F57797" w:rsidRPr="6967B2CC">
        <w:t xml:space="preserve"> prior</w:t>
      </w:r>
      <w:r w:rsidR="00983E66" w:rsidRPr="6967B2CC">
        <w:t xml:space="preserve"> to the Review period</w:t>
      </w:r>
      <w:r w:rsidR="00992219" w:rsidRPr="6967B2CC">
        <w:t xml:space="preserve"> </w:t>
      </w:r>
      <w:r w:rsidR="006A059F" w:rsidRPr="6967B2CC">
        <w:t>(which are both considered native title outcomes</w:t>
      </w:r>
      <w:r w:rsidR="002B143C">
        <w:t xml:space="preserve"> for the purposes of NIAA funding</w:t>
      </w:r>
      <w:r w:rsidR="006A059F" w:rsidRPr="6967B2CC">
        <w:t xml:space="preserve">). </w:t>
      </w:r>
    </w:p>
    <w:p w14:paraId="52DDAC99" w14:textId="3090A38C" w:rsidR="009B1F40" w:rsidRPr="002C0233" w:rsidRDefault="009B1F40" w:rsidP="00894CD3">
      <w:pPr>
        <w:pStyle w:val="Bullet"/>
      </w:pPr>
      <w:r w:rsidRPr="6967B2CC">
        <w:t xml:space="preserve">There were four active claims in FNLRS’s RATSIB area awaiting a determination </w:t>
      </w:r>
      <w:r w:rsidR="00EC10BF" w:rsidRPr="6967B2CC">
        <w:t>as of</w:t>
      </w:r>
      <w:r w:rsidRPr="6967B2CC">
        <w:t xml:space="preserve"> 30 June 2022, </w:t>
      </w:r>
      <w:r w:rsidR="00964095" w:rsidRPr="6967B2CC">
        <w:t xml:space="preserve">with </w:t>
      </w:r>
      <w:r w:rsidRPr="6967B2CC">
        <w:t>FNLRS acting for the applicant</w:t>
      </w:r>
      <w:r w:rsidR="00964095" w:rsidRPr="6967B2CC">
        <w:t xml:space="preserve"> in two of </w:t>
      </w:r>
      <w:r w:rsidR="00174B1D" w:rsidRPr="6967B2CC">
        <w:t>these claims</w:t>
      </w:r>
      <w:r w:rsidRPr="6967B2CC">
        <w:t>. One of these claims – Eastern Maar People – was</w:t>
      </w:r>
      <w:r w:rsidR="0069243F" w:rsidRPr="6967B2CC">
        <w:t xml:space="preserve"> </w:t>
      </w:r>
      <w:r w:rsidRPr="6967B2CC">
        <w:t>determined</w:t>
      </w:r>
      <w:r w:rsidR="00523712" w:rsidRPr="6967B2CC">
        <w:t xml:space="preserve"> (in part)</w:t>
      </w:r>
      <w:r w:rsidR="00EC10BF" w:rsidRPr="6967B2CC">
        <w:t xml:space="preserve"> </w:t>
      </w:r>
      <w:r w:rsidRPr="6967B2CC">
        <w:t xml:space="preserve">after the Review period, </w:t>
      </w:r>
      <w:r w:rsidR="007A2C41" w:rsidRPr="6967B2CC">
        <w:t xml:space="preserve">in </w:t>
      </w:r>
      <w:r w:rsidRPr="6967B2CC">
        <w:t xml:space="preserve">March 2023. </w:t>
      </w:r>
    </w:p>
    <w:p w14:paraId="1D334E83" w14:textId="35EBAE30" w:rsidR="009B1F40" w:rsidRPr="002C0233" w:rsidRDefault="009B1F40" w:rsidP="00894CD3">
      <w:pPr>
        <w:pStyle w:val="Bullet"/>
      </w:pPr>
      <w:r w:rsidRPr="1832D396">
        <w:t xml:space="preserve">There were four </w:t>
      </w:r>
      <w:r w:rsidR="00653663" w:rsidRPr="00653663">
        <w:t>Prescribed Body Corporate</w:t>
      </w:r>
      <w:r w:rsidR="00653663">
        <w:t>s (</w:t>
      </w:r>
      <w:r w:rsidRPr="1832D396">
        <w:t>PBCs</w:t>
      </w:r>
      <w:r w:rsidR="00653663">
        <w:t>)</w:t>
      </w:r>
      <w:r w:rsidRPr="1832D396">
        <w:t xml:space="preserve"> within the RATSIB area</w:t>
      </w:r>
      <w:r w:rsidR="005406DF" w:rsidRPr="1832D396">
        <w:t xml:space="preserve"> </w:t>
      </w:r>
      <w:r w:rsidRPr="1832D396">
        <w:t xml:space="preserve">(which were also Registered Aboriginal Parties under </w:t>
      </w:r>
      <w:r w:rsidR="00653663">
        <w:t>s</w:t>
      </w:r>
      <w:r w:rsidRPr="1832D396">
        <w:t>tate legislation</w:t>
      </w:r>
      <w:r w:rsidR="009D2AD1" w:rsidRPr="1832D396">
        <w:t xml:space="preserve">) and </w:t>
      </w:r>
      <w:r w:rsidR="00653663">
        <w:t>two</w:t>
      </w:r>
      <w:r w:rsidR="009D2AD1" w:rsidRPr="1832D396">
        <w:t xml:space="preserve"> Traditional Owner Group Entities (TOGE</w:t>
      </w:r>
      <w:r w:rsidR="00386B0D" w:rsidRPr="1832D396">
        <w:t>s) formed under the Settlement Act</w:t>
      </w:r>
      <w:r w:rsidR="00174B1D" w:rsidRPr="1832D396">
        <w:t>,</w:t>
      </w:r>
      <w:r w:rsidR="003E2058" w:rsidRPr="1832D396">
        <w:t xml:space="preserve"> </w:t>
      </w:r>
      <w:r w:rsidRPr="1832D396">
        <w:t>all of which were supported by FNLRS during the Review</w:t>
      </w:r>
      <w:r w:rsidR="00653663">
        <w:t xml:space="preserve"> period</w:t>
      </w:r>
      <w:r w:rsidRPr="1832D396">
        <w:t xml:space="preserve">. </w:t>
      </w:r>
      <w:r w:rsidR="0094305A" w:rsidRPr="00142465">
        <w:t>While formation of the TOGE is</w:t>
      </w:r>
      <w:r w:rsidR="0054293E">
        <w:t xml:space="preserve"> not</w:t>
      </w:r>
      <w:r w:rsidR="00DE59A2">
        <w:t xml:space="preserve"> formally</w:t>
      </w:r>
      <w:r w:rsidR="00D95B19">
        <w:t xml:space="preserve"> </w:t>
      </w:r>
      <w:r w:rsidR="0094305A" w:rsidRPr="00142465">
        <w:t xml:space="preserve">a native title outcome, reaching a comprehensive settlement under the </w:t>
      </w:r>
      <w:r w:rsidR="009D5B0B" w:rsidRPr="00E14D71">
        <w:t>Settlement Act</w:t>
      </w:r>
      <w:r w:rsidR="009D5B0B" w:rsidRPr="00142465" w:rsidDel="009D5B0B">
        <w:t xml:space="preserve"> </w:t>
      </w:r>
      <w:r w:rsidR="0094305A" w:rsidRPr="00142465">
        <w:t>is considered a native title outcome</w:t>
      </w:r>
      <w:r w:rsidR="007D395C">
        <w:t xml:space="preserve"> for the purposes of NIAA funding</w:t>
      </w:r>
      <w:r w:rsidR="0094305A" w:rsidRPr="00142465">
        <w:t xml:space="preserve">, </w:t>
      </w:r>
      <w:r w:rsidR="00DE59A2">
        <w:t>given</w:t>
      </w:r>
      <w:r w:rsidR="0094305A" w:rsidRPr="00142465">
        <w:t xml:space="preserve"> these groups chose not to pursue a native title determination because they had achieved a comprehensive settlement.</w:t>
      </w:r>
    </w:p>
    <w:p w14:paraId="5457C4C4" w14:textId="4D1A5F07" w:rsidR="009B1F40" w:rsidRDefault="009B1F40" w:rsidP="00894CD3">
      <w:pPr>
        <w:pStyle w:val="Bullet"/>
      </w:pPr>
      <w:r w:rsidRPr="6967B2CC">
        <w:t xml:space="preserve">FNLRS received variable levels of funding during the Review period. It received </w:t>
      </w:r>
      <w:r w:rsidR="00653663" w:rsidRPr="6967B2CC">
        <w:t xml:space="preserve">about </w:t>
      </w:r>
      <w:r w:rsidRPr="6967B2CC">
        <w:t>$3.7 million in</w:t>
      </w:r>
      <w:r w:rsidR="00653663" w:rsidRPr="6967B2CC">
        <w:t xml:space="preserve"> financial year</w:t>
      </w:r>
      <w:r w:rsidRPr="6967B2CC">
        <w:t xml:space="preserve"> </w:t>
      </w:r>
      <w:r w:rsidR="00653663" w:rsidRPr="6967B2CC">
        <w:t xml:space="preserve">(FY) </w:t>
      </w:r>
      <w:r w:rsidRPr="6967B2CC">
        <w:t>2019</w:t>
      </w:r>
      <w:r w:rsidR="00653663" w:rsidRPr="6967B2CC">
        <w:t>-</w:t>
      </w:r>
      <w:r w:rsidRPr="6967B2CC">
        <w:t>20, $3.4 million in FY2020</w:t>
      </w:r>
      <w:r w:rsidR="00653663" w:rsidRPr="6967B2CC">
        <w:t>-</w:t>
      </w:r>
      <w:r w:rsidRPr="6967B2CC">
        <w:t>21 and $4.3 million in FY2021</w:t>
      </w:r>
      <w:r w:rsidR="00653663" w:rsidRPr="6967B2CC">
        <w:t>-</w:t>
      </w:r>
      <w:r w:rsidRPr="6967B2CC">
        <w:t xml:space="preserve">22. </w:t>
      </w:r>
    </w:p>
    <w:p w14:paraId="4624707D" w14:textId="3F429C33" w:rsidR="009B1F40" w:rsidRDefault="009B1F40" w:rsidP="009B1F40">
      <w:r>
        <w:t>Over the course of the Review period, Directors on FNLRS’s Board were appointed by</w:t>
      </w:r>
      <w:r w:rsidR="00356737">
        <w:t xml:space="preserve"> t</w:t>
      </w:r>
      <w:r w:rsidR="00360B7A">
        <w:t>h</w:t>
      </w:r>
      <w:r w:rsidR="00356737">
        <w:t>e</w:t>
      </w:r>
      <w:r>
        <w:t xml:space="preserve"> Federation of Victorian Traditional Owners (the Federation)</w:t>
      </w:r>
      <w:r w:rsidR="00356737">
        <w:t>,</w:t>
      </w:r>
      <w:r>
        <w:t xml:space="preserve"> which was the sole member of FNLRS. The Board </w:t>
      </w:r>
      <w:r w:rsidRPr="007B17E1">
        <w:t xml:space="preserve">had </w:t>
      </w:r>
      <w:r w:rsidRPr="002B6669">
        <w:t>five</w:t>
      </w:r>
      <w:r>
        <w:t xml:space="preserve"> </w:t>
      </w:r>
      <w:r w:rsidR="00D7733E">
        <w:t>Directors</w:t>
      </w:r>
      <w:r>
        <w:t xml:space="preserve"> as of </w:t>
      </w:r>
      <w:r w:rsidRPr="00414964">
        <w:t>30 June 202</w:t>
      </w:r>
      <w:r>
        <w:t xml:space="preserve">2, with each serving a two-year term. The governance structure changed at the end of the Review period as the organisation formally </w:t>
      </w:r>
      <w:r w:rsidR="00153DE2">
        <w:t>“</w:t>
      </w:r>
      <w:r>
        <w:t>de-coupled</w:t>
      </w:r>
      <w:r w:rsidR="00153DE2">
        <w:t>”</w:t>
      </w:r>
      <w:r>
        <w:t xml:space="preserve"> from the Federation. This change meant that from 1 July 2022, Directors were no longer appointed by the Federation. </w:t>
      </w:r>
    </w:p>
    <w:p w14:paraId="70D80049" w14:textId="75D380A0" w:rsidR="009B1F40" w:rsidRDefault="009B1F40" w:rsidP="009B1F40">
      <w:pPr>
        <w:spacing w:after="165"/>
        <w:rPr>
          <w:lang w:eastAsia="en-AU"/>
        </w:rPr>
      </w:pPr>
      <w:r>
        <w:t>FNLRS has six senior management positions, including the</w:t>
      </w:r>
      <w:r w:rsidRPr="007B17E1">
        <w:t xml:space="preserve"> </w:t>
      </w:r>
      <w:r w:rsidR="00DA3747">
        <w:t>Chief Executive Officer (</w:t>
      </w:r>
      <w:r w:rsidRPr="007B17E1">
        <w:t>CEO</w:t>
      </w:r>
      <w:r w:rsidR="00DA3747">
        <w:t>)</w:t>
      </w:r>
      <w:r>
        <w:t xml:space="preserve">, Chief Financial Officer (CFO), </w:t>
      </w:r>
      <w:r w:rsidR="00DA3747">
        <w:rPr>
          <w:lang w:eastAsia="en-AU"/>
        </w:rPr>
        <w:t>Principal Legal Officer (</w:t>
      </w:r>
      <w:r>
        <w:t>PLO</w:t>
      </w:r>
      <w:r w:rsidR="00DA3747">
        <w:t>)</w:t>
      </w:r>
      <w:r>
        <w:t xml:space="preserve">, Deputy PLO, Research Manager and Corporate Services </w:t>
      </w:r>
      <w:r>
        <w:lastRenderedPageBreak/>
        <w:t>Manager.</w:t>
      </w:r>
      <w:r w:rsidR="00A06620">
        <w:t xml:space="preserve"> A</w:t>
      </w:r>
      <w:r w:rsidR="001D4ECE">
        <w:t xml:space="preserve">s </w:t>
      </w:r>
      <w:proofErr w:type="gramStart"/>
      <w:r w:rsidR="001D4ECE">
        <w:t>a</w:t>
      </w:r>
      <w:r>
        <w:t>t</w:t>
      </w:r>
      <w:proofErr w:type="gramEnd"/>
      <w:r>
        <w:t xml:space="preserve"> 30 June 2022, </w:t>
      </w:r>
      <w:r w:rsidRPr="007B17E1">
        <w:t>2</w:t>
      </w:r>
      <w:r>
        <w:t>0</w:t>
      </w:r>
      <w:r w:rsidRPr="007B17E1">
        <w:t xml:space="preserve"> per cent of employees</w:t>
      </w:r>
      <w:r>
        <w:t xml:space="preserve"> identified as Aboriginal and/or Torres Strait Islander. </w:t>
      </w:r>
      <w:r w:rsidR="00D7733E">
        <w:t>There is</w:t>
      </w:r>
      <w:r>
        <w:t xml:space="preserve"> one office, based in North Melbourne, Victoria, with two staff located regionally. </w:t>
      </w:r>
      <w:r>
        <w:rPr>
          <w:lang w:eastAsia="en-AU"/>
        </w:rPr>
        <w:br w:type="page"/>
      </w:r>
    </w:p>
    <w:p w14:paraId="547CF7A7" w14:textId="77777777" w:rsidR="003D0BE6" w:rsidRPr="003D0BE6" w:rsidRDefault="003D0BE6" w:rsidP="003D0BE6">
      <w:pPr>
        <w:keepNext/>
        <w:pageBreakBefore/>
        <w:numPr>
          <w:ilvl w:val="0"/>
          <w:numId w:val="2"/>
        </w:numPr>
        <w:spacing w:after="600" w:line="560" w:lineRule="exact"/>
        <w:outlineLvl w:val="0"/>
        <w:rPr>
          <w:rFonts w:eastAsia="Times New Roman" w:cs="Times New Roman"/>
          <w:b/>
          <w:color w:val="00264D"/>
          <w:sz w:val="36"/>
          <w:szCs w:val="19"/>
          <w:lang w:eastAsia="en-AU"/>
        </w:rPr>
      </w:pPr>
      <w:bookmarkStart w:id="2" w:name="_Toc163739465"/>
      <w:bookmarkStart w:id="3" w:name="_Toc170469979"/>
      <w:bookmarkStart w:id="4" w:name="_Ref170473222"/>
      <w:bookmarkStart w:id="5" w:name="_Toc144307587"/>
      <w:bookmarkStart w:id="6" w:name="_Toc153873414"/>
      <w:r w:rsidRPr="003D0BE6">
        <w:rPr>
          <w:rFonts w:eastAsia="Times New Roman" w:cs="Times New Roman"/>
          <w:b/>
          <w:color w:val="00264D"/>
          <w:sz w:val="36"/>
          <w:szCs w:val="19"/>
          <w:lang w:eastAsia="en-AU"/>
        </w:rPr>
        <w:lastRenderedPageBreak/>
        <w:t>Scope of the Review</w:t>
      </w:r>
      <w:bookmarkEnd w:id="2"/>
      <w:bookmarkEnd w:id="3"/>
      <w:bookmarkEnd w:id="4"/>
      <w:r w:rsidRPr="003D0BE6">
        <w:rPr>
          <w:rFonts w:eastAsia="Times New Roman" w:cs="Times New Roman"/>
          <w:b/>
          <w:color w:val="00264D"/>
          <w:sz w:val="36"/>
          <w:szCs w:val="19"/>
          <w:lang w:eastAsia="en-AU"/>
        </w:rPr>
        <w:t xml:space="preserve"> </w:t>
      </w:r>
    </w:p>
    <w:p w14:paraId="2CD33B36" w14:textId="5B49444B" w:rsidR="00627B92" w:rsidRDefault="00627B92" w:rsidP="00627B92">
      <w:r>
        <w:t xml:space="preserve">The National Indigenous Australians Agency (NIAA) has engaged Nous Group (Nous) to undertake an independent review of </w:t>
      </w:r>
      <w:r w:rsidRPr="00983AA5">
        <w:t xml:space="preserve">13 </w:t>
      </w:r>
      <w:r w:rsidR="000D43FC">
        <w:t>N</w:t>
      </w:r>
      <w:r w:rsidR="000D43FC" w:rsidRPr="007B7A51">
        <w:t>ative Title Representative Bodies</w:t>
      </w:r>
      <w:r w:rsidRPr="007B7A51">
        <w:t xml:space="preserve"> and</w:t>
      </w:r>
      <w:r w:rsidR="000D43FC" w:rsidRPr="007B7A51">
        <w:t xml:space="preserve"> Service Provide</w:t>
      </w:r>
      <w:r w:rsidRPr="007B7A51">
        <w:t>rs</w:t>
      </w:r>
      <w:r>
        <w:t xml:space="preserve"> (</w:t>
      </w:r>
      <w:r w:rsidRPr="00983AA5">
        <w:t>NTRB-SPs</w:t>
      </w:r>
      <w:r>
        <w:t xml:space="preserve">). </w:t>
      </w:r>
    </w:p>
    <w:p w14:paraId="3E9341E3" w14:textId="1E4BF864" w:rsidR="00627B92" w:rsidRDefault="00627B92" w:rsidP="00627B92">
      <w:pPr>
        <w:rPr>
          <w:lang w:eastAsia="en-AU"/>
        </w:rPr>
      </w:pPr>
      <w:r>
        <w:rPr>
          <w:lang w:eastAsia="en-AU"/>
        </w:rPr>
        <w:t xml:space="preserve">The purpose of this Review was to assess the individual and comparative performance of NTRB-SPs in delivering native title outcomes for Aboriginal and Torres Strait Islander people and communities under the </w:t>
      </w:r>
      <w:r>
        <w:t xml:space="preserve">NTA </w:t>
      </w:r>
      <w:r>
        <w:rPr>
          <w:lang w:eastAsia="en-AU"/>
        </w:rPr>
        <w:t xml:space="preserve">over </w:t>
      </w:r>
      <w:proofErr w:type="gramStart"/>
      <w:r>
        <w:rPr>
          <w:lang w:eastAsia="en-AU"/>
        </w:rPr>
        <w:t>a time period</w:t>
      </w:r>
      <w:proofErr w:type="gramEnd"/>
      <w:r>
        <w:rPr>
          <w:lang w:eastAsia="en-AU"/>
        </w:rPr>
        <w:t xml:space="preserve"> of 1 July 2019 to 30 June 2022.</w:t>
      </w:r>
    </w:p>
    <w:p w14:paraId="32536EF1" w14:textId="77777777" w:rsidR="003D0BE6" w:rsidRPr="003D0BE6" w:rsidRDefault="003D0BE6" w:rsidP="003D0BE6">
      <w:pPr>
        <w:rPr>
          <w:lang w:eastAsia="en-AU"/>
        </w:rPr>
      </w:pPr>
      <w:r w:rsidRPr="003D0BE6">
        <w:t xml:space="preserve">The Review is an opportunity to assess all the organisations over a consistent </w:t>
      </w:r>
      <w:proofErr w:type="gramStart"/>
      <w:r w:rsidRPr="003D0BE6">
        <w:t>time period</w:t>
      </w:r>
      <w:proofErr w:type="gramEnd"/>
      <w:r w:rsidRPr="003D0BE6">
        <w:t xml:space="preserve"> to understand performance during and post the COVID-19 pandemic and the extent to which organisations have addressed recommendations from previous organisational performance reviews.</w:t>
      </w:r>
    </w:p>
    <w:p w14:paraId="45D3E659" w14:textId="77777777" w:rsidR="003D0BE6" w:rsidRPr="003D0BE6" w:rsidRDefault="003D0BE6" w:rsidP="003D0BE6">
      <w:pPr>
        <w:rPr>
          <w:lang w:eastAsia="en-AU"/>
        </w:rPr>
      </w:pPr>
      <w:r w:rsidRPr="003D0BE6">
        <w:rPr>
          <w:lang w:eastAsia="en-AU"/>
        </w:rPr>
        <w:t>The Terms of Reference (TOR) provided by the NIAA for the Review are to determine the extent to which each organisation:</w:t>
      </w:r>
    </w:p>
    <w:p w14:paraId="6D38B327" w14:textId="77777777" w:rsidR="003D0BE6" w:rsidRPr="003D0BE6" w:rsidRDefault="003D0BE6" w:rsidP="00627B92">
      <w:pPr>
        <w:pStyle w:val="Bullet"/>
      </w:pPr>
      <w:r w:rsidRPr="00627B92">
        <w:t>has achieved positive native title outcomes for persons who hold or may hold native title in its region taking account, where relevant, of disruptions caused by COVID-19</w:t>
      </w:r>
    </w:p>
    <w:p w14:paraId="333DE2AB" w14:textId="77777777" w:rsidR="003D0BE6" w:rsidRPr="003D0BE6" w:rsidRDefault="003D0BE6" w:rsidP="00627B92">
      <w:pPr>
        <w:pStyle w:val="Bullet"/>
      </w:pPr>
      <w:r w:rsidRPr="6967B2CC">
        <w:t>assesses and prioritises applications for assistance in a manner that is equitable, transparent and robust and is well publicised and understood by clients and potential clients</w:t>
      </w:r>
    </w:p>
    <w:p w14:paraId="682D8B91" w14:textId="77777777" w:rsidR="003D0BE6" w:rsidRPr="003D0BE6" w:rsidRDefault="003D0BE6" w:rsidP="00627B92">
      <w:pPr>
        <w:pStyle w:val="Bullet"/>
      </w:pPr>
      <w:r w:rsidRPr="6967B2CC">
        <w:t>deals respectfully, equitably, transparently and in a culturally appropriate manner with persons who hold or may hold native title in its region, including by adequately investigating and resolving complaints</w:t>
      </w:r>
    </w:p>
    <w:p w14:paraId="36502486" w14:textId="77777777" w:rsidR="003D0BE6" w:rsidRPr="003D0BE6" w:rsidRDefault="003D0BE6" w:rsidP="00627B92">
      <w:pPr>
        <w:pStyle w:val="Bullet"/>
      </w:pPr>
      <w:r w:rsidRPr="6967B2CC">
        <w:t>performs its functions in a cost-effective manner, including by identifying the key cost drivers for the organisation</w:t>
      </w:r>
    </w:p>
    <w:p w14:paraId="3B960345" w14:textId="77777777" w:rsidR="003D0BE6" w:rsidRPr="003D0BE6" w:rsidRDefault="003D0BE6" w:rsidP="00627B92">
      <w:pPr>
        <w:pStyle w:val="Bullet"/>
      </w:pPr>
      <w:r w:rsidRPr="00627B92">
        <w:t>has governance and management structures, and organisational policies and an organisational culture that support efficient and effective project delivery</w:t>
      </w:r>
    </w:p>
    <w:p w14:paraId="050838B3" w14:textId="77777777" w:rsidR="003D0BE6" w:rsidRPr="003D0BE6" w:rsidRDefault="003D0BE6" w:rsidP="00627B92">
      <w:pPr>
        <w:pStyle w:val="Bullet"/>
      </w:pPr>
      <w:r w:rsidRPr="00627B92">
        <w:t>is adequately supporting PBCs towards self-sufficiency</w:t>
      </w:r>
    </w:p>
    <w:p w14:paraId="2773DB35" w14:textId="77777777" w:rsidR="003D0BE6" w:rsidRPr="003D0BE6" w:rsidRDefault="003D0BE6" w:rsidP="00627B92">
      <w:pPr>
        <w:pStyle w:val="Bullet"/>
      </w:pPr>
      <w:r w:rsidRPr="00627B92">
        <w:t>has developed its planning for a post-determination environment.</w:t>
      </w:r>
    </w:p>
    <w:p w14:paraId="22AD523A" w14:textId="73FF0FFC" w:rsidR="003D0BE6" w:rsidRPr="003D0BE6" w:rsidRDefault="003D0BE6" w:rsidP="003D0BE6">
      <w:r w:rsidRPr="003D0BE6">
        <w:t xml:space="preserve">The complete TOR are included in </w:t>
      </w:r>
      <w:r w:rsidR="00627B92">
        <w:rPr>
          <w:highlight w:val="magenta"/>
        </w:rPr>
        <w:fldChar w:fldCharType="begin"/>
      </w:r>
      <w:r w:rsidR="00627B92">
        <w:instrText xml:space="preserve"> REF _Ref164753157 \n \h </w:instrText>
      </w:r>
      <w:r w:rsidR="00627B92">
        <w:rPr>
          <w:highlight w:val="magenta"/>
        </w:rPr>
      </w:r>
      <w:r w:rsidR="00627B92">
        <w:rPr>
          <w:highlight w:val="magenta"/>
        </w:rPr>
        <w:fldChar w:fldCharType="separate"/>
      </w:r>
      <w:r w:rsidR="00AB7E95">
        <w:t>Appendix A</w:t>
      </w:r>
      <w:r w:rsidR="00627B92">
        <w:rPr>
          <w:highlight w:val="magenta"/>
        </w:rPr>
        <w:fldChar w:fldCharType="end"/>
      </w:r>
      <w:r w:rsidRPr="003D0BE6">
        <w:t xml:space="preserve">. </w:t>
      </w:r>
    </w:p>
    <w:p w14:paraId="0DF2894B" w14:textId="77777777" w:rsidR="003D0BE6" w:rsidRPr="003D0BE6" w:rsidRDefault="003D0BE6" w:rsidP="00C4490F">
      <w:pPr>
        <w:pStyle w:val="Heading5"/>
      </w:pPr>
      <w:r w:rsidRPr="003D0BE6">
        <w:t xml:space="preserve">Methodology </w:t>
      </w:r>
    </w:p>
    <w:p w14:paraId="2C89CC5A" w14:textId="77777777" w:rsidR="003D0BE6" w:rsidRPr="003D0BE6" w:rsidRDefault="003D0BE6" w:rsidP="003D0BE6">
      <w:r w:rsidRPr="003D0BE6">
        <w:rPr>
          <w:lang w:eastAsia="en-AU"/>
        </w:rPr>
        <w:t>Nous</w:t>
      </w:r>
      <w:r w:rsidRPr="003D0BE6" w:rsidDel="00A05394">
        <w:rPr>
          <w:lang w:eastAsia="en-AU"/>
        </w:rPr>
        <w:t xml:space="preserve"> </w:t>
      </w:r>
      <w:r w:rsidRPr="003D0BE6">
        <w:rPr>
          <w:lang w:eastAsia="en-AU"/>
        </w:rPr>
        <w:t xml:space="preserve">originally designed </w:t>
      </w:r>
      <w:r w:rsidRPr="003D0BE6">
        <w:t>the methodology for the previous round of Reviews conducted from 2017 to 2021, which was reviewed at that time by NTRB-SPs and the NIAA. The methodology has been modified to incorporate lessons learned, streamline some previously repetitive elements, reflect current context and be consistent with the current TOR.</w:t>
      </w:r>
    </w:p>
    <w:p w14:paraId="3D7164D3" w14:textId="77777777" w:rsidR="003D0BE6" w:rsidRPr="003D0BE6" w:rsidRDefault="003D0BE6" w:rsidP="003D0BE6">
      <w:pPr>
        <w:rPr>
          <w:highlight w:val="yellow"/>
          <w:lang w:eastAsia="en-AU"/>
        </w:rPr>
      </w:pPr>
      <w:r w:rsidRPr="003D0BE6">
        <w:t xml:space="preserve">The method draws on a defined set of performance indicators under each TOR. These indicators combine qualitative and quantitative performance assessment and include external factors to account for the unique context within which each NTRB-SP operates, based on </w:t>
      </w:r>
      <w:r w:rsidRPr="003D0BE6">
        <w:rPr>
          <w:lang w:eastAsia="en-AU"/>
        </w:rPr>
        <w:t>broader social and geographical factors that impact performance.</w:t>
      </w:r>
    </w:p>
    <w:p w14:paraId="4235BB1C" w14:textId="1524D50E" w:rsidR="003D0BE6" w:rsidRPr="003D0BE6" w:rsidRDefault="003D0BE6" w:rsidP="003D0BE6">
      <w:pPr>
        <w:rPr>
          <w:lang w:eastAsia="en-AU"/>
        </w:rPr>
      </w:pPr>
      <w:r w:rsidRPr="003D0BE6">
        <w:rPr>
          <w:lang w:eastAsia="en-AU"/>
        </w:rPr>
        <w:t xml:space="preserve">Nous used a mixed method approach to undertaking </w:t>
      </w:r>
      <w:r w:rsidR="00BC71A5">
        <w:rPr>
          <w:lang w:eastAsia="en-AU"/>
        </w:rPr>
        <w:t>this Review</w:t>
      </w:r>
      <w:r w:rsidRPr="003D0BE6">
        <w:rPr>
          <w:lang w:eastAsia="en-AU"/>
        </w:rPr>
        <w:t xml:space="preserve">, including an analysis of quantitative data on the progress of claims, Future Acts and </w:t>
      </w:r>
      <w:r w:rsidR="00E218FA" w:rsidRPr="00E218FA">
        <w:rPr>
          <w:lang w:eastAsia="en-AU"/>
        </w:rPr>
        <w:t xml:space="preserve">Indigenous Land Use Agreements </w:t>
      </w:r>
      <w:r w:rsidR="00E218FA">
        <w:rPr>
          <w:lang w:eastAsia="en-AU"/>
        </w:rPr>
        <w:t>(</w:t>
      </w:r>
      <w:r w:rsidRPr="003D0BE6">
        <w:rPr>
          <w:lang w:eastAsia="en-AU"/>
        </w:rPr>
        <w:t>ILUA</w:t>
      </w:r>
      <w:r w:rsidR="00E218FA">
        <w:rPr>
          <w:lang w:eastAsia="en-AU"/>
        </w:rPr>
        <w:t>)</w:t>
      </w:r>
      <w:r w:rsidRPr="003D0BE6">
        <w:rPr>
          <w:lang w:eastAsia="en-AU"/>
        </w:rPr>
        <w:t>, performance against milestones, budgetary performance and staffing.</w:t>
      </w:r>
      <w:r w:rsidRPr="003D0BE6">
        <w:t xml:space="preserve"> A list of the data and documents that informed the Review can be found at </w:t>
      </w:r>
      <w:r w:rsidR="00247FCB">
        <w:rPr>
          <w:highlight w:val="magenta"/>
          <w:lang w:eastAsia="en-AU"/>
        </w:rPr>
        <w:fldChar w:fldCharType="begin"/>
      </w:r>
      <w:r w:rsidR="00247FCB">
        <w:instrText xml:space="preserve"> REF _Ref164753178 \n \h </w:instrText>
      </w:r>
      <w:r w:rsidR="00247FCB">
        <w:rPr>
          <w:highlight w:val="magenta"/>
          <w:lang w:eastAsia="en-AU"/>
        </w:rPr>
      </w:r>
      <w:r w:rsidR="00247FCB">
        <w:rPr>
          <w:highlight w:val="magenta"/>
          <w:lang w:eastAsia="en-AU"/>
        </w:rPr>
        <w:fldChar w:fldCharType="separate"/>
      </w:r>
      <w:r w:rsidR="00AB7E95">
        <w:t>Appendix C</w:t>
      </w:r>
      <w:r w:rsidR="00247FCB">
        <w:rPr>
          <w:highlight w:val="magenta"/>
          <w:lang w:eastAsia="en-AU"/>
        </w:rPr>
        <w:fldChar w:fldCharType="end"/>
      </w:r>
      <w:r w:rsidRPr="003D0BE6">
        <w:rPr>
          <w:lang w:eastAsia="en-AU"/>
        </w:rPr>
        <w:t>.</w:t>
      </w:r>
    </w:p>
    <w:p w14:paraId="2257ED73" w14:textId="5A2745C4" w:rsidR="003D0BE6" w:rsidRPr="003D0BE6" w:rsidRDefault="003D0BE6" w:rsidP="003D0BE6">
      <w:pPr>
        <w:rPr>
          <w:lang w:eastAsia="en-AU"/>
        </w:rPr>
      </w:pPr>
      <w:r w:rsidRPr="003D0BE6">
        <w:rPr>
          <w:lang w:eastAsia="en-AU"/>
        </w:rPr>
        <w:lastRenderedPageBreak/>
        <w:t xml:space="preserve">The quantitative analysis was complemented by stakeholder interviews. As required by the NIAA, and in accordance with the TOR, this </w:t>
      </w:r>
      <w:r w:rsidR="006238F0">
        <w:rPr>
          <w:lang w:eastAsia="en-AU"/>
        </w:rPr>
        <w:t>R</w:t>
      </w:r>
      <w:r w:rsidRPr="003D0BE6">
        <w:rPr>
          <w:lang w:eastAsia="en-AU"/>
        </w:rPr>
        <w:t xml:space="preserve">eview involved consultations with persons affected by the activities of each NTRB-SP, including Traditional Owners, PBCs, staff of the NTRB-SP, state governments, NIAA, the Federal Court and legal stakeholders. A list of the stakeholder consultations undertaken for this </w:t>
      </w:r>
      <w:r w:rsidR="006238F0">
        <w:rPr>
          <w:lang w:eastAsia="en-AU"/>
        </w:rPr>
        <w:t>R</w:t>
      </w:r>
      <w:r w:rsidRPr="003D0BE6">
        <w:rPr>
          <w:lang w:eastAsia="en-AU"/>
        </w:rPr>
        <w:t xml:space="preserve">eview is set out in </w:t>
      </w:r>
      <w:r w:rsidR="00247FCB">
        <w:rPr>
          <w:highlight w:val="magenta"/>
          <w:lang w:eastAsia="en-AU"/>
        </w:rPr>
        <w:fldChar w:fldCharType="begin"/>
      </w:r>
      <w:r w:rsidR="00247FCB">
        <w:rPr>
          <w:lang w:eastAsia="en-AU"/>
        </w:rPr>
        <w:instrText xml:space="preserve"> REF _Ref164753184 \n \h </w:instrText>
      </w:r>
      <w:r w:rsidR="00247FCB">
        <w:rPr>
          <w:highlight w:val="magenta"/>
          <w:lang w:eastAsia="en-AU"/>
        </w:rPr>
      </w:r>
      <w:r w:rsidR="00247FCB">
        <w:rPr>
          <w:highlight w:val="magenta"/>
          <w:lang w:eastAsia="en-AU"/>
        </w:rPr>
        <w:fldChar w:fldCharType="separate"/>
      </w:r>
      <w:r w:rsidR="00AB7E95">
        <w:rPr>
          <w:lang w:eastAsia="en-AU"/>
        </w:rPr>
        <w:t>Appendix B</w:t>
      </w:r>
      <w:r w:rsidR="00247FCB">
        <w:rPr>
          <w:highlight w:val="magenta"/>
          <w:lang w:eastAsia="en-AU"/>
        </w:rPr>
        <w:fldChar w:fldCharType="end"/>
      </w:r>
      <w:r w:rsidRPr="003D0BE6">
        <w:rPr>
          <w:lang w:eastAsia="en-AU"/>
        </w:rPr>
        <w:t>.</w:t>
      </w:r>
    </w:p>
    <w:p w14:paraId="223D2B2C" w14:textId="651B91FC" w:rsidR="003D0BE6" w:rsidRPr="003D0BE6" w:rsidRDefault="003D0BE6" w:rsidP="003D0BE6">
      <w:pPr>
        <w:rPr>
          <w:lang w:eastAsia="en-AU"/>
        </w:rPr>
      </w:pPr>
      <w:r w:rsidRPr="003D0BE6">
        <w:t xml:space="preserve">A full description of the methodology and the performance indicators under each TOR </w:t>
      </w:r>
      <w:r w:rsidR="00997BF1">
        <w:t>was provided to e</w:t>
      </w:r>
      <w:r w:rsidR="00F1071B">
        <w:t>a</w:t>
      </w:r>
      <w:r w:rsidR="00997BF1">
        <w:t>ch NTRB-SP</w:t>
      </w:r>
      <w:r w:rsidR="00A04611">
        <w:t>.</w:t>
      </w:r>
      <w:r w:rsidRPr="00DA085D">
        <w:t xml:space="preserve"> Nous used a variety of methods to contact stakeholders, including Traditional Owners, for feedback. The approach to stakeholder consultation for the </w:t>
      </w:r>
      <w:r w:rsidR="00DA085D" w:rsidRPr="00DA085D">
        <w:t>Review</w:t>
      </w:r>
      <w:r w:rsidRPr="00DA085D">
        <w:t xml:space="preserve"> was set out in </w:t>
      </w:r>
      <w:r w:rsidR="00F1071B" w:rsidRPr="00DA085D">
        <w:t xml:space="preserve">the Consultation Plan, which was also provided to each </w:t>
      </w:r>
      <w:r w:rsidR="00DA085D" w:rsidRPr="00DA085D">
        <w:t>NTRB-SP</w:t>
      </w:r>
      <w:r w:rsidR="00F1071B" w:rsidRPr="00DA085D">
        <w:t xml:space="preserve"> at the outset</w:t>
      </w:r>
      <w:r w:rsidR="00A04611" w:rsidRPr="00DA085D">
        <w:t>.</w:t>
      </w:r>
    </w:p>
    <w:p w14:paraId="1FADFB06" w14:textId="77777777" w:rsidR="003D0BE6" w:rsidRPr="003D0BE6" w:rsidRDefault="003D0BE6" w:rsidP="00C4490F">
      <w:pPr>
        <w:pStyle w:val="Heading5"/>
      </w:pPr>
      <w:r w:rsidRPr="003D0BE6">
        <w:t xml:space="preserve">Limitations </w:t>
      </w:r>
    </w:p>
    <w:p w14:paraId="7083C5F5" w14:textId="77777777" w:rsidR="003D0BE6" w:rsidRPr="003D0BE6" w:rsidRDefault="003D0BE6" w:rsidP="003D0BE6">
      <w:pPr>
        <w:rPr>
          <w:lang w:eastAsia="en-AU"/>
        </w:rPr>
      </w:pPr>
      <w:r w:rsidRPr="003D0BE6">
        <w:rPr>
          <w:lang w:eastAsia="en-AU"/>
        </w:rPr>
        <w:t xml:space="preserve">Nous acknowledges that, despite best efforts to seek broad feedback: </w:t>
      </w:r>
    </w:p>
    <w:p w14:paraId="0A4E2B5D" w14:textId="7FDDB6F3" w:rsidR="003D0BE6" w:rsidRPr="003D0BE6" w:rsidRDefault="003D0BE6" w:rsidP="003D0BE6">
      <w:pPr>
        <w:numPr>
          <w:ilvl w:val="0"/>
          <w:numId w:val="4"/>
        </w:numPr>
        <w:suppressAutoHyphens/>
        <w:rPr>
          <w:rFonts w:eastAsia="Times New Roman" w:cs="Times New Roman"/>
          <w:szCs w:val="19"/>
          <w:lang w:eastAsia="en-AU"/>
        </w:rPr>
      </w:pPr>
      <w:r w:rsidRPr="003D0BE6">
        <w:rPr>
          <w:rFonts w:eastAsia="Times New Roman" w:cs="Times New Roman"/>
          <w:szCs w:val="19"/>
          <w:lang w:eastAsia="en-AU"/>
        </w:rPr>
        <w:t xml:space="preserve">only a limited number of stakeholders provided feedback (see </w:t>
      </w:r>
      <w:r w:rsidR="00247FCB">
        <w:rPr>
          <w:rFonts w:eastAsia="Times New Roman" w:cs="Times New Roman"/>
          <w:szCs w:val="19"/>
          <w:highlight w:val="magenta"/>
          <w:lang w:eastAsia="en-AU"/>
        </w:rPr>
        <w:fldChar w:fldCharType="begin"/>
      </w:r>
      <w:r w:rsidR="00247FCB">
        <w:rPr>
          <w:rFonts w:eastAsia="Times New Roman" w:cs="Times New Roman"/>
          <w:szCs w:val="19"/>
          <w:lang w:eastAsia="en-AU"/>
        </w:rPr>
        <w:instrText xml:space="preserve"> REF _Ref164753184 \n \h </w:instrText>
      </w:r>
      <w:r w:rsidR="00247FCB">
        <w:rPr>
          <w:rFonts w:eastAsia="Times New Roman" w:cs="Times New Roman"/>
          <w:szCs w:val="19"/>
          <w:highlight w:val="magenta"/>
          <w:lang w:eastAsia="en-AU"/>
        </w:rPr>
      </w:r>
      <w:r w:rsidR="00247FCB">
        <w:rPr>
          <w:rFonts w:eastAsia="Times New Roman" w:cs="Times New Roman"/>
          <w:szCs w:val="19"/>
          <w:highlight w:val="magenta"/>
          <w:lang w:eastAsia="en-AU"/>
        </w:rPr>
        <w:fldChar w:fldCharType="separate"/>
      </w:r>
      <w:r w:rsidR="00AB7E95">
        <w:rPr>
          <w:rFonts w:eastAsia="Times New Roman" w:cs="Times New Roman"/>
          <w:szCs w:val="19"/>
          <w:lang w:eastAsia="en-AU"/>
        </w:rPr>
        <w:t>Appendix B</w:t>
      </w:r>
      <w:r w:rsidR="00247FCB">
        <w:rPr>
          <w:rFonts w:eastAsia="Times New Roman" w:cs="Times New Roman"/>
          <w:szCs w:val="19"/>
          <w:highlight w:val="magenta"/>
          <w:lang w:eastAsia="en-AU"/>
        </w:rPr>
        <w:fldChar w:fldCharType="end"/>
      </w:r>
      <w:r w:rsidRPr="003D0BE6">
        <w:rPr>
          <w:rFonts w:eastAsia="Times New Roman" w:cs="Times New Roman"/>
          <w:szCs w:val="19"/>
          <w:lang w:eastAsia="en-AU"/>
        </w:rPr>
        <w:t xml:space="preserve"> for further detail)</w:t>
      </w:r>
    </w:p>
    <w:p w14:paraId="73E23CDD" w14:textId="77777777" w:rsidR="003D0BE6" w:rsidRPr="003D0BE6" w:rsidRDefault="003D0BE6" w:rsidP="003D0BE6">
      <w:pPr>
        <w:numPr>
          <w:ilvl w:val="0"/>
          <w:numId w:val="4"/>
        </w:numPr>
        <w:suppressAutoHyphens/>
        <w:rPr>
          <w:rFonts w:eastAsia="Times New Roman" w:cs="Times New Roman"/>
          <w:szCs w:val="19"/>
          <w:lang w:eastAsia="en-AU"/>
        </w:rPr>
      </w:pPr>
      <w:r w:rsidRPr="003D0BE6">
        <w:rPr>
          <w:rFonts w:eastAsia="Times New Roman" w:cs="Times New Roman"/>
          <w:szCs w:val="19"/>
          <w:lang w:eastAsia="en-AU"/>
        </w:rPr>
        <w:t>stakeholders who responded to the call for feedback were, in the main, those who were dissatisfied with the process or outcome of their native title claim.</w:t>
      </w:r>
    </w:p>
    <w:p w14:paraId="4C1B573F" w14:textId="525528F2" w:rsidR="00603479" w:rsidRDefault="00603479" w:rsidP="003D0BE6">
      <w:pPr>
        <w:rPr>
          <w:lang w:eastAsia="en-AU"/>
        </w:rPr>
      </w:pPr>
      <w:r w:rsidRPr="00603479">
        <w:rPr>
          <w:lang w:eastAsia="en-AU"/>
        </w:rPr>
        <w:t xml:space="preserve">Accordingly, Nous appreciates that the views of the consulted stakeholders may not be representative of the views of most stakeholders who </w:t>
      </w:r>
      <w:proofErr w:type="gramStart"/>
      <w:r w:rsidRPr="00603479">
        <w:rPr>
          <w:lang w:eastAsia="en-AU"/>
        </w:rPr>
        <w:t>actually interacted</w:t>
      </w:r>
      <w:proofErr w:type="gramEnd"/>
      <w:r w:rsidRPr="00603479">
        <w:rPr>
          <w:lang w:eastAsia="en-AU"/>
        </w:rPr>
        <w:t xml:space="preserve"> with, or used the services of, each NTRB-SP.</w:t>
      </w:r>
    </w:p>
    <w:p w14:paraId="18954281" w14:textId="7EA99DE5" w:rsidR="003D0BE6" w:rsidRPr="003D0BE6" w:rsidRDefault="003D0BE6" w:rsidP="003D0BE6">
      <w:pPr>
        <w:rPr>
          <w:lang w:eastAsia="en-AU"/>
        </w:rPr>
      </w:pPr>
      <w:r w:rsidRPr="003D0BE6">
        <w:rPr>
          <w:lang w:eastAsia="en-AU"/>
        </w:rPr>
        <w:t xml:space="preserve">As part of the consultation process, Nous listened to the views of Traditional Owners across all regions of Australia, including Traditional Owners who were dissatisfied with the process or outcome of their native title claim. </w:t>
      </w:r>
    </w:p>
    <w:p w14:paraId="3125100D" w14:textId="7003A26C" w:rsidR="003D0BE6" w:rsidRPr="003D0BE6" w:rsidRDefault="003D0BE6" w:rsidP="003D0BE6">
      <w:pPr>
        <w:rPr>
          <w:lang w:eastAsia="en-AU"/>
        </w:rPr>
      </w:pPr>
      <w:r w:rsidRPr="003D0BE6">
        <w:rPr>
          <w:lang w:eastAsia="en-AU"/>
        </w:rPr>
        <w:t xml:space="preserve">These concerns and complaints have been acknowledged and reported (as communicated to Nous) as part of this </w:t>
      </w:r>
      <w:r w:rsidR="00023BA4">
        <w:rPr>
          <w:lang w:eastAsia="en-AU"/>
        </w:rPr>
        <w:t>R</w:t>
      </w:r>
      <w:r w:rsidRPr="003D0BE6">
        <w:rPr>
          <w:lang w:eastAsia="en-AU"/>
        </w:rPr>
        <w:t xml:space="preserve">eview. </w:t>
      </w:r>
    </w:p>
    <w:p w14:paraId="75E59D9C" w14:textId="48BE6417" w:rsidR="003D0BE6" w:rsidRPr="003D0BE6" w:rsidRDefault="003D0BE6" w:rsidP="003D0BE6">
      <w:pPr>
        <w:rPr>
          <w:lang w:eastAsia="en-AU"/>
        </w:rPr>
      </w:pPr>
      <w:r w:rsidRPr="003D0BE6">
        <w:rPr>
          <w:lang w:eastAsia="en-AU"/>
        </w:rPr>
        <w:t xml:space="preserve">It is acknowledged that Nous has not investigated or assessed the merits of these concerns, as part of this </w:t>
      </w:r>
      <w:r w:rsidR="00023BA4">
        <w:rPr>
          <w:lang w:eastAsia="en-AU"/>
        </w:rPr>
        <w:t>R</w:t>
      </w:r>
      <w:r w:rsidRPr="003D0BE6">
        <w:rPr>
          <w:lang w:eastAsia="en-AU"/>
        </w:rPr>
        <w:t>eview. This falls outside the scope of Nous’ role and the TOR. Accordingly, no statement is made regarding the legitimacy of these concerns or complaints</w:t>
      </w:r>
      <w:r w:rsidR="000D5B4B">
        <w:rPr>
          <w:lang w:eastAsia="en-AU"/>
        </w:rPr>
        <w:t>.</w:t>
      </w:r>
    </w:p>
    <w:p w14:paraId="04DC502D" w14:textId="77777777" w:rsidR="003D0BE6" w:rsidRDefault="003D0BE6" w:rsidP="003D0BE6">
      <w:pPr>
        <w:rPr>
          <w:lang w:eastAsia="en-AU"/>
        </w:rPr>
      </w:pPr>
      <w:r w:rsidRPr="003D0BE6">
        <w:rPr>
          <w:lang w:eastAsia="en-AU"/>
        </w:rPr>
        <w:t>NTRB-SPs have been given the opportunity to view the draft reports and to provide feedback to Nous about the issues raised in them. They will also be given the opportunity to make a formal response at the time of publication.</w:t>
      </w:r>
    </w:p>
    <w:p w14:paraId="1E7DA042" w14:textId="77777777" w:rsidR="00E672A4" w:rsidRDefault="00E672A4" w:rsidP="003D0BE6">
      <w:pPr>
        <w:rPr>
          <w:lang w:eastAsia="en-AU"/>
        </w:rPr>
      </w:pPr>
    </w:p>
    <w:p w14:paraId="5CC0B907" w14:textId="77777777" w:rsidR="00E672A4" w:rsidRPr="00E672A4" w:rsidRDefault="00E672A4" w:rsidP="00E672A4">
      <w:pPr>
        <w:keepNext/>
        <w:pageBreakBefore/>
        <w:numPr>
          <w:ilvl w:val="0"/>
          <w:numId w:val="2"/>
        </w:numPr>
        <w:spacing w:after="600" w:line="560" w:lineRule="exact"/>
        <w:outlineLvl w:val="0"/>
        <w:rPr>
          <w:rFonts w:eastAsia="Times New Roman" w:cs="Times New Roman"/>
          <w:b/>
          <w:color w:val="00264D"/>
          <w:sz w:val="36"/>
          <w:szCs w:val="19"/>
          <w:lang w:eastAsia="en-AU"/>
        </w:rPr>
      </w:pPr>
      <w:bookmarkStart w:id="7" w:name="_Toc163739466"/>
      <w:bookmarkStart w:id="8" w:name="_Toc170469980"/>
      <w:r w:rsidRPr="00E672A4">
        <w:rPr>
          <w:rFonts w:eastAsia="Times New Roman" w:cs="Times New Roman"/>
          <w:b/>
          <w:color w:val="00264D"/>
          <w:sz w:val="36"/>
          <w:szCs w:val="19"/>
          <w:lang w:eastAsia="en-AU"/>
        </w:rPr>
        <w:lastRenderedPageBreak/>
        <w:t>List of abbreviations</w:t>
      </w:r>
      <w:bookmarkEnd w:id="7"/>
      <w:bookmarkEnd w:id="8"/>
      <w:r w:rsidRPr="00E672A4">
        <w:rPr>
          <w:rFonts w:eastAsia="Times New Roman" w:cs="Times New Roman"/>
          <w:b/>
          <w:color w:val="00264D"/>
          <w:sz w:val="36"/>
          <w:szCs w:val="19"/>
          <w:lang w:eastAsia="en-AU"/>
        </w:rPr>
        <w:t xml:space="preserve"> </w:t>
      </w:r>
    </w:p>
    <w:tbl>
      <w:tblPr>
        <w:tblStyle w:val="TableGrid"/>
        <w:tblW w:w="0" w:type="auto"/>
        <w:tblLook w:val="04A0" w:firstRow="1" w:lastRow="0" w:firstColumn="1" w:lastColumn="0" w:noHBand="0" w:noVBand="1"/>
      </w:tblPr>
      <w:tblGrid>
        <w:gridCol w:w="2323"/>
        <w:gridCol w:w="6607"/>
      </w:tblGrid>
      <w:tr w:rsidR="00CF0B88" w14:paraId="2010F216" w14:textId="77777777">
        <w:trPr>
          <w:cnfStyle w:val="100000000000" w:firstRow="1" w:lastRow="0" w:firstColumn="0" w:lastColumn="0" w:oddVBand="0" w:evenVBand="0" w:oddHBand="0" w:evenHBand="0" w:firstRowFirstColumn="0" w:firstRowLastColumn="0" w:lastRowFirstColumn="0" w:lastRowLastColumn="0"/>
        </w:trPr>
        <w:tc>
          <w:tcPr>
            <w:tcW w:w="2323" w:type="dxa"/>
          </w:tcPr>
          <w:p w14:paraId="4747CF53" w14:textId="77777777" w:rsidR="00CF0B88" w:rsidRDefault="00CF0B88">
            <w:pPr>
              <w:pStyle w:val="TableNheader"/>
            </w:pPr>
            <w:r>
              <w:t>Abbreviation</w:t>
            </w:r>
          </w:p>
        </w:tc>
        <w:tc>
          <w:tcPr>
            <w:tcW w:w="6607" w:type="dxa"/>
          </w:tcPr>
          <w:p w14:paraId="28E97A98" w14:textId="77777777" w:rsidR="00CF0B88" w:rsidRDefault="00CF0B88">
            <w:pPr>
              <w:pStyle w:val="TableNheader"/>
            </w:pPr>
            <w:r>
              <w:t>Meaning</w:t>
            </w:r>
          </w:p>
        </w:tc>
      </w:tr>
      <w:tr w:rsidR="00B93B3A" w:rsidRPr="00073710" w14:paraId="2F2FDDF8"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7E3FEEAF" w14:textId="24B599C7" w:rsidR="00B93B3A" w:rsidRPr="00560519" w:rsidRDefault="00B93B3A" w:rsidP="00560519">
            <w:pPr>
              <w:pStyle w:val="TableNText"/>
              <w:rPr>
                <w:lang w:eastAsia="en-AU"/>
              </w:rPr>
            </w:pPr>
            <w:r w:rsidRPr="00560519">
              <w:rPr>
                <w:lang w:eastAsia="en-AU"/>
              </w:rPr>
              <w:t>Aboriginal Heritage Act</w:t>
            </w:r>
          </w:p>
        </w:tc>
        <w:tc>
          <w:tcPr>
            <w:tcW w:w="6607" w:type="dxa"/>
          </w:tcPr>
          <w:p w14:paraId="75B4ABCD" w14:textId="2713B48C" w:rsidR="00B93B3A" w:rsidRPr="00560519" w:rsidRDefault="00B93B3A" w:rsidP="00560519">
            <w:pPr>
              <w:pStyle w:val="TableNText"/>
              <w:rPr>
                <w:i/>
                <w:iCs/>
                <w:lang w:eastAsia="en-AU"/>
              </w:rPr>
            </w:pPr>
            <w:r w:rsidRPr="00560519">
              <w:rPr>
                <w:i/>
                <w:iCs/>
                <w:lang w:eastAsia="en-AU"/>
              </w:rPr>
              <w:t>Victorian Aboriginal Heritage Act 2006</w:t>
            </w:r>
          </w:p>
        </w:tc>
      </w:tr>
      <w:tr w:rsidR="00CF0B88" w14:paraId="12E2A043"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4523F9CD" w14:textId="77777777" w:rsidR="00CF0B88" w:rsidRDefault="00CF0B88">
            <w:pPr>
              <w:pStyle w:val="TableNText"/>
              <w:rPr>
                <w:lang w:eastAsia="en-AU"/>
              </w:rPr>
            </w:pPr>
            <w:r w:rsidRPr="00FA1437">
              <w:rPr>
                <w:lang w:eastAsia="en-AU"/>
              </w:rPr>
              <w:t>AGM</w:t>
            </w:r>
          </w:p>
        </w:tc>
        <w:tc>
          <w:tcPr>
            <w:tcW w:w="6607" w:type="dxa"/>
          </w:tcPr>
          <w:p w14:paraId="10331613" w14:textId="533F086F" w:rsidR="00CF0B88" w:rsidRDefault="00CF0B88">
            <w:pPr>
              <w:pStyle w:val="TableNText"/>
              <w:rPr>
                <w:lang w:eastAsia="en-AU"/>
              </w:rPr>
            </w:pPr>
            <w:r w:rsidRPr="00FA1437">
              <w:rPr>
                <w:lang w:eastAsia="en-AU"/>
              </w:rPr>
              <w:t xml:space="preserve">Annual </w:t>
            </w:r>
            <w:r w:rsidR="00930C7E" w:rsidRPr="00FA1437">
              <w:rPr>
                <w:lang w:eastAsia="en-AU"/>
              </w:rPr>
              <w:t>general meeting</w:t>
            </w:r>
          </w:p>
        </w:tc>
      </w:tr>
      <w:tr w:rsidR="00CF0B88" w14:paraId="287188D2"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5509F6A3" w14:textId="77777777" w:rsidR="00CF0B88" w:rsidRDefault="00CF0B88">
            <w:pPr>
              <w:pStyle w:val="TableNText"/>
              <w:rPr>
                <w:lang w:eastAsia="en-AU"/>
              </w:rPr>
            </w:pPr>
            <w:r w:rsidRPr="005F5DB4">
              <w:rPr>
                <w:lang w:eastAsia="en-AU"/>
              </w:rPr>
              <w:t>ARC</w:t>
            </w:r>
          </w:p>
        </w:tc>
        <w:tc>
          <w:tcPr>
            <w:tcW w:w="6607" w:type="dxa"/>
          </w:tcPr>
          <w:p w14:paraId="7A479D7C" w14:textId="77777777" w:rsidR="00CF0B88" w:rsidRDefault="00CF0B88">
            <w:pPr>
              <w:pStyle w:val="TableNText"/>
              <w:rPr>
                <w:lang w:eastAsia="en-AU"/>
              </w:rPr>
            </w:pPr>
            <w:r w:rsidRPr="005F5DB4">
              <w:rPr>
                <w:lang w:eastAsia="en-AU"/>
              </w:rPr>
              <w:t xml:space="preserve">Audit and Risk Committee </w:t>
            </w:r>
          </w:p>
        </w:tc>
      </w:tr>
      <w:tr w:rsidR="00CF0B88" w14:paraId="11CC22C1"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269AB3FC" w14:textId="77777777" w:rsidR="00CF0B88" w:rsidRDefault="00CF0B88">
            <w:pPr>
              <w:pStyle w:val="TableNText"/>
              <w:rPr>
                <w:lang w:eastAsia="en-AU"/>
              </w:rPr>
            </w:pPr>
            <w:r w:rsidRPr="007B17E1">
              <w:rPr>
                <w:lang w:eastAsia="en-AU"/>
              </w:rPr>
              <w:t>CEO</w:t>
            </w:r>
          </w:p>
        </w:tc>
        <w:tc>
          <w:tcPr>
            <w:tcW w:w="6607" w:type="dxa"/>
          </w:tcPr>
          <w:p w14:paraId="17F7A045" w14:textId="77777777" w:rsidR="00CF0B88" w:rsidRDefault="00CF0B88">
            <w:pPr>
              <w:pStyle w:val="TableNText"/>
              <w:rPr>
                <w:lang w:eastAsia="en-AU"/>
              </w:rPr>
            </w:pPr>
            <w:r>
              <w:rPr>
                <w:lang w:eastAsia="en-AU"/>
              </w:rPr>
              <w:t xml:space="preserve">Chief Executive Officer </w:t>
            </w:r>
          </w:p>
        </w:tc>
      </w:tr>
      <w:tr w:rsidR="00CF0B88" w14:paraId="6DF7133A"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5F5DF59E" w14:textId="77777777" w:rsidR="00CF0B88" w:rsidRDefault="00CF0B88">
            <w:pPr>
              <w:pStyle w:val="TableNText"/>
              <w:rPr>
                <w:lang w:eastAsia="en-AU"/>
              </w:rPr>
            </w:pPr>
            <w:r>
              <w:rPr>
                <w:lang w:eastAsia="en-AU"/>
              </w:rPr>
              <w:t>CFO</w:t>
            </w:r>
          </w:p>
        </w:tc>
        <w:tc>
          <w:tcPr>
            <w:tcW w:w="6607" w:type="dxa"/>
          </w:tcPr>
          <w:p w14:paraId="32A48E62" w14:textId="77777777" w:rsidR="00CF0B88" w:rsidRDefault="00CF0B88">
            <w:pPr>
              <w:pStyle w:val="TableNText"/>
              <w:rPr>
                <w:lang w:eastAsia="en-AU"/>
              </w:rPr>
            </w:pPr>
            <w:r>
              <w:rPr>
                <w:lang w:eastAsia="en-AU"/>
              </w:rPr>
              <w:t xml:space="preserve">Chief Financial Officer </w:t>
            </w:r>
          </w:p>
        </w:tc>
      </w:tr>
      <w:tr w:rsidR="00CF0B88" w14:paraId="291FEFA1"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3AA978CE" w14:textId="77777777" w:rsidR="00CF0B88" w:rsidRDefault="00CF0B88">
            <w:pPr>
              <w:pStyle w:val="TableNText"/>
              <w:rPr>
                <w:lang w:eastAsia="en-AU"/>
              </w:rPr>
            </w:pPr>
            <w:r w:rsidRPr="00761F69">
              <w:rPr>
                <w:lang w:eastAsia="en-AU"/>
              </w:rPr>
              <w:t>CLO</w:t>
            </w:r>
          </w:p>
        </w:tc>
        <w:tc>
          <w:tcPr>
            <w:tcW w:w="6607" w:type="dxa"/>
          </w:tcPr>
          <w:p w14:paraId="128C3D7F" w14:textId="77777777" w:rsidR="00CF0B88" w:rsidRDefault="00CF0B88">
            <w:pPr>
              <w:pStyle w:val="TableNText"/>
              <w:rPr>
                <w:lang w:eastAsia="en-AU"/>
              </w:rPr>
            </w:pPr>
            <w:r>
              <w:rPr>
                <w:lang w:eastAsia="en-AU"/>
              </w:rPr>
              <w:t>Community Liaison Officer</w:t>
            </w:r>
          </w:p>
        </w:tc>
      </w:tr>
      <w:tr w:rsidR="00CF0B88" w14:paraId="3CA06879"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4938B9B2" w14:textId="77777777" w:rsidR="00CF0B88" w:rsidRPr="00761F69" w:rsidRDefault="00CF0B88">
            <w:pPr>
              <w:pStyle w:val="TableNText"/>
              <w:rPr>
                <w:lang w:eastAsia="en-AU"/>
              </w:rPr>
            </w:pPr>
            <w:r>
              <w:rPr>
                <w:lang w:eastAsia="en-AU"/>
              </w:rPr>
              <w:t>FAN</w:t>
            </w:r>
          </w:p>
        </w:tc>
        <w:tc>
          <w:tcPr>
            <w:tcW w:w="6607" w:type="dxa"/>
          </w:tcPr>
          <w:p w14:paraId="2038C313" w14:textId="77777777" w:rsidR="00CF0B88" w:rsidRDefault="00CF0B88">
            <w:pPr>
              <w:pStyle w:val="TableNText"/>
              <w:rPr>
                <w:lang w:eastAsia="en-AU"/>
              </w:rPr>
            </w:pPr>
            <w:r>
              <w:rPr>
                <w:lang w:eastAsia="en-AU"/>
              </w:rPr>
              <w:t>Future Act notification</w:t>
            </w:r>
          </w:p>
        </w:tc>
      </w:tr>
      <w:tr w:rsidR="00CF0B88" w14:paraId="282B425C"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70D4C91D" w14:textId="77777777" w:rsidR="00CF0B88" w:rsidRDefault="00CF0B88">
            <w:pPr>
              <w:pStyle w:val="TableNText"/>
              <w:rPr>
                <w:lang w:eastAsia="en-AU"/>
              </w:rPr>
            </w:pPr>
            <w:r>
              <w:rPr>
                <w:lang w:eastAsia="en-AU"/>
              </w:rPr>
              <w:t>FARAC</w:t>
            </w:r>
          </w:p>
        </w:tc>
        <w:tc>
          <w:tcPr>
            <w:tcW w:w="6607" w:type="dxa"/>
          </w:tcPr>
          <w:p w14:paraId="2E34519A" w14:textId="77777777" w:rsidR="00CF0B88" w:rsidRDefault="00CF0B88">
            <w:pPr>
              <w:pStyle w:val="TableNText"/>
              <w:rPr>
                <w:lang w:eastAsia="en-AU"/>
              </w:rPr>
            </w:pPr>
            <w:r>
              <w:rPr>
                <w:lang w:eastAsia="en-AU"/>
              </w:rPr>
              <w:t xml:space="preserve">Facilitation and Assistance Requests Assessment Committee </w:t>
            </w:r>
          </w:p>
        </w:tc>
      </w:tr>
      <w:tr w:rsidR="00CF0B88" w14:paraId="0A6FE76D" w14:textId="77777777">
        <w:trPr>
          <w:cnfStyle w:val="000000100000" w:firstRow="0" w:lastRow="0" w:firstColumn="0" w:lastColumn="0" w:oddVBand="0" w:evenVBand="0" w:oddHBand="1" w:evenHBand="0" w:firstRowFirstColumn="0" w:firstRowLastColumn="0" w:lastRowFirstColumn="0" w:lastRowLastColumn="0"/>
        </w:trPr>
        <w:tc>
          <w:tcPr>
            <w:tcW w:w="2323" w:type="dxa"/>
            <w:vAlign w:val="top"/>
          </w:tcPr>
          <w:p w14:paraId="1E9D8CDB" w14:textId="77777777" w:rsidR="00CF0B88" w:rsidRDefault="00CF0B88">
            <w:pPr>
              <w:pStyle w:val="TableNText"/>
            </w:pPr>
            <w:r>
              <w:t>FNLRS</w:t>
            </w:r>
          </w:p>
        </w:tc>
        <w:tc>
          <w:tcPr>
            <w:tcW w:w="6607" w:type="dxa"/>
            <w:vAlign w:val="top"/>
          </w:tcPr>
          <w:p w14:paraId="1D316156" w14:textId="77777777" w:rsidR="00CF0B88" w:rsidRDefault="00CF0B88">
            <w:pPr>
              <w:pStyle w:val="TableNText"/>
            </w:pPr>
            <w:r>
              <w:t>First Nations Legal and Research Services</w:t>
            </w:r>
          </w:p>
        </w:tc>
      </w:tr>
      <w:tr w:rsidR="00CF0B88" w14:paraId="5C217A24"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060C88F8" w14:textId="77777777" w:rsidR="00CF0B88" w:rsidRDefault="00CF0B88">
            <w:pPr>
              <w:pStyle w:val="TableNText"/>
            </w:pPr>
            <w:r>
              <w:rPr>
                <w:lang w:eastAsia="en-AU"/>
              </w:rPr>
              <w:t>FVTOC</w:t>
            </w:r>
          </w:p>
        </w:tc>
        <w:tc>
          <w:tcPr>
            <w:tcW w:w="6607" w:type="dxa"/>
          </w:tcPr>
          <w:p w14:paraId="29EF4B1E" w14:textId="77777777" w:rsidR="00CF0B88" w:rsidRPr="00E76D10" w:rsidRDefault="00CF0B88">
            <w:pPr>
              <w:pStyle w:val="TableNText"/>
            </w:pPr>
            <w:r>
              <w:rPr>
                <w:lang w:eastAsia="en-AU"/>
              </w:rPr>
              <w:t>Federation of Victorian Traditional Owner Corporations</w:t>
            </w:r>
          </w:p>
        </w:tc>
      </w:tr>
      <w:tr w:rsidR="00CF0B88" w14:paraId="37681A33"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0B57926B" w14:textId="77777777" w:rsidR="00CF0B88" w:rsidRDefault="00CF0B88">
            <w:pPr>
              <w:pStyle w:val="TableNText"/>
              <w:rPr>
                <w:lang w:eastAsia="en-AU"/>
              </w:rPr>
            </w:pPr>
            <w:proofErr w:type="spellStart"/>
            <w:r>
              <w:t>GLaWAC</w:t>
            </w:r>
            <w:proofErr w:type="spellEnd"/>
          </w:p>
        </w:tc>
        <w:tc>
          <w:tcPr>
            <w:tcW w:w="6607" w:type="dxa"/>
          </w:tcPr>
          <w:p w14:paraId="3998D675" w14:textId="77777777" w:rsidR="00CF0B88" w:rsidRDefault="00CF0B88">
            <w:pPr>
              <w:pStyle w:val="TableNText"/>
              <w:rPr>
                <w:lang w:eastAsia="en-AU"/>
              </w:rPr>
            </w:pPr>
            <w:proofErr w:type="spellStart"/>
            <w:r w:rsidRPr="009717AF">
              <w:t>Gunaikurnai</w:t>
            </w:r>
            <w:proofErr w:type="spellEnd"/>
            <w:r w:rsidRPr="009717AF">
              <w:t xml:space="preserve"> Land and Waters Aboriginal Corporation </w:t>
            </w:r>
          </w:p>
        </w:tc>
      </w:tr>
      <w:tr w:rsidR="00CF0B88" w14:paraId="305B040C"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18D52249" w14:textId="77777777" w:rsidR="00CF0B88" w:rsidRDefault="00CF0B88">
            <w:pPr>
              <w:pStyle w:val="TableNText"/>
            </w:pPr>
            <w:r>
              <w:t>HR</w:t>
            </w:r>
          </w:p>
        </w:tc>
        <w:tc>
          <w:tcPr>
            <w:tcW w:w="6607" w:type="dxa"/>
          </w:tcPr>
          <w:p w14:paraId="43911838" w14:textId="77777777" w:rsidR="00CF0B88" w:rsidRPr="00C61F6C" w:rsidRDefault="00CF0B88">
            <w:pPr>
              <w:pStyle w:val="TableNText"/>
            </w:pPr>
            <w:r w:rsidRPr="00FA1437">
              <w:t>Human resources</w:t>
            </w:r>
          </w:p>
        </w:tc>
      </w:tr>
      <w:tr w:rsidR="00CF0B88" w14:paraId="572BB807"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2EB702D2" w14:textId="77777777" w:rsidR="00CF0B88" w:rsidRPr="00A57455" w:rsidRDefault="00CF0B88">
            <w:pPr>
              <w:pStyle w:val="TableNText"/>
            </w:pPr>
            <w:r>
              <w:t>ILUA</w:t>
            </w:r>
          </w:p>
        </w:tc>
        <w:tc>
          <w:tcPr>
            <w:tcW w:w="6607" w:type="dxa"/>
          </w:tcPr>
          <w:p w14:paraId="3DF4108D" w14:textId="77777777" w:rsidR="00CF0B88" w:rsidRPr="00A57455" w:rsidRDefault="00CF0B88">
            <w:pPr>
              <w:pStyle w:val="TableNText"/>
            </w:pPr>
            <w:r w:rsidRPr="003F061F">
              <w:t xml:space="preserve">Indigenous Land Use Agreements </w:t>
            </w:r>
          </w:p>
        </w:tc>
      </w:tr>
      <w:tr w:rsidR="00CF0B88" w14:paraId="19251F6A"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433FD755" w14:textId="77777777" w:rsidR="00CF0B88" w:rsidRDefault="00CF0B88">
            <w:pPr>
              <w:pStyle w:val="TableNText"/>
            </w:pPr>
            <w:r w:rsidRPr="00474368">
              <w:rPr>
                <w:lang w:eastAsia="en-AU"/>
              </w:rPr>
              <w:t>IRSD</w:t>
            </w:r>
          </w:p>
        </w:tc>
        <w:tc>
          <w:tcPr>
            <w:tcW w:w="6607" w:type="dxa"/>
          </w:tcPr>
          <w:p w14:paraId="0334BC36" w14:textId="77777777" w:rsidR="00CF0B88" w:rsidRPr="003F061F" w:rsidRDefault="00CF0B88">
            <w:pPr>
              <w:pStyle w:val="TableNText"/>
            </w:pPr>
            <w:r w:rsidRPr="00474368">
              <w:rPr>
                <w:lang w:eastAsia="en-AU"/>
              </w:rPr>
              <w:t xml:space="preserve">Index of Relative Socio-economic Disadvantage </w:t>
            </w:r>
          </w:p>
        </w:tc>
      </w:tr>
      <w:tr w:rsidR="009E00A9" w14:paraId="7938E362"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7D522479" w14:textId="232CA09F" w:rsidR="009E00A9" w:rsidRPr="00474368" w:rsidRDefault="009E00A9">
            <w:pPr>
              <w:pStyle w:val="TableNText"/>
              <w:rPr>
                <w:lang w:eastAsia="en-AU"/>
              </w:rPr>
            </w:pPr>
            <w:r w:rsidRPr="009E00A9">
              <w:rPr>
                <w:lang w:eastAsia="en-AU"/>
              </w:rPr>
              <w:t>LGA</w:t>
            </w:r>
          </w:p>
        </w:tc>
        <w:tc>
          <w:tcPr>
            <w:tcW w:w="6607" w:type="dxa"/>
          </w:tcPr>
          <w:p w14:paraId="534E2D9E" w14:textId="62C521AC" w:rsidR="009E00A9" w:rsidRPr="00474368" w:rsidRDefault="009E00A9">
            <w:pPr>
              <w:pStyle w:val="TableNText"/>
              <w:rPr>
                <w:lang w:eastAsia="en-AU"/>
              </w:rPr>
            </w:pPr>
            <w:r>
              <w:rPr>
                <w:lang w:eastAsia="en-AU"/>
              </w:rPr>
              <w:t>L</w:t>
            </w:r>
            <w:r w:rsidRPr="009E00A9">
              <w:rPr>
                <w:lang w:eastAsia="en-AU"/>
              </w:rPr>
              <w:t>ocal government area</w:t>
            </w:r>
          </w:p>
        </w:tc>
      </w:tr>
      <w:tr w:rsidR="00CF0B88" w14:paraId="6842ADDF"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4032D70A" w14:textId="77777777" w:rsidR="00CF0B88" w:rsidRPr="00474368" w:rsidRDefault="00CF0B88">
            <w:pPr>
              <w:pStyle w:val="TableNText"/>
              <w:rPr>
                <w:lang w:eastAsia="en-AU"/>
              </w:rPr>
            </w:pPr>
            <w:r>
              <w:t>NIAA</w:t>
            </w:r>
          </w:p>
        </w:tc>
        <w:tc>
          <w:tcPr>
            <w:tcW w:w="6607" w:type="dxa"/>
          </w:tcPr>
          <w:p w14:paraId="79706795" w14:textId="77777777" w:rsidR="00CF0B88" w:rsidRPr="00474368" w:rsidRDefault="00CF0B88">
            <w:pPr>
              <w:pStyle w:val="TableNText"/>
              <w:rPr>
                <w:lang w:eastAsia="en-AU"/>
              </w:rPr>
            </w:pPr>
            <w:r>
              <w:t xml:space="preserve">National Indigenous Australians Agency </w:t>
            </w:r>
          </w:p>
        </w:tc>
      </w:tr>
      <w:tr w:rsidR="00EC428C" w14:paraId="67DA9F08"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5A7F68AB" w14:textId="38FF337B" w:rsidR="00EC428C" w:rsidRDefault="00EC428C">
            <w:pPr>
              <w:pStyle w:val="TableNText"/>
            </w:pPr>
            <w:r>
              <w:t>NNTT</w:t>
            </w:r>
          </w:p>
        </w:tc>
        <w:tc>
          <w:tcPr>
            <w:tcW w:w="6607" w:type="dxa"/>
          </w:tcPr>
          <w:p w14:paraId="64DF5C09" w14:textId="750C6F93" w:rsidR="00EC428C" w:rsidRDefault="00EC428C">
            <w:pPr>
              <w:pStyle w:val="TableNText"/>
            </w:pPr>
            <w:r w:rsidRPr="00D463C2">
              <w:rPr>
                <w:rFonts w:cs="Segoe UI"/>
                <w:color w:val="000000" w:themeColor="text1"/>
                <w:szCs w:val="17"/>
                <w:lang w:eastAsia="en-AU"/>
              </w:rPr>
              <w:t>National Native Title Tribunal</w:t>
            </w:r>
          </w:p>
        </w:tc>
      </w:tr>
      <w:tr w:rsidR="00CF0B88" w14:paraId="101C34CD"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61152FD5" w14:textId="77777777" w:rsidR="00CF0B88" w:rsidRPr="00474368" w:rsidRDefault="00CF0B88">
            <w:pPr>
              <w:pStyle w:val="TableNText"/>
              <w:rPr>
                <w:lang w:eastAsia="en-AU"/>
              </w:rPr>
            </w:pPr>
            <w:r>
              <w:t>Nous</w:t>
            </w:r>
          </w:p>
        </w:tc>
        <w:tc>
          <w:tcPr>
            <w:tcW w:w="6607" w:type="dxa"/>
          </w:tcPr>
          <w:p w14:paraId="04D8E6D5" w14:textId="77777777" w:rsidR="00CF0B88" w:rsidRPr="00474368" w:rsidRDefault="00CF0B88">
            <w:pPr>
              <w:pStyle w:val="TableNText"/>
              <w:rPr>
                <w:lang w:eastAsia="en-AU"/>
              </w:rPr>
            </w:pPr>
            <w:r>
              <w:t xml:space="preserve">Nous Group </w:t>
            </w:r>
          </w:p>
        </w:tc>
      </w:tr>
      <w:tr w:rsidR="00CF0B88" w14:paraId="43DF695F"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25225186" w14:textId="77777777" w:rsidR="00CF0B88" w:rsidRPr="00474368" w:rsidRDefault="00CF0B88">
            <w:pPr>
              <w:pStyle w:val="TableNText"/>
              <w:rPr>
                <w:lang w:eastAsia="en-AU"/>
              </w:rPr>
            </w:pPr>
            <w:r w:rsidRPr="00983AA5">
              <w:t>NTRB-SP</w:t>
            </w:r>
          </w:p>
        </w:tc>
        <w:tc>
          <w:tcPr>
            <w:tcW w:w="6607" w:type="dxa"/>
          </w:tcPr>
          <w:p w14:paraId="309E4C3C" w14:textId="1C2F265E" w:rsidR="00CF0B88" w:rsidRPr="00474368" w:rsidRDefault="00CF0B88">
            <w:pPr>
              <w:pStyle w:val="TableNText"/>
              <w:rPr>
                <w:lang w:eastAsia="en-AU"/>
              </w:rPr>
            </w:pPr>
            <w:r>
              <w:t>N</w:t>
            </w:r>
            <w:r w:rsidRPr="007B7A51">
              <w:t xml:space="preserve">ative </w:t>
            </w:r>
            <w:r w:rsidR="000D43FC" w:rsidRPr="007B7A51">
              <w:t>Title Representative Bod</w:t>
            </w:r>
            <w:r w:rsidR="002D45EA">
              <w:t>y</w:t>
            </w:r>
            <w:r w:rsidRPr="007B7A51">
              <w:t xml:space="preserve"> and </w:t>
            </w:r>
            <w:r w:rsidR="000D43FC" w:rsidRPr="007B7A51">
              <w:t>Service Provider</w:t>
            </w:r>
          </w:p>
        </w:tc>
      </w:tr>
      <w:tr w:rsidR="00CF0B88" w14:paraId="6B63EA01"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6CDA379A" w14:textId="77777777" w:rsidR="00CF0B88" w:rsidRPr="00474368" w:rsidRDefault="00CF0B88">
            <w:pPr>
              <w:pStyle w:val="TableNText"/>
              <w:rPr>
                <w:lang w:eastAsia="en-AU"/>
              </w:rPr>
            </w:pPr>
            <w:r>
              <w:t>NTSP</w:t>
            </w:r>
          </w:p>
        </w:tc>
        <w:tc>
          <w:tcPr>
            <w:tcW w:w="6607" w:type="dxa"/>
          </w:tcPr>
          <w:p w14:paraId="0A9403D6" w14:textId="50BADB88" w:rsidR="00CF0B88" w:rsidRPr="00474368" w:rsidRDefault="00CF0B88">
            <w:pPr>
              <w:pStyle w:val="TableNText"/>
              <w:rPr>
                <w:lang w:eastAsia="en-AU"/>
              </w:rPr>
            </w:pPr>
            <w:r w:rsidRPr="000B04BF">
              <w:t xml:space="preserve">Native </w:t>
            </w:r>
            <w:r w:rsidR="00253D30" w:rsidRPr="000B04BF">
              <w:t>Title Service Provider</w:t>
            </w:r>
            <w:r w:rsidRPr="000B04BF">
              <w:t xml:space="preserve"> </w:t>
            </w:r>
          </w:p>
        </w:tc>
      </w:tr>
      <w:tr w:rsidR="00CF0B88" w14:paraId="7433ADD1"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73150A38" w14:textId="77777777" w:rsidR="00CF0B88" w:rsidRDefault="00CF0B88">
            <w:pPr>
              <w:pStyle w:val="TableNText"/>
            </w:pPr>
            <w:r>
              <w:rPr>
                <w:lang w:eastAsia="en-AU"/>
              </w:rPr>
              <w:t>ORIC</w:t>
            </w:r>
          </w:p>
        </w:tc>
        <w:tc>
          <w:tcPr>
            <w:tcW w:w="6607" w:type="dxa"/>
          </w:tcPr>
          <w:p w14:paraId="0935E8E1" w14:textId="77777777" w:rsidR="00CF0B88" w:rsidRPr="000B04BF" w:rsidRDefault="00CF0B88">
            <w:pPr>
              <w:pStyle w:val="TableNText"/>
            </w:pPr>
            <w:r w:rsidRPr="008711E6">
              <w:rPr>
                <w:lang w:eastAsia="en-AU"/>
              </w:rPr>
              <w:t>Office of the Registrar of Indigenous Corporations</w:t>
            </w:r>
          </w:p>
        </w:tc>
      </w:tr>
      <w:tr w:rsidR="00CF0B88" w14:paraId="5C16E4E4"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7DA01FF6" w14:textId="77777777" w:rsidR="00CF0B88" w:rsidRDefault="00CF0B88">
            <w:pPr>
              <w:pStyle w:val="TableNText"/>
            </w:pPr>
            <w:r w:rsidRPr="001E7292">
              <w:t>PBC</w:t>
            </w:r>
          </w:p>
        </w:tc>
        <w:tc>
          <w:tcPr>
            <w:tcW w:w="6607" w:type="dxa"/>
          </w:tcPr>
          <w:p w14:paraId="02F71615" w14:textId="77777777" w:rsidR="00CF0B88" w:rsidRPr="000B04BF" w:rsidRDefault="00CF0B88">
            <w:pPr>
              <w:pStyle w:val="TableNText"/>
            </w:pPr>
            <w:r w:rsidRPr="007519E2">
              <w:t>Prescribed Body Corporate</w:t>
            </w:r>
          </w:p>
        </w:tc>
      </w:tr>
      <w:tr w:rsidR="00CF0B88" w14:paraId="6C39A4BB"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7557E0AF" w14:textId="77777777" w:rsidR="00CF0B88" w:rsidRDefault="00CF0B88">
            <w:pPr>
              <w:pStyle w:val="TableNText"/>
            </w:pPr>
            <w:r>
              <w:t>PLO</w:t>
            </w:r>
          </w:p>
        </w:tc>
        <w:tc>
          <w:tcPr>
            <w:tcW w:w="6607" w:type="dxa"/>
          </w:tcPr>
          <w:p w14:paraId="475392F5" w14:textId="77777777" w:rsidR="00CF0B88" w:rsidRPr="000B04BF" w:rsidRDefault="00CF0B88">
            <w:pPr>
              <w:pStyle w:val="TableNText"/>
            </w:pPr>
            <w:r>
              <w:t>Principal Legal Officer</w:t>
            </w:r>
          </w:p>
        </w:tc>
      </w:tr>
      <w:tr w:rsidR="00CF0B88" w14:paraId="67AD1C66"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7A719111" w14:textId="77777777" w:rsidR="00CF0B88" w:rsidRDefault="00CF0B88">
            <w:pPr>
              <w:pStyle w:val="TableNText"/>
            </w:pPr>
            <w:r w:rsidRPr="00C90EF3">
              <w:t>RAP</w:t>
            </w:r>
          </w:p>
        </w:tc>
        <w:tc>
          <w:tcPr>
            <w:tcW w:w="6607" w:type="dxa"/>
          </w:tcPr>
          <w:p w14:paraId="71D7322F" w14:textId="77777777" w:rsidR="00CF0B88" w:rsidRDefault="00CF0B88">
            <w:pPr>
              <w:pStyle w:val="TableNText"/>
            </w:pPr>
            <w:r w:rsidRPr="00C90EF3">
              <w:t xml:space="preserve">Registered Aboriginal Party </w:t>
            </w:r>
          </w:p>
        </w:tc>
      </w:tr>
      <w:tr w:rsidR="00CF0B88" w14:paraId="130224B6"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77276179" w14:textId="77777777" w:rsidR="00CF0B88" w:rsidRDefault="00CF0B88">
            <w:pPr>
              <w:pStyle w:val="TableNText"/>
            </w:pPr>
            <w:r>
              <w:t>RATSIB</w:t>
            </w:r>
          </w:p>
        </w:tc>
        <w:tc>
          <w:tcPr>
            <w:tcW w:w="6607" w:type="dxa"/>
          </w:tcPr>
          <w:p w14:paraId="3CD358CA" w14:textId="7055BF7D" w:rsidR="00CF0B88" w:rsidRPr="000B04BF" w:rsidRDefault="00CF0B88">
            <w:pPr>
              <w:pStyle w:val="TableNText"/>
            </w:pPr>
            <w:r>
              <w:t>R</w:t>
            </w:r>
            <w:r w:rsidRPr="000B04BF">
              <w:t>epresentative Aboriginal</w:t>
            </w:r>
            <w:r w:rsidR="00253D30" w:rsidRPr="000B04BF">
              <w:t>/</w:t>
            </w:r>
            <w:r w:rsidRPr="000B04BF">
              <w:t xml:space="preserve">Torres Strait Islander </w:t>
            </w:r>
            <w:r w:rsidR="00253D30">
              <w:t>B</w:t>
            </w:r>
            <w:r w:rsidR="00253D30" w:rsidRPr="000B04BF">
              <w:t>ody</w:t>
            </w:r>
            <w:r w:rsidRPr="000B04BF">
              <w:t xml:space="preserve"> </w:t>
            </w:r>
          </w:p>
        </w:tc>
      </w:tr>
      <w:tr w:rsidR="00CF0B88" w14:paraId="78FF9C35"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54472019" w14:textId="77777777" w:rsidR="00CF0B88" w:rsidRPr="00A57455" w:rsidRDefault="00CF0B88">
            <w:pPr>
              <w:pStyle w:val="TableNText"/>
            </w:pPr>
            <w:r w:rsidRPr="00F55820">
              <w:lastRenderedPageBreak/>
              <w:t>RNTBC</w:t>
            </w:r>
          </w:p>
        </w:tc>
        <w:tc>
          <w:tcPr>
            <w:tcW w:w="6607" w:type="dxa"/>
          </w:tcPr>
          <w:p w14:paraId="47A751F2" w14:textId="77777777" w:rsidR="00CF0B88" w:rsidRPr="00A57455" w:rsidRDefault="00CF0B88">
            <w:pPr>
              <w:pStyle w:val="TableNText"/>
            </w:pPr>
            <w:r>
              <w:t>R</w:t>
            </w:r>
            <w:r w:rsidRPr="00F55820">
              <w:t>egistered native title bodies corporate</w:t>
            </w:r>
          </w:p>
        </w:tc>
      </w:tr>
      <w:tr w:rsidR="00923CCC" w14:paraId="349AE8EE"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25A76606" w14:textId="7F80F51C" w:rsidR="00923CCC" w:rsidRPr="00F55820" w:rsidRDefault="00923CCC">
            <w:pPr>
              <w:pStyle w:val="TableNText"/>
            </w:pPr>
            <w:r>
              <w:rPr>
                <w:rStyle w:val="cf01"/>
              </w:rPr>
              <w:t>RSA</w:t>
            </w:r>
          </w:p>
        </w:tc>
        <w:tc>
          <w:tcPr>
            <w:tcW w:w="6607" w:type="dxa"/>
          </w:tcPr>
          <w:p w14:paraId="2201A81B" w14:textId="1A047A55" w:rsidR="00923CCC" w:rsidRDefault="00923CCC">
            <w:pPr>
              <w:pStyle w:val="TableNText"/>
            </w:pPr>
            <w:r>
              <w:rPr>
                <w:rStyle w:val="cf01"/>
              </w:rPr>
              <w:t>Recognition and settlement agreement</w:t>
            </w:r>
          </w:p>
        </w:tc>
      </w:tr>
      <w:tr w:rsidR="00653663" w14:paraId="56138C35"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3BAD8DC0" w14:textId="10ACD5B1" w:rsidR="00653663" w:rsidRPr="00F55820" w:rsidRDefault="00653663">
            <w:pPr>
              <w:pStyle w:val="TableNText"/>
            </w:pPr>
            <w:r>
              <w:t>The Federation</w:t>
            </w:r>
          </w:p>
        </w:tc>
        <w:tc>
          <w:tcPr>
            <w:tcW w:w="6607" w:type="dxa"/>
          </w:tcPr>
          <w:p w14:paraId="0C23D79E" w14:textId="08A53892" w:rsidR="00653663" w:rsidRDefault="00653663">
            <w:pPr>
              <w:pStyle w:val="TableNText"/>
            </w:pPr>
            <w:r>
              <w:t>Federation of Victorian Traditional Owners</w:t>
            </w:r>
          </w:p>
        </w:tc>
      </w:tr>
      <w:tr w:rsidR="00CF0B88" w14:paraId="411C987D"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0118A1A8" w14:textId="77777777" w:rsidR="00CF0B88" w:rsidRDefault="00CF0B88">
            <w:pPr>
              <w:pStyle w:val="TableNText"/>
            </w:pPr>
            <w:r>
              <w:rPr>
                <w:iCs/>
              </w:rPr>
              <w:t xml:space="preserve">The </w:t>
            </w:r>
            <w:r w:rsidRPr="00C435EE">
              <w:rPr>
                <w:iCs/>
              </w:rPr>
              <w:t>NTA</w:t>
            </w:r>
          </w:p>
        </w:tc>
        <w:tc>
          <w:tcPr>
            <w:tcW w:w="6607" w:type="dxa"/>
          </w:tcPr>
          <w:p w14:paraId="28FE5C03" w14:textId="77777777" w:rsidR="00CF0B88" w:rsidRDefault="00CF0B88">
            <w:pPr>
              <w:pStyle w:val="TableNText"/>
            </w:pPr>
            <w:r>
              <w:rPr>
                <w:i/>
              </w:rPr>
              <w:t>Native Title</w:t>
            </w:r>
            <w:r>
              <w:rPr>
                <w:i/>
                <w:spacing w:val="-5"/>
              </w:rPr>
              <w:t xml:space="preserve"> </w:t>
            </w:r>
            <w:r>
              <w:rPr>
                <w:i/>
              </w:rPr>
              <w:t>Act</w:t>
            </w:r>
            <w:r>
              <w:rPr>
                <w:i/>
                <w:spacing w:val="-2"/>
              </w:rPr>
              <w:t xml:space="preserve"> </w:t>
            </w:r>
            <w:r>
              <w:rPr>
                <w:i/>
              </w:rPr>
              <w:t xml:space="preserve">1993 </w:t>
            </w:r>
            <w:r w:rsidRPr="00331EED">
              <w:rPr>
                <w:iCs/>
              </w:rPr>
              <w:t>(</w:t>
            </w:r>
            <w:proofErr w:type="spellStart"/>
            <w:r w:rsidRPr="00331EED">
              <w:rPr>
                <w:iCs/>
              </w:rPr>
              <w:t>Cth</w:t>
            </w:r>
            <w:proofErr w:type="spellEnd"/>
            <w:r w:rsidRPr="00331EED">
              <w:rPr>
                <w:iCs/>
              </w:rPr>
              <w:t>)</w:t>
            </w:r>
          </w:p>
        </w:tc>
      </w:tr>
      <w:tr w:rsidR="00CF0B88" w14:paraId="2B870E9B"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0112B7A3" w14:textId="77777777" w:rsidR="00CF0B88" w:rsidRPr="00A57455" w:rsidRDefault="00CF0B88">
            <w:pPr>
              <w:pStyle w:val="TableNText"/>
            </w:pPr>
            <w:r>
              <w:t>The Review period</w:t>
            </w:r>
          </w:p>
        </w:tc>
        <w:tc>
          <w:tcPr>
            <w:tcW w:w="6607" w:type="dxa"/>
          </w:tcPr>
          <w:p w14:paraId="461B9745" w14:textId="77777777" w:rsidR="00CF0B88" w:rsidRPr="00A57455" w:rsidRDefault="00CF0B88">
            <w:pPr>
              <w:pStyle w:val="TableNText"/>
            </w:pPr>
            <w:r w:rsidRPr="007301C8">
              <w:t>1 July 2019 to 30 June 2022</w:t>
            </w:r>
          </w:p>
        </w:tc>
      </w:tr>
      <w:tr w:rsidR="004A574B" w14:paraId="4FB88BD0"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240B6B13" w14:textId="714C37E6" w:rsidR="004A574B" w:rsidRDefault="004A574B">
            <w:pPr>
              <w:pStyle w:val="TableNText"/>
            </w:pPr>
            <w:r>
              <w:rPr>
                <w:iCs/>
                <w:lang w:eastAsia="en-AU"/>
              </w:rPr>
              <w:t>T</w:t>
            </w:r>
            <w:r w:rsidRPr="00D71911">
              <w:rPr>
                <w:iCs/>
                <w:lang w:eastAsia="en-AU"/>
              </w:rPr>
              <w:t>he Settlement Act</w:t>
            </w:r>
          </w:p>
        </w:tc>
        <w:tc>
          <w:tcPr>
            <w:tcW w:w="6607" w:type="dxa"/>
          </w:tcPr>
          <w:p w14:paraId="6517738B" w14:textId="76A954F4" w:rsidR="004A574B" w:rsidRPr="007301C8" w:rsidRDefault="004A574B">
            <w:pPr>
              <w:pStyle w:val="TableNText"/>
            </w:pPr>
            <w:r w:rsidRPr="00B61C0B">
              <w:rPr>
                <w:i/>
                <w:lang w:eastAsia="en-AU"/>
              </w:rPr>
              <w:t xml:space="preserve">Traditional Owner Settlement Act </w:t>
            </w:r>
            <w:r w:rsidRPr="00AB1634">
              <w:rPr>
                <w:i/>
                <w:lang w:eastAsia="en-AU"/>
              </w:rPr>
              <w:t>2010</w:t>
            </w:r>
          </w:p>
        </w:tc>
      </w:tr>
      <w:tr w:rsidR="00B93B3A" w14:paraId="12DF5F50"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79FE1978" w14:textId="77777777" w:rsidR="00B93B3A" w:rsidRPr="00FA1437" w:rsidRDefault="00B93B3A">
            <w:pPr>
              <w:pStyle w:val="TableNText"/>
              <w:rPr>
                <w:lang w:eastAsia="en-AU"/>
              </w:rPr>
            </w:pPr>
            <w:r w:rsidRPr="000A05F2">
              <w:t>The Treaty Act</w:t>
            </w:r>
          </w:p>
        </w:tc>
        <w:tc>
          <w:tcPr>
            <w:tcW w:w="6607" w:type="dxa"/>
          </w:tcPr>
          <w:p w14:paraId="2423F79F" w14:textId="77777777" w:rsidR="00B93B3A" w:rsidRPr="00FA1437" w:rsidRDefault="00B93B3A">
            <w:pPr>
              <w:pStyle w:val="TableNText"/>
              <w:rPr>
                <w:lang w:eastAsia="en-AU"/>
              </w:rPr>
            </w:pPr>
            <w:r w:rsidRPr="00981031">
              <w:rPr>
                <w:i/>
              </w:rPr>
              <w:t>Advancing the Treaty Process with Aboriginal Victorians Act 2018</w:t>
            </w:r>
            <w:r w:rsidRPr="000A05F2">
              <w:t xml:space="preserve"> </w:t>
            </w:r>
          </w:p>
        </w:tc>
      </w:tr>
      <w:tr w:rsidR="00CF0B88" w14:paraId="402647DA" w14:textId="77777777">
        <w:trPr>
          <w:cnfStyle w:val="000000100000" w:firstRow="0" w:lastRow="0" w:firstColumn="0" w:lastColumn="0" w:oddVBand="0" w:evenVBand="0" w:oddHBand="1" w:evenHBand="0" w:firstRowFirstColumn="0" w:firstRowLastColumn="0" w:lastRowFirstColumn="0" w:lastRowLastColumn="0"/>
        </w:trPr>
        <w:tc>
          <w:tcPr>
            <w:tcW w:w="2323" w:type="dxa"/>
          </w:tcPr>
          <w:p w14:paraId="77481BC2" w14:textId="77777777" w:rsidR="00CF0B88" w:rsidRDefault="00CF0B88">
            <w:pPr>
              <w:pStyle w:val="TableNText"/>
            </w:pPr>
            <w:r>
              <w:t>TOGE</w:t>
            </w:r>
          </w:p>
        </w:tc>
        <w:tc>
          <w:tcPr>
            <w:tcW w:w="6607" w:type="dxa"/>
          </w:tcPr>
          <w:p w14:paraId="245DDE4F" w14:textId="77777777" w:rsidR="00CF0B88" w:rsidRDefault="00CF0B88">
            <w:pPr>
              <w:pStyle w:val="TableNText"/>
            </w:pPr>
            <w:r>
              <w:t>Traditional Owner Group Entity</w:t>
            </w:r>
          </w:p>
        </w:tc>
      </w:tr>
      <w:tr w:rsidR="00CF0B88" w14:paraId="4FD9548D" w14:textId="77777777">
        <w:trPr>
          <w:cnfStyle w:val="000000010000" w:firstRow="0" w:lastRow="0" w:firstColumn="0" w:lastColumn="0" w:oddVBand="0" w:evenVBand="0" w:oddHBand="0" w:evenHBand="1" w:firstRowFirstColumn="0" w:firstRowLastColumn="0" w:lastRowFirstColumn="0" w:lastRowLastColumn="0"/>
        </w:trPr>
        <w:tc>
          <w:tcPr>
            <w:tcW w:w="2323" w:type="dxa"/>
          </w:tcPr>
          <w:p w14:paraId="179F5728" w14:textId="77777777" w:rsidR="00CF0B88" w:rsidRPr="0028519C" w:rsidRDefault="00CF0B88">
            <w:pPr>
              <w:pStyle w:val="TableNText"/>
              <w:rPr>
                <w:lang w:eastAsia="en-AU"/>
              </w:rPr>
            </w:pPr>
            <w:r>
              <w:rPr>
                <w:lang w:eastAsia="en-AU"/>
              </w:rPr>
              <w:t>TOR</w:t>
            </w:r>
          </w:p>
        </w:tc>
        <w:tc>
          <w:tcPr>
            <w:tcW w:w="6607" w:type="dxa"/>
          </w:tcPr>
          <w:p w14:paraId="56DF4EA8" w14:textId="77777777" w:rsidR="00CF0B88" w:rsidRPr="0028519C" w:rsidRDefault="00CF0B88">
            <w:pPr>
              <w:pStyle w:val="TableNText"/>
              <w:rPr>
                <w:lang w:eastAsia="en-AU"/>
              </w:rPr>
            </w:pPr>
            <w:r w:rsidRPr="00407282">
              <w:rPr>
                <w:lang w:eastAsia="en-AU"/>
              </w:rPr>
              <w:t>Terms of Reference</w:t>
            </w:r>
            <w:r>
              <w:rPr>
                <w:lang w:eastAsia="en-AU"/>
              </w:rPr>
              <w:t xml:space="preserve"> </w:t>
            </w:r>
          </w:p>
        </w:tc>
      </w:tr>
    </w:tbl>
    <w:p w14:paraId="2CC022C2" w14:textId="77777777" w:rsidR="002704E2" w:rsidRPr="002704E2" w:rsidRDefault="002704E2" w:rsidP="002704E2">
      <w:pPr>
        <w:keepNext/>
        <w:pageBreakBefore/>
        <w:numPr>
          <w:ilvl w:val="0"/>
          <w:numId w:val="2"/>
        </w:numPr>
        <w:spacing w:after="600" w:line="560" w:lineRule="exact"/>
        <w:outlineLvl w:val="0"/>
        <w:rPr>
          <w:rFonts w:eastAsia="Times New Roman" w:cs="Times New Roman"/>
          <w:b/>
          <w:color w:val="00264D"/>
          <w:sz w:val="36"/>
          <w:szCs w:val="19"/>
          <w:lang w:eastAsia="en-AU"/>
        </w:rPr>
      </w:pPr>
      <w:bookmarkStart w:id="9" w:name="_Toc163739467"/>
      <w:bookmarkStart w:id="10" w:name="_Toc170469981"/>
      <w:r w:rsidRPr="002704E2">
        <w:rPr>
          <w:rFonts w:eastAsia="Times New Roman" w:cs="Times New Roman"/>
          <w:b/>
          <w:color w:val="00264D"/>
          <w:sz w:val="36"/>
          <w:szCs w:val="19"/>
          <w:lang w:eastAsia="en-AU"/>
        </w:rPr>
        <w:lastRenderedPageBreak/>
        <w:t>Executive summary of performance and recommendations</w:t>
      </w:r>
      <w:bookmarkEnd w:id="9"/>
      <w:bookmarkEnd w:id="10"/>
    </w:p>
    <w:p w14:paraId="6202287E" w14:textId="2EB6DA39" w:rsidR="002704E2" w:rsidRPr="002704E2" w:rsidRDefault="002704E2" w:rsidP="002704E2">
      <w:pPr>
        <w:rPr>
          <w:lang w:eastAsia="en-AU"/>
        </w:rPr>
      </w:pPr>
      <w:r w:rsidRPr="002704E2">
        <w:rPr>
          <w:lang w:eastAsia="en-AU"/>
        </w:rPr>
        <w:t xml:space="preserve">The summary and recommendations for each TOR are reproduced here as an overall summary. The detailed performance assessment against each performance indicator follows in section </w:t>
      </w:r>
      <w:r w:rsidRPr="002704E2">
        <w:rPr>
          <w:lang w:eastAsia="en-AU"/>
        </w:rPr>
        <w:fldChar w:fldCharType="begin"/>
      </w:r>
      <w:r w:rsidRPr="002704E2">
        <w:rPr>
          <w:lang w:eastAsia="en-AU"/>
        </w:rPr>
        <w:instrText xml:space="preserve"> REF _Ref163720461 \n \h </w:instrText>
      </w:r>
      <w:r w:rsidRPr="002704E2">
        <w:rPr>
          <w:lang w:eastAsia="en-AU"/>
        </w:rPr>
      </w:r>
      <w:r w:rsidRPr="002704E2">
        <w:rPr>
          <w:lang w:eastAsia="en-AU"/>
        </w:rPr>
        <w:fldChar w:fldCharType="separate"/>
      </w:r>
      <w:r w:rsidR="00AB7E95">
        <w:rPr>
          <w:lang w:eastAsia="en-AU"/>
        </w:rPr>
        <w:t>5</w:t>
      </w:r>
      <w:r w:rsidRPr="002704E2">
        <w:rPr>
          <w:lang w:eastAsia="en-AU"/>
        </w:rPr>
        <w:fldChar w:fldCharType="end"/>
      </w:r>
      <w:r w:rsidRPr="002704E2">
        <w:rPr>
          <w:lang w:eastAsia="en-AU"/>
        </w:rPr>
        <w:t>.</w:t>
      </w:r>
    </w:p>
    <w:p w14:paraId="07D85693" w14:textId="77777777" w:rsidR="002704E2" w:rsidRPr="002704E2" w:rsidRDefault="002704E2" w:rsidP="002704E2">
      <w:pPr>
        <w:keepNext/>
        <w:numPr>
          <w:ilvl w:val="4"/>
          <w:numId w:val="2"/>
        </w:numPr>
        <w:spacing w:before="240"/>
        <w:outlineLvl w:val="4"/>
        <w:rPr>
          <w:rFonts w:eastAsia="Times New Roman" w:cs="Times New Roman"/>
          <w:b/>
          <w:color w:val="000000" w:themeColor="text1"/>
          <w:sz w:val="20"/>
          <w:szCs w:val="24"/>
          <w:lang w:eastAsia="en-AU"/>
        </w:rPr>
      </w:pPr>
      <w:r w:rsidRPr="002704E2">
        <w:rPr>
          <w:rFonts w:eastAsia="Times New Roman" w:cs="Times New Roman"/>
          <w:b/>
          <w:color w:val="000000" w:themeColor="text1"/>
          <w:sz w:val="20"/>
          <w:szCs w:val="24"/>
          <w:lang w:eastAsia="en-AU"/>
        </w:rPr>
        <w:t>TOR 1 | Extent to which each organisation has achieved positive native title outcomes for persons who hold or may hold native title in its region taking account, where relevant, of disruptions caused by COVID-19.</w:t>
      </w:r>
    </w:p>
    <w:p w14:paraId="63DBE728" w14:textId="77777777" w:rsidR="00001A68" w:rsidRDefault="00001A68" w:rsidP="00001A68">
      <w:r>
        <w:t xml:space="preserve">While there </w:t>
      </w:r>
      <w:proofErr w:type="gramStart"/>
      <w:r>
        <w:t>were</w:t>
      </w:r>
      <w:proofErr w:type="gramEnd"/>
      <w:r>
        <w:t xml:space="preserve"> no native title determinations made during the Review period, FNLRS was the representative for two active claims that progressed through the courts despite COVID-19 lockdowns. This included an individual claim for the Eastern Maar people and a claim for the First People of the </w:t>
      </w:r>
      <w:proofErr w:type="spellStart"/>
      <w:r>
        <w:t>Millewa</w:t>
      </w:r>
      <w:proofErr w:type="spellEnd"/>
      <w:r>
        <w:t>-Mallee. This work culminated in the Eastern Maar determination after the Review period, in March 2023. This was the first determination under the NTA in Victoria in 12 years, although FNLRS had also supported two comprehensive settlements under the Settlement Act (which are both considered native title outcomes for the purposes of NIAA funding) in this time. The Eastern Maar determination immediately after the Review period was a significant milestone for FNLRS, given the difficulty of achieving native title outcomes in Victoria. It brought the total number of native title outcomes to seven (with FNLRS representing all these claims).</w:t>
      </w:r>
    </w:p>
    <w:p w14:paraId="063FD163" w14:textId="77777777" w:rsidR="00001A68" w:rsidRDefault="00001A68" w:rsidP="00001A68">
      <w:r>
        <w:t xml:space="preserve">Achieving native title rights for Traditional Owners in Victoria is complicated by several factors, including: </w:t>
      </w:r>
    </w:p>
    <w:p w14:paraId="59506D00" w14:textId="55AEABC4" w:rsidR="00001A68" w:rsidRDefault="00001A68" w:rsidP="00001A68">
      <w:pPr>
        <w:pStyle w:val="Bullet"/>
      </w:pPr>
      <w:r>
        <w:t>the complex policy and legislative landscape, which includes two alternative state-based rights processes, under the Settlement Act and the Aboriginal Heritage Act, and a third currently developing with Treaty</w:t>
      </w:r>
    </w:p>
    <w:p w14:paraId="7D726F04" w14:textId="0D77ED16" w:rsidR="00001A68" w:rsidRDefault="00001A68" w:rsidP="00001A68">
      <w:pPr>
        <w:pStyle w:val="Bullet"/>
      </w:pPr>
      <w:r>
        <w:t xml:space="preserve">the significant impacts of colonisation and the legacy impacts of the Yorta </w:t>
      </w:r>
      <w:proofErr w:type="spellStart"/>
      <w:r>
        <w:t>Yorta</w:t>
      </w:r>
      <w:proofErr w:type="spellEnd"/>
      <w:r>
        <w:t xml:space="preserve"> case, which established high legal thresholds making it difficult to achieve successful native title determinations in Victoria</w:t>
      </w:r>
    </w:p>
    <w:p w14:paraId="2A19DA60" w14:textId="3EFECFDF" w:rsidR="00001A68" w:rsidRDefault="00001A68" w:rsidP="00001A68">
      <w:pPr>
        <w:pStyle w:val="Bullet"/>
      </w:pPr>
      <w:r>
        <w:t xml:space="preserve">the deeply intractable inter- and intra-Indigenous disputes, and the high levels of dispossession and dislocation in Victoria. </w:t>
      </w:r>
    </w:p>
    <w:p w14:paraId="3CDB5A56" w14:textId="77777777" w:rsidR="00001A68" w:rsidRDefault="00001A68" w:rsidP="00001A68">
      <w:r>
        <w:t xml:space="preserve">Within this context, FNLRS has systematically and strategically continued to fulfil its duties under the NTA, while exploring all options for Traditional Owners including other forms of recognition. FNLRS recognised that the pace and progress of native title in Victoria did not match that of other states and territories and noted that the increasingly conflicted environment has made it difficult to continue to represent clients. </w:t>
      </w:r>
    </w:p>
    <w:p w14:paraId="46255754" w14:textId="77777777" w:rsidR="00001A68" w:rsidRDefault="00001A68" w:rsidP="00001A68">
      <w:r>
        <w:t xml:space="preserve">FNLRS initiated a Strategic Review towards the end of 2022 (outside the Review period), to specifically consider the organisation’s future role within its complex operating context. The Board fully endorsed the recommendations of the Strategic Review, including the central recommendations that it adopt a more neutral position in active legal disputes, instead placing greater reliance on third-party legal service providers. The associated Strategic Review recommendations propose FNLRS continue to play the role of facilitating funding and establish a panel of approved external legal representatives who can access funding. This Review agrees with this position and supporting recommendations. </w:t>
      </w:r>
    </w:p>
    <w:p w14:paraId="2194134D" w14:textId="77777777" w:rsidR="00001A68" w:rsidRDefault="00001A68" w:rsidP="00001A68">
      <w:r>
        <w:t xml:space="preserve">The Review interviewed Traditional Owner groups that were represented by and worked with FNLRS closely. Most were satisfied with the organisation’s performance. Traditional Owners noted strengths of FNLRS approach, including its deep knowledge of native title and the intersection with other state-based recognition mechanisms, its flexible approach and its dedication to achieving outcomes. </w:t>
      </w:r>
    </w:p>
    <w:p w14:paraId="48B52606" w14:textId="77777777" w:rsidR="00001A68" w:rsidRDefault="00001A68" w:rsidP="00001A68">
      <w:r>
        <w:lastRenderedPageBreak/>
        <w:t>FNLRS did not lodge any new native title claims itself; however, two applications were lodged in Victoria on behalf of groups not represented by FNLRS.</w:t>
      </w:r>
    </w:p>
    <w:p w14:paraId="68807EBB" w14:textId="77777777" w:rsidR="00001A68" w:rsidRDefault="00001A68" w:rsidP="00001A68">
      <w:r>
        <w:t xml:space="preserve">FNLRS dedicated a significant amount of time conducting research in four areas across Victoria that do not have formal recognition under the NTA or state-based mechanisms (the Victorian Mid </w:t>
      </w:r>
      <w:proofErr w:type="gramStart"/>
      <w:r>
        <w:t>North West</w:t>
      </w:r>
      <w:proofErr w:type="gramEnd"/>
      <w:r>
        <w:t xml:space="preserve">, </w:t>
      </w:r>
      <w:proofErr w:type="gramStart"/>
      <w:r>
        <w:t>North East</w:t>
      </w:r>
      <w:proofErr w:type="gramEnd"/>
      <w:r>
        <w:t xml:space="preserve">, Central </w:t>
      </w:r>
      <w:proofErr w:type="gramStart"/>
      <w:r>
        <w:t>North West</w:t>
      </w:r>
      <w:proofErr w:type="gramEnd"/>
      <w:r>
        <w:t xml:space="preserve">, as well as Far East Gippsland). While some progress was made, staff reported there was still much work needed to bring together family groups and chart a path forward. The work was highly resource-intensive, requiring sustained relationship building across communities. </w:t>
      </w:r>
    </w:p>
    <w:p w14:paraId="117DEEFE" w14:textId="4AF690D0" w:rsidR="002704E2" w:rsidRDefault="00001A68" w:rsidP="00001A68">
      <w:r>
        <w:t>Victoria saw a substantial increase in Future Act activity relative to the previous Review period (</w:t>
      </w:r>
      <w:r w:rsidR="00DC1827" w:rsidRPr="00DC1827">
        <w:t>FY2014-15 to FY2016-17</w:t>
      </w:r>
      <w:r>
        <w:t xml:space="preserve">), notably linked to the progression of gas and offshore wind projects in the state. FNLRS registered two ILUAs during the Review period, noting that one was later deregistered. The Federal Court’s decision to deregister the </w:t>
      </w:r>
      <w:proofErr w:type="spellStart"/>
      <w:r>
        <w:t>Taungurung</w:t>
      </w:r>
      <w:proofErr w:type="spellEnd"/>
      <w:r>
        <w:t xml:space="preserve"> Settlement ILUA was a notable event during the Review period and will shape the way FNLRS approaches native title and settlement negotiations in the future.</w:t>
      </w:r>
    </w:p>
    <w:tbl>
      <w:tblPr>
        <w:tblW w:w="0" w:type="auto"/>
        <w:tblLook w:val="04A0" w:firstRow="1" w:lastRow="0" w:firstColumn="1" w:lastColumn="0" w:noHBand="0" w:noVBand="1"/>
      </w:tblPr>
      <w:tblGrid>
        <w:gridCol w:w="8269"/>
        <w:gridCol w:w="661"/>
      </w:tblGrid>
      <w:tr w:rsidR="00001A68" w14:paraId="3688FDE0" w14:textId="77777777" w:rsidTr="00CA17C8">
        <w:trPr>
          <w:trHeight w:val="360"/>
        </w:trPr>
        <w:tc>
          <w:tcPr>
            <w:tcW w:w="8223" w:type="dxa"/>
          </w:tcPr>
          <w:p w14:paraId="624AF75C" w14:textId="77777777" w:rsidR="00001A68" w:rsidRDefault="00001A68" w:rsidP="00DB71AF">
            <w:pPr>
              <w:rPr>
                <w:lang w:eastAsia="en-AU"/>
              </w:rPr>
            </w:pPr>
            <w:r w:rsidRPr="00F97AB5">
              <w:rPr>
                <w:noProof/>
                <w:lang w:eastAsia="en-AU"/>
              </w:rPr>
              <w:drawing>
                <wp:inline distT="0" distB="0" distL="0" distR="0" wp14:anchorId="0922C500" wp14:editId="28C8A9CD">
                  <wp:extent cx="5114199" cy="287655"/>
                  <wp:effectExtent l="0" t="0" r="0" b="0"/>
                  <wp:docPr id="763783946" name="Picture 7637839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83946" name="Picture 76378394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10060A8" w14:textId="77777777" w:rsidR="00001A68" w:rsidRPr="00F97AB5" w:rsidRDefault="00001A68" w:rsidP="00DB71AF">
            <w:pPr>
              <w:spacing w:after="100" w:afterAutospacing="1"/>
              <w:jc w:val="center"/>
              <w:rPr>
                <w:sz w:val="30"/>
                <w:szCs w:val="30"/>
                <w:lang w:eastAsia="en-AU"/>
              </w:rPr>
            </w:pPr>
            <w:r w:rsidRPr="00CA17C8">
              <w:rPr>
                <w:color w:val="404040" w:themeColor="text1" w:themeTint="BF"/>
                <w:sz w:val="30"/>
                <w:szCs w:val="30"/>
                <w:lang w:eastAsia="en-AU"/>
              </w:rPr>
              <w:t>1</w:t>
            </w:r>
          </w:p>
        </w:tc>
      </w:tr>
      <w:tr w:rsidR="00001A68" w14:paraId="139C3124" w14:textId="77777777" w:rsidTr="00CA17C8">
        <w:tc>
          <w:tcPr>
            <w:tcW w:w="8930" w:type="dxa"/>
            <w:gridSpan w:val="2"/>
          </w:tcPr>
          <w:p w14:paraId="40804321" w14:textId="77777777" w:rsidR="00001A68" w:rsidRPr="00BD37ED" w:rsidRDefault="00001A68" w:rsidP="00DB71AF">
            <w:r>
              <w:t>Continue to build on the steps it has already taken to improve Traditional Owner awareness of changes in the Victorian land rights landscape (noting the emergence of Treaty) to increase Traditional Owners’ understanding of the different forms of recognition and FNLRS’s role as an NTSP in the changing Victorian landscape.</w:t>
            </w:r>
          </w:p>
        </w:tc>
      </w:tr>
      <w:tr w:rsidR="00001A68" w14:paraId="4E1B6078" w14:textId="77777777" w:rsidTr="00CA17C8">
        <w:trPr>
          <w:trHeight w:val="360"/>
        </w:trPr>
        <w:tc>
          <w:tcPr>
            <w:tcW w:w="8223" w:type="dxa"/>
          </w:tcPr>
          <w:p w14:paraId="6A15F7FC" w14:textId="77777777" w:rsidR="00001A68" w:rsidRDefault="00001A68" w:rsidP="00DB71AF">
            <w:pPr>
              <w:rPr>
                <w:lang w:eastAsia="en-AU"/>
              </w:rPr>
            </w:pPr>
            <w:r w:rsidRPr="00F97AB5">
              <w:rPr>
                <w:noProof/>
                <w:lang w:eastAsia="en-AU"/>
              </w:rPr>
              <w:drawing>
                <wp:inline distT="0" distB="0" distL="0" distR="0" wp14:anchorId="259E3BE3" wp14:editId="3526F31E">
                  <wp:extent cx="5114199" cy="287655"/>
                  <wp:effectExtent l="0" t="0" r="0" b="0"/>
                  <wp:docPr id="1216021496" name="Picture 1216021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21496" name="Picture 121602149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7D76A71" w14:textId="77777777" w:rsidR="00001A68" w:rsidRPr="00CA17C8" w:rsidRDefault="00001A68" w:rsidP="00DB71AF">
            <w:pPr>
              <w:spacing w:after="100" w:afterAutospacing="1"/>
              <w:jc w:val="center"/>
              <w:rPr>
                <w:sz w:val="30"/>
                <w:szCs w:val="30"/>
                <w:lang w:eastAsia="en-AU"/>
              </w:rPr>
            </w:pPr>
            <w:r w:rsidRPr="00CA17C8">
              <w:rPr>
                <w:sz w:val="30"/>
                <w:szCs w:val="30"/>
                <w:lang w:eastAsia="en-AU"/>
              </w:rPr>
              <w:t>2</w:t>
            </w:r>
          </w:p>
        </w:tc>
      </w:tr>
      <w:tr w:rsidR="00001A68" w14:paraId="75A2FF22" w14:textId="77777777" w:rsidTr="00CA17C8">
        <w:tc>
          <w:tcPr>
            <w:tcW w:w="8930" w:type="dxa"/>
            <w:gridSpan w:val="2"/>
          </w:tcPr>
          <w:p w14:paraId="0B50B942" w14:textId="77777777" w:rsidR="00001A68" w:rsidRDefault="00001A68" w:rsidP="00DB71AF">
            <w:r>
              <w:t xml:space="preserve">This Review endorses the following recommendations of the Strategic Review: </w:t>
            </w:r>
          </w:p>
          <w:p w14:paraId="32DFCE67" w14:textId="77777777" w:rsidR="00001A68" w:rsidRPr="00822568" w:rsidRDefault="00001A68" w:rsidP="00DB71AF">
            <w:pPr>
              <w:pStyle w:val="Bullet"/>
            </w:pPr>
            <w:r w:rsidRPr="00822568">
              <w:t>FNLRS should adopt more neutral positioning in active legal disputes between and internal to Traditional Owner groups, instead plac</w:t>
            </w:r>
            <w:r>
              <w:t>ing</w:t>
            </w:r>
            <w:r w:rsidRPr="00822568">
              <w:t xml:space="preserve"> greater reliance on third party legal service providers.</w:t>
            </w:r>
          </w:p>
          <w:p w14:paraId="4EFE0C73" w14:textId="77777777" w:rsidR="00001A68" w:rsidRPr="00822568" w:rsidRDefault="00001A68" w:rsidP="00DB71AF">
            <w:pPr>
              <w:pStyle w:val="Bullet"/>
            </w:pPr>
            <w:r w:rsidRPr="6967B2CC">
              <w:t>In repositioning to rely more on third party legal services providers</w:t>
            </w:r>
            <w:r>
              <w:t>,</w:t>
            </w:r>
            <w:r w:rsidRPr="6967B2CC">
              <w:t xml:space="preserve"> FNLRS should not move too quickly </w:t>
            </w:r>
            <w:proofErr w:type="gramStart"/>
            <w:r w:rsidRPr="6967B2CC">
              <w:t>so as to</w:t>
            </w:r>
            <w:proofErr w:type="gramEnd"/>
            <w:r w:rsidRPr="6967B2CC">
              <w:t xml:space="preserve"> deplete existing services and potentially alienate the users of those services.</w:t>
            </w:r>
          </w:p>
          <w:p w14:paraId="0330791D" w14:textId="77777777" w:rsidR="00001A68" w:rsidRPr="00BD37ED" w:rsidRDefault="00001A68" w:rsidP="00DB71AF">
            <w:pPr>
              <w:pStyle w:val="Bullet"/>
            </w:pPr>
            <w:r w:rsidRPr="6967B2CC">
              <w:t>FNLRS should continue to seek to externalise politically charged decisions or research outcomes, and/or support the authority of such decisions/positions by reference to external and independent expertise.</w:t>
            </w:r>
          </w:p>
        </w:tc>
      </w:tr>
    </w:tbl>
    <w:p w14:paraId="2746327C" w14:textId="77777777" w:rsidR="002704E2" w:rsidRPr="002704E2" w:rsidRDefault="002704E2" w:rsidP="002704E2">
      <w:pPr>
        <w:keepNext/>
        <w:numPr>
          <w:ilvl w:val="4"/>
          <w:numId w:val="2"/>
        </w:numPr>
        <w:spacing w:before="240"/>
        <w:outlineLvl w:val="4"/>
        <w:rPr>
          <w:rFonts w:eastAsia="Times New Roman" w:cs="Times New Roman"/>
          <w:b/>
          <w:color w:val="000000" w:themeColor="text1"/>
          <w:sz w:val="20"/>
          <w:szCs w:val="24"/>
          <w:lang w:eastAsia="en-AU"/>
        </w:rPr>
      </w:pPr>
      <w:r w:rsidRPr="002704E2">
        <w:rPr>
          <w:rFonts w:eastAsia="Times New Roman" w:cs="Times New Roman"/>
          <w:b/>
          <w:color w:val="000000" w:themeColor="text1"/>
          <w:sz w:val="20"/>
          <w:szCs w:val="24"/>
          <w:lang w:eastAsia="en-AU"/>
        </w:rPr>
        <w:t>TOR 2 | Extent to which each organisation assesses and prioritises applications for assistance in a manner that is equitable, transparent, and robust and is well publicised and understood by clients and potential clients.</w:t>
      </w:r>
    </w:p>
    <w:p w14:paraId="0CAC449C" w14:textId="77777777" w:rsidR="00001A68" w:rsidRDefault="00001A68" w:rsidP="00001A68">
      <w:pPr>
        <w:rPr>
          <w:lang w:eastAsia="en-AU"/>
        </w:rPr>
      </w:pPr>
      <w:r>
        <w:rPr>
          <w:lang w:eastAsia="en-AU"/>
        </w:rPr>
        <w:t xml:space="preserve">FNLRS used the Guidelines for First Nations Assistance to Native Title Groups to guide its assessment and prioritisation decisions. The guidelines clearly outlined the process for applying for assistance, including instructions as to how to make an application and the process for ascertaining the facts surrounding an application. </w:t>
      </w:r>
    </w:p>
    <w:p w14:paraId="47D0CD18" w14:textId="77777777" w:rsidR="00001A68" w:rsidRDefault="00001A68" w:rsidP="00001A68">
      <w:pPr>
        <w:rPr>
          <w:lang w:eastAsia="en-AU"/>
        </w:rPr>
      </w:pPr>
      <w:r>
        <w:rPr>
          <w:lang w:eastAsia="en-AU"/>
        </w:rPr>
        <w:t>The guidelines were updated during the Review period to refine the assessment practices, expand the criteria for assistance and provide further detail for FNLRS’s approach to assessing assistance requests. These adjustments enhanced the transparency, accessibility and effectiveness of the guidelines.</w:t>
      </w:r>
    </w:p>
    <w:p w14:paraId="3058E2F1" w14:textId="77777777" w:rsidR="00001A68" w:rsidRDefault="00001A68" w:rsidP="00001A68">
      <w:pPr>
        <w:rPr>
          <w:lang w:eastAsia="en-AU"/>
        </w:rPr>
      </w:pPr>
      <w:r>
        <w:rPr>
          <w:lang w:eastAsia="en-AU"/>
        </w:rPr>
        <w:t xml:space="preserve">The Review did not receive extensive feedback from Traditional Owners around the assessment and prioritisation process. While some Traditional Owners were positive about the process, other Traditional Owners interviewed viewed FNLRS’s performance as less favourable, raising issues around their perceived role as a “gatekeeper” for funding. </w:t>
      </w:r>
    </w:p>
    <w:p w14:paraId="4B0B78F7" w14:textId="5D070D7E" w:rsidR="002704E2" w:rsidRPr="002704E2" w:rsidRDefault="00001A68" w:rsidP="00001A68">
      <w:pPr>
        <w:rPr>
          <w:lang w:eastAsia="en-AU"/>
        </w:rPr>
      </w:pPr>
      <w:r>
        <w:rPr>
          <w:lang w:eastAsia="en-AU"/>
        </w:rPr>
        <w:lastRenderedPageBreak/>
        <w:t xml:space="preserve">Since the Review period, FNLRS has re-evaluated how it approaches </w:t>
      </w:r>
      <w:proofErr w:type="gramStart"/>
      <w:r>
        <w:rPr>
          <w:lang w:eastAsia="en-AU"/>
        </w:rPr>
        <w:t>providing assistance to</w:t>
      </w:r>
      <w:proofErr w:type="gramEnd"/>
      <w:r>
        <w:rPr>
          <w:lang w:eastAsia="en-AU"/>
        </w:rPr>
        <w:t xml:space="preserve"> native title groups in line with the recommendations of the Strategic Review. The previous approach relied solely on the CEO to make assessment decisions on funding and was only delegated to other executives (for example, the PLO) to make decisions if the CEO was personally conflicted. The new approach aims to expand decision-making to address funding limitations and frequent incidence of conflicts of interest. It also supports FNLRS moving towards the role of facilitator rather than as a legal representative for potential native title holders.</w:t>
      </w:r>
    </w:p>
    <w:p w14:paraId="122C853C" w14:textId="77777777" w:rsidR="002704E2" w:rsidRPr="002704E2" w:rsidRDefault="002704E2" w:rsidP="002704E2">
      <w:pPr>
        <w:keepNext/>
        <w:numPr>
          <w:ilvl w:val="4"/>
          <w:numId w:val="2"/>
        </w:numPr>
        <w:spacing w:before="240"/>
        <w:outlineLvl w:val="4"/>
        <w:rPr>
          <w:rFonts w:eastAsia="Times New Roman" w:cs="Times New Roman"/>
          <w:b/>
          <w:color w:val="000000" w:themeColor="text1"/>
          <w:sz w:val="20"/>
          <w:szCs w:val="24"/>
          <w:lang w:eastAsia="en-AU"/>
        </w:rPr>
      </w:pPr>
      <w:r w:rsidRPr="002704E2">
        <w:rPr>
          <w:rFonts w:eastAsia="Times New Roman" w:cs="Times New Roman"/>
          <w:b/>
          <w:color w:val="000000" w:themeColor="text1"/>
          <w:sz w:val="20"/>
          <w:szCs w:val="24"/>
          <w:lang w:eastAsia="en-AU"/>
        </w:rPr>
        <w:t>TOR 3 | Extent to which each organisation deals respectfully, equitably, transparently and in a culturally appropriate manner with persons who hold or may hold native title in its region, including by adequately investigating and resolving complaints.</w:t>
      </w:r>
    </w:p>
    <w:p w14:paraId="25937C01" w14:textId="77777777" w:rsidR="00001A68" w:rsidRDefault="00001A68" w:rsidP="00001A68">
      <w:pPr>
        <w:rPr>
          <w:lang w:eastAsia="en-AU"/>
        </w:rPr>
      </w:pPr>
      <w:r>
        <w:rPr>
          <w:lang w:eastAsia="en-AU"/>
        </w:rPr>
        <w:t xml:space="preserve">FNLRS’s engagement with Traditional Owners was broadly reported to be respectful and transparent. During the Review period, FNLRS did not widely or proactively advertise its successes and key milestones to the community through newsletters or other publications. Staff and external stakeholders saw this as a key future opportunity for FNLRS, to help raise its profile more generally in the community and to help attract the best talent to the organisation. </w:t>
      </w:r>
    </w:p>
    <w:p w14:paraId="2608EC5C" w14:textId="7CB14AAF" w:rsidR="00001A68" w:rsidRDefault="00001A68" w:rsidP="00001A68">
      <w:pPr>
        <w:rPr>
          <w:lang w:eastAsia="en-AU"/>
        </w:rPr>
      </w:pPr>
      <w:r>
        <w:rPr>
          <w:lang w:eastAsia="en-AU"/>
        </w:rPr>
        <w:t xml:space="preserve">There was a consensus that FNLRS undertook its work in a culturally appropriate manner and supported its staff to undertake cultural awareness training to build skills in this area. Staff acknowledged that FNLRS could be doing more to expand the role of the </w:t>
      </w:r>
      <w:r w:rsidR="007D16DF" w:rsidRPr="007D16DF">
        <w:rPr>
          <w:lang w:eastAsia="en-AU"/>
        </w:rPr>
        <w:t>Community Liaison Officer</w:t>
      </w:r>
      <w:r w:rsidR="007D16DF">
        <w:rPr>
          <w:lang w:eastAsia="en-AU"/>
        </w:rPr>
        <w:t>s</w:t>
      </w:r>
      <w:r w:rsidR="007D16DF" w:rsidRPr="007D16DF">
        <w:rPr>
          <w:lang w:eastAsia="en-AU"/>
        </w:rPr>
        <w:t xml:space="preserve"> (CLO</w:t>
      </w:r>
      <w:r w:rsidR="007D16DF">
        <w:rPr>
          <w:lang w:eastAsia="en-AU"/>
        </w:rPr>
        <w:t>s</w:t>
      </w:r>
      <w:r w:rsidR="007D16DF" w:rsidRPr="007D16DF">
        <w:rPr>
          <w:lang w:eastAsia="en-AU"/>
        </w:rPr>
        <w:t xml:space="preserve">) </w:t>
      </w:r>
      <w:r>
        <w:rPr>
          <w:lang w:eastAsia="en-AU"/>
        </w:rPr>
        <w:t xml:space="preserve">to better leverage their skills and deep cultural expertise. During the Review period, the CLO role was relatively </w:t>
      </w:r>
      <w:proofErr w:type="gramStart"/>
      <w:r>
        <w:rPr>
          <w:lang w:eastAsia="en-AU"/>
        </w:rPr>
        <w:t>administrative;</w:t>
      </w:r>
      <w:proofErr w:type="gramEnd"/>
      <w:r>
        <w:rPr>
          <w:lang w:eastAsia="en-AU"/>
        </w:rPr>
        <w:t xml:space="preserve"> helping to organise claim group meetings and travel arrangements for Traditional Owners, as well as helping to facilitate these meetings in a culturally appropriate way. Staff reflected on the fact that in the future the CLO role could play a much bigger part in helping to work with the community to build trusting relationships, achieve outcomes and to raise the profile of FNLRS in the community.</w:t>
      </w:r>
    </w:p>
    <w:p w14:paraId="3F604F87" w14:textId="77777777" w:rsidR="00001A68" w:rsidRDefault="00001A68" w:rsidP="00001A68">
      <w:pPr>
        <w:rPr>
          <w:lang w:eastAsia="en-AU"/>
        </w:rPr>
      </w:pPr>
      <w:r>
        <w:rPr>
          <w:lang w:eastAsia="en-AU"/>
        </w:rPr>
        <w:t>FNLRS’s use of cultural materials was appropriate during the Review period. One Traditional Owner group however reported concerns around the ongoing use of cultural materials and submissions made more generally to FNLRS as part of historical native title claims. FNLRS staff also acknowledged that this issue was top of mind and that during the Review period they received many requests for data and information that was held in their database. Post-Review period, FNLRS is currently undergoing a process to develop processes and policies around the return of cultural materials.</w:t>
      </w:r>
    </w:p>
    <w:p w14:paraId="50FFF8AE" w14:textId="6CD7BA2B" w:rsidR="002704E2" w:rsidRDefault="00001A68" w:rsidP="00001A68">
      <w:pPr>
        <w:rPr>
          <w:lang w:eastAsia="en-AU"/>
        </w:rPr>
      </w:pPr>
      <w:r>
        <w:rPr>
          <w:lang w:eastAsia="en-AU"/>
        </w:rPr>
        <w:t>FNLRS received no formal complaints and received one internal review request, which upheld the CEO’s decision to not grant assistance.</w:t>
      </w:r>
    </w:p>
    <w:tbl>
      <w:tblPr>
        <w:tblW w:w="0" w:type="auto"/>
        <w:tblLook w:val="04A0" w:firstRow="1" w:lastRow="0" w:firstColumn="1" w:lastColumn="0" w:noHBand="0" w:noVBand="1"/>
      </w:tblPr>
      <w:tblGrid>
        <w:gridCol w:w="8269"/>
        <w:gridCol w:w="661"/>
      </w:tblGrid>
      <w:tr w:rsidR="00001A68" w14:paraId="50CF9B37" w14:textId="77777777" w:rsidTr="00CA17C8">
        <w:trPr>
          <w:trHeight w:val="360"/>
        </w:trPr>
        <w:tc>
          <w:tcPr>
            <w:tcW w:w="8223" w:type="dxa"/>
          </w:tcPr>
          <w:p w14:paraId="728DEED0" w14:textId="77777777" w:rsidR="00001A68" w:rsidRDefault="00001A68" w:rsidP="00DB71AF">
            <w:pPr>
              <w:rPr>
                <w:lang w:eastAsia="en-AU"/>
              </w:rPr>
            </w:pPr>
            <w:r w:rsidRPr="00F97AB5">
              <w:rPr>
                <w:noProof/>
                <w:lang w:eastAsia="en-AU"/>
              </w:rPr>
              <w:drawing>
                <wp:inline distT="0" distB="0" distL="0" distR="0" wp14:anchorId="586E525D" wp14:editId="324990FA">
                  <wp:extent cx="5114199" cy="287655"/>
                  <wp:effectExtent l="0" t="0" r="0" b="0"/>
                  <wp:docPr id="75780460" name="Picture 75780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0460" name="Picture 7578046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A0F878A" w14:textId="77777777" w:rsidR="00001A68" w:rsidRPr="00F97AB5" w:rsidRDefault="00001A68" w:rsidP="00DB71AF">
            <w:pPr>
              <w:spacing w:after="100" w:afterAutospacing="1"/>
              <w:jc w:val="center"/>
              <w:rPr>
                <w:sz w:val="30"/>
                <w:szCs w:val="30"/>
                <w:lang w:eastAsia="en-AU"/>
              </w:rPr>
            </w:pPr>
            <w:r w:rsidRPr="00CA17C8">
              <w:rPr>
                <w:color w:val="404040" w:themeColor="text1" w:themeTint="BF"/>
                <w:sz w:val="30"/>
                <w:szCs w:val="30"/>
                <w:lang w:eastAsia="en-AU"/>
              </w:rPr>
              <w:t>3</w:t>
            </w:r>
          </w:p>
        </w:tc>
      </w:tr>
      <w:tr w:rsidR="00001A68" w14:paraId="4F1318C4" w14:textId="77777777" w:rsidTr="00CA17C8">
        <w:tc>
          <w:tcPr>
            <w:tcW w:w="8930" w:type="dxa"/>
            <w:gridSpan w:val="2"/>
          </w:tcPr>
          <w:p w14:paraId="47825DE7" w14:textId="77777777" w:rsidR="00001A68" w:rsidRDefault="00001A68" w:rsidP="00DB71AF">
            <w:r>
              <w:t>This Review endorses the following recommendation of the Strategic Review:</w:t>
            </w:r>
          </w:p>
          <w:p w14:paraId="6F594759" w14:textId="77777777" w:rsidR="00001A68" w:rsidRPr="00BD37ED" w:rsidRDefault="00001A68" w:rsidP="00DB71AF">
            <w:pPr>
              <w:pStyle w:val="Bullet"/>
            </w:pPr>
            <w:r w:rsidRPr="00D84EB9">
              <w:t>FNLRS should increase communication with the Victorian Traditional Owner communities and celebrate its work and success more openly.</w:t>
            </w:r>
          </w:p>
        </w:tc>
      </w:tr>
      <w:tr w:rsidR="00001A68" w14:paraId="3E571756" w14:textId="77777777" w:rsidTr="00CA17C8">
        <w:trPr>
          <w:trHeight w:val="360"/>
        </w:trPr>
        <w:tc>
          <w:tcPr>
            <w:tcW w:w="8223" w:type="dxa"/>
          </w:tcPr>
          <w:p w14:paraId="2AAA05B9" w14:textId="77777777" w:rsidR="00001A68" w:rsidRDefault="00001A68" w:rsidP="00DB71AF">
            <w:pPr>
              <w:rPr>
                <w:lang w:eastAsia="en-AU"/>
              </w:rPr>
            </w:pPr>
            <w:r w:rsidRPr="00F97AB5">
              <w:rPr>
                <w:noProof/>
                <w:lang w:eastAsia="en-AU"/>
              </w:rPr>
              <w:drawing>
                <wp:inline distT="0" distB="0" distL="0" distR="0" wp14:anchorId="00A9C717" wp14:editId="4B4BA0CF">
                  <wp:extent cx="5114199" cy="287655"/>
                  <wp:effectExtent l="0" t="0" r="0" b="0"/>
                  <wp:docPr id="620791829" name="Picture 620791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91829" name="Picture 62079182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7AA60F9" w14:textId="77777777" w:rsidR="00001A68" w:rsidRPr="00F97AB5" w:rsidRDefault="00001A68" w:rsidP="00DB71AF">
            <w:pPr>
              <w:spacing w:after="100" w:afterAutospacing="1"/>
              <w:jc w:val="center"/>
              <w:rPr>
                <w:sz w:val="30"/>
                <w:szCs w:val="30"/>
                <w:lang w:eastAsia="en-AU"/>
              </w:rPr>
            </w:pPr>
            <w:r w:rsidRPr="00CA17C8">
              <w:rPr>
                <w:color w:val="404040" w:themeColor="text1" w:themeTint="BF"/>
                <w:sz w:val="30"/>
                <w:szCs w:val="30"/>
                <w:lang w:eastAsia="en-AU"/>
              </w:rPr>
              <w:t>4</w:t>
            </w:r>
          </w:p>
        </w:tc>
      </w:tr>
      <w:tr w:rsidR="00001A68" w14:paraId="2955B786" w14:textId="77777777" w:rsidTr="00CA17C8">
        <w:tc>
          <w:tcPr>
            <w:tcW w:w="8930" w:type="dxa"/>
            <w:gridSpan w:val="2"/>
          </w:tcPr>
          <w:p w14:paraId="2E2700C8" w14:textId="77777777" w:rsidR="00001A68" w:rsidRPr="00BD37ED" w:rsidRDefault="00001A68" w:rsidP="00DB71AF">
            <w:r w:rsidRPr="000048A3">
              <w:t>Review the CLO role</w:t>
            </w:r>
            <w:r>
              <w:t xml:space="preserve"> position description</w:t>
            </w:r>
            <w:r w:rsidRPr="000048A3">
              <w:t xml:space="preserve"> and explore how it can be </w:t>
            </w:r>
            <w:r>
              <w:t>evolved</w:t>
            </w:r>
            <w:r w:rsidRPr="000048A3">
              <w:t xml:space="preserve"> to </w:t>
            </w:r>
            <w:r w:rsidRPr="004F75FD">
              <w:t>go beyond administrative tasks to focus more on building relationships with</w:t>
            </w:r>
            <w:r w:rsidRPr="000048A3">
              <w:t xml:space="preserve"> community and education activities.</w:t>
            </w:r>
          </w:p>
        </w:tc>
      </w:tr>
    </w:tbl>
    <w:p w14:paraId="06F419A9" w14:textId="77777777" w:rsidR="002704E2" w:rsidRPr="002704E2" w:rsidRDefault="002704E2" w:rsidP="002704E2">
      <w:pPr>
        <w:keepNext/>
        <w:numPr>
          <w:ilvl w:val="4"/>
          <w:numId w:val="2"/>
        </w:numPr>
        <w:spacing w:before="240"/>
        <w:outlineLvl w:val="4"/>
        <w:rPr>
          <w:rFonts w:eastAsia="Times New Roman" w:cs="Times New Roman"/>
          <w:b/>
          <w:color w:val="000000" w:themeColor="text1"/>
          <w:sz w:val="20"/>
          <w:szCs w:val="24"/>
          <w:lang w:eastAsia="en-AU"/>
        </w:rPr>
      </w:pPr>
      <w:r w:rsidRPr="002704E2">
        <w:rPr>
          <w:rFonts w:eastAsia="Times New Roman" w:cs="Times New Roman"/>
          <w:b/>
          <w:color w:val="000000" w:themeColor="text1"/>
          <w:sz w:val="20"/>
          <w:szCs w:val="24"/>
          <w:lang w:eastAsia="en-AU"/>
        </w:rPr>
        <w:lastRenderedPageBreak/>
        <w:t>TOR 4 | Extent to which each organisation performs its functions in a cost-effective manner, including by identifying the key cost drivers for the organisation.</w:t>
      </w:r>
    </w:p>
    <w:p w14:paraId="6C6F87C1" w14:textId="77777777" w:rsidR="00001A68" w:rsidRDefault="00001A68" w:rsidP="00001A68">
      <w:pPr>
        <w:rPr>
          <w:lang w:eastAsia="en-AU"/>
        </w:rPr>
      </w:pPr>
      <w:r>
        <w:rPr>
          <w:lang w:eastAsia="en-AU"/>
        </w:rPr>
        <w:t xml:space="preserve">Native title funding from NIAA increased throughout the Review period, from $3.7 million at the start of the period to $4.7 million at the end of period (an increase of 22 per cent). This increase was mostly due to demand-driven funding for litigation, and, to a lesser degree, in-house staff salary increases. </w:t>
      </w:r>
    </w:p>
    <w:p w14:paraId="0DB7F1D9" w14:textId="77777777" w:rsidR="00001A68" w:rsidRDefault="00001A68" w:rsidP="00001A68">
      <w:pPr>
        <w:rPr>
          <w:lang w:eastAsia="en-AU"/>
        </w:rPr>
      </w:pPr>
      <w:r>
        <w:rPr>
          <w:lang w:eastAsia="en-AU"/>
        </w:rPr>
        <w:t>The Review believes that NIAA funding was used carefully by FNLRS throughout the Review period, with a strong focus on limiting expenditure where possible.</w:t>
      </w:r>
    </w:p>
    <w:p w14:paraId="64C5D9B0" w14:textId="77777777" w:rsidR="00001A68" w:rsidRDefault="00001A68" w:rsidP="00001A68">
      <w:pPr>
        <w:rPr>
          <w:lang w:eastAsia="en-AU"/>
        </w:rPr>
      </w:pPr>
      <w:r>
        <w:rPr>
          <w:lang w:eastAsia="en-AU"/>
        </w:rPr>
        <w:t xml:space="preserve">This was achieved by their efficient facilitation of meetings </w:t>
      </w:r>
      <w:proofErr w:type="gramStart"/>
      <w:r>
        <w:rPr>
          <w:lang w:eastAsia="en-AU"/>
        </w:rPr>
        <w:t>as a result of</w:t>
      </w:r>
      <w:proofErr w:type="gramEnd"/>
      <w:r>
        <w:rPr>
          <w:lang w:eastAsia="en-AU"/>
        </w:rPr>
        <w:t xml:space="preserve"> adhering to robust meeting facilitation guidelines and seeking to address concerns that may detract from claim group meetings prior to the meeting itself. It was also achieved through their travel assistance policy for claim group meetings. </w:t>
      </w:r>
    </w:p>
    <w:p w14:paraId="5D8911D4" w14:textId="153D1633" w:rsidR="002704E2" w:rsidRDefault="00001A68" w:rsidP="00001A68">
      <w:pPr>
        <w:rPr>
          <w:lang w:eastAsia="en-AU"/>
        </w:rPr>
      </w:pPr>
      <w:r>
        <w:rPr>
          <w:lang w:eastAsia="en-AU"/>
        </w:rPr>
        <w:t>Outside the Review period, in November 2023, FNLRS was in the process of relocating from their current North Melbourne office to a co-working space in Fitzroy. FNLRS expected that the office move will result in a reduction in rental expenses.</w:t>
      </w:r>
    </w:p>
    <w:tbl>
      <w:tblPr>
        <w:tblW w:w="0" w:type="auto"/>
        <w:tblLook w:val="04A0" w:firstRow="1" w:lastRow="0" w:firstColumn="1" w:lastColumn="0" w:noHBand="0" w:noVBand="1"/>
      </w:tblPr>
      <w:tblGrid>
        <w:gridCol w:w="8269"/>
        <w:gridCol w:w="661"/>
      </w:tblGrid>
      <w:tr w:rsidR="00001A68" w14:paraId="03EFC785" w14:textId="77777777" w:rsidTr="00CA17C8">
        <w:trPr>
          <w:trHeight w:val="360"/>
        </w:trPr>
        <w:tc>
          <w:tcPr>
            <w:tcW w:w="8223" w:type="dxa"/>
          </w:tcPr>
          <w:p w14:paraId="2CDC49AC" w14:textId="77777777" w:rsidR="00001A68" w:rsidRDefault="00001A68" w:rsidP="00DB71AF">
            <w:pPr>
              <w:rPr>
                <w:lang w:eastAsia="en-AU"/>
              </w:rPr>
            </w:pPr>
            <w:r w:rsidRPr="00F97AB5">
              <w:rPr>
                <w:noProof/>
                <w:lang w:eastAsia="en-AU"/>
              </w:rPr>
              <w:drawing>
                <wp:inline distT="0" distB="0" distL="0" distR="0" wp14:anchorId="1843916C" wp14:editId="2F6504CF">
                  <wp:extent cx="5114199" cy="287655"/>
                  <wp:effectExtent l="0" t="0" r="0" b="0"/>
                  <wp:docPr id="719866968" name="Picture 719866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66968" name="Picture 71986696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A031956" w14:textId="77777777" w:rsidR="00001A68" w:rsidRPr="00F97AB5" w:rsidRDefault="00001A68" w:rsidP="00DB71AF">
            <w:pPr>
              <w:spacing w:after="100" w:afterAutospacing="1"/>
              <w:jc w:val="center"/>
              <w:rPr>
                <w:sz w:val="30"/>
                <w:szCs w:val="30"/>
                <w:lang w:eastAsia="en-AU"/>
              </w:rPr>
            </w:pPr>
            <w:r w:rsidRPr="00CA17C8">
              <w:rPr>
                <w:color w:val="404040" w:themeColor="text1" w:themeTint="BF"/>
                <w:sz w:val="30"/>
                <w:szCs w:val="30"/>
                <w:lang w:eastAsia="en-AU"/>
              </w:rPr>
              <w:t>5</w:t>
            </w:r>
          </w:p>
        </w:tc>
      </w:tr>
      <w:tr w:rsidR="00001A68" w14:paraId="651CADC7" w14:textId="77777777" w:rsidTr="00CA17C8">
        <w:tc>
          <w:tcPr>
            <w:tcW w:w="8930" w:type="dxa"/>
            <w:gridSpan w:val="2"/>
          </w:tcPr>
          <w:p w14:paraId="20C5F38A" w14:textId="77777777" w:rsidR="00001A68" w:rsidRPr="00BD37ED" w:rsidRDefault="00001A68" w:rsidP="00DB71AF">
            <w:r>
              <w:rPr>
                <w:lang w:eastAsia="en-AU"/>
              </w:rPr>
              <w:t>Document cost-saving policies for all relevant categories of expenditure.</w:t>
            </w:r>
          </w:p>
        </w:tc>
      </w:tr>
    </w:tbl>
    <w:p w14:paraId="6E7DDD03" w14:textId="77777777" w:rsidR="002704E2" w:rsidRPr="002704E2" w:rsidRDefault="002704E2" w:rsidP="002704E2">
      <w:pPr>
        <w:keepNext/>
        <w:numPr>
          <w:ilvl w:val="4"/>
          <w:numId w:val="2"/>
        </w:numPr>
        <w:spacing w:before="240"/>
        <w:outlineLvl w:val="4"/>
        <w:rPr>
          <w:rFonts w:eastAsia="Times New Roman" w:cs="Times New Roman"/>
          <w:b/>
          <w:color w:val="000000" w:themeColor="text1"/>
          <w:sz w:val="20"/>
          <w:szCs w:val="24"/>
          <w:lang w:eastAsia="en-AU"/>
        </w:rPr>
      </w:pPr>
      <w:r w:rsidRPr="002704E2" w:rsidDel="00BE3181">
        <w:rPr>
          <w:rFonts w:eastAsia="Times New Roman" w:cs="Times New Roman"/>
          <w:b/>
          <w:color w:val="000000" w:themeColor="text1"/>
          <w:sz w:val="20"/>
          <w:szCs w:val="24"/>
          <w:lang w:eastAsia="en-AU"/>
        </w:rPr>
        <w:t xml:space="preserve">TOR </w:t>
      </w:r>
      <w:r w:rsidRPr="002704E2">
        <w:rPr>
          <w:rFonts w:eastAsia="Times New Roman" w:cs="Times New Roman"/>
          <w:b/>
          <w:color w:val="000000" w:themeColor="text1"/>
          <w:sz w:val="20"/>
          <w:szCs w:val="24"/>
          <w:lang w:eastAsia="en-AU"/>
        </w:rPr>
        <w:t>5 | Extent to which each organisation has governance and management structures, and organisational policies and an organisational culture that support efficient and effective project delivery.</w:t>
      </w:r>
    </w:p>
    <w:p w14:paraId="40914415" w14:textId="304D01C5" w:rsidR="00001A68" w:rsidRDefault="00001A68" w:rsidP="00001A68">
      <w:pPr>
        <w:rPr>
          <w:lang w:eastAsia="en-AU"/>
        </w:rPr>
      </w:pPr>
      <w:r>
        <w:rPr>
          <w:lang w:eastAsia="en-AU"/>
        </w:rPr>
        <w:t xml:space="preserve">FNLRS was governed by a Board of five Directors who were accountable for the strategic direction of the organisation and were not involved in day-to-day operations. The Board continued to be a skills-based Board with Aboriginal Directors needing to have traditional interests in Victoria with experience of native title and corporate governance processes and be of good standing in the Aboriginal community. During the Review period, the Board was supported by one sub-committee – the </w:t>
      </w:r>
      <w:r w:rsidR="0052028C" w:rsidRPr="0052028C">
        <w:rPr>
          <w:lang w:eastAsia="en-AU"/>
        </w:rPr>
        <w:t xml:space="preserve">Audit and Risk Committee </w:t>
      </w:r>
      <w:r w:rsidR="0052028C">
        <w:rPr>
          <w:lang w:eastAsia="en-AU"/>
        </w:rPr>
        <w:t>(</w:t>
      </w:r>
      <w:r>
        <w:rPr>
          <w:lang w:eastAsia="en-AU"/>
        </w:rPr>
        <w:t>ARC</w:t>
      </w:r>
      <w:r w:rsidR="0052028C">
        <w:rPr>
          <w:lang w:eastAsia="en-AU"/>
        </w:rPr>
        <w:t>)</w:t>
      </w:r>
      <w:r>
        <w:rPr>
          <w:lang w:eastAsia="en-AU"/>
        </w:rPr>
        <w:t xml:space="preserve">. </w:t>
      </w:r>
    </w:p>
    <w:p w14:paraId="1FEDAA8E" w14:textId="77777777" w:rsidR="00001A68" w:rsidRDefault="00001A68" w:rsidP="00001A68">
      <w:pPr>
        <w:rPr>
          <w:lang w:eastAsia="en-AU"/>
        </w:rPr>
      </w:pPr>
      <w:r>
        <w:rPr>
          <w:lang w:eastAsia="en-AU"/>
        </w:rPr>
        <w:t xml:space="preserve">The Board experienced significant turnover of its membership during the Review period and recruitment was reportedly difficult. Directors believed that the Board would benefit from more members and greater gender diversity. The Review heard feedback from other stakeholders that FNLRS would benefit from the Board having greater visibility, both in terms of raising the profile of FNLRS as well as ensuring that it attracted the best talent in a complex and competitive landscape. </w:t>
      </w:r>
    </w:p>
    <w:p w14:paraId="7BB4C3A7" w14:textId="77777777" w:rsidR="00001A68" w:rsidRDefault="00001A68" w:rsidP="00001A68">
      <w:pPr>
        <w:rPr>
          <w:lang w:eastAsia="en-AU"/>
        </w:rPr>
      </w:pPr>
      <w:r>
        <w:rPr>
          <w:lang w:eastAsia="en-AU"/>
        </w:rPr>
        <w:t xml:space="preserve">Between 2017 and 2022, the Federation worked in partnership with FNLRS to realise the aspirations and rights of Traditional Owners across Victoria. During this time, the Federation was the sole member (owner) of FNLRS. However, primarily due to community concerns that the Federation was not representative of all Traditional Owners with formal recognition, FNRLS and the Federation decided to de-couple. From 1 July 2022, the Federation was no longer the sole member of FNLRS and was no longer responsible for appointing the Directors of FNLRS. Stakeholders consulted as part of the Review agreed that the de-coupling was a positive move to build FNLRS’s trust within the community. </w:t>
      </w:r>
    </w:p>
    <w:p w14:paraId="60C2D51A" w14:textId="77777777" w:rsidR="00001A68" w:rsidRDefault="00001A68" w:rsidP="00001A68">
      <w:pPr>
        <w:rPr>
          <w:lang w:eastAsia="en-AU"/>
        </w:rPr>
      </w:pPr>
      <w:r>
        <w:rPr>
          <w:lang w:eastAsia="en-AU"/>
        </w:rPr>
        <w:t xml:space="preserve">FNLRS had robust financial management in the Review period. FNLRS received funding from both the Australian Government and the Victorian Government to deliver its services. Staff reported that they had mechanisms in place to manage the attribution of funding for work and avoid any cross-subsidisation. Investment was made to automate financial reporting during the Review period. Despite not having an organisation-wide conflicts of interest policy, FNLRS continued to proactively manage real and perceived conflicts of interest through carefully choosing staff to work on specific matters and implementing information firewalls. </w:t>
      </w:r>
    </w:p>
    <w:p w14:paraId="6D94A49D" w14:textId="41871E43" w:rsidR="002704E2" w:rsidRDefault="00001A68" w:rsidP="00001A68">
      <w:pPr>
        <w:rPr>
          <w:lang w:eastAsia="en-AU"/>
        </w:rPr>
      </w:pPr>
      <w:r>
        <w:rPr>
          <w:lang w:eastAsia="en-AU"/>
        </w:rPr>
        <w:lastRenderedPageBreak/>
        <w:t xml:space="preserve">There was a consensus among staff that FNLRS was a good place to work, that it was a well-run organisation and had a positive work culture. COVID-19 had a significant impact on the ways of working and hampered collaboration. A significant amount of work was undertaken during the Review period to establish and implement </w:t>
      </w:r>
      <w:r w:rsidR="0052028C" w:rsidRPr="0052028C">
        <w:rPr>
          <w:lang w:eastAsia="en-AU"/>
        </w:rPr>
        <w:t xml:space="preserve">human resources </w:t>
      </w:r>
      <w:r w:rsidR="0052028C">
        <w:rPr>
          <w:lang w:eastAsia="en-AU"/>
        </w:rPr>
        <w:t xml:space="preserve">(HR) </w:t>
      </w:r>
      <w:r>
        <w:rPr>
          <w:lang w:eastAsia="en-AU"/>
        </w:rPr>
        <w:t>processes and policies. Ample training opportunities were provided to staff during the Review period. Online onboarding modules included training around cultural awareness, vicarious-trauma and facilitation skills. Staff turnover was low.</w:t>
      </w:r>
    </w:p>
    <w:tbl>
      <w:tblPr>
        <w:tblW w:w="0" w:type="auto"/>
        <w:tblLook w:val="04A0" w:firstRow="1" w:lastRow="0" w:firstColumn="1" w:lastColumn="0" w:noHBand="0" w:noVBand="1"/>
      </w:tblPr>
      <w:tblGrid>
        <w:gridCol w:w="8269"/>
        <w:gridCol w:w="661"/>
      </w:tblGrid>
      <w:tr w:rsidR="00001A68" w14:paraId="37B78576" w14:textId="77777777" w:rsidTr="00CA17C8">
        <w:trPr>
          <w:trHeight w:val="360"/>
        </w:trPr>
        <w:tc>
          <w:tcPr>
            <w:tcW w:w="8223" w:type="dxa"/>
          </w:tcPr>
          <w:p w14:paraId="29BC1147" w14:textId="77777777" w:rsidR="00001A68" w:rsidRDefault="00001A68" w:rsidP="00DB71AF">
            <w:pPr>
              <w:rPr>
                <w:lang w:eastAsia="en-AU"/>
              </w:rPr>
            </w:pPr>
            <w:r w:rsidRPr="00F97AB5">
              <w:rPr>
                <w:noProof/>
                <w:lang w:eastAsia="en-AU"/>
              </w:rPr>
              <w:drawing>
                <wp:inline distT="0" distB="0" distL="0" distR="0" wp14:anchorId="4CA480EE" wp14:editId="420F074F">
                  <wp:extent cx="5114199" cy="287655"/>
                  <wp:effectExtent l="0" t="0" r="0" b="0"/>
                  <wp:docPr id="1707641264" name="Picture 1707641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41264" name="Picture 170764126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EEF91C2" w14:textId="77777777" w:rsidR="00001A68" w:rsidRPr="00F97AB5" w:rsidRDefault="00001A68" w:rsidP="00DB71AF">
            <w:pPr>
              <w:spacing w:after="100" w:afterAutospacing="1"/>
              <w:jc w:val="center"/>
              <w:rPr>
                <w:sz w:val="30"/>
                <w:szCs w:val="30"/>
                <w:lang w:eastAsia="en-AU"/>
              </w:rPr>
            </w:pPr>
            <w:r w:rsidRPr="00CA17C8">
              <w:rPr>
                <w:color w:val="404040" w:themeColor="text1" w:themeTint="BF"/>
                <w:sz w:val="30"/>
                <w:szCs w:val="30"/>
                <w:lang w:eastAsia="en-AU"/>
              </w:rPr>
              <w:t>6</w:t>
            </w:r>
          </w:p>
        </w:tc>
      </w:tr>
      <w:tr w:rsidR="00001A68" w14:paraId="0A09201F" w14:textId="77777777" w:rsidTr="00CA17C8">
        <w:tc>
          <w:tcPr>
            <w:tcW w:w="8930" w:type="dxa"/>
            <w:gridSpan w:val="2"/>
          </w:tcPr>
          <w:p w14:paraId="1687CC5F" w14:textId="77777777" w:rsidR="00001A68" w:rsidRDefault="00001A68" w:rsidP="00DB71AF">
            <w:pPr>
              <w:pStyle w:val="Bullet"/>
              <w:numPr>
                <w:ilvl w:val="0"/>
                <w:numId w:val="0"/>
              </w:numPr>
              <w:ind w:left="340" w:hanging="340"/>
            </w:pPr>
            <w:r>
              <w:t xml:space="preserve">This Review endorses the following recommendations made by the Strategic Review: </w:t>
            </w:r>
          </w:p>
          <w:p w14:paraId="72B81D71" w14:textId="77777777" w:rsidR="00001A68" w:rsidRPr="001E42D2" w:rsidRDefault="00001A68" w:rsidP="00DB71AF">
            <w:pPr>
              <w:pStyle w:val="TableNBullet"/>
            </w:pPr>
            <w:r w:rsidRPr="6967B2CC">
              <w:rPr>
                <w:sz w:val="19"/>
              </w:rPr>
              <w:t xml:space="preserve">FNLRS should seek to diversify the composition and skills of its Board to a wider variety of people and skillsets (for example, this could be achieved by advertising for Directors more proactively and widely using formal advertisement channels and possibly recruiters). </w:t>
            </w:r>
          </w:p>
          <w:p w14:paraId="1C4E7C74" w14:textId="77777777" w:rsidR="00001A68" w:rsidRPr="00BD37ED" w:rsidRDefault="00001A68" w:rsidP="00DB71AF">
            <w:pPr>
              <w:pStyle w:val="TableNBullet"/>
            </w:pPr>
            <w:r w:rsidRPr="001E42D2">
              <w:rPr>
                <w:sz w:val="19"/>
              </w:rPr>
              <w:t>FNLRS should better communicate its current governance structure and Board membership (this could be achieved by profiling the current Board members on relevant channels including FNLRS’s website, social media channels, events).</w:t>
            </w:r>
            <w:r w:rsidRPr="00605A3F">
              <w:t xml:space="preserve"> </w:t>
            </w:r>
          </w:p>
        </w:tc>
      </w:tr>
      <w:tr w:rsidR="00001A68" w14:paraId="05E20FA2" w14:textId="77777777" w:rsidTr="00CA17C8">
        <w:trPr>
          <w:trHeight w:val="360"/>
        </w:trPr>
        <w:tc>
          <w:tcPr>
            <w:tcW w:w="8223" w:type="dxa"/>
          </w:tcPr>
          <w:p w14:paraId="1B21FEA9" w14:textId="77777777" w:rsidR="00001A68" w:rsidRDefault="00001A68" w:rsidP="00DB71AF">
            <w:pPr>
              <w:rPr>
                <w:lang w:eastAsia="en-AU"/>
              </w:rPr>
            </w:pPr>
            <w:r w:rsidRPr="00F97AB5">
              <w:rPr>
                <w:noProof/>
                <w:lang w:eastAsia="en-AU"/>
              </w:rPr>
              <w:drawing>
                <wp:inline distT="0" distB="0" distL="0" distR="0" wp14:anchorId="51E70DE4" wp14:editId="55982668">
                  <wp:extent cx="5114199" cy="287655"/>
                  <wp:effectExtent l="0" t="0" r="0" b="0"/>
                  <wp:docPr id="1973829521" name="Picture 1973829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29521" name="Picture 197382952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233521F" w14:textId="77777777" w:rsidR="00001A68" w:rsidRPr="00F97AB5" w:rsidRDefault="00001A68" w:rsidP="00DB71AF">
            <w:pPr>
              <w:spacing w:after="100" w:afterAutospacing="1"/>
              <w:jc w:val="center"/>
              <w:rPr>
                <w:sz w:val="30"/>
                <w:szCs w:val="30"/>
                <w:lang w:eastAsia="en-AU"/>
              </w:rPr>
            </w:pPr>
            <w:r w:rsidRPr="00CA17C8">
              <w:rPr>
                <w:color w:val="404040" w:themeColor="text1" w:themeTint="BF"/>
                <w:sz w:val="30"/>
                <w:szCs w:val="30"/>
                <w:lang w:eastAsia="en-AU"/>
              </w:rPr>
              <w:t>7</w:t>
            </w:r>
          </w:p>
        </w:tc>
      </w:tr>
      <w:tr w:rsidR="00001A68" w14:paraId="2BE6F925" w14:textId="77777777" w:rsidTr="00CA17C8">
        <w:tc>
          <w:tcPr>
            <w:tcW w:w="8930" w:type="dxa"/>
            <w:gridSpan w:val="2"/>
          </w:tcPr>
          <w:p w14:paraId="4C7E7F50" w14:textId="77777777" w:rsidR="00001A68" w:rsidRPr="00C167F0" w:rsidRDefault="00001A68" w:rsidP="00DB71AF">
            <w:r>
              <w:t>Implement a mechanism for collecting, understanding and responding to community feedback, which should then be reported to the Board.</w:t>
            </w:r>
          </w:p>
        </w:tc>
      </w:tr>
      <w:tr w:rsidR="00001A68" w14:paraId="57928159" w14:textId="77777777" w:rsidTr="00CA17C8">
        <w:trPr>
          <w:trHeight w:val="360"/>
        </w:trPr>
        <w:tc>
          <w:tcPr>
            <w:tcW w:w="8223" w:type="dxa"/>
          </w:tcPr>
          <w:p w14:paraId="56F0C9DF" w14:textId="77777777" w:rsidR="00001A68" w:rsidRDefault="00001A68" w:rsidP="00DB71AF">
            <w:pPr>
              <w:rPr>
                <w:lang w:eastAsia="en-AU"/>
              </w:rPr>
            </w:pPr>
            <w:r w:rsidRPr="00F97AB5">
              <w:rPr>
                <w:noProof/>
                <w:lang w:eastAsia="en-AU"/>
              </w:rPr>
              <w:drawing>
                <wp:inline distT="0" distB="0" distL="0" distR="0" wp14:anchorId="0B8D3E08" wp14:editId="49065346">
                  <wp:extent cx="5114199" cy="287655"/>
                  <wp:effectExtent l="0" t="0" r="0" b="0"/>
                  <wp:docPr id="1388594946" name="Picture 13885949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94946" name="Picture 138859494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E7D4A26" w14:textId="77777777" w:rsidR="00001A68" w:rsidRPr="00F97AB5" w:rsidRDefault="00001A68" w:rsidP="00DB71AF">
            <w:pPr>
              <w:spacing w:after="100" w:afterAutospacing="1"/>
              <w:jc w:val="center"/>
              <w:rPr>
                <w:sz w:val="30"/>
                <w:szCs w:val="30"/>
                <w:lang w:eastAsia="en-AU"/>
              </w:rPr>
            </w:pPr>
            <w:r w:rsidRPr="00CA17C8">
              <w:rPr>
                <w:color w:val="404040" w:themeColor="text1" w:themeTint="BF"/>
                <w:sz w:val="30"/>
                <w:szCs w:val="30"/>
                <w:lang w:eastAsia="en-AU"/>
              </w:rPr>
              <w:t>8</w:t>
            </w:r>
          </w:p>
        </w:tc>
      </w:tr>
      <w:tr w:rsidR="00001A68" w14:paraId="0436FD6A" w14:textId="77777777" w:rsidTr="00CA17C8">
        <w:tc>
          <w:tcPr>
            <w:tcW w:w="8930" w:type="dxa"/>
            <w:gridSpan w:val="2"/>
          </w:tcPr>
          <w:p w14:paraId="2A7922C1" w14:textId="77777777" w:rsidR="00001A68" w:rsidRPr="00BD37ED" w:rsidRDefault="00001A68" w:rsidP="00DB71AF">
            <w:r>
              <w:t>Enhance organisational collaboration by implementing activities that encourage the different teams within FNLRS to work together.</w:t>
            </w:r>
          </w:p>
        </w:tc>
      </w:tr>
    </w:tbl>
    <w:p w14:paraId="7A7C03DB" w14:textId="77777777" w:rsidR="002704E2" w:rsidRPr="002704E2" w:rsidRDefault="002704E2" w:rsidP="002704E2">
      <w:pPr>
        <w:keepNext/>
        <w:numPr>
          <w:ilvl w:val="4"/>
          <w:numId w:val="2"/>
        </w:numPr>
        <w:spacing w:before="240"/>
        <w:outlineLvl w:val="4"/>
        <w:rPr>
          <w:rFonts w:eastAsia="Times New Roman" w:cs="Times New Roman"/>
          <w:b/>
          <w:color w:val="000000" w:themeColor="text1"/>
          <w:sz w:val="20"/>
          <w:szCs w:val="24"/>
          <w:lang w:eastAsia="en-AU"/>
        </w:rPr>
      </w:pPr>
      <w:r w:rsidRPr="002704E2">
        <w:rPr>
          <w:rFonts w:eastAsia="Times New Roman" w:cs="Times New Roman"/>
          <w:b/>
          <w:color w:val="000000" w:themeColor="text1"/>
          <w:sz w:val="20"/>
          <w:szCs w:val="24"/>
          <w:lang w:eastAsia="en-AU"/>
        </w:rPr>
        <w:t>TOR 6 | Extent to which each organisation is adequately supporting Prescribed Body Corporates towards self-sufficiency.</w:t>
      </w:r>
    </w:p>
    <w:p w14:paraId="083F4D46" w14:textId="77777777" w:rsidR="00001A68" w:rsidRDefault="00001A68" w:rsidP="00001A68">
      <w:pPr>
        <w:rPr>
          <w:lang w:eastAsia="en-AU"/>
        </w:rPr>
      </w:pPr>
      <w:r>
        <w:rPr>
          <w:lang w:eastAsia="en-AU"/>
        </w:rPr>
        <w:t xml:space="preserve">FNLRS serviced four PBCs and two TOGEs during the Review period. They were all highly functioning organisations, with between 30 to 80 staff with the PBCs running for over ten years. Some had multiple funding sources and did not require basic support funding. FNLRS allocated at least one lawyer, an anthropologist and a CLO to each PBC and TOGE to provide consistent support during the Review period. Because the PBCs were already well established, FNLRS provided targeted support as required, primarily focused on Future Act support, administrative support for annual general meetings (AGMs) and ad-hoc legal support. </w:t>
      </w:r>
    </w:p>
    <w:p w14:paraId="7F84313F" w14:textId="77777777" w:rsidR="00001A68" w:rsidRDefault="00001A68" w:rsidP="00001A68">
      <w:pPr>
        <w:rPr>
          <w:lang w:eastAsia="en-AU"/>
        </w:rPr>
      </w:pPr>
      <w:r>
        <w:rPr>
          <w:lang w:eastAsia="en-AU"/>
        </w:rPr>
        <w:t>PBCs and TOGEs were mostly satisfied with FNLRS’s support. Clients valued the high quality of FNLRS’s legal support and the value for money in accessing ad-hoc legal advice. They also cited the strong and trusting relationship that they had with FNLRS. Some clients believed there could be improved clarity around FNLRS’s service offering with more consistent communication and greater transparency around decision-making.</w:t>
      </w:r>
    </w:p>
    <w:p w14:paraId="0D622E48" w14:textId="77777777" w:rsidR="00001A68" w:rsidRDefault="00001A68" w:rsidP="00001A68">
      <w:pPr>
        <w:rPr>
          <w:lang w:eastAsia="en-AU"/>
        </w:rPr>
      </w:pPr>
      <w:r>
        <w:rPr>
          <w:lang w:eastAsia="en-AU"/>
        </w:rPr>
        <w:t xml:space="preserve">Several staff interviewed noted that FNLRS experienced capacity constraints throughout the Review period, which they believed contributed to restricted support provision for PBCs and TOGEs. The funding and staffing level decreases in FY2019-20 contributed to this. </w:t>
      </w:r>
    </w:p>
    <w:p w14:paraId="0A964552" w14:textId="77777777" w:rsidR="00001A68" w:rsidRDefault="00001A68" w:rsidP="00001A68">
      <w:pPr>
        <w:rPr>
          <w:lang w:eastAsia="en-AU"/>
        </w:rPr>
      </w:pPr>
      <w:r>
        <w:rPr>
          <w:lang w:eastAsia="en-AU"/>
        </w:rPr>
        <w:t xml:space="preserve">FNLRS formed a Return of Materials Committee during the Review period, which oversaw a pilot initiative to return cultural materials to the Gunditjmara people. Several staff interviewed reported that learnings from this pilot project would be central to the development of a formal return of materials policy to be used by FNLRS for other PBCs in the future. </w:t>
      </w:r>
    </w:p>
    <w:p w14:paraId="02ACED43" w14:textId="41EE0101" w:rsidR="002704E2" w:rsidRDefault="00001A68" w:rsidP="00001A68">
      <w:pPr>
        <w:rPr>
          <w:lang w:eastAsia="en-AU"/>
        </w:rPr>
      </w:pPr>
      <w:r>
        <w:rPr>
          <w:lang w:eastAsia="en-AU"/>
        </w:rPr>
        <w:lastRenderedPageBreak/>
        <w:t>FNLRS received $100,000 per annum in PBC support funding during each year of the Review period, with $50,000 being provided to two of the four Victorian PBCs. There would be benefit in NIAA clarifying its intentions in relation to PBC funding in the future. Operational funding or fee-for-service arrangements were also used to fund both PBC and TOGE support.</w:t>
      </w:r>
    </w:p>
    <w:tbl>
      <w:tblPr>
        <w:tblW w:w="0" w:type="auto"/>
        <w:tblLook w:val="04A0" w:firstRow="1" w:lastRow="0" w:firstColumn="1" w:lastColumn="0" w:noHBand="0" w:noVBand="1"/>
      </w:tblPr>
      <w:tblGrid>
        <w:gridCol w:w="8269"/>
        <w:gridCol w:w="661"/>
      </w:tblGrid>
      <w:tr w:rsidR="00001A68" w14:paraId="524941EF" w14:textId="77777777" w:rsidTr="00CA17C8">
        <w:trPr>
          <w:trHeight w:val="360"/>
        </w:trPr>
        <w:tc>
          <w:tcPr>
            <w:tcW w:w="8223" w:type="dxa"/>
          </w:tcPr>
          <w:p w14:paraId="72E0E180" w14:textId="77777777" w:rsidR="00001A68" w:rsidRDefault="00001A68" w:rsidP="00DB71AF">
            <w:pPr>
              <w:rPr>
                <w:lang w:eastAsia="en-AU"/>
              </w:rPr>
            </w:pPr>
            <w:r w:rsidRPr="00F97AB5">
              <w:rPr>
                <w:noProof/>
                <w:lang w:eastAsia="en-AU"/>
              </w:rPr>
              <w:drawing>
                <wp:inline distT="0" distB="0" distL="0" distR="0" wp14:anchorId="7CDFCE9F" wp14:editId="12B58910">
                  <wp:extent cx="5114199" cy="287655"/>
                  <wp:effectExtent l="0" t="0" r="0" b="0"/>
                  <wp:docPr id="2071973378" name="Picture 2071973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73378" name="Picture 207197337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837DDEB" w14:textId="77777777" w:rsidR="00001A68" w:rsidRPr="00F97AB5" w:rsidRDefault="00001A68" w:rsidP="00DB71AF">
            <w:pPr>
              <w:spacing w:after="100" w:afterAutospacing="1"/>
              <w:jc w:val="center"/>
              <w:rPr>
                <w:sz w:val="30"/>
                <w:szCs w:val="30"/>
                <w:lang w:eastAsia="en-AU"/>
              </w:rPr>
            </w:pPr>
            <w:r w:rsidRPr="00CA17C8">
              <w:rPr>
                <w:color w:val="404040" w:themeColor="text1" w:themeTint="BF"/>
                <w:sz w:val="30"/>
                <w:szCs w:val="30"/>
                <w:lang w:eastAsia="en-AU"/>
              </w:rPr>
              <w:t>9</w:t>
            </w:r>
          </w:p>
        </w:tc>
      </w:tr>
      <w:tr w:rsidR="00001A68" w14:paraId="64323AB2" w14:textId="77777777" w:rsidTr="00CA17C8">
        <w:tc>
          <w:tcPr>
            <w:tcW w:w="8930" w:type="dxa"/>
            <w:gridSpan w:val="2"/>
          </w:tcPr>
          <w:p w14:paraId="5F734530" w14:textId="77777777" w:rsidR="00001A68" w:rsidRPr="00BD37ED" w:rsidRDefault="00001A68" w:rsidP="00DB71AF">
            <w:r>
              <w:t xml:space="preserve">Implement </w:t>
            </w:r>
            <w:r w:rsidRPr="00977D6A">
              <w:t xml:space="preserve">a mechanism </w:t>
            </w:r>
            <w:r>
              <w:t xml:space="preserve">to collect client </w:t>
            </w:r>
            <w:r w:rsidRPr="00977D6A">
              <w:t>feedback</w:t>
            </w:r>
            <w:r>
              <w:t xml:space="preserve"> from PBCs and TOGEs on an ongoing basis and improve the way the organisation collects, monitors and responds to informal feedback and issues.</w:t>
            </w:r>
          </w:p>
        </w:tc>
      </w:tr>
      <w:tr w:rsidR="00001A68" w14:paraId="4ECB7362" w14:textId="77777777" w:rsidTr="00CA17C8">
        <w:trPr>
          <w:trHeight w:val="360"/>
        </w:trPr>
        <w:tc>
          <w:tcPr>
            <w:tcW w:w="8223" w:type="dxa"/>
          </w:tcPr>
          <w:p w14:paraId="7602ACF5" w14:textId="77777777" w:rsidR="00001A68" w:rsidRDefault="00001A68" w:rsidP="00DB71AF">
            <w:pPr>
              <w:rPr>
                <w:lang w:eastAsia="en-AU"/>
              </w:rPr>
            </w:pPr>
            <w:r w:rsidRPr="00F97AB5">
              <w:rPr>
                <w:noProof/>
                <w:lang w:eastAsia="en-AU"/>
              </w:rPr>
              <w:drawing>
                <wp:inline distT="0" distB="0" distL="0" distR="0" wp14:anchorId="699624C0" wp14:editId="5957DC1D">
                  <wp:extent cx="5114199" cy="287655"/>
                  <wp:effectExtent l="0" t="0" r="0" b="0"/>
                  <wp:docPr id="2070233755" name="Picture 2070233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33755" name="Picture 207023375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FB21B3A" w14:textId="77777777" w:rsidR="00001A68" w:rsidRPr="00F97AB5" w:rsidRDefault="00001A68" w:rsidP="00DB71AF">
            <w:pPr>
              <w:spacing w:after="100" w:afterAutospacing="1"/>
              <w:jc w:val="center"/>
              <w:rPr>
                <w:sz w:val="30"/>
                <w:szCs w:val="30"/>
                <w:lang w:eastAsia="en-AU"/>
              </w:rPr>
            </w:pPr>
            <w:r w:rsidRPr="00CA17C8">
              <w:rPr>
                <w:color w:val="404040" w:themeColor="text1" w:themeTint="BF"/>
                <w:sz w:val="30"/>
                <w:szCs w:val="30"/>
                <w:lang w:eastAsia="en-AU"/>
              </w:rPr>
              <w:t>10</w:t>
            </w:r>
          </w:p>
        </w:tc>
      </w:tr>
      <w:tr w:rsidR="00001A68" w14:paraId="6C3ACCA3" w14:textId="77777777" w:rsidTr="00CA17C8">
        <w:tc>
          <w:tcPr>
            <w:tcW w:w="8930" w:type="dxa"/>
            <w:gridSpan w:val="2"/>
          </w:tcPr>
          <w:p w14:paraId="6E166558" w14:textId="77777777" w:rsidR="00001A68" w:rsidRPr="00C167F0" w:rsidRDefault="00001A68" w:rsidP="00DB71AF">
            <w:r>
              <w:t>Develop clear communications around the service offering for PBC and TOGE support that outline which services FNLRS offers on a fee-for-service basis.</w:t>
            </w:r>
          </w:p>
        </w:tc>
      </w:tr>
      <w:tr w:rsidR="00001A68" w14:paraId="011D73AB" w14:textId="77777777" w:rsidTr="00CA17C8">
        <w:trPr>
          <w:trHeight w:val="360"/>
        </w:trPr>
        <w:tc>
          <w:tcPr>
            <w:tcW w:w="8223" w:type="dxa"/>
          </w:tcPr>
          <w:p w14:paraId="26C98A2B" w14:textId="77777777" w:rsidR="00001A68" w:rsidRDefault="00001A68" w:rsidP="00DB71AF">
            <w:pPr>
              <w:rPr>
                <w:lang w:eastAsia="en-AU"/>
              </w:rPr>
            </w:pPr>
            <w:r w:rsidRPr="00F97AB5">
              <w:rPr>
                <w:noProof/>
                <w:lang w:eastAsia="en-AU"/>
              </w:rPr>
              <w:drawing>
                <wp:inline distT="0" distB="0" distL="0" distR="0" wp14:anchorId="43079161" wp14:editId="1AA4324F">
                  <wp:extent cx="5114199" cy="287655"/>
                  <wp:effectExtent l="0" t="0" r="0" b="0"/>
                  <wp:docPr id="641588535" name="Picture 641588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88535" name="Picture 64158853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CC65E54" w14:textId="77777777" w:rsidR="00001A68" w:rsidRPr="00F97AB5" w:rsidRDefault="00001A68" w:rsidP="00DB71AF">
            <w:pPr>
              <w:spacing w:after="100" w:afterAutospacing="1"/>
              <w:jc w:val="center"/>
              <w:rPr>
                <w:sz w:val="30"/>
                <w:szCs w:val="30"/>
                <w:lang w:eastAsia="en-AU"/>
              </w:rPr>
            </w:pPr>
            <w:r w:rsidRPr="00CA17C8">
              <w:rPr>
                <w:color w:val="404040" w:themeColor="text1" w:themeTint="BF"/>
                <w:sz w:val="30"/>
                <w:szCs w:val="30"/>
                <w:lang w:eastAsia="en-AU"/>
              </w:rPr>
              <w:t>11</w:t>
            </w:r>
          </w:p>
        </w:tc>
      </w:tr>
      <w:tr w:rsidR="00001A68" w14:paraId="119C45F3" w14:textId="77777777" w:rsidTr="00CA17C8">
        <w:tc>
          <w:tcPr>
            <w:tcW w:w="8930" w:type="dxa"/>
            <w:gridSpan w:val="2"/>
          </w:tcPr>
          <w:p w14:paraId="61EB0E9B" w14:textId="77777777" w:rsidR="00001A68" w:rsidRPr="00BD37ED" w:rsidRDefault="00001A68" w:rsidP="00DB71AF">
            <w:r>
              <w:rPr>
                <w:lang w:eastAsia="en-AU"/>
              </w:rPr>
              <w:t>Clarify with the NIAA its intentions to provide base PBC funding in the future to all PBCs.</w:t>
            </w:r>
          </w:p>
        </w:tc>
      </w:tr>
      <w:tr w:rsidR="00001A68" w14:paraId="642742D7" w14:textId="77777777" w:rsidTr="00CA17C8">
        <w:trPr>
          <w:trHeight w:val="360"/>
        </w:trPr>
        <w:tc>
          <w:tcPr>
            <w:tcW w:w="8223" w:type="dxa"/>
          </w:tcPr>
          <w:p w14:paraId="333440F6" w14:textId="77777777" w:rsidR="00001A68" w:rsidRDefault="00001A68" w:rsidP="00DB71AF">
            <w:pPr>
              <w:rPr>
                <w:lang w:eastAsia="en-AU"/>
              </w:rPr>
            </w:pPr>
            <w:r w:rsidRPr="00F97AB5">
              <w:rPr>
                <w:noProof/>
                <w:lang w:eastAsia="en-AU"/>
              </w:rPr>
              <w:drawing>
                <wp:inline distT="0" distB="0" distL="0" distR="0" wp14:anchorId="6BF77252" wp14:editId="282AB826">
                  <wp:extent cx="5114199" cy="287655"/>
                  <wp:effectExtent l="0" t="0" r="0" b="0"/>
                  <wp:docPr id="210060234" name="Picture 210060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0234" name="Picture 21006023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6ACF45B" w14:textId="77777777" w:rsidR="00001A68" w:rsidRPr="00F97AB5" w:rsidRDefault="00001A68" w:rsidP="00DB71AF">
            <w:pPr>
              <w:spacing w:after="100" w:afterAutospacing="1"/>
              <w:jc w:val="center"/>
              <w:rPr>
                <w:sz w:val="30"/>
                <w:szCs w:val="30"/>
                <w:lang w:eastAsia="en-AU"/>
              </w:rPr>
            </w:pPr>
            <w:r w:rsidRPr="00CA17C8">
              <w:rPr>
                <w:color w:val="404040" w:themeColor="text1" w:themeTint="BF"/>
                <w:sz w:val="30"/>
                <w:szCs w:val="30"/>
                <w:lang w:eastAsia="en-AU"/>
              </w:rPr>
              <w:t>12</w:t>
            </w:r>
          </w:p>
        </w:tc>
      </w:tr>
      <w:tr w:rsidR="00001A68" w14:paraId="18407BF3" w14:textId="77777777" w:rsidTr="00CA17C8">
        <w:tc>
          <w:tcPr>
            <w:tcW w:w="8930" w:type="dxa"/>
            <w:gridSpan w:val="2"/>
          </w:tcPr>
          <w:p w14:paraId="513C0EA4" w14:textId="77777777" w:rsidR="00001A68" w:rsidRDefault="00001A68" w:rsidP="00DB71AF">
            <w:r>
              <w:t>This Review endorses the following recommendation of the Strategic Review:</w:t>
            </w:r>
          </w:p>
          <w:p w14:paraId="080A8FEF" w14:textId="77777777" w:rsidR="00001A68" w:rsidRPr="00EC2EE1" w:rsidRDefault="00001A68" w:rsidP="00DB71AF">
            <w:pPr>
              <w:pStyle w:val="TableNBullet"/>
            </w:pPr>
            <w:r w:rsidRPr="6967B2CC">
              <w:rPr>
                <w:sz w:val="19"/>
              </w:rPr>
              <w:t>FNLRS should assess current research practices and consent forms to ensure they provide informants the option for their information to contribute to Treaty negotiations.</w:t>
            </w:r>
          </w:p>
        </w:tc>
      </w:tr>
    </w:tbl>
    <w:p w14:paraId="3F16CAD4" w14:textId="77777777" w:rsidR="002704E2" w:rsidRPr="002704E2" w:rsidRDefault="002704E2" w:rsidP="002704E2">
      <w:pPr>
        <w:keepNext/>
        <w:numPr>
          <w:ilvl w:val="4"/>
          <w:numId w:val="2"/>
        </w:numPr>
        <w:spacing w:before="240"/>
        <w:outlineLvl w:val="4"/>
        <w:rPr>
          <w:rFonts w:eastAsia="Times New Roman" w:cs="Times New Roman"/>
          <w:b/>
          <w:color w:val="000000" w:themeColor="text1"/>
          <w:sz w:val="20"/>
          <w:szCs w:val="24"/>
          <w:lang w:eastAsia="en-AU"/>
        </w:rPr>
      </w:pPr>
      <w:r w:rsidRPr="002704E2">
        <w:rPr>
          <w:rFonts w:eastAsia="Times New Roman" w:cs="Times New Roman"/>
          <w:b/>
          <w:color w:val="000000" w:themeColor="text1"/>
          <w:sz w:val="20"/>
          <w:szCs w:val="24"/>
          <w:lang w:eastAsia="en-AU"/>
        </w:rPr>
        <w:t>TOR 7 | Extent to which each organisation has developed its planning for a post-determination environment.</w:t>
      </w:r>
    </w:p>
    <w:p w14:paraId="22C4ECCD" w14:textId="77777777" w:rsidR="00001A68" w:rsidRDefault="00001A68" w:rsidP="00001A68">
      <w:pPr>
        <w:rPr>
          <w:lang w:eastAsia="en-AU"/>
        </w:rPr>
      </w:pPr>
      <w:r>
        <w:rPr>
          <w:lang w:eastAsia="en-AU"/>
        </w:rPr>
        <w:t xml:space="preserve">FNLRS is advanced in its post-determination planning despite having a relatively low number of successful determinations and only six PBCs/TOGEs. Staff thought it was possible for all native title claims to be finalised in the next five to ten years. FNLRS has been very active in supporting Traditional Owners in Victoria achieve their aspirations post-recognition, including negotiating and expanding settlement ILUAs under the Settlement Act. </w:t>
      </w:r>
    </w:p>
    <w:p w14:paraId="77BD3D60" w14:textId="77777777" w:rsidR="00001A68" w:rsidRDefault="00001A68" w:rsidP="00001A68">
      <w:pPr>
        <w:rPr>
          <w:lang w:eastAsia="en-AU"/>
        </w:rPr>
      </w:pPr>
      <w:r>
        <w:rPr>
          <w:lang w:eastAsia="en-AU"/>
        </w:rPr>
        <w:t xml:space="preserve">The priority for FNLRS’s leadership team during the Review period was to complete the remaining native title claims for Traditional Owners in Victoria. This was seen as particularly important ahead of Treaty negotiations. However, most staff recognised that once all claims are finalised, FNLRS’s role and operating model was likely to be influenced in the future by its contestable environment. FNLRS’s aspiration to be the “go to” service provider for post-determination or post-settlement support remains unchanged. However, FNLRS recognises that future support for PBCs and TOGEs may need to be undertaken on a fee-for-service basis. </w:t>
      </w:r>
    </w:p>
    <w:p w14:paraId="31E881F7" w14:textId="77777777" w:rsidR="00001A68" w:rsidRDefault="00001A68" w:rsidP="00001A68">
      <w:pPr>
        <w:rPr>
          <w:lang w:eastAsia="en-AU"/>
        </w:rPr>
      </w:pPr>
      <w:r>
        <w:rPr>
          <w:lang w:eastAsia="en-AU"/>
        </w:rPr>
        <w:t xml:space="preserve">PBCs and TOGEs were eager to work with FNLRS in the future and were interested in receiving specialist advice around commercial deals and compensation. There was a consensus among PBCs/TOGEs that FNLRS would need to continue to play an important role in providing basic legal services to clients and that it was still the most obvious go-to service for legal advice in Victoria given FNLRS’s deep knowledge of the area. </w:t>
      </w:r>
    </w:p>
    <w:p w14:paraId="3FCE9E66" w14:textId="77777777" w:rsidR="00001A68" w:rsidRDefault="00001A68" w:rsidP="00001A68">
      <w:pPr>
        <w:rPr>
          <w:lang w:eastAsia="en-AU"/>
        </w:rPr>
      </w:pPr>
      <w:r>
        <w:rPr>
          <w:lang w:eastAsia="en-AU"/>
        </w:rPr>
        <w:t xml:space="preserve">The Strategic Review presented options for how FNLRS could be better structured into the future to progress Traditional Owner aspirations given the upcoming Treaty process and the options which are under consideration by FNLRS. Developing FNLRS’s next strategy post-2024, provides an opportunity to reflect on the optimal operating model for the medium- to long-term and to consider what capability is required to deliver the services that are likely to be in demand. </w:t>
      </w:r>
    </w:p>
    <w:p w14:paraId="749F7556" w14:textId="77777777" w:rsidR="00001A68" w:rsidRDefault="00001A68" w:rsidP="00001A68">
      <w:pPr>
        <w:rPr>
          <w:lang w:eastAsia="en-AU"/>
        </w:rPr>
      </w:pPr>
      <w:r>
        <w:rPr>
          <w:lang w:eastAsia="en-AU"/>
        </w:rPr>
        <w:lastRenderedPageBreak/>
        <w:t>Victoria’s Treaty process was raised throughout most consultations as a key change on the horizon that will potentially shape the way self-determination is pursued in Victoria. When asked about FNLRS’s role in Treaty, all stakeholders consulted believed that FNLRS was well-positioned to play a valuable role, given their organisational knowledge and the intersection between the NTA, the Settlement Act and Treaty agreements. Stakeholders reflected on the fact that work for FNLRS might increase as a result. This Review acknowledges that, as the Strategic Review concluded, that it was too early to make any major changes to operations given the evolving nature of the process.</w:t>
      </w:r>
    </w:p>
    <w:p w14:paraId="686FF64A" w14:textId="24654C9F" w:rsidR="002704E2" w:rsidRPr="002704E2" w:rsidRDefault="00001A68" w:rsidP="00001A68">
      <w:pPr>
        <w:rPr>
          <w:lang w:eastAsia="en-AU"/>
        </w:rPr>
      </w:pPr>
      <w:r>
        <w:rPr>
          <w:lang w:eastAsia="en-AU"/>
        </w:rPr>
        <w:t>No compensation claims were made during the Review period. The focus in Victoria around compensation has primarily been through negotiations under the Settlement Act, where FNLRS has achieved many successes for its clients. Despite most of the financial benefits deriving from settlement packages, FNLRS staff believed that formal compensation claims under the NTA have not been ruled out for the future.</w:t>
      </w:r>
    </w:p>
    <w:tbl>
      <w:tblPr>
        <w:tblW w:w="0" w:type="auto"/>
        <w:tblLook w:val="04A0" w:firstRow="1" w:lastRow="0" w:firstColumn="1" w:lastColumn="0" w:noHBand="0" w:noVBand="1"/>
      </w:tblPr>
      <w:tblGrid>
        <w:gridCol w:w="8269"/>
        <w:gridCol w:w="661"/>
      </w:tblGrid>
      <w:tr w:rsidR="00001A68" w14:paraId="51BB5FEF" w14:textId="77777777" w:rsidTr="00CA17C8">
        <w:trPr>
          <w:trHeight w:val="360"/>
        </w:trPr>
        <w:tc>
          <w:tcPr>
            <w:tcW w:w="8223" w:type="dxa"/>
          </w:tcPr>
          <w:p w14:paraId="5ACE08A0" w14:textId="77777777" w:rsidR="00001A68" w:rsidRDefault="00001A68" w:rsidP="00DB71AF">
            <w:pPr>
              <w:rPr>
                <w:lang w:eastAsia="en-AU"/>
              </w:rPr>
            </w:pPr>
            <w:r w:rsidRPr="00F97AB5">
              <w:rPr>
                <w:noProof/>
                <w:lang w:eastAsia="en-AU"/>
              </w:rPr>
              <w:drawing>
                <wp:inline distT="0" distB="0" distL="0" distR="0" wp14:anchorId="71571D86" wp14:editId="09E74D2B">
                  <wp:extent cx="5114199" cy="287655"/>
                  <wp:effectExtent l="0" t="0" r="0" b="0"/>
                  <wp:docPr id="1986758200" name="Picture 1986758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58200" name="Picture 198675820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D2DD118" w14:textId="77777777" w:rsidR="00001A68" w:rsidRPr="00F97AB5" w:rsidRDefault="00001A68" w:rsidP="00DB71AF">
            <w:pPr>
              <w:spacing w:after="100" w:afterAutospacing="1"/>
              <w:jc w:val="center"/>
              <w:rPr>
                <w:sz w:val="30"/>
                <w:szCs w:val="30"/>
                <w:lang w:eastAsia="en-AU"/>
              </w:rPr>
            </w:pPr>
            <w:r w:rsidRPr="00CA17C8">
              <w:rPr>
                <w:color w:val="404040" w:themeColor="text1" w:themeTint="BF"/>
                <w:sz w:val="30"/>
                <w:szCs w:val="30"/>
                <w:lang w:eastAsia="en-AU"/>
              </w:rPr>
              <w:t>13</w:t>
            </w:r>
          </w:p>
        </w:tc>
      </w:tr>
      <w:tr w:rsidR="00001A68" w14:paraId="0044104B" w14:textId="77777777" w:rsidTr="00CA17C8">
        <w:tc>
          <w:tcPr>
            <w:tcW w:w="8930" w:type="dxa"/>
            <w:gridSpan w:val="2"/>
          </w:tcPr>
          <w:p w14:paraId="1C5C21FA" w14:textId="77777777" w:rsidR="00001A68" w:rsidRDefault="00001A68" w:rsidP="00DB71AF">
            <w:r>
              <w:t>This Review endorses the recommendations of the Strategic Review:</w:t>
            </w:r>
          </w:p>
          <w:p w14:paraId="1590389B" w14:textId="77777777" w:rsidR="00001A68" w:rsidRPr="00EC2EE1" w:rsidRDefault="00001A68" w:rsidP="00DB71AF">
            <w:pPr>
              <w:pStyle w:val="TableNBullet"/>
              <w:rPr>
                <w:sz w:val="19"/>
              </w:rPr>
            </w:pPr>
            <w:r w:rsidRPr="6967B2CC">
              <w:rPr>
                <w:sz w:val="19"/>
              </w:rPr>
              <w:t xml:space="preserve">FNLRS should avoid any significant re-structure until the Treaty </w:t>
            </w:r>
            <w:proofErr w:type="gramStart"/>
            <w:r w:rsidRPr="6967B2CC">
              <w:rPr>
                <w:sz w:val="19"/>
              </w:rPr>
              <w:t>process</w:t>
            </w:r>
            <w:proofErr w:type="gramEnd"/>
            <w:r w:rsidRPr="6967B2CC">
              <w:rPr>
                <w:sz w:val="19"/>
              </w:rPr>
              <w:t xml:space="preserve"> and its associated institutions are more fully established, to avoid locking into unsuitable or inflexible arrangements that do not serve Traditional Owner needs.</w:t>
            </w:r>
          </w:p>
          <w:p w14:paraId="58D86268" w14:textId="77777777" w:rsidR="00001A68" w:rsidRPr="00BD37ED" w:rsidRDefault="00001A68" w:rsidP="00DB71AF">
            <w:pPr>
              <w:pStyle w:val="TableNBullet"/>
            </w:pPr>
            <w:r w:rsidRPr="1832D396">
              <w:rPr>
                <w:sz w:val="19"/>
              </w:rPr>
              <w:t>FNLRS should strengthen and build ties with emerging Treaty institutions and remain agile and ready to reflect their needs as new spaces develop.</w:t>
            </w:r>
          </w:p>
        </w:tc>
      </w:tr>
      <w:tr w:rsidR="00001A68" w14:paraId="069A9424" w14:textId="77777777" w:rsidTr="00CA17C8">
        <w:trPr>
          <w:trHeight w:val="360"/>
        </w:trPr>
        <w:tc>
          <w:tcPr>
            <w:tcW w:w="8223" w:type="dxa"/>
          </w:tcPr>
          <w:p w14:paraId="4E31BEEC" w14:textId="77777777" w:rsidR="00001A68" w:rsidRDefault="00001A68" w:rsidP="00DB71AF">
            <w:pPr>
              <w:rPr>
                <w:lang w:eastAsia="en-AU"/>
              </w:rPr>
            </w:pPr>
            <w:r w:rsidRPr="00F97AB5">
              <w:rPr>
                <w:noProof/>
                <w:lang w:eastAsia="en-AU"/>
              </w:rPr>
              <w:drawing>
                <wp:inline distT="0" distB="0" distL="0" distR="0" wp14:anchorId="4D7E7581" wp14:editId="0988296A">
                  <wp:extent cx="5114199" cy="287655"/>
                  <wp:effectExtent l="0" t="0" r="0" b="0"/>
                  <wp:docPr id="715538458" name="Picture 715538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38458" name="Picture 71553845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5764DFB" w14:textId="77777777" w:rsidR="00001A68" w:rsidRPr="00F97AB5" w:rsidRDefault="00001A68" w:rsidP="00DB71AF">
            <w:pPr>
              <w:spacing w:after="100" w:afterAutospacing="1"/>
              <w:jc w:val="center"/>
              <w:rPr>
                <w:sz w:val="30"/>
                <w:szCs w:val="30"/>
                <w:lang w:eastAsia="en-AU"/>
              </w:rPr>
            </w:pPr>
            <w:r w:rsidRPr="00CA17C8">
              <w:rPr>
                <w:color w:val="404040" w:themeColor="text1" w:themeTint="BF"/>
                <w:sz w:val="30"/>
                <w:szCs w:val="30"/>
                <w:lang w:eastAsia="en-AU"/>
              </w:rPr>
              <w:t>14</w:t>
            </w:r>
          </w:p>
        </w:tc>
      </w:tr>
      <w:tr w:rsidR="00001A68" w14:paraId="5CD84EE2" w14:textId="77777777" w:rsidTr="00CA17C8">
        <w:tc>
          <w:tcPr>
            <w:tcW w:w="8930" w:type="dxa"/>
            <w:gridSpan w:val="2"/>
          </w:tcPr>
          <w:p w14:paraId="7331E983" w14:textId="77777777" w:rsidR="00001A68" w:rsidRPr="00BD37ED" w:rsidRDefault="00001A68" w:rsidP="00DB71AF">
            <w:r w:rsidRPr="00821E3F">
              <w:t xml:space="preserve">As part of the development of </w:t>
            </w:r>
            <w:r>
              <w:t>FNLRS’s next</w:t>
            </w:r>
            <w:r w:rsidRPr="00821E3F">
              <w:t xml:space="preserve"> </w:t>
            </w:r>
            <w:r>
              <w:t>S</w:t>
            </w:r>
            <w:r w:rsidRPr="00821E3F">
              <w:t xml:space="preserve">trategic </w:t>
            </w:r>
            <w:r>
              <w:t>P</w:t>
            </w:r>
            <w:r w:rsidRPr="00821E3F">
              <w:t xml:space="preserve">lan </w:t>
            </w:r>
            <w:r>
              <w:t>(post-</w:t>
            </w:r>
            <w:r w:rsidRPr="00821E3F">
              <w:t>202</w:t>
            </w:r>
            <w:r>
              <w:t xml:space="preserve">4), engage with staff and clients to develop clear objectives for post-determination and post-settlement activities for each PBC and TOGE, and for FNLRS as an organisation. </w:t>
            </w:r>
          </w:p>
        </w:tc>
      </w:tr>
    </w:tbl>
    <w:p w14:paraId="28564A16" w14:textId="77777777" w:rsidR="00E672A4" w:rsidRDefault="00E672A4" w:rsidP="003D0BE6">
      <w:pPr>
        <w:rPr>
          <w:lang w:eastAsia="en-AU"/>
        </w:rPr>
      </w:pPr>
    </w:p>
    <w:p w14:paraId="0597C2C2" w14:textId="77777777" w:rsidR="00076784" w:rsidRPr="00076784" w:rsidRDefault="00076784" w:rsidP="00076784">
      <w:pPr>
        <w:keepNext/>
        <w:pageBreakBefore/>
        <w:numPr>
          <w:ilvl w:val="0"/>
          <w:numId w:val="2"/>
        </w:numPr>
        <w:spacing w:after="600" w:line="560" w:lineRule="exact"/>
        <w:outlineLvl w:val="0"/>
        <w:rPr>
          <w:rFonts w:eastAsia="Times New Roman" w:cs="Times New Roman"/>
          <w:b/>
          <w:color w:val="00264D"/>
          <w:sz w:val="36"/>
          <w:szCs w:val="19"/>
          <w:lang w:eastAsia="en-AU"/>
        </w:rPr>
      </w:pPr>
      <w:bookmarkStart w:id="11" w:name="_Ref163720461"/>
      <w:bookmarkStart w:id="12" w:name="_Toc163739468"/>
      <w:bookmarkStart w:id="13" w:name="_Toc170469982"/>
      <w:r w:rsidRPr="00076784">
        <w:rPr>
          <w:rFonts w:eastAsia="Times New Roman" w:cs="Times New Roman"/>
          <w:b/>
          <w:color w:val="00264D"/>
          <w:sz w:val="36"/>
          <w:szCs w:val="19"/>
          <w:lang w:eastAsia="en-AU"/>
        </w:rPr>
        <w:lastRenderedPageBreak/>
        <w:t>Performance assessment</w:t>
      </w:r>
      <w:bookmarkEnd w:id="11"/>
      <w:bookmarkEnd w:id="12"/>
      <w:bookmarkEnd w:id="13"/>
    </w:p>
    <w:p w14:paraId="2A174DF7" w14:textId="71A9C5DF" w:rsidR="00076784" w:rsidRPr="00076784" w:rsidRDefault="00076784" w:rsidP="00076784">
      <w:pPr>
        <w:rPr>
          <w:lang w:eastAsia="en-AU"/>
        </w:rPr>
      </w:pPr>
      <w:r w:rsidRPr="00076784">
        <w:rPr>
          <w:lang w:eastAsia="en-AU"/>
        </w:rPr>
        <w:t xml:space="preserve">This section assesses performance against the relevant performance indicators for </w:t>
      </w:r>
      <w:r w:rsidR="008B5AA4">
        <w:rPr>
          <w:lang w:eastAsia="en-AU"/>
        </w:rPr>
        <w:t>each</w:t>
      </w:r>
      <w:r w:rsidRPr="00076784">
        <w:rPr>
          <w:lang w:eastAsia="en-AU"/>
        </w:rPr>
        <w:t xml:space="preserve"> TOR. See</w:t>
      </w:r>
      <w:r w:rsidR="00C27E0B">
        <w:rPr>
          <w:lang w:eastAsia="en-AU"/>
        </w:rPr>
        <w:t xml:space="preserve"> </w:t>
      </w:r>
      <w:r w:rsidR="00C27E0B">
        <w:rPr>
          <w:lang w:eastAsia="en-AU"/>
        </w:rPr>
        <w:fldChar w:fldCharType="begin"/>
      </w:r>
      <w:r w:rsidR="00C27E0B">
        <w:rPr>
          <w:lang w:eastAsia="en-AU"/>
        </w:rPr>
        <w:instrText xml:space="preserve"> REF _Ref164753157 \n \h </w:instrText>
      </w:r>
      <w:r w:rsidR="00C27E0B">
        <w:rPr>
          <w:lang w:eastAsia="en-AU"/>
        </w:rPr>
      </w:r>
      <w:r w:rsidR="00C27E0B">
        <w:rPr>
          <w:lang w:eastAsia="en-AU"/>
        </w:rPr>
        <w:fldChar w:fldCharType="separate"/>
      </w:r>
      <w:r w:rsidR="00AB7E95">
        <w:rPr>
          <w:lang w:eastAsia="en-AU"/>
        </w:rPr>
        <w:t>Appendix A</w:t>
      </w:r>
      <w:r w:rsidR="00C27E0B">
        <w:rPr>
          <w:lang w:eastAsia="en-AU"/>
        </w:rPr>
        <w:fldChar w:fldCharType="end"/>
      </w:r>
      <w:r w:rsidRPr="00076784">
        <w:rPr>
          <w:lang w:eastAsia="en-AU"/>
        </w:rPr>
        <w:t xml:space="preserve"> for the performance indicators.</w:t>
      </w:r>
    </w:p>
    <w:p w14:paraId="5B16CD21" w14:textId="77777777" w:rsidR="00076784" w:rsidRPr="00076784" w:rsidRDefault="00076784" w:rsidP="00076784">
      <w:pPr>
        <w:keepNext/>
        <w:numPr>
          <w:ilvl w:val="1"/>
          <w:numId w:val="2"/>
        </w:numPr>
        <w:spacing w:before="480" w:after="180" w:line="380" w:lineRule="exact"/>
        <w:ind w:left="578" w:hanging="578"/>
        <w:outlineLvl w:val="1"/>
        <w:rPr>
          <w:rFonts w:ascii="Segoe UI Semibold" w:eastAsia="Times New Roman" w:hAnsi="Segoe UI Semibold" w:cs="Times New Roman"/>
          <w:color w:val="00264D"/>
          <w:sz w:val="30"/>
          <w:szCs w:val="19"/>
          <w:lang w:eastAsia="en-AU"/>
        </w:rPr>
      </w:pPr>
      <w:bookmarkStart w:id="14" w:name="_Toc170469983"/>
      <w:r w:rsidRPr="00076784">
        <w:rPr>
          <w:rFonts w:ascii="Segoe UI Semibold" w:eastAsia="Times New Roman" w:hAnsi="Segoe UI Semibold" w:cs="Times New Roman"/>
          <w:color w:val="00264D"/>
          <w:sz w:val="30"/>
          <w:szCs w:val="19"/>
          <w:lang w:eastAsia="en-AU"/>
        </w:rPr>
        <w:t>TOR 1 | Extent to which each organisation has achieved positive native title outcomes for persons who hold or may hold native title in its region taking account, where relevant, of disruptions caused by COVID-19.</w:t>
      </w:r>
      <w:bookmarkEnd w:id="14"/>
    </w:p>
    <w:tbl>
      <w:tblPr>
        <w:tblStyle w:val="TableGrid"/>
        <w:tblW w:w="0" w:type="auto"/>
        <w:tblLook w:val="04A0" w:firstRow="1" w:lastRow="0" w:firstColumn="1" w:lastColumn="0" w:noHBand="0" w:noVBand="1"/>
      </w:tblPr>
      <w:tblGrid>
        <w:gridCol w:w="8930"/>
      </w:tblGrid>
      <w:tr w:rsidR="0000360B" w14:paraId="30C618A0" w14:textId="77777777" w:rsidTr="6967B2CC">
        <w:trPr>
          <w:cnfStyle w:val="100000000000" w:firstRow="1" w:lastRow="0" w:firstColumn="0" w:lastColumn="0" w:oddVBand="0" w:evenVBand="0" w:oddHBand="0" w:evenHBand="0" w:firstRowFirstColumn="0" w:firstRowLastColumn="0" w:lastRowFirstColumn="0" w:lastRowLastColumn="0"/>
          <w:cantSplit w:val="0"/>
          <w:tblHeader w:val="0"/>
        </w:trPr>
        <w:tc>
          <w:tcPr>
            <w:tcW w:w="8930" w:type="dxa"/>
          </w:tcPr>
          <w:bookmarkEnd w:id="5"/>
          <w:bookmarkEnd w:id="6"/>
          <w:p w14:paraId="1547A26B" w14:textId="1F19D94F" w:rsidR="00F863D2" w:rsidRPr="00343D62" w:rsidRDefault="00F863D2" w:rsidP="00343D62">
            <w:pPr>
              <w:pStyle w:val="Longformcallout"/>
              <w:rPr>
                <w:rFonts w:ascii="Segoe UI Semibold" w:hAnsi="Segoe UI Semibold" w:cs="Segoe UI Semibold"/>
              </w:rPr>
            </w:pPr>
            <w:r w:rsidRPr="00343D62">
              <w:rPr>
                <w:rFonts w:ascii="Segoe UI Semibold" w:hAnsi="Segoe UI Semibold" w:cs="Segoe UI Semibold"/>
              </w:rPr>
              <w:t xml:space="preserve">Summary </w:t>
            </w:r>
          </w:p>
          <w:p w14:paraId="4ACBCBAD" w14:textId="2450D36D" w:rsidR="003A7892" w:rsidRDefault="00693D1C" w:rsidP="00343D62">
            <w:pPr>
              <w:pStyle w:val="Longformcallout"/>
            </w:pPr>
            <w:r w:rsidRPr="6967B2CC">
              <w:t>While t</w:t>
            </w:r>
            <w:r w:rsidR="00C842C3" w:rsidRPr="6967B2CC">
              <w:t xml:space="preserve">here </w:t>
            </w:r>
            <w:proofErr w:type="gramStart"/>
            <w:r w:rsidR="00C842C3" w:rsidRPr="6967B2CC">
              <w:t>were</w:t>
            </w:r>
            <w:proofErr w:type="gramEnd"/>
            <w:r w:rsidR="00C842C3" w:rsidRPr="6967B2CC">
              <w:t xml:space="preserve"> no native title determinations made during the Review period</w:t>
            </w:r>
            <w:r w:rsidR="000A381A" w:rsidRPr="6967B2CC">
              <w:t>,</w:t>
            </w:r>
            <w:r w:rsidR="00B77D86" w:rsidRPr="6967B2CC">
              <w:t xml:space="preserve"> </w:t>
            </w:r>
            <w:r w:rsidR="00C842C3" w:rsidRPr="6967B2CC">
              <w:t xml:space="preserve">FNLRS was the representative for two active claims that progressed through the courts despite COVID-19 lockdowns. </w:t>
            </w:r>
            <w:r w:rsidR="00B77D86" w:rsidRPr="6967B2CC">
              <w:t xml:space="preserve">This included </w:t>
            </w:r>
            <w:r w:rsidR="00CF557F" w:rsidRPr="6967B2CC">
              <w:t xml:space="preserve">an </w:t>
            </w:r>
            <w:r w:rsidR="00A11C8C" w:rsidRPr="6967B2CC">
              <w:t>individual</w:t>
            </w:r>
            <w:r w:rsidR="00C842C3" w:rsidRPr="6967B2CC">
              <w:t xml:space="preserve"> claim for the Easter</w:t>
            </w:r>
            <w:r w:rsidR="00DD56C4" w:rsidRPr="6967B2CC">
              <w:t>n</w:t>
            </w:r>
            <w:r w:rsidR="00C842C3" w:rsidRPr="6967B2CC">
              <w:t xml:space="preserve"> Maar people and a claim for the First People of the </w:t>
            </w:r>
            <w:proofErr w:type="spellStart"/>
            <w:r w:rsidR="00C842C3" w:rsidRPr="6967B2CC">
              <w:t>Millewa</w:t>
            </w:r>
            <w:proofErr w:type="spellEnd"/>
            <w:r w:rsidR="00C842C3" w:rsidRPr="6967B2CC">
              <w:t>-Mallee. This work culminated in the Eastern Maar determination after the Review period, in March 2023</w:t>
            </w:r>
            <w:r w:rsidR="00D9130D" w:rsidRPr="6967B2CC">
              <w:t xml:space="preserve">. This </w:t>
            </w:r>
            <w:r w:rsidR="00B77D86" w:rsidRPr="6967B2CC">
              <w:t>was the first determination</w:t>
            </w:r>
            <w:r w:rsidR="00F60A9C" w:rsidRPr="6967B2CC">
              <w:t xml:space="preserve"> under the NTA</w:t>
            </w:r>
            <w:r w:rsidR="00B77D86" w:rsidRPr="6967B2CC">
              <w:t xml:space="preserve"> in Victoria in </w:t>
            </w:r>
            <w:r w:rsidR="00DA3747" w:rsidRPr="6967B2CC">
              <w:t xml:space="preserve">12 </w:t>
            </w:r>
            <w:r w:rsidR="00B77D86" w:rsidRPr="6967B2CC">
              <w:t>years</w:t>
            </w:r>
            <w:r w:rsidR="00C21722" w:rsidRPr="6967B2CC">
              <w:t>,</w:t>
            </w:r>
            <w:r w:rsidR="00B77D86" w:rsidRPr="6967B2CC">
              <w:t xml:space="preserve"> </w:t>
            </w:r>
            <w:r w:rsidR="00D34721" w:rsidRPr="6967B2CC">
              <w:t>although</w:t>
            </w:r>
            <w:r w:rsidR="00AA1B8D" w:rsidRPr="6967B2CC">
              <w:t xml:space="preserve"> FNLRS </w:t>
            </w:r>
            <w:r w:rsidR="00792F9A" w:rsidRPr="6967B2CC">
              <w:t xml:space="preserve">had also supported </w:t>
            </w:r>
            <w:r w:rsidR="00E17DCC" w:rsidRPr="6967B2CC">
              <w:t>t</w:t>
            </w:r>
            <w:r w:rsidR="00DD37FF" w:rsidRPr="6967B2CC">
              <w:t xml:space="preserve">wo </w:t>
            </w:r>
            <w:r w:rsidR="00D87CA6" w:rsidRPr="6967B2CC">
              <w:t xml:space="preserve">comprehensive settlements under the </w:t>
            </w:r>
            <w:r w:rsidR="00DD37FF" w:rsidRPr="6967B2CC">
              <w:t>Settlement Act</w:t>
            </w:r>
            <w:r w:rsidR="00D63338" w:rsidRPr="6967B2CC">
              <w:t xml:space="preserve"> (which are both </w:t>
            </w:r>
            <w:r w:rsidR="00194945" w:rsidRPr="6967B2CC">
              <w:t xml:space="preserve">considered </w:t>
            </w:r>
            <w:r w:rsidR="00D63338" w:rsidRPr="6967B2CC">
              <w:t>nati</w:t>
            </w:r>
            <w:r w:rsidR="00E94F2C" w:rsidRPr="6967B2CC">
              <w:t>ve title outcomes</w:t>
            </w:r>
            <w:r w:rsidR="00946C5D">
              <w:t xml:space="preserve"> for the purposes of NIAA funding</w:t>
            </w:r>
            <w:r w:rsidR="00E94F2C" w:rsidRPr="6967B2CC">
              <w:t>)</w:t>
            </w:r>
            <w:r w:rsidR="00DD37FF" w:rsidRPr="6967B2CC">
              <w:t xml:space="preserve"> </w:t>
            </w:r>
            <w:r w:rsidR="00D73EFD" w:rsidRPr="6967B2CC">
              <w:t xml:space="preserve">in this time. </w:t>
            </w:r>
            <w:r w:rsidR="00584510" w:rsidRPr="6967B2CC">
              <w:t xml:space="preserve">The Eastern Maar determination </w:t>
            </w:r>
            <w:r w:rsidR="00597529" w:rsidRPr="6967B2CC">
              <w:t xml:space="preserve">immediately after the Review period </w:t>
            </w:r>
            <w:r w:rsidR="00584510" w:rsidRPr="6967B2CC">
              <w:t xml:space="preserve">was a significant milestone for FNLRS, </w:t>
            </w:r>
            <w:r w:rsidR="00785235" w:rsidRPr="6967B2CC">
              <w:t>given</w:t>
            </w:r>
            <w:r w:rsidR="00584510" w:rsidRPr="6967B2CC">
              <w:t xml:space="preserve"> the difficulty of achieving native title outcomes in Victoria. It brought </w:t>
            </w:r>
            <w:r w:rsidR="00B77D86" w:rsidRPr="6967B2CC">
              <w:t xml:space="preserve">the total </w:t>
            </w:r>
            <w:r w:rsidR="00202195" w:rsidRPr="6967B2CC">
              <w:t>number of</w:t>
            </w:r>
            <w:r w:rsidR="00B77D86" w:rsidRPr="6967B2CC">
              <w:t xml:space="preserve"> </w:t>
            </w:r>
            <w:r w:rsidR="0028332C" w:rsidRPr="6967B2CC">
              <w:t>native title</w:t>
            </w:r>
            <w:r w:rsidR="0000414D" w:rsidRPr="6967B2CC">
              <w:t xml:space="preserve"> outcomes</w:t>
            </w:r>
            <w:r w:rsidR="0028332C" w:rsidRPr="6967B2CC">
              <w:t xml:space="preserve"> </w:t>
            </w:r>
            <w:r w:rsidR="00206F74" w:rsidRPr="6967B2CC">
              <w:t xml:space="preserve">to </w:t>
            </w:r>
            <w:r w:rsidR="00C4125F" w:rsidRPr="6967B2CC">
              <w:t xml:space="preserve">seven </w:t>
            </w:r>
            <w:r w:rsidR="00206F74" w:rsidRPr="6967B2CC">
              <w:t xml:space="preserve">(with </w:t>
            </w:r>
            <w:r w:rsidR="008F2C0B" w:rsidRPr="6967B2CC">
              <w:t xml:space="preserve">FNLRS representing </w:t>
            </w:r>
            <w:r w:rsidR="00206F74" w:rsidRPr="6967B2CC">
              <w:t xml:space="preserve">all </w:t>
            </w:r>
            <w:r w:rsidR="00447131" w:rsidRPr="6967B2CC">
              <w:t xml:space="preserve">these </w:t>
            </w:r>
            <w:r w:rsidR="00206F74" w:rsidRPr="6967B2CC">
              <w:t>claims)</w:t>
            </w:r>
            <w:r w:rsidR="00365F2B" w:rsidRPr="6967B2CC">
              <w:t>.</w:t>
            </w:r>
          </w:p>
          <w:p w14:paraId="1E85F15E" w14:textId="77777777" w:rsidR="00ED7164" w:rsidRDefault="00C842C3" w:rsidP="008F473A">
            <w:pPr>
              <w:pStyle w:val="Longformcallout"/>
            </w:pPr>
            <w:r>
              <w:t>Achieving native title rights for Traditional Owners in Victoria is complicated by several factors</w:t>
            </w:r>
            <w:r w:rsidR="000E4663">
              <w:t>,</w:t>
            </w:r>
            <w:r>
              <w:t xml:space="preserve"> including</w:t>
            </w:r>
            <w:r w:rsidR="00496A7D">
              <w:t>:</w:t>
            </w:r>
            <w:r>
              <w:t xml:space="preserve"> </w:t>
            </w:r>
          </w:p>
          <w:p w14:paraId="4CB1D8BA" w14:textId="3869DFBB" w:rsidR="00ED7164" w:rsidRDefault="00C842C3" w:rsidP="008F473A">
            <w:pPr>
              <w:pStyle w:val="longformcalloutbullet"/>
            </w:pPr>
            <w:r w:rsidRPr="6967B2CC">
              <w:t xml:space="preserve">the complex policy and legislative landscape, which includes two alternative </w:t>
            </w:r>
            <w:r w:rsidR="00DA3747" w:rsidRPr="6967B2CC">
              <w:t>s</w:t>
            </w:r>
            <w:r w:rsidRPr="6967B2CC">
              <w:t>tate-based rights processes</w:t>
            </w:r>
            <w:r w:rsidR="00CD1CA8" w:rsidRPr="6967B2CC">
              <w:t xml:space="preserve">, under the Settlement Act and the Aboriginal Heritage Act, </w:t>
            </w:r>
            <w:r w:rsidRPr="6967B2CC">
              <w:t>and a third currently developing with Treaty</w:t>
            </w:r>
          </w:p>
          <w:p w14:paraId="0DE5353B" w14:textId="0FA6F7F6" w:rsidR="00480A04" w:rsidRDefault="00C842C3" w:rsidP="008F473A">
            <w:pPr>
              <w:pStyle w:val="longformcalloutbullet"/>
            </w:pPr>
            <w:r w:rsidRPr="6967B2CC">
              <w:t xml:space="preserve">the significant impacts of colonisation and the legacy impacts of the Yorta </w:t>
            </w:r>
            <w:proofErr w:type="spellStart"/>
            <w:r w:rsidRPr="6967B2CC">
              <w:t>Yorta</w:t>
            </w:r>
            <w:proofErr w:type="spellEnd"/>
            <w:r w:rsidRPr="6967B2CC">
              <w:t xml:space="preserve"> case, which established high legal thresholds making it </w:t>
            </w:r>
            <w:r w:rsidR="00812E83" w:rsidRPr="6967B2CC">
              <w:t>difficult</w:t>
            </w:r>
            <w:r w:rsidRPr="6967B2CC">
              <w:t xml:space="preserve"> to achieve successful native title determinations in Victoria</w:t>
            </w:r>
          </w:p>
          <w:p w14:paraId="09222524" w14:textId="3C7683EB" w:rsidR="00C842C3" w:rsidRPr="00442080" w:rsidRDefault="00C842C3" w:rsidP="008F473A">
            <w:pPr>
              <w:pStyle w:val="longformcalloutbullet"/>
            </w:pPr>
            <w:r w:rsidRPr="6967B2CC">
              <w:t>the deeply intractable inter</w:t>
            </w:r>
            <w:r w:rsidR="00C21722" w:rsidRPr="6967B2CC">
              <w:t>-</w:t>
            </w:r>
            <w:r w:rsidRPr="6967B2CC">
              <w:t xml:space="preserve"> and intra</w:t>
            </w:r>
            <w:r w:rsidR="005F53E7" w:rsidRPr="6967B2CC">
              <w:t>-</w:t>
            </w:r>
            <w:r w:rsidRPr="6967B2CC">
              <w:t>Indigenous disputes</w:t>
            </w:r>
            <w:r w:rsidR="0077211E">
              <w:t>,</w:t>
            </w:r>
            <w:r w:rsidR="00DD219F" w:rsidRPr="6967B2CC">
              <w:t xml:space="preserve"> </w:t>
            </w:r>
            <w:r w:rsidRPr="6967B2CC">
              <w:t xml:space="preserve">and the high levels of dispossession and dislocation in Victoria. </w:t>
            </w:r>
          </w:p>
          <w:p w14:paraId="60E19B63" w14:textId="6AD84844" w:rsidR="00C842C3" w:rsidRDefault="00C842C3" w:rsidP="00343D62">
            <w:pPr>
              <w:pStyle w:val="Longformcallout"/>
            </w:pPr>
            <w:r w:rsidRPr="6967B2CC">
              <w:t xml:space="preserve">Within this context, FNLRS has systematically and strategically continued to fulfil its duties under the NTA, while exploring all options for Traditional Owners including other forms of recognition. FNLRS recognised that the pace and progress of native title in Victoria did not match that of other </w:t>
            </w:r>
            <w:r w:rsidR="00FC5AD0" w:rsidRPr="6967B2CC">
              <w:t>s</w:t>
            </w:r>
            <w:r w:rsidRPr="6967B2CC">
              <w:t xml:space="preserve">tates and </w:t>
            </w:r>
            <w:r w:rsidR="00FC5AD0" w:rsidRPr="6967B2CC">
              <w:t>t</w:t>
            </w:r>
            <w:r w:rsidRPr="6967B2CC">
              <w:t>erritories</w:t>
            </w:r>
            <w:r w:rsidR="009B4F96" w:rsidRPr="6967B2CC">
              <w:t xml:space="preserve"> and </w:t>
            </w:r>
            <w:r w:rsidR="00AA07B3" w:rsidRPr="6967B2CC">
              <w:t xml:space="preserve">noted </w:t>
            </w:r>
            <w:r w:rsidR="009B4F96" w:rsidRPr="6967B2CC">
              <w:t xml:space="preserve">that </w:t>
            </w:r>
            <w:r w:rsidR="00785235" w:rsidRPr="6967B2CC">
              <w:t>the</w:t>
            </w:r>
            <w:r w:rsidR="009B4F96" w:rsidRPr="6967B2CC">
              <w:t xml:space="preserve"> </w:t>
            </w:r>
            <w:r w:rsidRPr="6967B2CC">
              <w:t xml:space="preserve">increasingly conflicted environment has made it difficult to continue to represent clients. </w:t>
            </w:r>
          </w:p>
          <w:p w14:paraId="57D3FED7" w14:textId="26FB4D86" w:rsidR="00C842C3" w:rsidRDefault="00C842C3" w:rsidP="00343D62">
            <w:pPr>
              <w:pStyle w:val="Longformcallout"/>
            </w:pPr>
            <w:r w:rsidRPr="6967B2CC">
              <w:t xml:space="preserve">FNLRS initiated a Strategic Review towards the end of 2022 (outside the Review period), to specifically consider the organisation’s future role within its </w:t>
            </w:r>
            <w:r w:rsidR="00E04323" w:rsidRPr="6967B2CC">
              <w:t>complex</w:t>
            </w:r>
            <w:r w:rsidRPr="6967B2CC">
              <w:t xml:space="preserve"> operating context</w:t>
            </w:r>
            <w:r w:rsidR="00954039" w:rsidRPr="6967B2CC">
              <w:t>.</w:t>
            </w:r>
            <w:r w:rsidRPr="6967B2CC">
              <w:t xml:space="preserve"> </w:t>
            </w:r>
            <w:r w:rsidR="00954039" w:rsidRPr="6967B2CC">
              <w:t>T</w:t>
            </w:r>
            <w:r w:rsidRPr="6967B2CC">
              <w:t>he Board fully endorsed the recommendations of the Strategic Review</w:t>
            </w:r>
            <w:r w:rsidR="00C21722" w:rsidRPr="6967B2CC">
              <w:t>,</w:t>
            </w:r>
            <w:r w:rsidR="00AA07B3" w:rsidRPr="6967B2CC">
              <w:t xml:space="preserve"> including </w:t>
            </w:r>
            <w:r w:rsidR="00DD19BB" w:rsidRPr="6967B2CC">
              <w:t>the centr</w:t>
            </w:r>
            <w:r w:rsidR="003A4E95" w:rsidRPr="6967B2CC">
              <w:t xml:space="preserve">al </w:t>
            </w:r>
            <w:r w:rsidR="003F4141" w:rsidRPr="6967B2CC">
              <w:t xml:space="preserve">recommendations that </w:t>
            </w:r>
            <w:r w:rsidR="00B43726" w:rsidRPr="6967B2CC">
              <w:t>it</w:t>
            </w:r>
            <w:r w:rsidR="003F4141" w:rsidRPr="6967B2CC">
              <w:t xml:space="preserve"> </w:t>
            </w:r>
            <w:r w:rsidR="00AA07B3" w:rsidRPr="6967B2CC">
              <w:t>adopt a more neutral position in active legal disputes</w:t>
            </w:r>
            <w:r w:rsidR="00FC5AD0" w:rsidRPr="6967B2CC">
              <w:t xml:space="preserve">, </w:t>
            </w:r>
            <w:r w:rsidR="00AE02AA" w:rsidRPr="6967B2CC">
              <w:t>instead plac</w:t>
            </w:r>
            <w:r w:rsidR="00FC5AD0" w:rsidRPr="6967B2CC">
              <w:t>ing</w:t>
            </w:r>
            <w:r w:rsidR="00AE02AA" w:rsidRPr="6967B2CC">
              <w:t xml:space="preserve"> greater reliance on third</w:t>
            </w:r>
            <w:r w:rsidR="00093873" w:rsidRPr="6967B2CC">
              <w:t>-</w:t>
            </w:r>
            <w:r w:rsidR="00AE02AA" w:rsidRPr="6967B2CC">
              <w:t xml:space="preserve">party legal service providers. </w:t>
            </w:r>
            <w:r w:rsidR="007D3D2F" w:rsidRPr="6967B2CC">
              <w:t xml:space="preserve">The associated Strategic Review recommendations propose FNLRS continue to play the role of facilitating funding and establish a panel of approved external legal representatives who can access funding. This Review agrees with this position and supporting recommendations. </w:t>
            </w:r>
          </w:p>
          <w:p w14:paraId="339452F7" w14:textId="4FDC38AD" w:rsidR="00AA07B3" w:rsidRDefault="00EC72A7" w:rsidP="00343D62">
            <w:pPr>
              <w:pStyle w:val="Longformcallout"/>
            </w:pPr>
            <w:r>
              <w:t>The</w:t>
            </w:r>
            <w:r w:rsidR="00C842C3" w:rsidRPr="1832D396">
              <w:t xml:space="preserve"> Review interview</w:t>
            </w:r>
            <w:r w:rsidR="00AD7CCE" w:rsidRPr="1832D396">
              <w:t>ed</w:t>
            </w:r>
            <w:r w:rsidR="00C842C3" w:rsidRPr="1832D396">
              <w:t xml:space="preserve"> </w:t>
            </w:r>
            <w:r>
              <w:t xml:space="preserve">Traditional Owner groups </w:t>
            </w:r>
            <w:r w:rsidR="00C842C3" w:rsidRPr="1832D396">
              <w:t>that were represented by and worked with FNLRS closely</w:t>
            </w:r>
            <w:r>
              <w:t>. Most</w:t>
            </w:r>
            <w:r w:rsidR="00C842C3" w:rsidRPr="1832D396">
              <w:t xml:space="preserve"> were satisfied with the organisation’s performance. Traditional Owners noted </w:t>
            </w:r>
            <w:r w:rsidR="00A52F81" w:rsidRPr="1832D396">
              <w:t>strengths</w:t>
            </w:r>
            <w:r w:rsidR="00C842C3" w:rsidRPr="1832D396">
              <w:t xml:space="preserve"> of </w:t>
            </w:r>
            <w:r w:rsidR="00C842C3" w:rsidRPr="1832D396">
              <w:lastRenderedPageBreak/>
              <w:t>FNLRS approach</w:t>
            </w:r>
            <w:r w:rsidR="00773C96" w:rsidRPr="1832D396">
              <w:t>,</w:t>
            </w:r>
            <w:r w:rsidR="00C842C3" w:rsidRPr="1832D396">
              <w:t xml:space="preserve"> including its deep knowledge of native title and the intersection with other </w:t>
            </w:r>
            <w:r>
              <w:t>s</w:t>
            </w:r>
            <w:r w:rsidR="00C842C3" w:rsidRPr="1832D396">
              <w:t xml:space="preserve">tate-based recognition mechanisms, its flexible approach and its dedication to achieving outcomes. </w:t>
            </w:r>
          </w:p>
          <w:p w14:paraId="715C1234" w14:textId="7E64747A" w:rsidR="00BB44C5" w:rsidRDefault="00BB44C5" w:rsidP="00343D62">
            <w:pPr>
              <w:pStyle w:val="Longformcallout"/>
            </w:pPr>
            <w:r>
              <w:t xml:space="preserve">FNLRS did not lodge any new native title </w:t>
            </w:r>
            <w:r w:rsidR="008F5AAE">
              <w:t>claims</w:t>
            </w:r>
            <w:r>
              <w:t xml:space="preserve"> itself</w:t>
            </w:r>
            <w:r w:rsidR="008F5AAE">
              <w:t>;</w:t>
            </w:r>
            <w:r>
              <w:t xml:space="preserve"> however</w:t>
            </w:r>
            <w:r w:rsidR="008F5AAE">
              <w:t>,</w:t>
            </w:r>
            <w:r>
              <w:t xml:space="preserve"> two applications were lodged in Victoria on behalf of groups not represented by FNLRS.</w:t>
            </w:r>
          </w:p>
          <w:p w14:paraId="1432100D" w14:textId="13C3BB16" w:rsidR="00474E45" w:rsidRDefault="00C842C3" w:rsidP="00343D62">
            <w:pPr>
              <w:pStyle w:val="Longformcallout"/>
            </w:pPr>
            <w:r w:rsidRPr="6967B2CC">
              <w:t xml:space="preserve">FNLRS dedicated a significant amount of time conducting research in four areas across Victoria </w:t>
            </w:r>
            <w:r w:rsidR="00E36E29" w:rsidRPr="6967B2CC">
              <w:t>that do not have</w:t>
            </w:r>
            <w:r w:rsidRPr="6967B2CC">
              <w:t xml:space="preserve"> formal recognition</w:t>
            </w:r>
            <w:r w:rsidR="008F5AAE" w:rsidRPr="6967B2CC">
              <w:t xml:space="preserve"> under </w:t>
            </w:r>
            <w:r w:rsidR="00093873" w:rsidRPr="6967B2CC">
              <w:t>the NTA</w:t>
            </w:r>
            <w:r w:rsidR="00093873" w:rsidRPr="6967B2CC">
              <w:rPr>
                <w:i/>
                <w:iCs/>
              </w:rPr>
              <w:t xml:space="preserve"> </w:t>
            </w:r>
            <w:r w:rsidR="00093873" w:rsidRPr="6967B2CC">
              <w:t xml:space="preserve">or </w:t>
            </w:r>
            <w:r w:rsidR="007362AC" w:rsidRPr="6967B2CC">
              <w:t>s</w:t>
            </w:r>
            <w:r w:rsidR="00093873" w:rsidRPr="6967B2CC">
              <w:t>t</w:t>
            </w:r>
            <w:r w:rsidR="00014A1C" w:rsidRPr="6967B2CC">
              <w:t>ate-based mechanisms</w:t>
            </w:r>
            <w:r w:rsidRPr="6967B2CC">
              <w:t xml:space="preserve"> (the Victorian Mid </w:t>
            </w:r>
            <w:proofErr w:type="gramStart"/>
            <w:r w:rsidRPr="6967B2CC">
              <w:t>North West</w:t>
            </w:r>
            <w:proofErr w:type="gramEnd"/>
            <w:r w:rsidRPr="6967B2CC">
              <w:t xml:space="preserve">, </w:t>
            </w:r>
            <w:proofErr w:type="gramStart"/>
            <w:r w:rsidRPr="6967B2CC">
              <w:t>North East</w:t>
            </w:r>
            <w:proofErr w:type="gramEnd"/>
            <w:r w:rsidRPr="6967B2CC">
              <w:t xml:space="preserve">, Central </w:t>
            </w:r>
            <w:proofErr w:type="gramStart"/>
            <w:r w:rsidRPr="6967B2CC">
              <w:t>North West</w:t>
            </w:r>
            <w:proofErr w:type="gramEnd"/>
            <w:r w:rsidRPr="6967B2CC">
              <w:t xml:space="preserve">, as well as Far East Gippsland). While some progress was made, staff reported there was still </w:t>
            </w:r>
            <w:r w:rsidR="00860E28" w:rsidRPr="6967B2CC">
              <w:t xml:space="preserve">much </w:t>
            </w:r>
            <w:r w:rsidRPr="6967B2CC">
              <w:t xml:space="preserve">work needed to bring together family groups and chart a path forward. </w:t>
            </w:r>
            <w:r w:rsidR="00751101" w:rsidRPr="6967B2CC">
              <w:t>The</w:t>
            </w:r>
            <w:r w:rsidRPr="6967B2CC">
              <w:t xml:space="preserve"> work was highly resource-intensive</w:t>
            </w:r>
            <w:r w:rsidR="00D27A38" w:rsidRPr="6967B2CC">
              <w:t>, requiring</w:t>
            </w:r>
            <w:r w:rsidRPr="6967B2CC">
              <w:t xml:space="preserve"> sustained relationship building across communities. </w:t>
            </w:r>
          </w:p>
          <w:p w14:paraId="3EDFF4FB" w14:textId="701E6B81" w:rsidR="00332E96" w:rsidRDefault="00C842C3" w:rsidP="00343D62">
            <w:pPr>
              <w:pStyle w:val="Longformcallout"/>
            </w:pPr>
            <w:r w:rsidRPr="6967B2CC">
              <w:t xml:space="preserve">Victoria saw a substantial increase in Future Act activity relative to the previous </w:t>
            </w:r>
            <w:r w:rsidR="003B4530" w:rsidRPr="6967B2CC">
              <w:t>R</w:t>
            </w:r>
            <w:r w:rsidRPr="6967B2CC">
              <w:t xml:space="preserve">eview period, notably linked to the progression of gas and offshore wind </w:t>
            </w:r>
            <w:r w:rsidR="00E36E29" w:rsidRPr="6967B2CC">
              <w:t xml:space="preserve">projects </w:t>
            </w:r>
            <w:r w:rsidRPr="6967B2CC">
              <w:t xml:space="preserve">in the </w:t>
            </w:r>
            <w:r w:rsidR="00EC72A7" w:rsidRPr="6967B2CC">
              <w:t>s</w:t>
            </w:r>
            <w:r w:rsidRPr="6967B2CC">
              <w:t xml:space="preserve">tate. FNLRS registered two ILUAs during the Review period, </w:t>
            </w:r>
            <w:r w:rsidR="00446BF2" w:rsidRPr="6967B2CC">
              <w:t>noting th</w:t>
            </w:r>
            <w:r w:rsidR="009C6B68" w:rsidRPr="6967B2CC">
              <w:t>at</w:t>
            </w:r>
            <w:r w:rsidR="00446BF2" w:rsidRPr="6967B2CC">
              <w:t xml:space="preserve"> one was </w:t>
            </w:r>
            <w:r w:rsidR="004F162A" w:rsidRPr="6967B2CC">
              <w:t>later deregistered</w:t>
            </w:r>
            <w:r w:rsidRPr="6967B2CC">
              <w:t>. The Federal Court’s decision to deregister</w:t>
            </w:r>
            <w:r w:rsidR="00E63B40" w:rsidRPr="6967B2CC">
              <w:t xml:space="preserve"> the</w:t>
            </w:r>
            <w:r w:rsidRPr="6967B2CC">
              <w:t xml:space="preserve"> </w:t>
            </w:r>
            <w:proofErr w:type="spellStart"/>
            <w:r w:rsidRPr="6967B2CC">
              <w:t>Taungurung</w:t>
            </w:r>
            <w:proofErr w:type="spellEnd"/>
            <w:r w:rsidRPr="6967B2CC">
              <w:t xml:space="preserve"> Settlement ILUA was a notable</w:t>
            </w:r>
            <w:r w:rsidR="00E63B40" w:rsidRPr="6967B2CC">
              <w:t xml:space="preserve"> event</w:t>
            </w:r>
            <w:r w:rsidR="00F7586D" w:rsidRPr="6967B2CC">
              <w:t xml:space="preserve"> during the Review period</w:t>
            </w:r>
            <w:r w:rsidR="00E63B40" w:rsidRPr="6967B2CC">
              <w:t xml:space="preserve"> </w:t>
            </w:r>
            <w:r w:rsidRPr="6967B2CC">
              <w:t>and will shape the way FNLRS approaches native title and settlement negotiations in the future.</w:t>
            </w:r>
          </w:p>
        </w:tc>
      </w:tr>
    </w:tbl>
    <w:p w14:paraId="5C971AD9" w14:textId="2B94CB18" w:rsidR="00507311" w:rsidRDefault="00327EEB" w:rsidP="000B2E53">
      <w:pPr>
        <w:pStyle w:val="Heading3"/>
        <w:numPr>
          <w:ilvl w:val="2"/>
          <w:numId w:val="17"/>
        </w:numPr>
      </w:pPr>
      <w:r>
        <w:lastRenderedPageBreak/>
        <w:t xml:space="preserve">TOR 1: </w:t>
      </w:r>
      <w:r w:rsidR="00507311">
        <w:t>Assessment of performance</w:t>
      </w:r>
    </w:p>
    <w:p w14:paraId="1BF0D9E7" w14:textId="361D0E04" w:rsidR="00010FE7" w:rsidRPr="00010FE7" w:rsidRDefault="00010FE7" w:rsidP="00010FE7">
      <w:pPr>
        <w:rPr>
          <w:lang w:eastAsia="en-AU"/>
        </w:rPr>
      </w:pPr>
      <w:r w:rsidRPr="00010FE7">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_Ref164753157 \n \h </w:instrText>
      </w:r>
      <w:r>
        <w:rPr>
          <w:lang w:eastAsia="en-AU"/>
        </w:rPr>
      </w:r>
      <w:r>
        <w:rPr>
          <w:lang w:eastAsia="en-AU"/>
        </w:rPr>
        <w:fldChar w:fldCharType="separate"/>
      </w:r>
      <w:r w:rsidR="00AB7E95">
        <w:rPr>
          <w:lang w:eastAsia="en-AU"/>
        </w:rPr>
        <w:t>Appendix A</w:t>
      </w:r>
      <w:r>
        <w:rPr>
          <w:lang w:eastAsia="en-AU"/>
        </w:rPr>
        <w:fldChar w:fldCharType="end"/>
      </w:r>
      <w:r w:rsidRPr="00010FE7">
        <w:rPr>
          <w:lang w:eastAsia="en-AU"/>
        </w:rPr>
        <w:t>.</w:t>
      </w:r>
    </w:p>
    <w:p w14:paraId="3529A6FD" w14:textId="74AFBF47" w:rsidR="00BA3C1B" w:rsidRDefault="00BA3C1B" w:rsidP="00BA3C1B">
      <w:pPr>
        <w:pStyle w:val="Heading4"/>
      </w:pPr>
      <w:r w:rsidRPr="6967B2CC">
        <w:t>Native title outcomes including from facilitation and assistance, certification, notification, dispute resolution and other relevant functions</w:t>
      </w:r>
    </w:p>
    <w:p w14:paraId="3530DA0D" w14:textId="04D331C9" w:rsidR="00210AD6" w:rsidRPr="00580C97" w:rsidRDefault="00210AD6" w:rsidP="00210AD6">
      <w:pPr>
        <w:keepNext/>
        <w:spacing w:before="240"/>
        <w:outlineLvl w:val="4"/>
        <w:rPr>
          <w:rFonts w:eastAsia="Times New Roman" w:cs="Times New Roman"/>
          <w:b/>
          <w:color w:val="000000" w:themeColor="text1"/>
          <w:sz w:val="20"/>
          <w:szCs w:val="24"/>
          <w:lang w:eastAsia="en-AU"/>
        </w:rPr>
      </w:pPr>
      <w:r w:rsidRPr="00580C97">
        <w:rPr>
          <w:rFonts w:eastAsia="Times New Roman" w:cs="Times New Roman"/>
          <w:b/>
          <w:color w:val="000000" w:themeColor="text1"/>
          <w:sz w:val="20"/>
          <w:szCs w:val="24"/>
          <w:lang w:eastAsia="en-AU"/>
        </w:rPr>
        <w:t>FNLRS carr</w:t>
      </w:r>
      <w:r>
        <w:rPr>
          <w:rFonts w:eastAsia="Times New Roman" w:cs="Times New Roman"/>
          <w:b/>
          <w:color w:val="000000" w:themeColor="text1"/>
          <w:sz w:val="20"/>
          <w:szCs w:val="24"/>
          <w:lang w:eastAsia="en-AU"/>
        </w:rPr>
        <w:t>ied</w:t>
      </w:r>
      <w:r w:rsidRPr="00580C97">
        <w:rPr>
          <w:rFonts w:eastAsia="Times New Roman" w:cs="Times New Roman"/>
          <w:b/>
          <w:color w:val="000000" w:themeColor="text1"/>
          <w:sz w:val="20"/>
          <w:szCs w:val="24"/>
          <w:lang w:eastAsia="en-AU"/>
        </w:rPr>
        <w:t xml:space="preserve"> out </w:t>
      </w:r>
      <w:r>
        <w:rPr>
          <w:rFonts w:eastAsia="Times New Roman" w:cs="Times New Roman"/>
          <w:b/>
          <w:color w:val="000000" w:themeColor="text1"/>
          <w:sz w:val="20"/>
          <w:szCs w:val="24"/>
          <w:lang w:eastAsia="en-AU"/>
        </w:rPr>
        <w:t xml:space="preserve">required </w:t>
      </w:r>
      <w:r w:rsidRPr="00580C97">
        <w:rPr>
          <w:rFonts w:eastAsia="Times New Roman" w:cs="Times New Roman"/>
          <w:b/>
          <w:color w:val="000000" w:themeColor="text1"/>
          <w:sz w:val="20"/>
          <w:szCs w:val="24"/>
          <w:lang w:eastAsia="en-AU"/>
        </w:rPr>
        <w:t>function</w:t>
      </w:r>
      <w:r>
        <w:rPr>
          <w:rFonts w:eastAsia="Times New Roman" w:cs="Times New Roman"/>
          <w:b/>
          <w:color w:val="000000" w:themeColor="text1"/>
          <w:sz w:val="20"/>
          <w:szCs w:val="24"/>
          <w:lang w:eastAsia="en-AU"/>
        </w:rPr>
        <w:t>s</w:t>
      </w:r>
      <w:r w:rsidRPr="00580C97">
        <w:rPr>
          <w:rFonts w:eastAsia="Times New Roman" w:cs="Times New Roman"/>
          <w:b/>
          <w:color w:val="000000" w:themeColor="text1"/>
          <w:sz w:val="20"/>
          <w:szCs w:val="24"/>
          <w:lang w:eastAsia="en-AU"/>
        </w:rPr>
        <w:t xml:space="preserve"> under the </w:t>
      </w:r>
      <w:r w:rsidR="0014178C" w:rsidRPr="0014178C">
        <w:rPr>
          <w:rFonts w:eastAsia="Times New Roman" w:cs="Times New Roman"/>
          <w:b/>
          <w:color w:val="000000" w:themeColor="text1"/>
          <w:sz w:val="20"/>
          <w:szCs w:val="24"/>
          <w:lang w:eastAsia="en-AU"/>
        </w:rPr>
        <w:t>NTA</w:t>
      </w:r>
      <w:r w:rsidRPr="00580C97">
        <w:rPr>
          <w:rFonts w:eastAsia="Times New Roman" w:cs="Times New Roman"/>
          <w:b/>
          <w:i/>
          <w:iCs/>
          <w:color w:val="000000" w:themeColor="text1"/>
          <w:sz w:val="20"/>
          <w:szCs w:val="24"/>
          <w:lang w:eastAsia="en-AU"/>
        </w:rPr>
        <w:t xml:space="preserve"> </w:t>
      </w:r>
      <w:r w:rsidRPr="00580C97">
        <w:rPr>
          <w:rFonts w:eastAsia="Times New Roman" w:cs="Times New Roman"/>
          <w:b/>
          <w:color w:val="000000" w:themeColor="text1"/>
          <w:sz w:val="20"/>
          <w:szCs w:val="24"/>
          <w:lang w:eastAsia="en-AU"/>
        </w:rPr>
        <w:t xml:space="preserve">during the Review period, despite </w:t>
      </w:r>
      <w:r>
        <w:rPr>
          <w:rFonts w:eastAsia="Times New Roman" w:cs="Times New Roman"/>
          <w:b/>
          <w:color w:val="000000" w:themeColor="text1"/>
          <w:sz w:val="20"/>
          <w:szCs w:val="24"/>
          <w:lang w:eastAsia="en-AU"/>
        </w:rPr>
        <w:t>there being no</w:t>
      </w:r>
      <w:r w:rsidRPr="00580C97">
        <w:rPr>
          <w:rFonts w:eastAsia="Times New Roman" w:cs="Times New Roman"/>
          <w:b/>
          <w:color w:val="000000" w:themeColor="text1"/>
          <w:sz w:val="20"/>
          <w:szCs w:val="24"/>
          <w:lang w:eastAsia="en-AU"/>
        </w:rPr>
        <w:t xml:space="preserve"> determinations</w:t>
      </w:r>
    </w:p>
    <w:p w14:paraId="765A23F2" w14:textId="51532997" w:rsidR="00910DB8" w:rsidRDefault="00DC1A6D" w:rsidP="00C3113F">
      <w:pPr>
        <w:spacing w:before="60" w:after="60"/>
        <w:rPr>
          <w:lang w:eastAsia="en-AU"/>
        </w:rPr>
      </w:pPr>
      <w:r>
        <w:rPr>
          <w:lang w:eastAsia="en-AU"/>
        </w:rPr>
        <w:t xml:space="preserve">There </w:t>
      </w:r>
      <w:proofErr w:type="gramStart"/>
      <w:r>
        <w:rPr>
          <w:lang w:eastAsia="en-AU"/>
        </w:rPr>
        <w:t>were</w:t>
      </w:r>
      <w:proofErr w:type="gramEnd"/>
      <w:r>
        <w:rPr>
          <w:lang w:eastAsia="en-AU"/>
        </w:rPr>
        <w:t xml:space="preserve"> no native title </w:t>
      </w:r>
      <w:r w:rsidR="00580C97" w:rsidRPr="00580C97">
        <w:rPr>
          <w:lang w:eastAsia="en-AU"/>
        </w:rPr>
        <w:t xml:space="preserve">determinations </w:t>
      </w:r>
      <w:r>
        <w:rPr>
          <w:lang w:eastAsia="en-AU"/>
        </w:rPr>
        <w:t xml:space="preserve">made in Victoria </w:t>
      </w:r>
      <w:r w:rsidR="00580C97" w:rsidRPr="00580C97">
        <w:rPr>
          <w:lang w:eastAsia="en-AU"/>
        </w:rPr>
        <w:t>during the Review period</w:t>
      </w:r>
      <w:r w:rsidR="00CE70D4">
        <w:rPr>
          <w:lang w:eastAsia="en-AU"/>
        </w:rPr>
        <w:t>. A</w:t>
      </w:r>
      <w:r w:rsidR="00580C97" w:rsidRPr="00580C97">
        <w:rPr>
          <w:lang w:eastAsia="en-AU"/>
        </w:rPr>
        <w:t>s of 30 June 2022</w:t>
      </w:r>
      <w:r w:rsidR="002C7744">
        <w:rPr>
          <w:lang w:eastAsia="en-AU"/>
        </w:rPr>
        <w:t>,</w:t>
      </w:r>
      <w:r w:rsidR="00CE70D4">
        <w:rPr>
          <w:lang w:eastAsia="en-AU"/>
        </w:rPr>
        <w:t xml:space="preserve"> there was a total of f</w:t>
      </w:r>
      <w:r w:rsidR="00742723">
        <w:rPr>
          <w:lang w:eastAsia="en-AU"/>
        </w:rPr>
        <w:t xml:space="preserve">our </w:t>
      </w:r>
      <w:r w:rsidR="00CE70D4">
        <w:rPr>
          <w:lang w:eastAsia="en-AU"/>
        </w:rPr>
        <w:t>positive determinations</w:t>
      </w:r>
      <w:r w:rsidR="00B5598F">
        <w:rPr>
          <w:lang w:eastAsia="en-AU"/>
        </w:rPr>
        <w:t xml:space="preserve"> under the NTA</w:t>
      </w:r>
      <w:r w:rsidR="00CE70D4">
        <w:rPr>
          <w:lang w:eastAsia="en-AU"/>
        </w:rPr>
        <w:t xml:space="preserve"> </w:t>
      </w:r>
      <w:r w:rsidR="00A46A24">
        <w:rPr>
          <w:lang w:eastAsia="en-AU"/>
        </w:rPr>
        <w:t>(which had all been represented by FNLRS)</w:t>
      </w:r>
      <w:r w:rsidR="0071703B">
        <w:rPr>
          <w:lang w:eastAsia="en-AU"/>
        </w:rPr>
        <w:t xml:space="preserve"> with the </w:t>
      </w:r>
      <w:r w:rsidR="006D1043">
        <w:rPr>
          <w:lang w:eastAsia="en-AU"/>
        </w:rPr>
        <w:t xml:space="preserve">last determination before the Review period being </w:t>
      </w:r>
      <w:r w:rsidR="00580C97" w:rsidRPr="00580C97">
        <w:rPr>
          <w:lang w:eastAsia="en-AU"/>
        </w:rPr>
        <w:t>the Gunditjmara and Eastern Maar joint determination (VID6004/1998, VID655/2006)</w:t>
      </w:r>
      <w:r w:rsidR="00A46A24">
        <w:rPr>
          <w:lang w:eastAsia="en-AU"/>
        </w:rPr>
        <w:t xml:space="preserve"> in</w:t>
      </w:r>
      <w:r w:rsidR="00944B63">
        <w:rPr>
          <w:lang w:eastAsia="en-AU"/>
        </w:rPr>
        <w:t xml:space="preserve"> 2011.</w:t>
      </w:r>
      <w:r w:rsidR="00185102">
        <w:rPr>
          <w:lang w:eastAsia="en-AU"/>
        </w:rPr>
        <w:t xml:space="preserve"> In addition to the four NTA determinations, </w:t>
      </w:r>
      <w:r w:rsidR="00806F6F">
        <w:rPr>
          <w:rFonts w:cs="Segoe UI"/>
          <w:szCs w:val="19"/>
        </w:rPr>
        <w:t xml:space="preserve">FNLRS </w:t>
      </w:r>
      <w:r w:rsidR="00185102">
        <w:rPr>
          <w:rFonts w:cs="Segoe UI"/>
          <w:szCs w:val="19"/>
        </w:rPr>
        <w:t xml:space="preserve">had </w:t>
      </w:r>
      <w:r w:rsidR="00806F6F">
        <w:rPr>
          <w:rFonts w:cs="Segoe UI"/>
          <w:szCs w:val="19"/>
        </w:rPr>
        <w:t xml:space="preserve">also achieved native title outcomes for two groups (Dja </w:t>
      </w:r>
      <w:proofErr w:type="spellStart"/>
      <w:r w:rsidR="00806F6F">
        <w:rPr>
          <w:rFonts w:cs="Segoe UI"/>
          <w:szCs w:val="19"/>
        </w:rPr>
        <w:t>Dja</w:t>
      </w:r>
      <w:proofErr w:type="spellEnd"/>
      <w:r w:rsidR="00806F6F">
        <w:rPr>
          <w:rFonts w:cs="Segoe UI"/>
          <w:szCs w:val="19"/>
        </w:rPr>
        <w:t xml:space="preserve"> Wurrung and </w:t>
      </w:r>
      <w:proofErr w:type="spellStart"/>
      <w:r w:rsidR="00806F6F">
        <w:rPr>
          <w:rFonts w:cs="Segoe UI"/>
          <w:szCs w:val="19"/>
        </w:rPr>
        <w:t>Taungurung</w:t>
      </w:r>
      <w:proofErr w:type="spellEnd"/>
      <w:r w:rsidR="00806F6F">
        <w:rPr>
          <w:rFonts w:cs="Segoe UI"/>
          <w:szCs w:val="19"/>
        </w:rPr>
        <w:t xml:space="preserve">) through </w:t>
      </w:r>
      <w:r w:rsidR="002556A4">
        <w:rPr>
          <w:szCs w:val="19"/>
          <w:lang w:eastAsia="en-AU"/>
        </w:rPr>
        <w:t>comprehensive settlements under the</w:t>
      </w:r>
      <w:r w:rsidR="002556A4" w:rsidRPr="0002260A">
        <w:rPr>
          <w:szCs w:val="19"/>
          <w:lang w:eastAsia="en-AU"/>
        </w:rPr>
        <w:t xml:space="preserve"> </w:t>
      </w:r>
      <w:r w:rsidR="00806F6F" w:rsidRPr="00024521">
        <w:rPr>
          <w:rFonts w:cs="Segoe UI"/>
          <w:szCs w:val="19"/>
        </w:rPr>
        <w:t>Settlement Act</w:t>
      </w:r>
      <w:r w:rsidR="00806F6F">
        <w:rPr>
          <w:rFonts w:cs="Segoe UI"/>
          <w:i/>
          <w:iCs/>
          <w:szCs w:val="19"/>
        </w:rPr>
        <w:t xml:space="preserve"> </w:t>
      </w:r>
      <w:r w:rsidR="00806F6F">
        <w:rPr>
          <w:rFonts w:cs="Segoe UI"/>
          <w:szCs w:val="19"/>
        </w:rPr>
        <w:t>prior to the Review period</w:t>
      </w:r>
      <w:r w:rsidR="005D7CA5">
        <w:rPr>
          <w:rFonts w:cs="Segoe UI"/>
          <w:szCs w:val="19"/>
        </w:rPr>
        <w:t xml:space="preserve">. </w:t>
      </w:r>
      <w:r w:rsidR="00806F6F">
        <w:rPr>
          <w:rFonts w:cs="Segoe UI"/>
          <w:szCs w:val="19"/>
        </w:rPr>
        <w:t xml:space="preserve">The </w:t>
      </w:r>
      <w:proofErr w:type="spellStart"/>
      <w:r w:rsidR="00806F6F">
        <w:rPr>
          <w:rFonts w:cs="Segoe UI"/>
          <w:szCs w:val="19"/>
        </w:rPr>
        <w:t>Taungurung</w:t>
      </w:r>
      <w:proofErr w:type="spellEnd"/>
      <w:r w:rsidR="00806F6F">
        <w:rPr>
          <w:rFonts w:cs="Segoe UI"/>
          <w:szCs w:val="19"/>
        </w:rPr>
        <w:t xml:space="preserve"> </w:t>
      </w:r>
      <w:r w:rsidR="00826966">
        <w:rPr>
          <w:rFonts w:cs="Segoe UI"/>
          <w:szCs w:val="19"/>
        </w:rPr>
        <w:t>S</w:t>
      </w:r>
      <w:r w:rsidR="00FE7C9D">
        <w:rPr>
          <w:rFonts w:cs="Segoe UI"/>
          <w:szCs w:val="19"/>
        </w:rPr>
        <w:t>e</w:t>
      </w:r>
      <w:r w:rsidR="00826966">
        <w:rPr>
          <w:rFonts w:cs="Segoe UI"/>
          <w:szCs w:val="19"/>
        </w:rPr>
        <w:t>ttlement ILUA</w:t>
      </w:r>
      <w:r w:rsidR="00FE7C9D">
        <w:rPr>
          <w:rFonts w:cs="Segoe UI"/>
          <w:szCs w:val="19"/>
        </w:rPr>
        <w:t xml:space="preserve"> </w:t>
      </w:r>
      <w:r w:rsidR="00806F6F">
        <w:rPr>
          <w:rFonts w:cs="Segoe UI"/>
          <w:szCs w:val="19"/>
        </w:rPr>
        <w:t>agreement</w:t>
      </w:r>
      <w:r w:rsidR="000C2496">
        <w:rPr>
          <w:rFonts w:cs="Segoe UI"/>
          <w:szCs w:val="19"/>
        </w:rPr>
        <w:t xml:space="preserve"> </w:t>
      </w:r>
      <w:r w:rsidR="00806F6F">
        <w:rPr>
          <w:rFonts w:cs="Segoe UI"/>
          <w:szCs w:val="19"/>
        </w:rPr>
        <w:t xml:space="preserve">was registered with the </w:t>
      </w:r>
      <w:r w:rsidR="00EC428C" w:rsidRPr="00EC428C">
        <w:rPr>
          <w:rFonts w:cs="Segoe UI"/>
          <w:szCs w:val="19"/>
        </w:rPr>
        <w:t xml:space="preserve">National Native Title Tribunal </w:t>
      </w:r>
      <w:r w:rsidR="00EC428C">
        <w:rPr>
          <w:rFonts w:cs="Segoe UI"/>
          <w:szCs w:val="19"/>
        </w:rPr>
        <w:t>(</w:t>
      </w:r>
      <w:r w:rsidR="00806F6F">
        <w:rPr>
          <w:rFonts w:cs="Segoe UI"/>
          <w:szCs w:val="19"/>
        </w:rPr>
        <w:t>NNTT</w:t>
      </w:r>
      <w:r w:rsidR="00EC428C">
        <w:rPr>
          <w:rFonts w:cs="Segoe UI"/>
          <w:szCs w:val="19"/>
        </w:rPr>
        <w:t>)</w:t>
      </w:r>
      <w:r w:rsidR="00806F6F">
        <w:rPr>
          <w:rFonts w:cs="Segoe UI"/>
          <w:szCs w:val="19"/>
        </w:rPr>
        <w:t xml:space="preserve"> </w:t>
      </w:r>
      <w:proofErr w:type="gramStart"/>
      <w:r w:rsidR="00806F6F">
        <w:rPr>
          <w:rFonts w:cs="Segoe UI"/>
          <w:szCs w:val="19"/>
        </w:rPr>
        <w:t>on</w:t>
      </w:r>
      <w:proofErr w:type="gramEnd"/>
      <w:r w:rsidR="00806F6F">
        <w:rPr>
          <w:rFonts w:cs="Segoe UI"/>
          <w:szCs w:val="19"/>
        </w:rPr>
        <w:t xml:space="preserve"> April 2020 before being deregistered in March 2021</w:t>
      </w:r>
      <w:r w:rsidR="00130DDD">
        <w:rPr>
          <w:rFonts w:cs="Segoe UI"/>
          <w:szCs w:val="19"/>
        </w:rPr>
        <w:t xml:space="preserve"> after the Federal Court held </w:t>
      </w:r>
      <w:r w:rsidR="003C5258">
        <w:rPr>
          <w:rFonts w:cs="Segoe UI"/>
          <w:szCs w:val="19"/>
        </w:rPr>
        <w:t xml:space="preserve">that </w:t>
      </w:r>
      <w:r w:rsidR="00130DDD">
        <w:rPr>
          <w:rFonts w:cs="Segoe UI"/>
          <w:szCs w:val="19"/>
        </w:rPr>
        <w:t>the registrar failed to consider relevant material</w:t>
      </w:r>
      <w:r w:rsidR="00130DDD" w:rsidRPr="0064222D">
        <w:rPr>
          <w:rFonts w:cs="Segoe UI"/>
          <w:szCs w:val="19"/>
        </w:rPr>
        <w:t>.</w:t>
      </w:r>
      <w:r w:rsidR="00130DDD">
        <w:rPr>
          <w:rFonts w:cs="Segoe UI"/>
          <w:szCs w:val="19"/>
        </w:rPr>
        <w:t xml:space="preserve"> </w:t>
      </w:r>
      <w:r w:rsidR="00806F6F">
        <w:rPr>
          <w:rFonts w:cs="Segoe UI"/>
          <w:szCs w:val="19"/>
        </w:rPr>
        <w:t xml:space="preserve">However, this settlement agreement is still upheld (and is currently subject to a further research and submission process) and the associated ILUA may be reregistered under the </w:t>
      </w:r>
      <w:r w:rsidR="00806F6F" w:rsidRPr="000C2496">
        <w:rPr>
          <w:rFonts w:cs="Segoe UI"/>
          <w:szCs w:val="19"/>
        </w:rPr>
        <w:t>NTA</w:t>
      </w:r>
      <w:r w:rsidR="000C2496">
        <w:rPr>
          <w:rFonts w:cs="Segoe UI"/>
          <w:szCs w:val="19"/>
        </w:rPr>
        <w:t>.</w:t>
      </w:r>
    </w:p>
    <w:p w14:paraId="235597CE" w14:textId="25A59604" w:rsidR="00E22414" w:rsidRDefault="00580C97" w:rsidP="00580C97">
      <w:pPr>
        <w:rPr>
          <w:lang w:eastAsia="en-AU"/>
        </w:rPr>
      </w:pPr>
      <w:r w:rsidRPr="00580C97">
        <w:rPr>
          <w:lang w:eastAsia="en-AU"/>
        </w:rPr>
        <w:t xml:space="preserve">FNLRS did not lodge any </w:t>
      </w:r>
      <w:r w:rsidR="00342CDC">
        <w:rPr>
          <w:lang w:eastAsia="en-AU"/>
        </w:rPr>
        <w:t>new</w:t>
      </w:r>
      <w:r w:rsidRPr="00580C97">
        <w:rPr>
          <w:lang w:eastAsia="en-AU"/>
        </w:rPr>
        <w:t xml:space="preserve"> native title </w:t>
      </w:r>
      <w:r w:rsidR="00742723">
        <w:rPr>
          <w:lang w:eastAsia="en-AU"/>
        </w:rPr>
        <w:t>claims</w:t>
      </w:r>
      <w:r w:rsidR="006D736B">
        <w:rPr>
          <w:lang w:eastAsia="en-AU"/>
        </w:rPr>
        <w:t xml:space="preserve"> during the Review period</w:t>
      </w:r>
      <w:r w:rsidR="00742723">
        <w:rPr>
          <w:lang w:eastAsia="en-AU"/>
        </w:rPr>
        <w:t>.</w:t>
      </w:r>
      <w:r w:rsidRPr="00580C97">
        <w:rPr>
          <w:lang w:eastAsia="en-AU"/>
        </w:rPr>
        <w:t xml:space="preserve"> However, two native title </w:t>
      </w:r>
      <w:r w:rsidR="00742723">
        <w:rPr>
          <w:lang w:eastAsia="en-AU"/>
        </w:rPr>
        <w:t>claims</w:t>
      </w:r>
      <w:r w:rsidRPr="00580C97">
        <w:rPr>
          <w:lang w:eastAsia="en-AU"/>
        </w:rPr>
        <w:t xml:space="preserve"> were lodged in Victoria</w:t>
      </w:r>
      <w:r w:rsidR="008C7241">
        <w:rPr>
          <w:lang w:eastAsia="en-AU"/>
        </w:rPr>
        <w:t xml:space="preserve"> </w:t>
      </w:r>
      <w:r w:rsidRPr="00580C97">
        <w:rPr>
          <w:lang w:eastAsia="en-AU"/>
        </w:rPr>
        <w:t xml:space="preserve">on behalf of groups represented by </w:t>
      </w:r>
      <w:r w:rsidR="00005AE6">
        <w:rPr>
          <w:lang w:eastAsia="en-AU"/>
        </w:rPr>
        <w:t>external legal representation.</w:t>
      </w:r>
      <w:r w:rsidR="00AA25C6" w:rsidRPr="00AA25C6">
        <w:rPr>
          <w:rFonts w:cs="Segoe UI"/>
          <w:szCs w:val="19"/>
        </w:rPr>
        <w:t xml:space="preserve"> </w:t>
      </w:r>
      <w:r w:rsidR="001751EA" w:rsidRPr="001751EA">
        <w:rPr>
          <w:lang w:eastAsia="en-AU"/>
        </w:rPr>
        <w:t>FNLRS was the representative for two active claims that progressed through the courts during the Review period</w:t>
      </w:r>
      <w:r w:rsidR="000206E1">
        <w:rPr>
          <w:lang w:eastAsia="en-AU"/>
        </w:rPr>
        <w:t xml:space="preserve"> (the </w:t>
      </w:r>
      <w:r w:rsidR="000206E1" w:rsidRPr="000206E1">
        <w:rPr>
          <w:lang w:eastAsia="en-AU"/>
        </w:rPr>
        <w:t xml:space="preserve">Eastern Maar People </w:t>
      </w:r>
      <w:r w:rsidR="000206E1">
        <w:rPr>
          <w:lang w:eastAsia="en-AU"/>
        </w:rPr>
        <w:t xml:space="preserve">Claim </w:t>
      </w:r>
      <w:r w:rsidR="000206E1" w:rsidRPr="000206E1">
        <w:rPr>
          <w:lang w:eastAsia="en-AU"/>
        </w:rPr>
        <w:t>VID21/2019</w:t>
      </w:r>
      <w:r w:rsidR="000206E1">
        <w:rPr>
          <w:lang w:eastAsia="en-AU"/>
        </w:rPr>
        <w:t xml:space="preserve"> and the </w:t>
      </w:r>
      <w:r w:rsidR="000206E1" w:rsidRPr="000206E1">
        <w:rPr>
          <w:lang w:eastAsia="en-AU"/>
        </w:rPr>
        <w:t xml:space="preserve">First People of the </w:t>
      </w:r>
      <w:proofErr w:type="spellStart"/>
      <w:r w:rsidR="000206E1" w:rsidRPr="000206E1">
        <w:rPr>
          <w:lang w:eastAsia="en-AU"/>
        </w:rPr>
        <w:t>Millewa</w:t>
      </w:r>
      <w:proofErr w:type="spellEnd"/>
      <w:r w:rsidR="000206E1" w:rsidRPr="000206E1">
        <w:rPr>
          <w:lang w:eastAsia="en-AU"/>
        </w:rPr>
        <w:t>-Mallee Claim</w:t>
      </w:r>
      <w:r w:rsidR="000206E1">
        <w:rPr>
          <w:lang w:eastAsia="en-AU"/>
        </w:rPr>
        <w:t xml:space="preserve"> </w:t>
      </w:r>
      <w:r w:rsidR="000206E1" w:rsidRPr="00E61CA8">
        <w:t>VID630/2015</w:t>
      </w:r>
      <w:r w:rsidR="003C1D67">
        <w:t>)</w:t>
      </w:r>
      <w:r w:rsidR="001751EA">
        <w:rPr>
          <w:lang w:eastAsia="en-AU"/>
        </w:rPr>
        <w:t xml:space="preserve">. </w:t>
      </w:r>
      <w:r w:rsidR="001751EA" w:rsidRPr="00580C97">
        <w:rPr>
          <w:lang w:eastAsia="en-AU"/>
        </w:rPr>
        <w:t>An overview of the active claims</w:t>
      </w:r>
      <w:r w:rsidR="001751EA">
        <w:rPr>
          <w:lang w:eastAsia="en-AU"/>
        </w:rPr>
        <w:t xml:space="preserve"> </w:t>
      </w:r>
      <w:r w:rsidR="001751EA" w:rsidRPr="00580C97">
        <w:rPr>
          <w:lang w:eastAsia="en-AU"/>
        </w:rPr>
        <w:t>in Victoria</w:t>
      </w:r>
      <w:r w:rsidR="001751EA">
        <w:rPr>
          <w:lang w:eastAsia="en-AU"/>
        </w:rPr>
        <w:t>,</w:t>
      </w:r>
      <w:r w:rsidR="001751EA" w:rsidRPr="00580C97">
        <w:rPr>
          <w:lang w:eastAsia="en-AU"/>
        </w:rPr>
        <w:t xml:space="preserve"> </w:t>
      </w:r>
      <w:r w:rsidR="001751EA">
        <w:rPr>
          <w:lang w:eastAsia="en-AU"/>
        </w:rPr>
        <w:t>and their status</w:t>
      </w:r>
      <w:r w:rsidR="00005AE6">
        <w:rPr>
          <w:lang w:eastAsia="en-AU"/>
        </w:rPr>
        <w:t xml:space="preserve"> as</w:t>
      </w:r>
      <w:r w:rsidR="001751EA" w:rsidRPr="00580C97">
        <w:rPr>
          <w:lang w:eastAsia="en-AU"/>
        </w:rPr>
        <w:t xml:space="preserve"> </w:t>
      </w:r>
      <w:r w:rsidR="00005AE6">
        <w:rPr>
          <w:lang w:eastAsia="en-AU"/>
        </w:rPr>
        <w:t>of</w:t>
      </w:r>
      <w:r w:rsidR="001751EA" w:rsidRPr="00580C97">
        <w:rPr>
          <w:lang w:eastAsia="en-AU"/>
        </w:rPr>
        <w:t xml:space="preserve"> </w:t>
      </w:r>
      <w:r w:rsidR="00C0109F">
        <w:rPr>
          <w:lang w:eastAsia="en-AU"/>
        </w:rPr>
        <w:t>30 June 2022</w:t>
      </w:r>
      <w:r w:rsidR="00005AE6">
        <w:rPr>
          <w:lang w:eastAsia="en-AU"/>
        </w:rPr>
        <w:t>,</w:t>
      </w:r>
      <w:r w:rsidR="001751EA" w:rsidRPr="00580C97">
        <w:rPr>
          <w:lang w:eastAsia="en-AU"/>
        </w:rPr>
        <w:t xml:space="preserve"> </w:t>
      </w:r>
      <w:r w:rsidR="001751EA" w:rsidRPr="00C530DF">
        <w:rPr>
          <w:lang w:eastAsia="en-AU"/>
        </w:rPr>
        <w:t>is provided in</w:t>
      </w:r>
      <w:r w:rsidR="00C530DF">
        <w:rPr>
          <w:lang w:eastAsia="en-AU"/>
        </w:rPr>
        <w:t xml:space="preserve"> </w:t>
      </w:r>
      <w:r w:rsidR="00C530DF">
        <w:rPr>
          <w:highlight w:val="yellow"/>
          <w:lang w:eastAsia="en-AU"/>
        </w:rPr>
        <w:fldChar w:fldCharType="begin"/>
      </w:r>
      <w:r w:rsidR="00C530DF">
        <w:rPr>
          <w:lang w:eastAsia="en-AU"/>
        </w:rPr>
        <w:instrText xml:space="preserve"> REF _Ref157600723 \h </w:instrText>
      </w:r>
      <w:r w:rsidR="00C530DF">
        <w:rPr>
          <w:highlight w:val="yellow"/>
          <w:lang w:eastAsia="en-AU"/>
        </w:rPr>
      </w:r>
      <w:r w:rsidR="00C530DF">
        <w:rPr>
          <w:highlight w:val="yellow"/>
          <w:lang w:eastAsia="en-AU"/>
        </w:rPr>
        <w:fldChar w:fldCharType="separate"/>
      </w:r>
      <w:r w:rsidR="00AB7E95">
        <w:t xml:space="preserve">Table </w:t>
      </w:r>
      <w:r w:rsidR="00AB7E95">
        <w:rPr>
          <w:noProof/>
        </w:rPr>
        <w:t>1</w:t>
      </w:r>
      <w:r w:rsidR="00C530DF">
        <w:rPr>
          <w:highlight w:val="yellow"/>
          <w:lang w:eastAsia="en-AU"/>
        </w:rPr>
        <w:fldChar w:fldCharType="end"/>
      </w:r>
      <w:r w:rsidR="001751EA">
        <w:rPr>
          <w:lang w:eastAsia="en-AU"/>
        </w:rPr>
        <w:t xml:space="preserve">. </w:t>
      </w:r>
      <w:r w:rsidR="00B778A1">
        <w:rPr>
          <w:lang w:eastAsia="en-AU"/>
        </w:rPr>
        <w:t>FNLRS’s</w:t>
      </w:r>
      <w:r w:rsidRPr="00580C97">
        <w:rPr>
          <w:lang w:eastAsia="en-AU"/>
        </w:rPr>
        <w:t xml:space="preserve"> </w:t>
      </w:r>
      <w:r w:rsidR="00596585">
        <w:rPr>
          <w:lang w:eastAsia="en-AU"/>
        </w:rPr>
        <w:t>performance</w:t>
      </w:r>
      <w:r w:rsidRPr="00580C97">
        <w:rPr>
          <w:lang w:eastAsia="en-AU"/>
        </w:rPr>
        <w:t xml:space="preserve"> of specific functions as an NTRB-SP under the </w:t>
      </w:r>
      <w:r w:rsidRPr="007362AC">
        <w:rPr>
          <w:lang w:eastAsia="en-AU"/>
        </w:rPr>
        <w:t>NTA</w:t>
      </w:r>
      <w:r w:rsidRPr="00580C97">
        <w:rPr>
          <w:i/>
          <w:iCs/>
          <w:lang w:eastAsia="en-AU"/>
        </w:rPr>
        <w:t xml:space="preserve"> </w:t>
      </w:r>
      <w:r w:rsidR="00596585">
        <w:rPr>
          <w:lang w:eastAsia="en-AU"/>
        </w:rPr>
        <w:t>(</w:t>
      </w:r>
      <w:r w:rsidR="003E0180">
        <w:rPr>
          <w:lang w:eastAsia="en-AU"/>
        </w:rPr>
        <w:t>for example,</w:t>
      </w:r>
      <w:r w:rsidRPr="00580C97">
        <w:rPr>
          <w:i/>
          <w:iCs/>
          <w:lang w:eastAsia="en-AU"/>
        </w:rPr>
        <w:t xml:space="preserve"> </w:t>
      </w:r>
      <w:r w:rsidRPr="00580C97">
        <w:rPr>
          <w:lang w:eastAsia="en-AU"/>
        </w:rPr>
        <w:t>facilitation and assistance, dispute resolution</w:t>
      </w:r>
      <w:r w:rsidR="00596585">
        <w:rPr>
          <w:lang w:eastAsia="en-AU"/>
        </w:rPr>
        <w:t>),</w:t>
      </w:r>
      <w:r w:rsidRPr="00580C97">
        <w:rPr>
          <w:lang w:eastAsia="en-AU"/>
        </w:rPr>
        <w:t xml:space="preserve"> led to moderate native title progress during the Review period. </w:t>
      </w:r>
      <w:r w:rsidR="00E22414">
        <w:rPr>
          <w:lang w:eastAsia="en-AU"/>
        </w:rPr>
        <w:t xml:space="preserve">This was for both active claims </w:t>
      </w:r>
      <w:r w:rsidR="00EC428C">
        <w:rPr>
          <w:lang w:eastAsia="en-AU"/>
        </w:rPr>
        <w:t>and</w:t>
      </w:r>
      <w:r w:rsidR="00E22414">
        <w:rPr>
          <w:lang w:eastAsia="en-AU"/>
        </w:rPr>
        <w:t xml:space="preserve"> pre-claim work</w:t>
      </w:r>
      <w:r w:rsidR="00891C74">
        <w:rPr>
          <w:lang w:eastAsia="en-AU"/>
        </w:rPr>
        <w:t xml:space="preserve"> for </w:t>
      </w:r>
      <w:r w:rsidR="0084079B">
        <w:rPr>
          <w:lang w:eastAsia="en-AU"/>
        </w:rPr>
        <w:t>upcoming</w:t>
      </w:r>
      <w:r w:rsidR="00891C74">
        <w:rPr>
          <w:lang w:eastAsia="en-AU"/>
        </w:rPr>
        <w:t xml:space="preserve"> claims</w:t>
      </w:r>
      <w:r w:rsidR="00E22414">
        <w:rPr>
          <w:lang w:eastAsia="en-AU"/>
        </w:rPr>
        <w:t xml:space="preserve">. </w:t>
      </w:r>
    </w:p>
    <w:p w14:paraId="0CD68FC0" w14:textId="65BB10B5" w:rsidR="003C0621" w:rsidRDefault="00580C97" w:rsidP="00580C97">
      <w:pPr>
        <w:rPr>
          <w:lang w:eastAsia="en-AU"/>
        </w:rPr>
      </w:pPr>
      <w:r w:rsidRPr="00580C97">
        <w:rPr>
          <w:lang w:eastAsia="en-AU"/>
        </w:rPr>
        <w:t xml:space="preserve">The </w:t>
      </w:r>
      <w:r w:rsidR="0084079B">
        <w:rPr>
          <w:lang w:eastAsia="en-AU"/>
        </w:rPr>
        <w:t>second</w:t>
      </w:r>
      <w:r w:rsidR="00CE6C43">
        <w:rPr>
          <w:lang w:eastAsia="en-AU"/>
        </w:rPr>
        <w:t>, individual</w:t>
      </w:r>
      <w:r w:rsidR="0084079B">
        <w:rPr>
          <w:lang w:eastAsia="en-AU"/>
        </w:rPr>
        <w:t xml:space="preserve"> claim fil</w:t>
      </w:r>
      <w:r w:rsidR="00FB053B">
        <w:rPr>
          <w:lang w:eastAsia="en-AU"/>
        </w:rPr>
        <w:t xml:space="preserve">ed by the </w:t>
      </w:r>
      <w:r w:rsidRPr="00580C97">
        <w:rPr>
          <w:lang w:eastAsia="en-AU"/>
        </w:rPr>
        <w:t>Eastern Maar</w:t>
      </w:r>
      <w:r w:rsidR="00394022">
        <w:rPr>
          <w:lang w:eastAsia="en-AU"/>
        </w:rPr>
        <w:t xml:space="preserve"> People</w:t>
      </w:r>
      <w:r w:rsidR="00FB053B">
        <w:rPr>
          <w:lang w:eastAsia="en-AU"/>
        </w:rPr>
        <w:t xml:space="preserve"> </w:t>
      </w:r>
      <w:r w:rsidR="00574858">
        <w:rPr>
          <w:lang w:eastAsia="en-AU"/>
        </w:rPr>
        <w:t>made</w:t>
      </w:r>
      <w:r w:rsidR="00E22414">
        <w:rPr>
          <w:lang w:eastAsia="en-AU"/>
        </w:rPr>
        <w:t xml:space="preserve"> </w:t>
      </w:r>
      <w:r w:rsidR="008B276A">
        <w:rPr>
          <w:lang w:eastAsia="en-AU"/>
        </w:rPr>
        <w:t>substantial</w:t>
      </w:r>
      <w:r w:rsidRPr="00580C97">
        <w:rPr>
          <w:lang w:eastAsia="en-AU"/>
        </w:rPr>
        <w:t xml:space="preserve"> </w:t>
      </w:r>
      <w:r w:rsidR="00E22414">
        <w:rPr>
          <w:lang w:eastAsia="en-AU"/>
        </w:rPr>
        <w:t xml:space="preserve">progress </w:t>
      </w:r>
      <w:r w:rsidR="0010570C">
        <w:rPr>
          <w:lang w:eastAsia="en-AU"/>
        </w:rPr>
        <w:t>through the Federal Court</w:t>
      </w:r>
      <w:r w:rsidR="00574858">
        <w:rPr>
          <w:lang w:eastAsia="en-AU"/>
        </w:rPr>
        <w:t xml:space="preserve"> </w:t>
      </w:r>
      <w:r w:rsidR="00532D21">
        <w:rPr>
          <w:lang w:eastAsia="en-AU"/>
        </w:rPr>
        <w:t>and involved</w:t>
      </w:r>
      <w:r w:rsidR="00574858">
        <w:rPr>
          <w:lang w:eastAsia="en-AU"/>
        </w:rPr>
        <w:t xml:space="preserve"> FNLRS undertak</w:t>
      </w:r>
      <w:r w:rsidR="00532D21">
        <w:rPr>
          <w:lang w:eastAsia="en-AU"/>
        </w:rPr>
        <w:t>ing</w:t>
      </w:r>
      <w:r w:rsidR="00E22414">
        <w:rPr>
          <w:lang w:eastAsia="en-AU"/>
        </w:rPr>
        <w:t xml:space="preserve"> additional </w:t>
      </w:r>
      <w:r w:rsidRPr="00580C97">
        <w:rPr>
          <w:lang w:eastAsia="en-AU"/>
        </w:rPr>
        <w:t xml:space="preserve">research to resolve disputes. This </w:t>
      </w:r>
      <w:r w:rsidR="00E22414">
        <w:rPr>
          <w:lang w:eastAsia="en-AU"/>
        </w:rPr>
        <w:t>work</w:t>
      </w:r>
      <w:r w:rsidRPr="00580C97">
        <w:rPr>
          <w:lang w:eastAsia="en-AU"/>
        </w:rPr>
        <w:t xml:space="preserve"> culminated in the Eastern Maar</w:t>
      </w:r>
      <w:r w:rsidR="0026372D">
        <w:rPr>
          <w:lang w:eastAsia="en-AU"/>
        </w:rPr>
        <w:t xml:space="preserve"> People</w:t>
      </w:r>
      <w:r w:rsidRPr="00580C97">
        <w:rPr>
          <w:lang w:eastAsia="en-AU"/>
        </w:rPr>
        <w:t xml:space="preserve"> determination in </w:t>
      </w:r>
      <w:r w:rsidR="00515571">
        <w:rPr>
          <w:lang w:eastAsia="en-AU"/>
        </w:rPr>
        <w:t>March</w:t>
      </w:r>
      <w:r w:rsidRPr="00580C97">
        <w:rPr>
          <w:lang w:eastAsia="en-AU"/>
        </w:rPr>
        <w:t xml:space="preserve"> 2023</w:t>
      </w:r>
      <w:r w:rsidR="00940DDE">
        <w:rPr>
          <w:lang w:eastAsia="en-AU"/>
        </w:rPr>
        <w:t>. This</w:t>
      </w:r>
      <w:r w:rsidR="00E22414">
        <w:rPr>
          <w:lang w:eastAsia="en-AU"/>
        </w:rPr>
        <w:t xml:space="preserve"> was a significant milestone for FNLRS recognising </w:t>
      </w:r>
      <w:r w:rsidR="00FB053B">
        <w:rPr>
          <w:lang w:eastAsia="en-AU"/>
        </w:rPr>
        <w:t>the difficulty of achieving</w:t>
      </w:r>
      <w:r w:rsidR="00E22414">
        <w:rPr>
          <w:lang w:eastAsia="en-AU"/>
        </w:rPr>
        <w:t xml:space="preserve"> </w:t>
      </w:r>
      <w:r w:rsidR="0015550F">
        <w:rPr>
          <w:lang w:eastAsia="en-AU"/>
        </w:rPr>
        <w:t xml:space="preserve">native title in Victoria (as discussed further </w:t>
      </w:r>
      <w:r w:rsidR="00940DDE">
        <w:rPr>
          <w:lang w:eastAsia="en-AU"/>
        </w:rPr>
        <w:t>below</w:t>
      </w:r>
      <w:r w:rsidR="00866484">
        <w:rPr>
          <w:lang w:eastAsia="en-AU"/>
        </w:rPr>
        <w:t>)</w:t>
      </w:r>
      <w:r w:rsidRPr="00580C97" w:rsidDel="00E22414">
        <w:rPr>
          <w:lang w:eastAsia="en-AU"/>
        </w:rPr>
        <w:t>.</w:t>
      </w:r>
      <w:r w:rsidRPr="00580C97">
        <w:rPr>
          <w:lang w:eastAsia="en-AU"/>
        </w:rPr>
        <w:t xml:space="preserve"> </w:t>
      </w:r>
      <w:r w:rsidR="000D6A47">
        <w:rPr>
          <w:lang w:eastAsia="en-AU"/>
        </w:rPr>
        <w:t>FNLRS</w:t>
      </w:r>
      <w:r w:rsidR="00C87CF4">
        <w:rPr>
          <w:lang w:eastAsia="en-AU"/>
        </w:rPr>
        <w:t>’s</w:t>
      </w:r>
      <w:r w:rsidR="000D6A47">
        <w:rPr>
          <w:lang w:eastAsia="en-AU"/>
        </w:rPr>
        <w:t xml:space="preserve"> </w:t>
      </w:r>
      <w:r w:rsidR="000D6A47">
        <w:rPr>
          <w:lang w:eastAsia="en-AU"/>
        </w:rPr>
        <w:lastRenderedPageBreak/>
        <w:t>work</w:t>
      </w:r>
      <w:r w:rsidR="00866484">
        <w:rPr>
          <w:lang w:eastAsia="en-AU"/>
        </w:rPr>
        <w:t xml:space="preserve"> for the</w:t>
      </w:r>
      <w:r w:rsidRPr="00580C97">
        <w:rPr>
          <w:lang w:eastAsia="en-AU"/>
        </w:rPr>
        <w:t xml:space="preserve"> First People</w:t>
      </w:r>
      <w:r w:rsidR="0008496B">
        <w:rPr>
          <w:lang w:eastAsia="en-AU"/>
        </w:rPr>
        <w:t>s</w:t>
      </w:r>
      <w:r w:rsidRPr="00580C97">
        <w:rPr>
          <w:lang w:eastAsia="en-AU"/>
        </w:rPr>
        <w:t xml:space="preserve"> of the </w:t>
      </w:r>
      <w:proofErr w:type="spellStart"/>
      <w:r w:rsidRPr="00580C97">
        <w:rPr>
          <w:lang w:eastAsia="en-AU"/>
        </w:rPr>
        <w:t>Millewa</w:t>
      </w:r>
      <w:proofErr w:type="spellEnd"/>
      <w:r w:rsidRPr="00580C97">
        <w:rPr>
          <w:lang w:eastAsia="en-AU"/>
        </w:rPr>
        <w:t>-Malle</w:t>
      </w:r>
      <w:r w:rsidR="0008496B">
        <w:rPr>
          <w:lang w:eastAsia="en-AU"/>
        </w:rPr>
        <w:t>e</w:t>
      </w:r>
      <w:r w:rsidRPr="00580C97">
        <w:rPr>
          <w:lang w:eastAsia="en-AU"/>
        </w:rPr>
        <w:t xml:space="preserve"> claim </w:t>
      </w:r>
      <w:r w:rsidR="00866484">
        <w:rPr>
          <w:lang w:eastAsia="en-AU"/>
        </w:rPr>
        <w:t xml:space="preserve">included </w:t>
      </w:r>
      <w:r w:rsidR="003A1CC2" w:rsidRPr="003A1CC2">
        <w:rPr>
          <w:lang w:eastAsia="en-AU"/>
        </w:rPr>
        <w:t>provid</w:t>
      </w:r>
      <w:r w:rsidR="00824AFC">
        <w:rPr>
          <w:lang w:eastAsia="en-AU"/>
        </w:rPr>
        <w:t>ing</w:t>
      </w:r>
      <w:r w:rsidR="003A1CC2" w:rsidRPr="003A1CC2">
        <w:rPr>
          <w:lang w:eastAsia="en-AU"/>
        </w:rPr>
        <w:t xml:space="preserve"> connection material</w:t>
      </w:r>
      <w:r w:rsidR="00824AFC">
        <w:rPr>
          <w:lang w:eastAsia="en-AU"/>
        </w:rPr>
        <w:t>s</w:t>
      </w:r>
      <w:r w:rsidR="003A1CC2" w:rsidRPr="003A1CC2">
        <w:rPr>
          <w:lang w:eastAsia="en-AU"/>
        </w:rPr>
        <w:t xml:space="preserve"> to the </w:t>
      </w:r>
      <w:r w:rsidR="007110F2" w:rsidRPr="003A1CC2">
        <w:rPr>
          <w:lang w:eastAsia="en-AU"/>
        </w:rPr>
        <w:t>state</w:t>
      </w:r>
      <w:r w:rsidR="007110F2">
        <w:rPr>
          <w:lang w:eastAsia="en-AU"/>
        </w:rPr>
        <w:t xml:space="preserve"> govern</w:t>
      </w:r>
      <w:r w:rsidR="00596D4E">
        <w:rPr>
          <w:lang w:eastAsia="en-AU"/>
        </w:rPr>
        <w:t>ment</w:t>
      </w:r>
      <w:r w:rsidR="003A1CC2" w:rsidRPr="003A1CC2">
        <w:rPr>
          <w:lang w:eastAsia="en-AU"/>
        </w:rPr>
        <w:t xml:space="preserve"> and mediation for </w:t>
      </w:r>
      <w:r w:rsidR="00824AFC">
        <w:rPr>
          <w:lang w:eastAsia="en-AU"/>
        </w:rPr>
        <w:t>disputes</w:t>
      </w:r>
      <w:r w:rsidR="003A1CC2" w:rsidRPr="003A1CC2">
        <w:rPr>
          <w:lang w:eastAsia="en-AU"/>
        </w:rPr>
        <w:t>.</w:t>
      </w:r>
    </w:p>
    <w:p w14:paraId="6EBAE947" w14:textId="55AB662A" w:rsidR="00580C97" w:rsidRPr="00580C97" w:rsidRDefault="00B96C0E" w:rsidP="00580C97">
      <w:pPr>
        <w:rPr>
          <w:lang w:eastAsia="en-AU"/>
        </w:rPr>
      </w:pPr>
      <w:r>
        <w:rPr>
          <w:lang w:eastAsia="en-AU"/>
        </w:rPr>
        <w:t xml:space="preserve">Despite </w:t>
      </w:r>
      <w:r w:rsidRPr="00B96C0E">
        <w:rPr>
          <w:lang w:eastAsia="en-AU"/>
        </w:rPr>
        <w:t>FNLRS not provid</w:t>
      </w:r>
      <w:r>
        <w:rPr>
          <w:lang w:eastAsia="en-AU"/>
        </w:rPr>
        <w:t>ing</w:t>
      </w:r>
      <w:r w:rsidRPr="00B96C0E">
        <w:rPr>
          <w:lang w:eastAsia="en-AU"/>
        </w:rPr>
        <w:t xml:space="preserve"> legal support to </w:t>
      </w:r>
      <w:r w:rsidR="00E36E29">
        <w:rPr>
          <w:lang w:eastAsia="en-AU"/>
        </w:rPr>
        <w:t>the</w:t>
      </w:r>
      <w:r w:rsidRPr="00B96C0E">
        <w:rPr>
          <w:lang w:eastAsia="en-AU"/>
        </w:rPr>
        <w:t xml:space="preserve"> Boonwurrung People</w:t>
      </w:r>
      <w:r>
        <w:rPr>
          <w:lang w:eastAsia="en-AU"/>
        </w:rPr>
        <w:t xml:space="preserve"> </w:t>
      </w:r>
      <w:r w:rsidRPr="00B96C0E">
        <w:rPr>
          <w:lang w:eastAsia="en-AU"/>
        </w:rPr>
        <w:t>and Wamba Wemba claims during the Review period</w:t>
      </w:r>
      <w:r>
        <w:rPr>
          <w:lang w:eastAsia="en-AU"/>
        </w:rPr>
        <w:t xml:space="preserve">, </w:t>
      </w:r>
      <w:r w:rsidRPr="00B96C0E">
        <w:rPr>
          <w:lang w:eastAsia="en-AU"/>
        </w:rPr>
        <w:t>they support</w:t>
      </w:r>
      <w:r w:rsidR="00C8597A">
        <w:rPr>
          <w:lang w:eastAsia="en-AU"/>
        </w:rPr>
        <w:t>ed</w:t>
      </w:r>
      <w:r w:rsidRPr="00B96C0E">
        <w:rPr>
          <w:lang w:eastAsia="en-AU"/>
        </w:rPr>
        <w:t xml:space="preserve"> these claims </w:t>
      </w:r>
      <w:r w:rsidR="00FB68B8">
        <w:rPr>
          <w:lang w:eastAsia="en-AU"/>
        </w:rPr>
        <w:t>through</w:t>
      </w:r>
      <w:r w:rsidR="00C8597A">
        <w:rPr>
          <w:lang w:eastAsia="en-AU"/>
        </w:rPr>
        <w:t xml:space="preserve"> </w:t>
      </w:r>
      <w:r w:rsidR="00EC7B97">
        <w:rPr>
          <w:lang w:eastAsia="en-AU"/>
        </w:rPr>
        <w:t>some</w:t>
      </w:r>
      <w:r w:rsidR="00C8597A">
        <w:rPr>
          <w:lang w:eastAsia="en-AU"/>
        </w:rPr>
        <w:t xml:space="preserve"> work</w:t>
      </w:r>
      <w:r w:rsidR="005C6312">
        <w:rPr>
          <w:lang w:eastAsia="en-AU"/>
        </w:rPr>
        <w:t>,</w:t>
      </w:r>
      <w:r w:rsidR="00C8597A">
        <w:rPr>
          <w:lang w:eastAsia="en-AU"/>
        </w:rPr>
        <w:t xml:space="preserve"> </w:t>
      </w:r>
      <w:r w:rsidR="00EC7B97">
        <w:rPr>
          <w:lang w:eastAsia="en-AU"/>
        </w:rPr>
        <w:t>including</w:t>
      </w:r>
      <w:r w:rsidR="00C8597A">
        <w:rPr>
          <w:lang w:eastAsia="en-AU"/>
        </w:rPr>
        <w:t xml:space="preserve"> </w:t>
      </w:r>
      <w:r w:rsidR="00A52E43">
        <w:rPr>
          <w:lang w:eastAsia="en-AU"/>
        </w:rPr>
        <w:t xml:space="preserve">research and </w:t>
      </w:r>
      <w:r w:rsidR="00C113C7">
        <w:rPr>
          <w:lang w:eastAsia="en-AU"/>
        </w:rPr>
        <w:t>administration of funding</w:t>
      </w:r>
      <w:r w:rsidR="00254F8E">
        <w:rPr>
          <w:rStyle w:val="FootnoteReference"/>
          <w:lang w:eastAsia="en-AU"/>
        </w:rPr>
        <w:footnoteReference w:id="4"/>
      </w:r>
      <w:r w:rsidR="00A94492">
        <w:rPr>
          <w:lang w:eastAsia="en-AU"/>
        </w:rPr>
        <w:t xml:space="preserve">. </w:t>
      </w:r>
    </w:p>
    <w:p w14:paraId="0CE6EF5B" w14:textId="4C11D466" w:rsidR="00A60BF8" w:rsidRDefault="00144FC7" w:rsidP="00A60BF8">
      <w:r>
        <w:fldChar w:fldCharType="begin"/>
      </w:r>
      <w:r>
        <w:instrText xml:space="preserve"> REF _Ref165884115 \h  \* MERGEFORMAT </w:instrText>
      </w:r>
      <w:r>
        <w:fldChar w:fldCharType="separate"/>
      </w:r>
      <w:r w:rsidR="00AB7E95" w:rsidRPr="00AB7E95">
        <w:t>Figure 1</w:t>
      </w:r>
      <w:r>
        <w:fldChar w:fldCharType="end"/>
      </w:r>
      <w:r w:rsidR="00A60BF8" w:rsidRPr="00580C97">
        <w:t xml:space="preserve"> illustrates the areas of the region where native title has been determined as of May 2023.</w:t>
      </w:r>
      <w:r w:rsidR="00A60BF8" w:rsidRPr="00580C97">
        <w:rPr>
          <w:vertAlign w:val="superscript"/>
        </w:rPr>
        <w:footnoteReference w:id="5"/>
      </w:r>
    </w:p>
    <w:p w14:paraId="4D1E7FBC" w14:textId="224BEC14" w:rsidR="00A60BF8" w:rsidRPr="00A60BF8" w:rsidRDefault="00A60BF8" w:rsidP="00A60BF8">
      <w:pPr>
        <w:keepNext/>
        <w:spacing w:before="240"/>
        <w:rPr>
          <w:rFonts w:ascii="Segoe UI Semibold" w:hAnsi="Segoe UI Semibold"/>
          <w:bCs/>
          <w:color w:val="00264D" w:themeColor="background2"/>
          <w:szCs w:val="18"/>
          <w:vertAlign w:val="superscript"/>
        </w:rPr>
      </w:pPr>
      <w:bookmarkStart w:id="15" w:name="_Ref165884115"/>
      <w:r w:rsidRPr="00580C97">
        <w:rPr>
          <w:rFonts w:ascii="Segoe UI Semibold" w:hAnsi="Segoe UI Semibold"/>
          <w:bCs/>
          <w:color w:val="00264D" w:themeColor="background2"/>
          <w:szCs w:val="18"/>
        </w:rPr>
        <w:t xml:space="preserve">Figure </w:t>
      </w:r>
      <w:r w:rsidRPr="00580C97">
        <w:rPr>
          <w:rFonts w:ascii="Segoe UI Semibold" w:hAnsi="Segoe UI Semibold"/>
          <w:bCs/>
          <w:color w:val="00264D" w:themeColor="background2"/>
          <w:szCs w:val="18"/>
        </w:rPr>
        <w:fldChar w:fldCharType="begin"/>
      </w:r>
      <w:r w:rsidRPr="00580C97">
        <w:rPr>
          <w:rFonts w:ascii="Segoe UI Semibold" w:hAnsi="Segoe UI Semibold"/>
          <w:bCs/>
          <w:color w:val="00264D" w:themeColor="background2"/>
          <w:szCs w:val="18"/>
        </w:rPr>
        <w:instrText xml:space="preserve"> SEQ Figure \* ARABIC </w:instrText>
      </w:r>
      <w:r w:rsidRPr="00580C97">
        <w:rPr>
          <w:rFonts w:ascii="Segoe UI Semibold" w:hAnsi="Segoe UI Semibold"/>
          <w:bCs/>
          <w:color w:val="00264D" w:themeColor="background2"/>
          <w:szCs w:val="18"/>
        </w:rPr>
        <w:fldChar w:fldCharType="separate"/>
      </w:r>
      <w:r w:rsidR="00AB7E95">
        <w:rPr>
          <w:rFonts w:ascii="Segoe UI Semibold" w:hAnsi="Segoe UI Semibold"/>
          <w:bCs/>
          <w:noProof/>
          <w:color w:val="00264D" w:themeColor="background2"/>
          <w:szCs w:val="18"/>
        </w:rPr>
        <w:t>1</w:t>
      </w:r>
      <w:r w:rsidRPr="00580C97">
        <w:rPr>
          <w:rFonts w:ascii="Segoe UI Semibold" w:hAnsi="Segoe UI Semibold"/>
          <w:bCs/>
          <w:color w:val="00264D" w:themeColor="background2"/>
          <w:szCs w:val="18"/>
        </w:rPr>
        <w:fldChar w:fldCharType="end"/>
      </w:r>
      <w:bookmarkEnd w:id="15"/>
      <w:r w:rsidRPr="00580C97">
        <w:rPr>
          <w:rFonts w:ascii="Segoe UI Semibold" w:hAnsi="Segoe UI Semibold"/>
          <w:bCs/>
          <w:color w:val="00264D" w:themeColor="background2"/>
          <w:szCs w:val="18"/>
        </w:rPr>
        <w:t xml:space="preserve"> | Victoria </w:t>
      </w:r>
      <w:r w:rsidR="00647093" w:rsidRPr="00580C97">
        <w:rPr>
          <w:rFonts w:ascii="Segoe UI Semibold" w:hAnsi="Segoe UI Semibold"/>
          <w:bCs/>
          <w:color w:val="00264D" w:themeColor="background2"/>
          <w:szCs w:val="18"/>
        </w:rPr>
        <w:t xml:space="preserve">determination areas </w:t>
      </w:r>
      <w:r>
        <w:rPr>
          <w:rFonts w:ascii="Segoe UI Semibold" w:hAnsi="Segoe UI Semibold"/>
          <w:bCs/>
          <w:color w:val="00264D" w:themeColor="background2"/>
          <w:szCs w:val="18"/>
        </w:rPr>
        <w:t>at</w:t>
      </w:r>
      <w:r w:rsidRPr="00580C97">
        <w:rPr>
          <w:rFonts w:ascii="Segoe UI Semibold" w:hAnsi="Segoe UI Semibold"/>
          <w:bCs/>
          <w:color w:val="00264D" w:themeColor="background2"/>
          <w:szCs w:val="18"/>
        </w:rPr>
        <w:t xml:space="preserve"> May 2023</w:t>
      </w:r>
      <w:r>
        <w:rPr>
          <w:rStyle w:val="FootnoteReference"/>
          <w:rFonts w:ascii="Segoe UI Semibold" w:hAnsi="Segoe UI Semibold"/>
          <w:bCs/>
          <w:color w:val="00264D" w:themeColor="background2"/>
          <w:szCs w:val="18"/>
        </w:rPr>
        <w:footnoteReference w:id="6"/>
      </w:r>
    </w:p>
    <w:p w14:paraId="5D4156C3" w14:textId="3CD87458" w:rsidR="00A60BF8" w:rsidRPr="00580C97" w:rsidRDefault="00A60BF8" w:rsidP="00580C97">
      <w:pPr>
        <w:rPr>
          <w:lang w:eastAsia="en-AU"/>
        </w:rPr>
      </w:pPr>
      <w:r w:rsidRPr="00580C97">
        <w:rPr>
          <w:noProof/>
          <w:lang w:eastAsia="en-AU"/>
        </w:rPr>
        <w:drawing>
          <wp:inline distT="0" distB="0" distL="0" distR="0" wp14:anchorId="2C2CF026" wp14:editId="1C082258">
            <wp:extent cx="5684704" cy="5392511"/>
            <wp:effectExtent l="0" t="0" r="0" b="0"/>
            <wp:docPr id="2007376400" name="Picture 2007376400" descr="Map of the state of Victoria showing the native title determination areas as per the Federal Court’s decision on 22 May 2023. The map includes a legend which highlights the regions recognised for various Indigenous groups and the Native Title Determina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76400" name="Picture 2007376400" descr="Map of the state of Victoria showing the native title determination areas as per the Federal Court’s decision on 22 May 2023. The map includes a legend which highlights the regions recognised for various Indigenous groups and the Native Title Determination Area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6586" cy="5432241"/>
                    </a:xfrm>
                    <a:prstGeom prst="rect">
                      <a:avLst/>
                    </a:prstGeom>
                  </pic:spPr>
                </pic:pic>
              </a:graphicData>
            </a:graphic>
          </wp:inline>
        </w:drawing>
      </w:r>
    </w:p>
    <w:p w14:paraId="13944DA5" w14:textId="2090240F" w:rsidR="00580C97" w:rsidRPr="00F34804" w:rsidRDefault="00F34804" w:rsidP="00F34804">
      <w:pPr>
        <w:pStyle w:val="Caption"/>
      </w:pPr>
      <w:bookmarkStart w:id="16" w:name="_Ref157600723"/>
      <w:r>
        <w:lastRenderedPageBreak/>
        <w:t xml:space="preserve">Table </w:t>
      </w:r>
      <w:r>
        <w:fldChar w:fldCharType="begin"/>
      </w:r>
      <w:r>
        <w:instrText xml:space="preserve"> SEQ Table \* ARABIC </w:instrText>
      </w:r>
      <w:r>
        <w:fldChar w:fldCharType="separate"/>
      </w:r>
      <w:r w:rsidR="00AB7E95">
        <w:rPr>
          <w:noProof/>
        </w:rPr>
        <w:t>1</w:t>
      </w:r>
      <w:r>
        <w:fldChar w:fldCharType="end"/>
      </w:r>
      <w:bookmarkEnd w:id="16"/>
      <w:r>
        <w:t xml:space="preserve"> |</w:t>
      </w:r>
      <w:r w:rsidRPr="00D76512">
        <w:t xml:space="preserve"> Active claims in Victoria as of 30 June 2022</w:t>
      </w:r>
    </w:p>
    <w:tbl>
      <w:tblPr>
        <w:tblStyle w:val="AEMO31"/>
        <w:tblW w:w="5000" w:type="pct"/>
        <w:tblLook w:val="04A0" w:firstRow="1" w:lastRow="0" w:firstColumn="1" w:lastColumn="0" w:noHBand="0" w:noVBand="1"/>
      </w:tblPr>
      <w:tblGrid>
        <w:gridCol w:w="1651"/>
        <w:gridCol w:w="1441"/>
        <w:gridCol w:w="1216"/>
        <w:gridCol w:w="4622"/>
      </w:tblGrid>
      <w:tr w:rsidR="007C706B" w:rsidRPr="00580C97" w14:paraId="6A08B70A" w14:textId="2A2CF10D" w:rsidTr="006770B0">
        <w:trPr>
          <w:cnfStyle w:val="100000000000" w:firstRow="1" w:lastRow="0" w:firstColumn="0" w:lastColumn="0" w:oddVBand="0" w:evenVBand="0" w:oddHBand="0" w:evenHBand="0" w:firstRowFirstColumn="0" w:firstRowLastColumn="0" w:lastRowFirstColumn="0" w:lastRowLastColumn="0"/>
          <w:trHeight w:val="316"/>
        </w:trPr>
        <w:tc>
          <w:tcPr>
            <w:tcW w:w="924" w:type="pct"/>
          </w:tcPr>
          <w:p w14:paraId="3B73685E" w14:textId="7C4A4846" w:rsidR="003903F3" w:rsidRPr="00580C97" w:rsidRDefault="003903F3" w:rsidP="002841E2">
            <w:pPr>
              <w:pStyle w:val="TableNheader"/>
            </w:pPr>
            <w:r w:rsidRPr="002841E2">
              <w:t>Case name</w:t>
            </w:r>
          </w:p>
        </w:tc>
        <w:tc>
          <w:tcPr>
            <w:tcW w:w="807" w:type="pct"/>
          </w:tcPr>
          <w:p w14:paraId="5577A52E" w14:textId="77777777" w:rsidR="003903F3" w:rsidRPr="00580C97" w:rsidRDefault="003903F3" w:rsidP="002841E2">
            <w:pPr>
              <w:pStyle w:val="TableNheader"/>
            </w:pPr>
            <w:r w:rsidRPr="00580C97">
              <w:t>Applicant representative</w:t>
            </w:r>
          </w:p>
        </w:tc>
        <w:tc>
          <w:tcPr>
            <w:tcW w:w="681" w:type="pct"/>
          </w:tcPr>
          <w:p w14:paraId="186A80C0" w14:textId="5A15E5A4" w:rsidR="003903F3" w:rsidRDefault="003903F3" w:rsidP="002841E2">
            <w:pPr>
              <w:pStyle w:val="TableNheader"/>
            </w:pPr>
            <w:r>
              <w:t>Date filed</w:t>
            </w:r>
          </w:p>
        </w:tc>
        <w:tc>
          <w:tcPr>
            <w:tcW w:w="2588" w:type="pct"/>
          </w:tcPr>
          <w:p w14:paraId="778A4C46" w14:textId="5BBBA962" w:rsidR="003903F3" w:rsidRPr="00580C97" w:rsidRDefault="007E4922" w:rsidP="002841E2">
            <w:pPr>
              <w:pStyle w:val="TableNheader"/>
            </w:pPr>
            <w:r>
              <w:t>Status commentary</w:t>
            </w:r>
          </w:p>
        </w:tc>
      </w:tr>
      <w:tr w:rsidR="0063174B" w:rsidRPr="00580C97" w14:paraId="07E488CC" w14:textId="77777777" w:rsidTr="006770B0">
        <w:trPr>
          <w:cnfStyle w:val="000000100000" w:firstRow="0" w:lastRow="0" w:firstColumn="0" w:lastColumn="0" w:oddVBand="0" w:evenVBand="0" w:oddHBand="1" w:evenHBand="0" w:firstRowFirstColumn="0" w:firstRowLastColumn="0" w:lastRowFirstColumn="0" w:lastRowLastColumn="0"/>
          <w:trHeight w:val="552"/>
        </w:trPr>
        <w:tc>
          <w:tcPr>
            <w:tcW w:w="924" w:type="pct"/>
          </w:tcPr>
          <w:p w14:paraId="5AFE15A1" w14:textId="77889AB7" w:rsidR="0063174B" w:rsidRPr="00580C97" w:rsidRDefault="0063174B" w:rsidP="0063174B">
            <w:pPr>
              <w:pStyle w:val="TableNText"/>
            </w:pPr>
            <w:r w:rsidRPr="003C2D28">
              <w:t xml:space="preserve">Eastern Maar People (VID21/2019; </w:t>
            </w:r>
            <w:r w:rsidR="00EE3EB3">
              <w:t xml:space="preserve">partly </w:t>
            </w:r>
            <w:r w:rsidRPr="003C2D28">
              <w:t xml:space="preserve">determined </w:t>
            </w:r>
            <w:r w:rsidR="00A24148">
              <w:t>after Review period</w:t>
            </w:r>
            <w:r w:rsidR="00EE3EB3">
              <w:t>,</w:t>
            </w:r>
            <w:r w:rsidR="00A24148">
              <w:t xml:space="preserve"> </w:t>
            </w:r>
            <w:r w:rsidR="00336B17">
              <w:t>2023</w:t>
            </w:r>
            <w:r w:rsidRPr="003C2D28">
              <w:t>)</w:t>
            </w:r>
          </w:p>
        </w:tc>
        <w:tc>
          <w:tcPr>
            <w:tcW w:w="807" w:type="pct"/>
          </w:tcPr>
          <w:p w14:paraId="6090BA92" w14:textId="21C2AA81" w:rsidR="0063174B" w:rsidRPr="00580C97" w:rsidRDefault="0063174B" w:rsidP="0063174B">
            <w:pPr>
              <w:pStyle w:val="TableNText"/>
            </w:pPr>
            <w:r w:rsidRPr="00580C97">
              <w:t>FNLRS</w:t>
            </w:r>
          </w:p>
        </w:tc>
        <w:tc>
          <w:tcPr>
            <w:tcW w:w="681" w:type="pct"/>
          </w:tcPr>
          <w:p w14:paraId="2B526143" w14:textId="4413E90F" w:rsidR="0063174B" w:rsidRDefault="0063174B" w:rsidP="0063174B">
            <w:pPr>
              <w:pStyle w:val="TableNText"/>
            </w:pPr>
            <w:r>
              <w:t>14/12/2012</w:t>
            </w:r>
          </w:p>
        </w:tc>
        <w:tc>
          <w:tcPr>
            <w:tcW w:w="2588" w:type="pct"/>
          </w:tcPr>
          <w:p w14:paraId="126A023D" w14:textId="2EE5DDCB" w:rsidR="0063174B" w:rsidRPr="00BD36E4" w:rsidRDefault="0063174B" w:rsidP="0063174B">
            <w:pPr>
              <w:pStyle w:val="TableNText"/>
            </w:pPr>
            <w:proofErr w:type="gramStart"/>
            <w:r w:rsidRPr="00E46128">
              <w:t>The</w:t>
            </w:r>
            <w:r w:rsidR="00BC33B2">
              <w:t xml:space="preserve"> majority of</w:t>
            </w:r>
            <w:proofErr w:type="gramEnd"/>
            <w:r w:rsidR="00BC33B2">
              <w:t xml:space="preserve"> the</w:t>
            </w:r>
            <w:r w:rsidRPr="00E46128">
              <w:t xml:space="preserve"> claim</w:t>
            </w:r>
            <w:r w:rsidR="00BC33B2">
              <w:t xml:space="preserve"> area </w:t>
            </w:r>
            <w:r w:rsidRPr="00E46128">
              <w:t>was determined</w:t>
            </w:r>
            <w:r w:rsidR="0016632B">
              <w:t xml:space="preserve"> (post-Review period)</w:t>
            </w:r>
            <w:r w:rsidRPr="00E46128">
              <w:t xml:space="preserve"> </w:t>
            </w:r>
            <w:r>
              <w:t xml:space="preserve">through litigation </w:t>
            </w:r>
            <w:r w:rsidR="00F8123A">
              <w:t xml:space="preserve">in 2023 </w:t>
            </w:r>
            <w:r w:rsidRPr="00E46128">
              <w:t>and covers 3</w:t>
            </w:r>
            <w:r>
              <w:t>,</w:t>
            </w:r>
            <w:r w:rsidRPr="00E46128">
              <w:t xml:space="preserve">734 square kilometres of </w:t>
            </w:r>
            <w:r>
              <w:t xml:space="preserve">parcels of </w:t>
            </w:r>
            <w:r w:rsidRPr="00E46128">
              <w:t xml:space="preserve">land and waters in the </w:t>
            </w:r>
            <w:proofErr w:type="gramStart"/>
            <w:r w:rsidRPr="00E46128">
              <w:t>South West</w:t>
            </w:r>
            <w:proofErr w:type="gramEnd"/>
            <w:r w:rsidRPr="00E46128">
              <w:t xml:space="preserve"> of Victoria, </w:t>
            </w:r>
            <w:r w:rsidRPr="004B3B10">
              <w:t>stretching from Northern Grampians Shire in the north, to Moyne Shire in the south, from Ararat Rural City in the east,</w:t>
            </w:r>
            <w:r>
              <w:t xml:space="preserve"> </w:t>
            </w:r>
            <w:r w:rsidRPr="004B3B10">
              <w:t>to Warrnambool City in the west</w:t>
            </w:r>
            <w:r>
              <w:t>.</w:t>
            </w:r>
            <w:r w:rsidR="00890BB8">
              <w:t xml:space="preserve"> T</w:t>
            </w:r>
            <w:r w:rsidR="00890BB8" w:rsidRPr="00890BB8">
              <w:t xml:space="preserve">wo other areas of overlap were determined by consent </w:t>
            </w:r>
            <w:r w:rsidR="00890BB8">
              <w:t>in 2024</w:t>
            </w:r>
            <w:r w:rsidR="00890BB8" w:rsidRPr="00890BB8">
              <w:t xml:space="preserve">, following mediation. One remaining overlap area </w:t>
            </w:r>
            <w:r w:rsidR="00414B4C">
              <w:t>remained to be litigated.</w:t>
            </w:r>
          </w:p>
        </w:tc>
      </w:tr>
      <w:tr w:rsidR="0063174B" w:rsidRPr="00580C97" w14:paraId="488525B5" w14:textId="799C2CCB" w:rsidTr="006770B0">
        <w:trPr>
          <w:cnfStyle w:val="000000010000" w:firstRow="0" w:lastRow="0" w:firstColumn="0" w:lastColumn="0" w:oddVBand="0" w:evenVBand="0" w:oddHBand="0" w:evenHBand="1" w:firstRowFirstColumn="0" w:firstRowLastColumn="0" w:lastRowFirstColumn="0" w:lastRowLastColumn="0"/>
          <w:trHeight w:val="552"/>
        </w:trPr>
        <w:tc>
          <w:tcPr>
            <w:tcW w:w="924" w:type="pct"/>
          </w:tcPr>
          <w:p w14:paraId="6B62F8F6" w14:textId="3F718EB6" w:rsidR="0063174B" w:rsidRPr="00580C97" w:rsidRDefault="0063174B" w:rsidP="0063174B">
            <w:pPr>
              <w:pStyle w:val="TableNText"/>
            </w:pPr>
            <w:r w:rsidRPr="00580C97">
              <w:t xml:space="preserve">First People of the </w:t>
            </w:r>
            <w:proofErr w:type="spellStart"/>
            <w:r w:rsidRPr="00580C97">
              <w:t>Millewa</w:t>
            </w:r>
            <w:proofErr w:type="spellEnd"/>
            <w:r w:rsidRPr="00580C97">
              <w:t>-Mallee</w:t>
            </w:r>
            <w:r>
              <w:t xml:space="preserve"> Claim (</w:t>
            </w:r>
            <w:r w:rsidRPr="00E61CA8">
              <w:t>VID630/2015</w:t>
            </w:r>
            <w:r>
              <w:t>)</w:t>
            </w:r>
          </w:p>
        </w:tc>
        <w:tc>
          <w:tcPr>
            <w:tcW w:w="807" w:type="pct"/>
          </w:tcPr>
          <w:p w14:paraId="4EF5D8A6" w14:textId="77777777" w:rsidR="0063174B" w:rsidRPr="00580C97" w:rsidRDefault="0063174B" w:rsidP="0063174B">
            <w:pPr>
              <w:pStyle w:val="TableNText"/>
            </w:pPr>
            <w:r w:rsidRPr="00580C97">
              <w:t>FNLRS</w:t>
            </w:r>
          </w:p>
        </w:tc>
        <w:tc>
          <w:tcPr>
            <w:tcW w:w="681" w:type="pct"/>
          </w:tcPr>
          <w:p w14:paraId="2B65A9DE" w14:textId="6EF4EB6D" w:rsidR="0063174B" w:rsidRPr="00580C97" w:rsidRDefault="0063174B" w:rsidP="0063174B">
            <w:pPr>
              <w:pStyle w:val="TableNText"/>
            </w:pPr>
            <w:r>
              <w:t>08/10/2015</w:t>
            </w:r>
          </w:p>
        </w:tc>
        <w:tc>
          <w:tcPr>
            <w:tcW w:w="2588" w:type="pct"/>
          </w:tcPr>
          <w:p w14:paraId="3D1728B7" w14:textId="0C21B96D" w:rsidR="0063174B" w:rsidRPr="00580C97" w:rsidRDefault="0063174B" w:rsidP="0063174B">
            <w:pPr>
              <w:pStyle w:val="TableNText"/>
            </w:pPr>
            <w:r w:rsidRPr="00BD36E4">
              <w:t xml:space="preserve">The claim is </w:t>
            </w:r>
            <w:proofErr w:type="gramStart"/>
            <w:r w:rsidR="00D164C0">
              <w:t>complex</w:t>
            </w:r>
            <w:proofErr w:type="gramEnd"/>
            <w:r w:rsidR="00543799">
              <w:t xml:space="preserve"> and negotiation of a</w:t>
            </w:r>
            <w:r w:rsidRPr="00BD36E4">
              <w:t xml:space="preserve"> </w:t>
            </w:r>
            <w:r>
              <w:t>consent</w:t>
            </w:r>
            <w:r w:rsidRPr="00BD36E4">
              <w:t xml:space="preserve"> </w:t>
            </w:r>
            <w:r w:rsidR="00543799">
              <w:t>determination was well progressed. It</w:t>
            </w:r>
            <w:r w:rsidRPr="00BD36E4">
              <w:t xml:space="preserve"> covers 7</w:t>
            </w:r>
            <w:r>
              <w:t>,</w:t>
            </w:r>
            <w:r w:rsidRPr="00BD36E4">
              <w:t>859</w:t>
            </w:r>
            <w:r>
              <w:t xml:space="preserve"> </w:t>
            </w:r>
            <w:r w:rsidRPr="00BD36E4">
              <w:t xml:space="preserve">square kilometres </w:t>
            </w:r>
            <w:r>
              <w:t>of parcels of</w:t>
            </w:r>
            <w:r w:rsidRPr="00BD36E4">
              <w:t xml:space="preserve"> land and waters in the </w:t>
            </w:r>
            <w:proofErr w:type="gramStart"/>
            <w:r w:rsidRPr="00BD36E4">
              <w:t>North West</w:t>
            </w:r>
            <w:proofErr w:type="gramEnd"/>
            <w:r w:rsidRPr="00BD36E4">
              <w:t xml:space="preserve"> of Victoria, in </w:t>
            </w:r>
            <w:r>
              <w:t xml:space="preserve">and around </w:t>
            </w:r>
            <w:r w:rsidRPr="00BD36E4">
              <w:t>the vicinity of Mildura.</w:t>
            </w:r>
          </w:p>
        </w:tc>
      </w:tr>
      <w:tr w:rsidR="00C553A9" w:rsidRPr="00580C97" w14:paraId="40CB2CE2" w14:textId="77777777" w:rsidTr="006770B0">
        <w:trPr>
          <w:cnfStyle w:val="000000100000" w:firstRow="0" w:lastRow="0" w:firstColumn="0" w:lastColumn="0" w:oddVBand="0" w:evenVBand="0" w:oddHBand="1" w:evenHBand="0" w:firstRowFirstColumn="0" w:firstRowLastColumn="0" w:lastRowFirstColumn="0" w:lastRowLastColumn="0"/>
          <w:trHeight w:val="552"/>
        </w:trPr>
        <w:tc>
          <w:tcPr>
            <w:tcW w:w="924" w:type="pct"/>
          </w:tcPr>
          <w:p w14:paraId="09398453" w14:textId="25E6AA4F" w:rsidR="0063174B" w:rsidRPr="00580C97" w:rsidRDefault="0063174B" w:rsidP="0063174B">
            <w:pPr>
              <w:pStyle w:val="TableNText"/>
            </w:pPr>
            <w:r w:rsidRPr="003C2D28">
              <w:t>Boonwurrung People (VID363/2020)</w:t>
            </w:r>
          </w:p>
        </w:tc>
        <w:tc>
          <w:tcPr>
            <w:tcW w:w="807" w:type="pct"/>
          </w:tcPr>
          <w:p w14:paraId="7E960F28" w14:textId="60FD832E" w:rsidR="0063174B" w:rsidRPr="00580C97" w:rsidRDefault="0063174B" w:rsidP="0063174B">
            <w:pPr>
              <w:pStyle w:val="TableNText"/>
            </w:pPr>
            <w:r w:rsidRPr="002841E2">
              <w:t>Massar Briggs Law</w:t>
            </w:r>
          </w:p>
        </w:tc>
        <w:tc>
          <w:tcPr>
            <w:tcW w:w="681" w:type="pct"/>
          </w:tcPr>
          <w:p w14:paraId="5DD07BC6" w14:textId="49B206C3" w:rsidR="0063174B" w:rsidRPr="00580C97" w:rsidRDefault="0063174B" w:rsidP="0063174B">
            <w:pPr>
              <w:pStyle w:val="TableNText"/>
            </w:pPr>
            <w:r w:rsidRPr="003C2D28">
              <w:t>29/05/2020</w:t>
            </w:r>
          </w:p>
        </w:tc>
        <w:tc>
          <w:tcPr>
            <w:tcW w:w="2588" w:type="pct"/>
          </w:tcPr>
          <w:p w14:paraId="4640D8D5" w14:textId="777FD619" w:rsidR="0063174B" w:rsidRPr="00580C97" w:rsidRDefault="0063174B" w:rsidP="0063174B">
            <w:pPr>
              <w:pStyle w:val="TableNText"/>
            </w:pPr>
            <w:r>
              <w:t>The claim requires litigation to be determined and covers 13,077 square kilometres of parcels of land and waters along the s</w:t>
            </w:r>
            <w:r w:rsidRPr="00FE6A84">
              <w:t>outhern coast of Victoria, generally in the coastal district of Melbourne and including Wilson's Promontory</w:t>
            </w:r>
            <w:r>
              <w:t>.</w:t>
            </w:r>
          </w:p>
        </w:tc>
      </w:tr>
      <w:tr w:rsidR="00C553A9" w:rsidRPr="00580C97" w14:paraId="70135E1D" w14:textId="77777777" w:rsidTr="006770B0">
        <w:trPr>
          <w:cnfStyle w:val="000000010000" w:firstRow="0" w:lastRow="0" w:firstColumn="0" w:lastColumn="0" w:oddVBand="0" w:evenVBand="0" w:oddHBand="0" w:evenHBand="1" w:firstRowFirstColumn="0" w:firstRowLastColumn="0" w:lastRowFirstColumn="0" w:lastRowLastColumn="0"/>
          <w:trHeight w:val="552"/>
        </w:trPr>
        <w:tc>
          <w:tcPr>
            <w:tcW w:w="924" w:type="pct"/>
          </w:tcPr>
          <w:p w14:paraId="110DFB22" w14:textId="48616A79" w:rsidR="0063174B" w:rsidRPr="00580C97" w:rsidRDefault="0063174B" w:rsidP="0063174B">
            <w:pPr>
              <w:pStyle w:val="TableNText"/>
            </w:pPr>
            <w:r w:rsidRPr="003C2D28">
              <w:t>Wamba Wemba (VID14/2022)</w:t>
            </w:r>
          </w:p>
        </w:tc>
        <w:tc>
          <w:tcPr>
            <w:tcW w:w="807" w:type="pct"/>
          </w:tcPr>
          <w:p w14:paraId="60680611" w14:textId="37D57893" w:rsidR="0063174B" w:rsidRPr="00580C97" w:rsidRDefault="0063174B" w:rsidP="0063174B">
            <w:pPr>
              <w:pStyle w:val="TableNText"/>
            </w:pPr>
            <w:r>
              <w:t>Massar Briggs Law</w:t>
            </w:r>
          </w:p>
        </w:tc>
        <w:tc>
          <w:tcPr>
            <w:tcW w:w="681" w:type="pct"/>
          </w:tcPr>
          <w:p w14:paraId="11BD954B" w14:textId="5A8BFB1B" w:rsidR="0063174B" w:rsidRPr="00580C97" w:rsidRDefault="00C553A9" w:rsidP="0063174B">
            <w:pPr>
              <w:pStyle w:val="TableNText"/>
            </w:pPr>
            <w:r w:rsidRPr="00C553A9">
              <w:t>23/12/2021</w:t>
            </w:r>
          </w:p>
        </w:tc>
        <w:tc>
          <w:tcPr>
            <w:tcW w:w="2588" w:type="pct"/>
          </w:tcPr>
          <w:p w14:paraId="35D60F3D" w14:textId="04D3322A" w:rsidR="0063174B" w:rsidRPr="00580C97" w:rsidRDefault="0063174B" w:rsidP="0063174B">
            <w:pPr>
              <w:pStyle w:val="TableNText"/>
            </w:pPr>
            <w:r w:rsidRPr="005A40C7">
              <w:t>The claim requires litigation to be determined and covers 1</w:t>
            </w:r>
            <w:r>
              <w:t>2,992 square</w:t>
            </w:r>
            <w:r w:rsidRPr="005A40C7">
              <w:t xml:space="preserve"> kilometres of land and waters</w:t>
            </w:r>
            <w:r>
              <w:t xml:space="preserve"> in the vicinity of</w:t>
            </w:r>
            <w:r w:rsidRPr="005A40C7">
              <w:t xml:space="preserve"> </w:t>
            </w:r>
            <w:r w:rsidRPr="000C33AE">
              <w:t xml:space="preserve">Lake Tyrrell </w:t>
            </w:r>
            <w:r w:rsidR="00B93B3A">
              <w:t>and</w:t>
            </w:r>
            <w:r w:rsidRPr="000C33AE">
              <w:t xml:space="preserve"> Birchip, Victoria extending to Deniliquin, NSW</w:t>
            </w:r>
            <w:r>
              <w:t>.</w:t>
            </w:r>
          </w:p>
        </w:tc>
      </w:tr>
    </w:tbl>
    <w:p w14:paraId="35F2C039" w14:textId="69CD3104" w:rsidR="00E15520" w:rsidRDefault="00491442" w:rsidP="00580C97">
      <w:pPr>
        <w:spacing w:after="165"/>
      </w:pPr>
      <w:r>
        <w:br/>
      </w:r>
      <w:r w:rsidR="00AA6877">
        <w:t xml:space="preserve">Although there were no determinations made during the Review period, </w:t>
      </w:r>
      <w:r w:rsidR="00580C97">
        <w:t xml:space="preserve">FNLRS undertook </w:t>
      </w:r>
      <w:r w:rsidR="00F60F11">
        <w:t xml:space="preserve">a significant amount of </w:t>
      </w:r>
      <w:r w:rsidR="00D011B1">
        <w:t xml:space="preserve">work </w:t>
      </w:r>
      <w:r w:rsidR="00625EEB">
        <w:t xml:space="preserve">for </w:t>
      </w:r>
      <w:r w:rsidR="00D41963">
        <w:t xml:space="preserve">its </w:t>
      </w:r>
      <w:r w:rsidR="00625EEB">
        <w:t xml:space="preserve">clients </w:t>
      </w:r>
      <w:r w:rsidR="00AA6877">
        <w:t>across a range of activities</w:t>
      </w:r>
      <w:r w:rsidR="00044CBC">
        <w:t xml:space="preserve">, </w:t>
      </w:r>
      <w:r w:rsidR="003F54D7">
        <w:t xml:space="preserve">detailed in </w:t>
      </w:r>
      <w:r w:rsidR="004A574B">
        <w:fldChar w:fldCharType="begin"/>
      </w:r>
      <w:r w:rsidR="004A574B">
        <w:instrText xml:space="preserve"> REF _Ref164753949 \h </w:instrText>
      </w:r>
      <w:r w:rsidR="004A574B">
        <w:fldChar w:fldCharType="separate"/>
      </w:r>
      <w:r w:rsidR="00AB7E95">
        <w:t xml:space="preserve">Table </w:t>
      </w:r>
      <w:r w:rsidR="00AB7E95">
        <w:rPr>
          <w:noProof/>
        </w:rPr>
        <w:t>2</w:t>
      </w:r>
      <w:r w:rsidR="004A574B">
        <w:fldChar w:fldCharType="end"/>
      </w:r>
      <w:r w:rsidR="00E30335">
        <w:t>. The work included</w:t>
      </w:r>
      <w:r w:rsidR="00C913D2">
        <w:t xml:space="preserve"> administering funding,</w:t>
      </w:r>
      <w:r w:rsidR="00625EEB">
        <w:t xml:space="preserve"> </w:t>
      </w:r>
      <w:r w:rsidR="00580C97">
        <w:t xml:space="preserve">pre-claim work for </w:t>
      </w:r>
      <w:r w:rsidR="00EE4135">
        <w:t>several</w:t>
      </w:r>
      <w:r w:rsidR="004560A8">
        <w:t xml:space="preserve"> groups</w:t>
      </w:r>
      <w:r w:rsidR="00CF42A1">
        <w:t xml:space="preserve">, </w:t>
      </w:r>
      <w:r w:rsidR="00B51758" w:rsidRPr="00B51758">
        <w:t xml:space="preserve">early research </w:t>
      </w:r>
      <w:r w:rsidR="00382D70">
        <w:t>and</w:t>
      </w:r>
      <w:r w:rsidR="008E2B07">
        <w:t xml:space="preserve"> facilitating</w:t>
      </w:r>
      <w:r w:rsidR="00F60F11">
        <w:t xml:space="preserve"> family group</w:t>
      </w:r>
      <w:r w:rsidR="00382D70">
        <w:t xml:space="preserve"> meetings</w:t>
      </w:r>
      <w:r w:rsidR="00E30335">
        <w:t xml:space="preserve"> for areas without formal recognition (</w:t>
      </w:r>
      <w:r w:rsidR="00E30335" w:rsidRPr="00E30335">
        <w:t xml:space="preserve">Central </w:t>
      </w:r>
      <w:proofErr w:type="gramStart"/>
      <w:r w:rsidR="00E30335" w:rsidRPr="00E30335">
        <w:t>North West</w:t>
      </w:r>
      <w:proofErr w:type="gramEnd"/>
      <w:r w:rsidR="00240D3D">
        <w:t xml:space="preserve">, </w:t>
      </w:r>
      <w:r w:rsidR="00E30335" w:rsidRPr="00485FF3">
        <w:t xml:space="preserve">Mid </w:t>
      </w:r>
      <w:proofErr w:type="gramStart"/>
      <w:r w:rsidR="00E30335" w:rsidRPr="00485FF3">
        <w:t>North West</w:t>
      </w:r>
      <w:proofErr w:type="gramEnd"/>
      <w:r w:rsidR="00E30335">
        <w:t xml:space="preserve">, </w:t>
      </w:r>
      <w:proofErr w:type="gramStart"/>
      <w:r w:rsidR="00E30335" w:rsidRPr="00E76D10">
        <w:t>North East</w:t>
      </w:r>
      <w:proofErr w:type="gramEnd"/>
      <w:r w:rsidR="00E30335">
        <w:t xml:space="preserve"> and </w:t>
      </w:r>
      <w:r w:rsidR="00E30335" w:rsidRPr="00E76D10">
        <w:t>Far East Gippsland</w:t>
      </w:r>
      <w:r w:rsidR="00E30335">
        <w:t>)</w:t>
      </w:r>
      <w:r w:rsidR="00C913D2">
        <w:t xml:space="preserve">, </w:t>
      </w:r>
      <w:r w:rsidR="00E30335">
        <w:t>help with dispute resolution</w:t>
      </w:r>
      <w:r w:rsidR="00C913D2">
        <w:t xml:space="preserve"> </w:t>
      </w:r>
      <w:r w:rsidR="009C447B">
        <w:t>and</w:t>
      </w:r>
      <w:r w:rsidR="00E15520">
        <w:t xml:space="preserve"> </w:t>
      </w:r>
      <w:r w:rsidR="000773F6">
        <w:t>F</w:t>
      </w:r>
      <w:r w:rsidR="00E15520">
        <w:t xml:space="preserve">uture </w:t>
      </w:r>
      <w:r w:rsidR="000773F6">
        <w:t>A</w:t>
      </w:r>
      <w:r w:rsidR="00E15520">
        <w:t xml:space="preserve">cts administration. </w:t>
      </w:r>
    </w:p>
    <w:p w14:paraId="5B06CFD1" w14:textId="47A42649" w:rsidR="005D1392" w:rsidRPr="00C90EF3" w:rsidRDefault="00E15520" w:rsidP="00DD1D14">
      <w:pPr>
        <w:spacing w:after="165"/>
      </w:pPr>
      <w:r>
        <w:t>Unique to the Victorian landscape is the</w:t>
      </w:r>
      <w:r w:rsidR="00CC685C">
        <w:t xml:space="preserve"> existence of the </w:t>
      </w:r>
      <w:r w:rsidR="00DD1D14">
        <w:t xml:space="preserve">Victorian Government’s </w:t>
      </w:r>
      <w:r w:rsidR="00ED6BD4">
        <w:t xml:space="preserve">two </w:t>
      </w:r>
      <w:r w:rsidR="00DD1D14">
        <w:t>alternative mechanism</w:t>
      </w:r>
      <w:r w:rsidR="00D543FE">
        <w:t>s</w:t>
      </w:r>
      <w:r w:rsidR="003A2769">
        <w:t xml:space="preserve"> for </w:t>
      </w:r>
      <w:r w:rsidR="00153DE2">
        <w:t>“</w:t>
      </w:r>
      <w:r w:rsidR="006F477C">
        <w:t>formal</w:t>
      </w:r>
      <w:r w:rsidR="00153DE2">
        <w:t>”</w:t>
      </w:r>
      <w:r w:rsidR="003A2769">
        <w:t xml:space="preserve"> recognition</w:t>
      </w:r>
      <w:r w:rsidR="00DD1D14">
        <w:t xml:space="preserve"> of Traditional Owner land rights</w:t>
      </w:r>
      <w:r w:rsidR="008619F5">
        <w:t xml:space="preserve"> and one </w:t>
      </w:r>
      <w:r w:rsidR="00E36E29">
        <w:t xml:space="preserve">potential </w:t>
      </w:r>
      <w:r w:rsidR="008619F5">
        <w:t xml:space="preserve">emerging mechanism for rights </w:t>
      </w:r>
      <w:r w:rsidR="008619F5" w:rsidRPr="00C90EF3">
        <w:t>(Treaty)</w:t>
      </w:r>
      <w:r w:rsidR="005D1392" w:rsidRPr="00C90EF3">
        <w:t>:</w:t>
      </w:r>
    </w:p>
    <w:p w14:paraId="6E9686B4" w14:textId="7D24AA01" w:rsidR="005D1392" w:rsidRPr="00C90EF3" w:rsidRDefault="00D50EBF" w:rsidP="00447C8A">
      <w:pPr>
        <w:pStyle w:val="Listnumbered"/>
      </w:pPr>
      <w:r w:rsidRPr="00C90EF3">
        <w:t>Recognition as a</w:t>
      </w:r>
      <w:r w:rsidR="00C90EF3" w:rsidRPr="00C90EF3">
        <w:t xml:space="preserve"> </w:t>
      </w:r>
      <w:r w:rsidR="009D5B0B">
        <w:t>TOGE</w:t>
      </w:r>
      <w:r w:rsidRPr="00C90EF3">
        <w:t xml:space="preserve"> through the </w:t>
      </w:r>
      <w:r w:rsidR="00DD1D14" w:rsidRPr="0010561D">
        <w:t>Settlement Act</w:t>
      </w:r>
      <w:r w:rsidR="00B93B3A">
        <w:t>.</w:t>
      </w:r>
      <w:r w:rsidR="00DD1D14" w:rsidRPr="00C90EF3">
        <w:t xml:space="preserve"> </w:t>
      </w:r>
    </w:p>
    <w:p w14:paraId="538BE8B1" w14:textId="780F79BA" w:rsidR="005D1392" w:rsidRPr="00C90EF3" w:rsidRDefault="00D50EBF" w:rsidP="00447C8A">
      <w:pPr>
        <w:pStyle w:val="Listnumbered"/>
      </w:pPr>
      <w:r w:rsidRPr="00C90EF3">
        <w:t xml:space="preserve">Recognition as a </w:t>
      </w:r>
      <w:r w:rsidR="007E3ADB" w:rsidRPr="00C90EF3">
        <w:t>Registered Aboriginal Party (RAP)</w:t>
      </w:r>
      <w:r w:rsidRPr="00C90EF3">
        <w:t xml:space="preserve"> through the </w:t>
      </w:r>
      <w:r w:rsidR="00D52308" w:rsidRPr="00447C8A">
        <w:t>Aboriginal Heritage Act</w:t>
      </w:r>
      <w:r w:rsidR="00B93B3A" w:rsidRPr="00984372">
        <w:t>.</w:t>
      </w:r>
    </w:p>
    <w:p w14:paraId="4D11FB82" w14:textId="4EB68AAB" w:rsidR="008619F5" w:rsidRPr="00C90EF3" w:rsidRDefault="008619F5" w:rsidP="00447C8A">
      <w:pPr>
        <w:pStyle w:val="Listnumbered"/>
      </w:pPr>
      <w:r w:rsidRPr="00C90EF3">
        <w:t>Recognition through the Treaty process</w:t>
      </w:r>
      <w:r w:rsidR="00984372">
        <w:t>.</w:t>
      </w:r>
      <w:r w:rsidR="000736B5" w:rsidRPr="00C90EF3">
        <w:rPr>
          <w:rStyle w:val="FootnoteReference"/>
        </w:rPr>
        <w:footnoteReference w:id="7"/>
      </w:r>
    </w:p>
    <w:p w14:paraId="42A4EF6C" w14:textId="0D4F63AC" w:rsidR="00240D3D" w:rsidRPr="009960E3" w:rsidRDefault="00DD1D14" w:rsidP="005D1392">
      <w:pPr>
        <w:pStyle w:val="Bullet"/>
        <w:numPr>
          <w:ilvl w:val="0"/>
          <w:numId w:val="0"/>
        </w:numPr>
        <w:rPr>
          <w:i/>
          <w:iCs/>
        </w:rPr>
      </w:pPr>
      <w:r>
        <w:t xml:space="preserve">These mechanisms provide alternative </w:t>
      </w:r>
      <w:r w:rsidR="00984372">
        <w:t>s</w:t>
      </w:r>
      <w:r>
        <w:t xml:space="preserve">tate-based processes for Traditional Owners to be </w:t>
      </w:r>
      <w:r w:rsidR="00153DE2">
        <w:t>“</w:t>
      </w:r>
      <w:r w:rsidR="00D52308">
        <w:t>formally recognised</w:t>
      </w:r>
      <w:r w:rsidR="00153DE2">
        <w:t>”</w:t>
      </w:r>
      <w:r w:rsidR="00D52308">
        <w:t xml:space="preserve"> and </w:t>
      </w:r>
      <w:r>
        <w:t>granted land rights</w:t>
      </w:r>
      <w:r w:rsidR="002A0208">
        <w:t xml:space="preserve"> (see </w:t>
      </w:r>
      <w:r w:rsidR="00984372">
        <w:t>s</w:t>
      </w:r>
      <w:r w:rsidR="002A0208">
        <w:t>ection</w:t>
      </w:r>
      <w:r w:rsidR="00343D62">
        <w:t xml:space="preserve"> </w:t>
      </w:r>
      <w:r w:rsidR="002A0208">
        <w:fldChar w:fldCharType="begin"/>
      </w:r>
      <w:r w:rsidR="002A0208">
        <w:instrText xml:space="preserve"> REF _Ref158559982 \r \h </w:instrText>
      </w:r>
      <w:r w:rsidR="002A0208">
        <w:fldChar w:fldCharType="separate"/>
      </w:r>
      <w:r w:rsidR="00AB7E95">
        <w:t>5.1.2</w:t>
      </w:r>
      <w:r w:rsidR="002A0208">
        <w:fldChar w:fldCharType="end"/>
      </w:r>
      <w:r w:rsidR="002A0208">
        <w:t xml:space="preserve"> for a more detailed explanation of these mechanisms)</w:t>
      </w:r>
      <w:r>
        <w:rPr>
          <w:i/>
          <w:iCs/>
        </w:rPr>
        <w:t>.</w:t>
      </w:r>
      <w:r w:rsidR="001915B3">
        <w:rPr>
          <w:i/>
          <w:iCs/>
        </w:rPr>
        <w:t xml:space="preserve"> </w:t>
      </w:r>
      <w:r w:rsidR="00D543FE">
        <w:t>FNLRS also work</w:t>
      </w:r>
      <w:r w:rsidR="002A2957">
        <w:t>ed</w:t>
      </w:r>
      <w:r w:rsidR="00D543FE">
        <w:t xml:space="preserve"> with its clients to achieve recognition under</w:t>
      </w:r>
      <w:r w:rsidR="00C74056">
        <w:t xml:space="preserve"> these </w:t>
      </w:r>
      <w:r w:rsidR="00984372">
        <w:t>s</w:t>
      </w:r>
      <w:r w:rsidR="00C74056">
        <w:t xml:space="preserve">tate-based mechanisms. </w:t>
      </w:r>
    </w:p>
    <w:p w14:paraId="1E64E373" w14:textId="1E82852C" w:rsidR="007B56D1" w:rsidRDefault="007B56D1" w:rsidP="007B56D1">
      <w:pPr>
        <w:pStyle w:val="Caption"/>
      </w:pPr>
      <w:bookmarkStart w:id="17" w:name="_Ref164753949"/>
      <w:r>
        <w:lastRenderedPageBreak/>
        <w:t xml:space="preserve">Table </w:t>
      </w:r>
      <w:r>
        <w:fldChar w:fldCharType="begin"/>
      </w:r>
      <w:r>
        <w:instrText xml:space="preserve"> SEQ Table \* ARABIC </w:instrText>
      </w:r>
      <w:r>
        <w:fldChar w:fldCharType="separate"/>
      </w:r>
      <w:r w:rsidR="00AB7E95">
        <w:rPr>
          <w:noProof/>
        </w:rPr>
        <w:t>2</w:t>
      </w:r>
      <w:r>
        <w:fldChar w:fldCharType="end"/>
      </w:r>
      <w:bookmarkEnd w:id="17"/>
      <w:r>
        <w:t xml:space="preserve"> | </w:t>
      </w:r>
      <w:r w:rsidRPr="002868C0">
        <w:t>Summary of FNLRS’s work under the NTA during the Review period</w:t>
      </w:r>
      <w:r>
        <w:rPr>
          <w:rStyle w:val="FootnoteReference"/>
        </w:rPr>
        <w:footnoteReference w:id="8"/>
      </w:r>
    </w:p>
    <w:tbl>
      <w:tblPr>
        <w:tblStyle w:val="TableGrid"/>
        <w:tblW w:w="5000" w:type="pct"/>
        <w:tblLook w:val="04A0" w:firstRow="1" w:lastRow="0" w:firstColumn="1" w:lastColumn="0" w:noHBand="0" w:noVBand="1"/>
      </w:tblPr>
      <w:tblGrid>
        <w:gridCol w:w="1623"/>
        <w:gridCol w:w="7307"/>
      </w:tblGrid>
      <w:tr w:rsidR="000F4639" w14:paraId="3A8AE99E" w14:textId="37BF3DFE" w:rsidTr="006770B0">
        <w:trPr>
          <w:cnfStyle w:val="100000000000" w:firstRow="1" w:lastRow="0" w:firstColumn="0" w:lastColumn="0" w:oddVBand="0" w:evenVBand="0" w:oddHBand="0" w:evenHBand="0" w:firstRowFirstColumn="0" w:firstRowLastColumn="0" w:lastRowFirstColumn="0" w:lastRowLastColumn="0"/>
          <w:trHeight w:val="337"/>
        </w:trPr>
        <w:tc>
          <w:tcPr>
            <w:tcW w:w="909" w:type="pct"/>
          </w:tcPr>
          <w:p w14:paraId="4A0ABF51" w14:textId="75E404CA" w:rsidR="00FB68B8" w:rsidRPr="00BD2AD7" w:rsidRDefault="00FB68B8" w:rsidP="00343D62">
            <w:pPr>
              <w:pStyle w:val="TableNheader"/>
            </w:pPr>
            <w:r>
              <w:t>Group/</w:t>
            </w:r>
            <w:r w:rsidR="007362AC">
              <w:t>r</w:t>
            </w:r>
            <w:r w:rsidRPr="00BD2AD7">
              <w:t>egion</w:t>
            </w:r>
          </w:p>
        </w:tc>
        <w:tc>
          <w:tcPr>
            <w:tcW w:w="4091" w:type="pct"/>
          </w:tcPr>
          <w:p w14:paraId="195A5C12" w14:textId="3DCDEB7F" w:rsidR="00FB68B8" w:rsidRPr="00BD2AD7" w:rsidRDefault="00FB68B8" w:rsidP="00343D62">
            <w:pPr>
              <w:pStyle w:val="TableNheader"/>
            </w:pPr>
            <w:r w:rsidRPr="00BD2AD7">
              <w:t>Summary of work</w:t>
            </w:r>
            <w:r w:rsidR="002475AF">
              <w:t xml:space="preserve"> during the Review period</w:t>
            </w:r>
          </w:p>
        </w:tc>
      </w:tr>
      <w:tr w:rsidR="00EA3F46" w14:paraId="0B29427F" w14:textId="77777777" w:rsidTr="006770B0">
        <w:trPr>
          <w:cnfStyle w:val="000000100000" w:firstRow="0" w:lastRow="0" w:firstColumn="0" w:lastColumn="0" w:oddVBand="0" w:evenVBand="0" w:oddHBand="1" w:evenHBand="0" w:firstRowFirstColumn="0" w:firstRowLastColumn="0" w:lastRowFirstColumn="0" w:lastRowLastColumn="0"/>
        </w:trPr>
        <w:tc>
          <w:tcPr>
            <w:tcW w:w="909" w:type="pct"/>
            <w:vAlign w:val="top"/>
          </w:tcPr>
          <w:p w14:paraId="5FBC64C1" w14:textId="7F9AA978" w:rsidR="00EA3F46" w:rsidRPr="004A1A45" w:rsidRDefault="004A1A45" w:rsidP="00EA3F46">
            <w:pPr>
              <w:pStyle w:val="TableNText"/>
              <w:rPr>
                <w:b/>
                <w:bCs/>
              </w:rPr>
            </w:pPr>
            <w:r w:rsidRPr="004A1A45">
              <w:t>Boonwurrung/</w:t>
            </w:r>
            <w:r w:rsidR="007362AC">
              <w:br/>
            </w:r>
            <w:r w:rsidRPr="004A1A45">
              <w:t>Bunurong</w:t>
            </w:r>
          </w:p>
        </w:tc>
        <w:tc>
          <w:tcPr>
            <w:tcW w:w="4091" w:type="pct"/>
            <w:vAlign w:val="top"/>
          </w:tcPr>
          <w:p w14:paraId="59722604" w14:textId="56DC867D" w:rsidR="00EA3F46" w:rsidRPr="00E76D10" w:rsidRDefault="008A60DC" w:rsidP="007362AC">
            <w:pPr>
              <w:pStyle w:val="TableNText"/>
            </w:pPr>
            <w:r w:rsidRPr="00E76D10">
              <w:t xml:space="preserve">FNLRS is an inactive respondent party to the </w:t>
            </w:r>
            <w:r w:rsidR="00A0777E">
              <w:t>Boonwurrung</w:t>
            </w:r>
            <w:r w:rsidRPr="00E76D10">
              <w:t xml:space="preserve"> </w:t>
            </w:r>
            <w:r w:rsidR="00314193">
              <w:t>People</w:t>
            </w:r>
            <w:r w:rsidR="00543688">
              <w:t>’s</w:t>
            </w:r>
            <w:r w:rsidR="00314193">
              <w:t xml:space="preserve"> claim</w:t>
            </w:r>
            <w:r w:rsidRPr="00E76D10">
              <w:t>, assisting with research information requests and administration of funding</w:t>
            </w:r>
            <w:r w:rsidR="00314193">
              <w:t>,</w:t>
            </w:r>
            <w:r>
              <w:t xml:space="preserve"> including </w:t>
            </w:r>
            <w:r w:rsidR="00314193">
              <w:t>for</w:t>
            </w:r>
            <w:r>
              <w:t xml:space="preserve"> the applicant and all </w:t>
            </w:r>
            <w:r w:rsidR="007933D4">
              <w:t>I</w:t>
            </w:r>
            <w:r>
              <w:t>ndigenous respondents (including Bunurong respondents)</w:t>
            </w:r>
            <w:r w:rsidR="007933D4">
              <w:t>.</w:t>
            </w:r>
          </w:p>
        </w:tc>
      </w:tr>
      <w:tr w:rsidR="00D86563" w14:paraId="0ABD519C" w14:textId="77777777" w:rsidTr="006770B0">
        <w:trPr>
          <w:cnfStyle w:val="000000010000" w:firstRow="0" w:lastRow="0" w:firstColumn="0" w:lastColumn="0" w:oddVBand="0" w:evenVBand="0" w:oddHBand="0" w:evenHBand="1" w:firstRowFirstColumn="0" w:firstRowLastColumn="0" w:lastRowFirstColumn="0" w:lastRowLastColumn="0"/>
          <w:trHeight w:val="21"/>
        </w:trPr>
        <w:tc>
          <w:tcPr>
            <w:tcW w:w="909" w:type="pct"/>
            <w:vAlign w:val="top"/>
          </w:tcPr>
          <w:p w14:paraId="0842BDF3" w14:textId="07FE82EA" w:rsidR="00D86563" w:rsidRPr="004A1A45" w:rsidRDefault="00D86563" w:rsidP="00D86563">
            <w:pPr>
              <w:pStyle w:val="TableNText"/>
            </w:pPr>
            <w:r w:rsidRPr="006D449F">
              <w:t xml:space="preserve">Central </w:t>
            </w:r>
            <w:proofErr w:type="gramStart"/>
            <w:r w:rsidRPr="006D449F">
              <w:t>North West</w:t>
            </w:r>
            <w:proofErr w:type="gramEnd"/>
          </w:p>
        </w:tc>
        <w:tc>
          <w:tcPr>
            <w:tcW w:w="4091" w:type="pct"/>
            <w:vAlign w:val="top"/>
          </w:tcPr>
          <w:p w14:paraId="037DC363" w14:textId="3237F2D9" w:rsidR="00D86563" w:rsidRPr="00E76D10" w:rsidRDefault="00D86563" w:rsidP="007362AC">
            <w:pPr>
              <w:pStyle w:val="TableNText"/>
            </w:pPr>
            <w:r>
              <w:t xml:space="preserve">FNLRS </w:t>
            </w:r>
            <w:r w:rsidR="00C22C42">
              <w:t>undertook</w:t>
            </w:r>
            <w:r>
              <w:t xml:space="preserve"> intensive research and claim group development.</w:t>
            </w:r>
            <w:r w:rsidR="008A1403">
              <w:t xml:space="preserve"> </w:t>
            </w:r>
            <w:r>
              <w:t xml:space="preserve">However, this ceased with lodgement of the </w:t>
            </w:r>
            <w:r w:rsidR="00153DE2">
              <w:t>“</w:t>
            </w:r>
            <w:r>
              <w:t>factional</w:t>
            </w:r>
            <w:r w:rsidR="00153DE2">
              <w:t>”</w:t>
            </w:r>
            <w:r>
              <w:t xml:space="preserve"> Wamba Wemba native title claim in 2022.</w:t>
            </w:r>
            <w:r w:rsidR="002F4DF7">
              <w:t xml:space="preserve"> </w:t>
            </w:r>
            <w:r>
              <w:t xml:space="preserve">FNLRS </w:t>
            </w:r>
            <w:r w:rsidR="00C22C42">
              <w:t>sought to</w:t>
            </w:r>
            <w:r>
              <w:t xml:space="preserve"> </w:t>
            </w:r>
            <w:r w:rsidR="00C22C42">
              <w:t>ensure</w:t>
            </w:r>
            <w:r>
              <w:t xml:space="preserve"> that Indigenous respondents (</w:t>
            </w:r>
            <w:r w:rsidR="00D43A6A">
              <w:t xml:space="preserve">notably </w:t>
            </w:r>
            <w:proofErr w:type="spellStart"/>
            <w:r w:rsidR="00C22C42">
              <w:t>Barapa</w:t>
            </w:r>
            <w:proofErr w:type="spellEnd"/>
            <w:r w:rsidR="00C22C42">
              <w:t xml:space="preserve"> </w:t>
            </w:r>
            <w:proofErr w:type="spellStart"/>
            <w:r w:rsidR="00C22C42">
              <w:t>Barapa</w:t>
            </w:r>
            <w:proofErr w:type="spellEnd"/>
            <w:r w:rsidR="00C22C42">
              <w:t xml:space="preserve"> and Wadi </w:t>
            </w:r>
            <w:proofErr w:type="spellStart"/>
            <w:r w:rsidR="00C22C42">
              <w:t>Wadi</w:t>
            </w:r>
            <w:proofErr w:type="spellEnd"/>
            <w:r w:rsidR="00C22C42">
              <w:t xml:space="preserve"> Traditional Owners)</w:t>
            </w:r>
            <w:r>
              <w:t xml:space="preserve"> </w:t>
            </w:r>
            <w:r w:rsidR="00C42884">
              <w:t>had</w:t>
            </w:r>
            <w:r>
              <w:t xml:space="preserve"> representation and </w:t>
            </w:r>
            <w:r w:rsidR="003F658B">
              <w:t>were assisted</w:t>
            </w:r>
            <w:r>
              <w:t xml:space="preserve"> with mediation, information requests and administration of funding.</w:t>
            </w:r>
          </w:p>
        </w:tc>
      </w:tr>
      <w:tr w:rsidR="00D86563" w14:paraId="52BD4372" w14:textId="77777777" w:rsidTr="006770B0">
        <w:trPr>
          <w:cnfStyle w:val="000000100000" w:firstRow="0" w:lastRow="0" w:firstColumn="0" w:lastColumn="0" w:oddVBand="0" w:evenVBand="0" w:oddHBand="1" w:evenHBand="0" w:firstRowFirstColumn="0" w:firstRowLastColumn="0" w:lastRowFirstColumn="0" w:lastRowLastColumn="0"/>
          <w:trHeight w:val="23"/>
        </w:trPr>
        <w:tc>
          <w:tcPr>
            <w:tcW w:w="909" w:type="pct"/>
            <w:vAlign w:val="top"/>
          </w:tcPr>
          <w:p w14:paraId="41205A24" w14:textId="349F344F" w:rsidR="00D86563" w:rsidRPr="00E76D10" w:rsidRDefault="00D86563" w:rsidP="00D86563">
            <w:pPr>
              <w:pStyle w:val="TableNText"/>
            </w:pPr>
            <w:r w:rsidRPr="00E76D10">
              <w:t>Eastern Maar</w:t>
            </w:r>
          </w:p>
        </w:tc>
        <w:tc>
          <w:tcPr>
            <w:tcW w:w="4091" w:type="pct"/>
            <w:vAlign w:val="top"/>
          </w:tcPr>
          <w:p w14:paraId="112EFD6F" w14:textId="16FFA2FC" w:rsidR="00D86563" w:rsidRPr="00E76D10" w:rsidRDefault="00D86563" w:rsidP="007362AC">
            <w:pPr>
              <w:pStyle w:val="TableNText"/>
            </w:pPr>
            <w:r w:rsidRPr="00E76D10">
              <w:t xml:space="preserve">FNLRS provided legal representation for </w:t>
            </w:r>
            <w:r w:rsidR="001438D8">
              <w:t xml:space="preserve">the </w:t>
            </w:r>
            <w:r w:rsidRPr="00E76D10">
              <w:t xml:space="preserve">Eastern Maar </w:t>
            </w:r>
            <w:r w:rsidR="001438D8">
              <w:t>claim</w:t>
            </w:r>
            <w:r w:rsidR="00C35B4F">
              <w:t xml:space="preserve"> and</w:t>
            </w:r>
            <w:r w:rsidR="00791ADF">
              <w:t xml:space="preserve"> </w:t>
            </w:r>
            <w:r w:rsidR="00C35B4F">
              <w:t>for</w:t>
            </w:r>
            <w:r w:rsidR="00791ADF">
              <w:t xml:space="preserve"> </w:t>
            </w:r>
            <w:r>
              <w:t>the</w:t>
            </w:r>
            <w:r w:rsidRPr="00E76D10">
              <w:t xml:space="preserve"> contested hearing with </w:t>
            </w:r>
            <w:r w:rsidR="00F808E1">
              <w:t>the</w:t>
            </w:r>
            <w:r w:rsidRPr="00E76D10">
              <w:t xml:space="preserve"> Gunditj</w:t>
            </w:r>
            <w:r>
              <w:t>mara</w:t>
            </w:r>
            <w:r w:rsidRPr="00E76D10">
              <w:t xml:space="preserve"> People.</w:t>
            </w:r>
            <w:r w:rsidR="002F4DF7">
              <w:t xml:space="preserve"> </w:t>
            </w:r>
            <w:r>
              <w:t>FNLRS</w:t>
            </w:r>
            <w:r w:rsidR="002F4DF7">
              <w:t xml:space="preserve"> also</w:t>
            </w:r>
            <w:r>
              <w:t xml:space="preserve"> provided funding to some respondents</w:t>
            </w:r>
            <w:r w:rsidR="002F4DF7">
              <w:t xml:space="preserve"> and</w:t>
            </w:r>
            <w:r>
              <w:t xml:space="preserve"> engaged researchers (in-house and consultant) to prepare targeted research reports to the parties in mediation at the request of the parties and the</w:t>
            </w:r>
            <w:r w:rsidR="00BC33B2">
              <w:t xml:space="preserve"> Federal Court</w:t>
            </w:r>
            <w:r>
              <w:t xml:space="preserve"> native title registrar.</w:t>
            </w:r>
            <w:r w:rsidR="002F4DF7">
              <w:t xml:space="preserve"> Further, </w:t>
            </w:r>
            <w:r>
              <w:t>FNLRS provided meeting and community liaison support to the parties in mediation and to the on-Country hearings.</w:t>
            </w:r>
          </w:p>
        </w:tc>
      </w:tr>
      <w:tr w:rsidR="00D86563" w14:paraId="4729258D" w14:textId="77777777" w:rsidTr="006770B0">
        <w:trPr>
          <w:cnfStyle w:val="000000010000" w:firstRow="0" w:lastRow="0" w:firstColumn="0" w:lastColumn="0" w:oddVBand="0" w:evenVBand="0" w:oddHBand="0" w:evenHBand="1" w:firstRowFirstColumn="0" w:firstRowLastColumn="0" w:lastRowFirstColumn="0" w:lastRowLastColumn="0"/>
        </w:trPr>
        <w:tc>
          <w:tcPr>
            <w:tcW w:w="909" w:type="pct"/>
            <w:vAlign w:val="top"/>
          </w:tcPr>
          <w:p w14:paraId="7E312C62" w14:textId="732D3385" w:rsidR="00D86563" w:rsidRDefault="00D86563" w:rsidP="00D86563">
            <w:pPr>
              <w:pStyle w:val="TableNText"/>
            </w:pPr>
            <w:r w:rsidRPr="00E76D10">
              <w:t xml:space="preserve">First Peoples of the </w:t>
            </w:r>
            <w:proofErr w:type="spellStart"/>
            <w:r w:rsidRPr="00E76D10">
              <w:t>Millewa</w:t>
            </w:r>
            <w:proofErr w:type="spellEnd"/>
            <w:r w:rsidRPr="00E76D10">
              <w:t>-Mallee</w:t>
            </w:r>
            <w:r w:rsidR="00C42884">
              <w:t xml:space="preserve"> </w:t>
            </w:r>
          </w:p>
        </w:tc>
        <w:tc>
          <w:tcPr>
            <w:tcW w:w="4091" w:type="pct"/>
            <w:vAlign w:val="top"/>
          </w:tcPr>
          <w:p w14:paraId="30665E14" w14:textId="6895C0F1" w:rsidR="00D86563" w:rsidRDefault="00D86563" w:rsidP="00143E43">
            <w:pPr>
              <w:pStyle w:val="TableNText"/>
            </w:pPr>
            <w:r w:rsidRPr="00E76D10">
              <w:t xml:space="preserve">FNLRS </w:t>
            </w:r>
            <w:r>
              <w:t>represented</w:t>
            </w:r>
            <w:r w:rsidRPr="00E76D10">
              <w:t xml:space="preserve"> </w:t>
            </w:r>
            <w:r w:rsidR="00365144" w:rsidRPr="00E76D10">
              <w:t xml:space="preserve">First Peoples of the </w:t>
            </w:r>
            <w:proofErr w:type="spellStart"/>
            <w:r w:rsidR="00365144" w:rsidRPr="00E76D10">
              <w:t>Millewa</w:t>
            </w:r>
            <w:proofErr w:type="spellEnd"/>
            <w:r w:rsidR="00365144" w:rsidRPr="00E76D10">
              <w:t>-Mallee</w:t>
            </w:r>
            <w:r w:rsidR="00365144">
              <w:t xml:space="preserve"> </w:t>
            </w:r>
            <w:r w:rsidRPr="00E76D10">
              <w:t>in</w:t>
            </w:r>
            <w:r>
              <w:t xml:space="preserve"> </w:t>
            </w:r>
            <w:r w:rsidRPr="00E76D10">
              <w:t>negotiation</w:t>
            </w:r>
            <w:r>
              <w:t>s</w:t>
            </w:r>
            <w:r w:rsidRPr="00E76D10">
              <w:t xml:space="preserve"> </w:t>
            </w:r>
            <w:r w:rsidR="00974263">
              <w:t>towards</w:t>
            </w:r>
            <w:r w:rsidRPr="00E76D10">
              <w:t xml:space="preserve"> </w:t>
            </w:r>
            <w:r>
              <w:t>a c</w:t>
            </w:r>
            <w:r w:rsidRPr="00E76D10">
              <w:t xml:space="preserve">onsent determination, in mediation and potential litigation with individuals identifying as Nyeri </w:t>
            </w:r>
            <w:proofErr w:type="spellStart"/>
            <w:r w:rsidRPr="00E76D10">
              <w:t>Nyeri</w:t>
            </w:r>
            <w:proofErr w:type="spellEnd"/>
            <w:r w:rsidRPr="00E76D10">
              <w:t>.</w:t>
            </w:r>
            <w:r w:rsidR="002F4DF7">
              <w:t xml:space="preserve"> In addition, FNLRS</w:t>
            </w:r>
            <w:r>
              <w:t xml:space="preserve"> </w:t>
            </w:r>
            <w:r w:rsidRPr="00E76D10">
              <w:t>provid</w:t>
            </w:r>
            <w:r>
              <w:t>ed</w:t>
            </w:r>
            <w:r w:rsidRPr="00E76D10">
              <w:t xml:space="preserve"> ongoing governance assistance on a fee</w:t>
            </w:r>
            <w:r w:rsidR="007933D4">
              <w:t>-</w:t>
            </w:r>
            <w:r w:rsidRPr="00E76D10">
              <w:t>for</w:t>
            </w:r>
            <w:r w:rsidR="007933D4">
              <w:t>-</w:t>
            </w:r>
            <w:r w:rsidRPr="00E76D10">
              <w:t>service basis, pursuant to a services agreement.</w:t>
            </w:r>
          </w:p>
        </w:tc>
      </w:tr>
      <w:tr w:rsidR="00AE36BE" w14:paraId="6CA13B4A" w14:textId="77777777" w:rsidTr="006770B0">
        <w:trPr>
          <w:cnfStyle w:val="000000100000" w:firstRow="0" w:lastRow="0" w:firstColumn="0" w:lastColumn="0" w:oddVBand="0" w:evenVBand="0" w:oddHBand="1" w:evenHBand="0" w:firstRowFirstColumn="0" w:firstRowLastColumn="0" w:lastRowFirstColumn="0" w:lastRowLastColumn="0"/>
          <w:trHeight w:val="23"/>
        </w:trPr>
        <w:tc>
          <w:tcPr>
            <w:tcW w:w="909" w:type="pct"/>
            <w:vAlign w:val="top"/>
          </w:tcPr>
          <w:p w14:paraId="10926133" w14:textId="0790DF92" w:rsidR="00AE36BE" w:rsidRDefault="00AE36BE" w:rsidP="00AE36BE">
            <w:pPr>
              <w:pStyle w:val="TableNText"/>
            </w:pPr>
            <w:r w:rsidRPr="00E76D10">
              <w:t>Far East Gippsland</w:t>
            </w:r>
          </w:p>
        </w:tc>
        <w:tc>
          <w:tcPr>
            <w:tcW w:w="4091" w:type="pct"/>
            <w:vAlign w:val="top"/>
          </w:tcPr>
          <w:p w14:paraId="3F16559E" w14:textId="0E10A8D4" w:rsidR="00AE36BE" w:rsidRDefault="00AE36BE" w:rsidP="007362AC">
            <w:pPr>
              <w:pStyle w:val="TableNText"/>
            </w:pPr>
            <w:r w:rsidRPr="00E76D10">
              <w:t xml:space="preserve">FNLRS </w:t>
            </w:r>
            <w:r>
              <w:t>conducted</w:t>
            </w:r>
            <w:r w:rsidRPr="00E76D10">
              <w:t xml:space="preserve"> research and claim group development work</w:t>
            </w:r>
            <w:r>
              <w:t xml:space="preserve"> in the region</w:t>
            </w:r>
            <w:r w:rsidRPr="00E76D10">
              <w:t>.</w:t>
            </w:r>
          </w:p>
        </w:tc>
      </w:tr>
      <w:tr w:rsidR="00A5671F" w14:paraId="3D3CBA41" w14:textId="77777777" w:rsidTr="006770B0">
        <w:trPr>
          <w:cnfStyle w:val="000000010000" w:firstRow="0" w:lastRow="0" w:firstColumn="0" w:lastColumn="0" w:oddVBand="0" w:evenVBand="0" w:oddHBand="0" w:evenHBand="1" w:firstRowFirstColumn="0" w:firstRowLastColumn="0" w:lastRowFirstColumn="0" w:lastRowLastColumn="0"/>
        </w:trPr>
        <w:tc>
          <w:tcPr>
            <w:tcW w:w="909" w:type="pct"/>
            <w:vAlign w:val="top"/>
          </w:tcPr>
          <w:p w14:paraId="006C6A84" w14:textId="546C069E" w:rsidR="00A5671F" w:rsidRDefault="00A5671F" w:rsidP="00A5671F">
            <w:pPr>
              <w:pStyle w:val="TableNText"/>
            </w:pPr>
            <w:proofErr w:type="spellStart"/>
            <w:r w:rsidRPr="00E76D10">
              <w:t>Gunaikurnai</w:t>
            </w:r>
            <w:proofErr w:type="spellEnd"/>
            <w:r w:rsidR="00487586">
              <w:t xml:space="preserve"> </w:t>
            </w:r>
          </w:p>
        </w:tc>
        <w:tc>
          <w:tcPr>
            <w:tcW w:w="4091" w:type="pct"/>
            <w:vAlign w:val="top"/>
          </w:tcPr>
          <w:p w14:paraId="15AA70D5" w14:textId="40321E31" w:rsidR="00A5671F" w:rsidRDefault="00A5671F" w:rsidP="007362AC">
            <w:pPr>
              <w:pStyle w:val="TableNText"/>
            </w:pPr>
            <w:r>
              <w:t xml:space="preserve">FNLRS administered funding to </w:t>
            </w:r>
            <w:proofErr w:type="spellStart"/>
            <w:r>
              <w:t>Gu</w:t>
            </w:r>
            <w:r w:rsidR="00802D3A">
              <w:t>na</w:t>
            </w:r>
            <w:r>
              <w:t>ikurnai</w:t>
            </w:r>
            <w:proofErr w:type="spellEnd"/>
            <w:r>
              <w:t xml:space="preserve"> in their capacity as respondents to the Boonwurrung claim.</w:t>
            </w:r>
            <w:r w:rsidR="002F4DF7">
              <w:t xml:space="preserve"> FNLRS</w:t>
            </w:r>
            <w:r w:rsidR="00B21A05">
              <w:t xml:space="preserve"> provided</w:t>
            </w:r>
            <w:r w:rsidRPr="00FD502C">
              <w:t xml:space="preserve"> ongoing </w:t>
            </w:r>
            <w:r w:rsidR="00485FF3">
              <w:t>F</w:t>
            </w:r>
            <w:r w:rsidRPr="00FD502C">
              <w:t xml:space="preserve">uture </w:t>
            </w:r>
            <w:r w:rsidR="00485FF3">
              <w:t>A</w:t>
            </w:r>
            <w:r w:rsidRPr="00FD502C">
              <w:t>ct and governance assistance pursuant to a services agreement</w:t>
            </w:r>
            <w:r w:rsidR="00F5146C">
              <w:t>.</w:t>
            </w:r>
            <w:r w:rsidR="00EC0F5B">
              <w:t xml:space="preserve"> </w:t>
            </w:r>
            <w:r w:rsidR="00F5146C">
              <w:t xml:space="preserve">FNLRS </w:t>
            </w:r>
            <w:r w:rsidR="00EC0F5B">
              <w:t xml:space="preserve">provided </w:t>
            </w:r>
            <w:r w:rsidR="00681BE4">
              <w:t xml:space="preserve">discounted fee-for-service </w:t>
            </w:r>
            <w:r w:rsidR="00EC0F5B">
              <w:t>a</w:t>
            </w:r>
            <w:r w:rsidR="00724FA2">
              <w:t xml:space="preserve">ssistance regarding the renegotiation of the </w:t>
            </w:r>
            <w:proofErr w:type="spellStart"/>
            <w:r w:rsidR="00724FA2">
              <w:t>Gunaikurnai</w:t>
            </w:r>
            <w:proofErr w:type="spellEnd"/>
            <w:r w:rsidR="00724FA2">
              <w:t xml:space="preserve"> recognition and settlement agreement</w:t>
            </w:r>
            <w:r w:rsidR="00923CCC">
              <w:t xml:space="preserve"> (RSA)</w:t>
            </w:r>
            <w:r w:rsidR="00EC0F5B">
              <w:t xml:space="preserve">, noting that in 2010 </w:t>
            </w:r>
            <w:proofErr w:type="spellStart"/>
            <w:r w:rsidR="00EC0F5B">
              <w:t>Gunaikurnai</w:t>
            </w:r>
            <w:proofErr w:type="spellEnd"/>
            <w:r w:rsidR="00EC0F5B">
              <w:t xml:space="preserve"> </w:t>
            </w:r>
            <w:r w:rsidR="00F74930">
              <w:t xml:space="preserve">only </w:t>
            </w:r>
            <w:proofErr w:type="gramStart"/>
            <w:r w:rsidR="00EC0F5B">
              <w:t>entered into</w:t>
            </w:r>
            <w:proofErr w:type="gramEnd"/>
            <w:r w:rsidR="00EC0F5B">
              <w:t xml:space="preserve"> a partial settlement with the State. </w:t>
            </w:r>
          </w:p>
        </w:tc>
      </w:tr>
      <w:tr w:rsidR="00A5671F" w14:paraId="15B6FC45" w14:textId="77777777" w:rsidTr="006770B0">
        <w:trPr>
          <w:cnfStyle w:val="000000100000" w:firstRow="0" w:lastRow="0" w:firstColumn="0" w:lastColumn="0" w:oddVBand="0" w:evenVBand="0" w:oddHBand="1" w:evenHBand="0" w:firstRowFirstColumn="0" w:firstRowLastColumn="0" w:lastRowFirstColumn="0" w:lastRowLastColumn="0"/>
        </w:trPr>
        <w:tc>
          <w:tcPr>
            <w:tcW w:w="909" w:type="pct"/>
            <w:vAlign w:val="top"/>
          </w:tcPr>
          <w:p w14:paraId="67F9F97B" w14:textId="3A058CA4" w:rsidR="00A5671F" w:rsidRDefault="00A5671F" w:rsidP="00A5671F">
            <w:pPr>
              <w:pStyle w:val="TableNText"/>
            </w:pPr>
            <w:r w:rsidRPr="00E76D10">
              <w:t>Gunditjmara</w:t>
            </w:r>
          </w:p>
        </w:tc>
        <w:tc>
          <w:tcPr>
            <w:tcW w:w="4091" w:type="pct"/>
            <w:vAlign w:val="top"/>
          </w:tcPr>
          <w:p w14:paraId="4B0BACE8" w14:textId="1C2630A8" w:rsidR="00A5671F" w:rsidRDefault="00A5671F" w:rsidP="007362AC">
            <w:pPr>
              <w:pStyle w:val="TableNText"/>
            </w:pPr>
            <w:r w:rsidRPr="00E76D10">
              <w:t>FNLRS provide</w:t>
            </w:r>
            <w:r w:rsidR="00B21A05">
              <w:t>d</w:t>
            </w:r>
            <w:r w:rsidRPr="00E76D10">
              <w:t xml:space="preserve"> ongoing </w:t>
            </w:r>
            <w:r w:rsidR="00485FF3">
              <w:t>F</w:t>
            </w:r>
            <w:r w:rsidRPr="00E76D10">
              <w:t xml:space="preserve">uture </w:t>
            </w:r>
            <w:r w:rsidR="00485FF3">
              <w:t>A</w:t>
            </w:r>
            <w:r w:rsidRPr="00E76D10">
              <w:t>ct and governance assistance on an ad</w:t>
            </w:r>
            <w:r w:rsidR="00B21A05">
              <w:t>-</w:t>
            </w:r>
            <w:r w:rsidRPr="00E76D10">
              <w:t>hoc basis.</w:t>
            </w:r>
            <w:r w:rsidR="00B21A05">
              <w:t xml:space="preserve"> </w:t>
            </w:r>
            <w:r>
              <w:t>FNLRS rejected a request for assistance in relation to Gunditjmara’s status as respondents to the Eastern Maar claim on the basis the request failed to satisfy the Guidelines for Assistance to Traditional Owner Groups.</w:t>
            </w:r>
          </w:p>
        </w:tc>
      </w:tr>
      <w:tr w:rsidR="00485FF3" w14:paraId="7A86ABBD" w14:textId="77777777" w:rsidTr="006770B0">
        <w:trPr>
          <w:cnfStyle w:val="000000010000" w:firstRow="0" w:lastRow="0" w:firstColumn="0" w:lastColumn="0" w:oddVBand="0" w:evenVBand="0" w:oddHBand="0" w:evenHBand="1" w:firstRowFirstColumn="0" w:firstRowLastColumn="0" w:lastRowFirstColumn="0" w:lastRowLastColumn="0"/>
        </w:trPr>
        <w:tc>
          <w:tcPr>
            <w:tcW w:w="909" w:type="pct"/>
            <w:vAlign w:val="top"/>
          </w:tcPr>
          <w:p w14:paraId="27F8ABF9" w14:textId="1FFA4DA1" w:rsidR="00485FF3" w:rsidRPr="00485FF3" w:rsidRDefault="00485FF3" w:rsidP="00485FF3">
            <w:pPr>
              <w:pStyle w:val="TableNText"/>
            </w:pPr>
            <w:r w:rsidRPr="00485FF3">
              <w:t xml:space="preserve">Mid </w:t>
            </w:r>
            <w:proofErr w:type="gramStart"/>
            <w:r w:rsidRPr="00485FF3">
              <w:t>North West</w:t>
            </w:r>
            <w:proofErr w:type="gramEnd"/>
          </w:p>
        </w:tc>
        <w:tc>
          <w:tcPr>
            <w:tcW w:w="4091" w:type="pct"/>
            <w:vAlign w:val="top"/>
          </w:tcPr>
          <w:p w14:paraId="1DA7D2AC" w14:textId="371392EB" w:rsidR="00485FF3" w:rsidRDefault="00485FF3" w:rsidP="007362AC">
            <w:pPr>
              <w:pStyle w:val="TableNText"/>
            </w:pPr>
            <w:r w:rsidRPr="00E76D10">
              <w:t>FNLRS</w:t>
            </w:r>
            <w:r>
              <w:t xml:space="preserve"> undertook </w:t>
            </w:r>
            <w:r w:rsidR="000E1EE6">
              <w:t>i</w:t>
            </w:r>
            <w:r w:rsidR="000E1EE6" w:rsidRPr="00E76D10">
              <w:t>ntensive</w:t>
            </w:r>
            <w:r w:rsidRPr="00E76D10">
              <w:t xml:space="preserve"> research and claim group development in this region, with anticipated lodgement of a native title claim in 2024 or 2025.</w:t>
            </w:r>
            <w:r>
              <w:t xml:space="preserve"> </w:t>
            </w:r>
          </w:p>
        </w:tc>
      </w:tr>
      <w:tr w:rsidR="000E1EE6" w14:paraId="2EA6083B" w14:textId="77777777" w:rsidTr="006770B0">
        <w:trPr>
          <w:cnfStyle w:val="000000100000" w:firstRow="0" w:lastRow="0" w:firstColumn="0" w:lastColumn="0" w:oddVBand="0" w:evenVBand="0" w:oddHBand="1" w:evenHBand="0" w:firstRowFirstColumn="0" w:firstRowLastColumn="0" w:lastRowFirstColumn="0" w:lastRowLastColumn="0"/>
        </w:trPr>
        <w:tc>
          <w:tcPr>
            <w:tcW w:w="909" w:type="pct"/>
            <w:vAlign w:val="top"/>
          </w:tcPr>
          <w:p w14:paraId="5AAEFD27" w14:textId="353284DA" w:rsidR="000E1EE6" w:rsidRDefault="000E1EE6" w:rsidP="000E1EE6">
            <w:pPr>
              <w:pStyle w:val="TableNText"/>
            </w:pPr>
            <w:proofErr w:type="gramStart"/>
            <w:r w:rsidRPr="00E76D10">
              <w:t>North East</w:t>
            </w:r>
            <w:proofErr w:type="gramEnd"/>
          </w:p>
        </w:tc>
        <w:tc>
          <w:tcPr>
            <w:tcW w:w="4091" w:type="pct"/>
            <w:vAlign w:val="top"/>
          </w:tcPr>
          <w:p w14:paraId="06329FF5" w14:textId="19F0B800" w:rsidR="000E1EE6" w:rsidRDefault="00131B07" w:rsidP="007362AC">
            <w:pPr>
              <w:pStyle w:val="TableNText"/>
            </w:pPr>
            <w:r>
              <w:t>F</w:t>
            </w:r>
            <w:r w:rsidR="000E1EE6" w:rsidRPr="00E76D10">
              <w:t xml:space="preserve">NLRS </w:t>
            </w:r>
            <w:r w:rsidR="000E1EE6">
              <w:t>undertook</w:t>
            </w:r>
            <w:r w:rsidR="000E1EE6" w:rsidRPr="00E76D10">
              <w:t xml:space="preserve"> research and claim group development work</w:t>
            </w:r>
            <w:r>
              <w:t xml:space="preserve"> </w:t>
            </w:r>
            <w:r w:rsidRPr="00131B07">
              <w:t>in the region</w:t>
            </w:r>
            <w:r w:rsidR="000E1EE6" w:rsidRPr="00E76D10">
              <w:t xml:space="preserve">. </w:t>
            </w:r>
          </w:p>
        </w:tc>
      </w:tr>
      <w:tr w:rsidR="000E1EE6" w14:paraId="2E19DF06" w14:textId="77777777" w:rsidTr="006770B0">
        <w:trPr>
          <w:cnfStyle w:val="000000010000" w:firstRow="0" w:lastRow="0" w:firstColumn="0" w:lastColumn="0" w:oddVBand="0" w:evenVBand="0" w:oddHBand="0" w:evenHBand="1" w:firstRowFirstColumn="0" w:firstRowLastColumn="0" w:lastRowFirstColumn="0" w:lastRowLastColumn="0"/>
        </w:trPr>
        <w:tc>
          <w:tcPr>
            <w:tcW w:w="909" w:type="pct"/>
            <w:vAlign w:val="top"/>
          </w:tcPr>
          <w:p w14:paraId="167832B4" w14:textId="16E5379C" w:rsidR="000E1EE6" w:rsidRDefault="000E1EE6" w:rsidP="000E1EE6">
            <w:pPr>
              <w:pStyle w:val="TableNText"/>
            </w:pPr>
            <w:proofErr w:type="spellStart"/>
            <w:r w:rsidRPr="00E76D10">
              <w:t>Taungurung</w:t>
            </w:r>
            <w:proofErr w:type="spellEnd"/>
          </w:p>
        </w:tc>
        <w:tc>
          <w:tcPr>
            <w:tcW w:w="4091" w:type="pct"/>
            <w:vAlign w:val="top"/>
          </w:tcPr>
          <w:p w14:paraId="1C3DD9B7" w14:textId="104261FE" w:rsidR="000E1EE6" w:rsidRPr="0076194B" w:rsidRDefault="000E1EE6" w:rsidP="007362AC">
            <w:pPr>
              <w:pStyle w:val="TableNText"/>
            </w:pPr>
            <w:r w:rsidRPr="0076194B">
              <w:t xml:space="preserve">FNLRS </w:t>
            </w:r>
            <w:r w:rsidR="00BA0753" w:rsidRPr="0076194B">
              <w:t xml:space="preserve">supported the </w:t>
            </w:r>
            <w:r w:rsidR="00663EF1" w:rsidRPr="0076194B">
              <w:t>Settlement Ac</w:t>
            </w:r>
            <w:r w:rsidR="007520D9" w:rsidRPr="0076194B">
              <w:t xml:space="preserve">t </w:t>
            </w:r>
            <w:r w:rsidR="00923CCC">
              <w:t>RSA</w:t>
            </w:r>
            <w:r w:rsidR="00874209" w:rsidRPr="0076194B">
              <w:t xml:space="preserve"> in late 2018</w:t>
            </w:r>
            <w:r w:rsidR="005F0E66" w:rsidRPr="0076194B">
              <w:t xml:space="preserve">, which saw the registration of a </w:t>
            </w:r>
            <w:r w:rsidR="009768BC" w:rsidRPr="0076194B">
              <w:t>linked</w:t>
            </w:r>
            <w:r w:rsidR="005F0E66" w:rsidRPr="0076194B">
              <w:t xml:space="preserve"> ILUA under the</w:t>
            </w:r>
            <w:r w:rsidR="005F0E66" w:rsidRPr="0076194B">
              <w:rPr>
                <w:i/>
              </w:rPr>
              <w:t xml:space="preserve"> </w:t>
            </w:r>
            <w:r w:rsidR="005F0E66" w:rsidRPr="0076194B">
              <w:t xml:space="preserve">NTA in </w:t>
            </w:r>
            <w:r w:rsidR="00E30A80" w:rsidRPr="0076194B">
              <w:t xml:space="preserve">2020. </w:t>
            </w:r>
            <w:r w:rsidR="00577943" w:rsidRPr="0076194B">
              <w:t xml:space="preserve">This was then deregistered in 2021 and may be reregistered (post-Review period) pending the outcome </w:t>
            </w:r>
            <w:r w:rsidR="006A7A92" w:rsidRPr="0076194B">
              <w:t xml:space="preserve">of </w:t>
            </w:r>
            <w:r w:rsidR="00577943" w:rsidRPr="0076194B">
              <w:t>a research and reconsideration process</w:t>
            </w:r>
            <w:r w:rsidR="00DF5ECF" w:rsidRPr="0076194B">
              <w:t xml:space="preserve"> as agreed by the parties in mediation</w:t>
            </w:r>
            <w:r w:rsidR="00F57E07" w:rsidRPr="0076194B">
              <w:t>.</w:t>
            </w:r>
            <w:r w:rsidR="00AB22AE" w:rsidRPr="0076194B">
              <w:t xml:space="preserve"> </w:t>
            </w:r>
            <w:r w:rsidR="0076194B">
              <w:t>F</w:t>
            </w:r>
            <w:r w:rsidR="00F80986" w:rsidRPr="0076194B">
              <w:t xml:space="preserve">NLRS also </w:t>
            </w:r>
            <w:r w:rsidR="00526956" w:rsidRPr="0076194B">
              <w:t>provided</w:t>
            </w:r>
            <w:r w:rsidR="00F80986" w:rsidRPr="0076194B">
              <w:t xml:space="preserve"> ad-hoc legal advice </w:t>
            </w:r>
            <w:r w:rsidR="00ED2F5C" w:rsidRPr="0076194B">
              <w:t>for various</w:t>
            </w:r>
            <w:r w:rsidR="00F80986" w:rsidRPr="0076194B">
              <w:t xml:space="preserve"> matters.</w:t>
            </w:r>
          </w:p>
        </w:tc>
      </w:tr>
      <w:tr w:rsidR="000E1EE6" w14:paraId="11001182" w14:textId="77777777" w:rsidTr="006770B0">
        <w:trPr>
          <w:cnfStyle w:val="000000100000" w:firstRow="0" w:lastRow="0" w:firstColumn="0" w:lastColumn="0" w:oddVBand="0" w:evenVBand="0" w:oddHBand="1" w:evenHBand="0" w:firstRowFirstColumn="0" w:firstRowLastColumn="0" w:lastRowFirstColumn="0" w:lastRowLastColumn="0"/>
        </w:trPr>
        <w:tc>
          <w:tcPr>
            <w:tcW w:w="909" w:type="pct"/>
            <w:vAlign w:val="top"/>
          </w:tcPr>
          <w:p w14:paraId="1643A4FB" w14:textId="77777777" w:rsidR="001F2F9F" w:rsidRDefault="000E1EE6" w:rsidP="00C35B4F">
            <w:pPr>
              <w:pStyle w:val="TableNText"/>
            </w:pPr>
            <w:proofErr w:type="spellStart"/>
            <w:r w:rsidRPr="00E76D10">
              <w:t>Wathaurung</w:t>
            </w:r>
            <w:proofErr w:type="spellEnd"/>
            <w:r>
              <w:t>/</w:t>
            </w:r>
          </w:p>
          <w:p w14:paraId="34C514D6" w14:textId="33567141" w:rsidR="000E1EE6" w:rsidRDefault="000E1EE6" w:rsidP="000E1EE6">
            <w:pPr>
              <w:pStyle w:val="TableNText"/>
            </w:pPr>
            <w:proofErr w:type="spellStart"/>
            <w:r>
              <w:t>Wadawurrung</w:t>
            </w:r>
            <w:proofErr w:type="spellEnd"/>
          </w:p>
        </w:tc>
        <w:tc>
          <w:tcPr>
            <w:tcW w:w="4091" w:type="pct"/>
            <w:vAlign w:val="top"/>
          </w:tcPr>
          <w:p w14:paraId="07BD1729" w14:textId="76675571" w:rsidR="000E1EE6" w:rsidRDefault="000E1EE6" w:rsidP="007362AC">
            <w:pPr>
              <w:pStyle w:val="TableNText"/>
            </w:pPr>
            <w:r>
              <w:t>FNLRS offered to engage in a conflict</w:t>
            </w:r>
            <w:r w:rsidR="00B84CC3">
              <w:t>-</w:t>
            </w:r>
            <w:r>
              <w:t xml:space="preserve">resolution process with </w:t>
            </w:r>
            <w:proofErr w:type="spellStart"/>
            <w:r>
              <w:t>Wadawurrung</w:t>
            </w:r>
            <w:proofErr w:type="spellEnd"/>
            <w:r>
              <w:t xml:space="preserve"> families to address a long</w:t>
            </w:r>
            <w:r w:rsidR="008D09B2">
              <w:t>-</w:t>
            </w:r>
            <w:r>
              <w:t>standing group membership dispute.</w:t>
            </w:r>
          </w:p>
        </w:tc>
      </w:tr>
      <w:tr w:rsidR="00466FC2" w14:paraId="06BCF0A8" w14:textId="77777777" w:rsidTr="006770B0">
        <w:trPr>
          <w:cnfStyle w:val="000000010000" w:firstRow="0" w:lastRow="0" w:firstColumn="0" w:lastColumn="0" w:oddVBand="0" w:evenVBand="0" w:oddHBand="0" w:evenHBand="1" w:firstRowFirstColumn="0" w:firstRowLastColumn="0" w:lastRowFirstColumn="0" w:lastRowLastColumn="0"/>
        </w:trPr>
        <w:tc>
          <w:tcPr>
            <w:tcW w:w="909" w:type="pct"/>
            <w:vAlign w:val="top"/>
          </w:tcPr>
          <w:p w14:paraId="4E4EAD18" w14:textId="42A22C66" w:rsidR="00466FC2" w:rsidRPr="00E76D10" w:rsidRDefault="00466FC2" w:rsidP="00466FC2">
            <w:pPr>
              <w:pStyle w:val="TableNText"/>
            </w:pPr>
            <w:r>
              <w:t xml:space="preserve">WJJWJ </w:t>
            </w:r>
            <w:r w:rsidRPr="00E76D10">
              <w:t>Nations</w:t>
            </w:r>
            <w:r w:rsidR="00F75453">
              <w:rPr>
                <w:rStyle w:val="FootnoteReference"/>
              </w:rPr>
              <w:footnoteReference w:id="9"/>
            </w:r>
          </w:p>
        </w:tc>
        <w:tc>
          <w:tcPr>
            <w:tcW w:w="4091" w:type="pct"/>
            <w:vAlign w:val="top"/>
          </w:tcPr>
          <w:p w14:paraId="3B5353A7" w14:textId="4CADC86B" w:rsidR="00466FC2" w:rsidRDefault="00466FC2" w:rsidP="007362AC">
            <w:pPr>
              <w:pStyle w:val="TableNText"/>
            </w:pPr>
            <w:r w:rsidRPr="00E76D10">
              <w:t>FNLRS provide</w:t>
            </w:r>
            <w:r>
              <w:t>d</w:t>
            </w:r>
            <w:r w:rsidR="00131B07">
              <w:t xml:space="preserve"> the </w:t>
            </w:r>
            <w:proofErr w:type="spellStart"/>
            <w:r w:rsidR="00131B07">
              <w:t>Barenji</w:t>
            </w:r>
            <w:proofErr w:type="spellEnd"/>
            <w:r w:rsidR="00131B07">
              <w:t xml:space="preserve"> PBC with</w:t>
            </w:r>
            <w:r w:rsidRPr="00E76D10">
              <w:t xml:space="preserve"> </w:t>
            </w:r>
            <w:r w:rsidR="007148E9">
              <w:t>F</w:t>
            </w:r>
            <w:r w:rsidRPr="00E76D10">
              <w:t xml:space="preserve">uture </w:t>
            </w:r>
            <w:r w:rsidR="007148E9">
              <w:t>A</w:t>
            </w:r>
            <w:r w:rsidRPr="00E76D10">
              <w:t>ct and ad</w:t>
            </w:r>
            <w:r>
              <w:t>-</w:t>
            </w:r>
            <w:r w:rsidRPr="00E76D10">
              <w:t>hoc governance assistance.</w:t>
            </w:r>
          </w:p>
        </w:tc>
      </w:tr>
      <w:tr w:rsidR="00466FC2" w14:paraId="6237C060" w14:textId="77777777" w:rsidTr="006770B0">
        <w:trPr>
          <w:cnfStyle w:val="000000100000" w:firstRow="0" w:lastRow="0" w:firstColumn="0" w:lastColumn="0" w:oddVBand="0" w:evenVBand="0" w:oddHBand="1" w:evenHBand="0" w:firstRowFirstColumn="0" w:firstRowLastColumn="0" w:lastRowFirstColumn="0" w:lastRowLastColumn="0"/>
        </w:trPr>
        <w:tc>
          <w:tcPr>
            <w:tcW w:w="909" w:type="pct"/>
            <w:vAlign w:val="top"/>
          </w:tcPr>
          <w:p w14:paraId="08801F5E" w14:textId="0F0972DC" w:rsidR="00466FC2" w:rsidRDefault="00466FC2" w:rsidP="00466FC2">
            <w:pPr>
              <w:pStyle w:val="TableNText"/>
            </w:pPr>
            <w:r w:rsidRPr="00E76D10">
              <w:lastRenderedPageBreak/>
              <w:t xml:space="preserve">Wurundjeri </w:t>
            </w:r>
          </w:p>
        </w:tc>
        <w:tc>
          <w:tcPr>
            <w:tcW w:w="4091" w:type="pct"/>
            <w:vAlign w:val="top"/>
          </w:tcPr>
          <w:p w14:paraId="364010D2" w14:textId="6FE947EC" w:rsidR="00466FC2" w:rsidRDefault="007148E9" w:rsidP="007362AC">
            <w:pPr>
              <w:pStyle w:val="TableNText"/>
            </w:pPr>
            <w:r w:rsidRPr="00737CF2">
              <w:rPr>
                <w:rFonts w:eastAsia="Times New Roman" w:cs="Times New Roman"/>
                <w:szCs w:val="19"/>
                <w:lang w:eastAsia="en-AU"/>
              </w:rPr>
              <w:t>Wurundjeri</w:t>
            </w:r>
            <w:r w:rsidR="00466FC2" w:rsidRPr="00737CF2">
              <w:rPr>
                <w:rFonts w:eastAsia="Times New Roman" w:cs="Times New Roman"/>
                <w:szCs w:val="19"/>
                <w:lang w:eastAsia="en-AU"/>
              </w:rPr>
              <w:t xml:space="preserve"> have independent legal representation and</w:t>
            </w:r>
            <w:r w:rsidR="00C3082B">
              <w:rPr>
                <w:rFonts w:eastAsia="Times New Roman" w:cs="Times New Roman"/>
                <w:szCs w:val="19"/>
                <w:lang w:eastAsia="en-AU"/>
              </w:rPr>
              <w:t xml:space="preserve"> have commenced preparation to file a native title claim since the Review period</w:t>
            </w:r>
            <w:r w:rsidR="00CC4109">
              <w:rPr>
                <w:rFonts w:eastAsia="Times New Roman" w:cs="Times New Roman"/>
                <w:szCs w:val="19"/>
                <w:lang w:eastAsia="en-AU"/>
              </w:rPr>
              <w:t>.</w:t>
            </w:r>
            <w:r w:rsidR="00CC4109" w:rsidRPr="00737CF2">
              <w:rPr>
                <w:rFonts w:eastAsia="Times New Roman" w:cs="Times New Roman"/>
                <w:szCs w:val="19"/>
                <w:lang w:eastAsia="en-AU"/>
              </w:rPr>
              <w:t xml:space="preserve"> FNLRS had a role in administering funding</w:t>
            </w:r>
            <w:r w:rsidR="00CC4109">
              <w:rPr>
                <w:rFonts w:eastAsia="Times New Roman" w:cs="Times New Roman"/>
                <w:szCs w:val="19"/>
                <w:lang w:eastAsia="en-AU"/>
              </w:rPr>
              <w:t xml:space="preserve"> to the Wurundjeri in their capacity</w:t>
            </w:r>
            <w:r w:rsidR="00CC4109" w:rsidRPr="00737CF2">
              <w:rPr>
                <w:rFonts w:eastAsia="Times New Roman" w:cs="Times New Roman"/>
                <w:szCs w:val="19"/>
                <w:lang w:eastAsia="en-AU"/>
              </w:rPr>
              <w:t xml:space="preserve"> as Indigenous respondents to the Boonwurrung claim</w:t>
            </w:r>
            <w:r w:rsidR="00CC4109">
              <w:rPr>
                <w:rFonts w:eastAsia="Times New Roman" w:cs="Times New Roman"/>
                <w:szCs w:val="19"/>
                <w:lang w:eastAsia="en-AU"/>
              </w:rPr>
              <w:t xml:space="preserve"> and in the preparation of a Wurundjeri claim</w:t>
            </w:r>
            <w:r w:rsidR="00131B07" w:rsidRPr="00737CF2">
              <w:rPr>
                <w:rFonts w:eastAsia="Times New Roman" w:cs="Times New Roman"/>
                <w:szCs w:val="19"/>
                <w:lang w:eastAsia="en-AU"/>
              </w:rPr>
              <w:t>.</w:t>
            </w:r>
            <w:r w:rsidR="00466FC2" w:rsidRPr="00737CF2">
              <w:rPr>
                <w:rFonts w:eastAsia="Times New Roman" w:cs="Times New Roman"/>
                <w:szCs w:val="19"/>
                <w:lang w:eastAsia="en-AU"/>
              </w:rPr>
              <w:t xml:space="preserve"> </w:t>
            </w:r>
            <w:r w:rsidR="00B11DFF">
              <w:rPr>
                <w:rFonts w:eastAsia="Times New Roman" w:cs="Times New Roman"/>
                <w:szCs w:val="19"/>
                <w:lang w:eastAsia="en-AU"/>
              </w:rPr>
              <w:t>FNLRS</w:t>
            </w:r>
            <w:r w:rsidR="00995AA2" w:rsidRPr="00995AA2">
              <w:rPr>
                <w:rFonts w:eastAsia="Times New Roman" w:cs="Times New Roman"/>
                <w:szCs w:val="19"/>
                <w:lang w:eastAsia="en-AU"/>
              </w:rPr>
              <w:t xml:space="preserve"> </w:t>
            </w:r>
            <w:r w:rsidR="00466FC2" w:rsidRPr="00995AA2">
              <w:rPr>
                <w:rFonts w:eastAsia="Times New Roman" w:cs="Times New Roman"/>
                <w:szCs w:val="19"/>
                <w:lang w:eastAsia="en-AU"/>
              </w:rPr>
              <w:t xml:space="preserve">talked informally with external representation to help </w:t>
            </w:r>
            <w:r w:rsidR="00B11DFF">
              <w:rPr>
                <w:rFonts w:eastAsia="Times New Roman" w:cs="Times New Roman"/>
                <w:szCs w:val="19"/>
                <w:lang w:eastAsia="en-AU"/>
              </w:rPr>
              <w:t>Wurundjeri</w:t>
            </w:r>
            <w:r w:rsidR="00466FC2" w:rsidRPr="00995AA2">
              <w:rPr>
                <w:rFonts w:eastAsia="Times New Roman" w:cs="Times New Roman"/>
                <w:szCs w:val="19"/>
                <w:lang w:eastAsia="en-AU"/>
              </w:rPr>
              <w:t xml:space="preserve"> formulate a claim that has good prospects for success, noting a group composition dispute has </w:t>
            </w:r>
            <w:r w:rsidR="00B8383F">
              <w:rPr>
                <w:rFonts w:eastAsia="Times New Roman" w:cs="Times New Roman"/>
                <w:szCs w:val="19"/>
                <w:lang w:eastAsia="en-AU"/>
              </w:rPr>
              <w:t>disrupted</w:t>
            </w:r>
            <w:r w:rsidR="00466FC2" w:rsidRPr="00995AA2">
              <w:rPr>
                <w:rFonts w:eastAsia="Times New Roman" w:cs="Times New Roman"/>
                <w:szCs w:val="19"/>
                <w:lang w:eastAsia="en-AU"/>
              </w:rPr>
              <w:t xml:space="preserve"> progress to date.</w:t>
            </w:r>
          </w:p>
        </w:tc>
      </w:tr>
      <w:tr w:rsidR="00466FC2" w14:paraId="51210ABA" w14:textId="77777777" w:rsidTr="006770B0">
        <w:trPr>
          <w:cnfStyle w:val="000000010000" w:firstRow="0" w:lastRow="0" w:firstColumn="0" w:lastColumn="0" w:oddVBand="0" w:evenVBand="0" w:oddHBand="0" w:evenHBand="1" w:firstRowFirstColumn="0" w:firstRowLastColumn="0" w:lastRowFirstColumn="0" w:lastRowLastColumn="0"/>
        </w:trPr>
        <w:tc>
          <w:tcPr>
            <w:tcW w:w="909" w:type="pct"/>
            <w:vAlign w:val="top"/>
          </w:tcPr>
          <w:p w14:paraId="3FFA9387" w14:textId="788814CC" w:rsidR="00466FC2" w:rsidRDefault="00466FC2" w:rsidP="00466FC2">
            <w:pPr>
              <w:pStyle w:val="TableNText"/>
            </w:pPr>
            <w:r w:rsidRPr="00E76D10">
              <w:t xml:space="preserve">Yorta </w:t>
            </w:r>
            <w:proofErr w:type="spellStart"/>
            <w:r w:rsidRPr="00E76D10">
              <w:t>Yorta</w:t>
            </w:r>
            <w:proofErr w:type="spellEnd"/>
          </w:p>
        </w:tc>
        <w:tc>
          <w:tcPr>
            <w:tcW w:w="4091" w:type="pct"/>
            <w:vAlign w:val="top"/>
          </w:tcPr>
          <w:p w14:paraId="0AFA7F08" w14:textId="28F60BDF" w:rsidR="00466FC2" w:rsidRDefault="00466FC2" w:rsidP="007362AC">
            <w:pPr>
              <w:pStyle w:val="TableNText"/>
            </w:pPr>
            <w:r>
              <w:t xml:space="preserve">Limited native title support was provided for the Yorta </w:t>
            </w:r>
            <w:proofErr w:type="spellStart"/>
            <w:r>
              <w:t>Yorta</w:t>
            </w:r>
            <w:proofErr w:type="spellEnd"/>
            <w:r>
              <w:t xml:space="preserve"> during the Review period.</w:t>
            </w:r>
          </w:p>
        </w:tc>
      </w:tr>
    </w:tbl>
    <w:p w14:paraId="31BDA3EA" w14:textId="190DA6EC" w:rsidR="00A7001E" w:rsidRDefault="00A7001E" w:rsidP="3248A9F0">
      <w:pPr>
        <w:pStyle w:val="Heading5"/>
        <w:numPr>
          <w:ilvl w:val="4"/>
          <w:numId w:val="0"/>
        </w:numPr>
      </w:pPr>
      <w:r w:rsidRPr="6967B2CC">
        <w:t xml:space="preserve">There are </w:t>
      </w:r>
      <w:proofErr w:type="gramStart"/>
      <w:r w:rsidRPr="6967B2CC">
        <w:t>a number of</w:t>
      </w:r>
      <w:proofErr w:type="gramEnd"/>
      <w:r w:rsidRPr="6967B2CC">
        <w:t xml:space="preserve"> reasons that the progress of native title in Victoria is much more limited; FNLRS has performed well given these circumstances</w:t>
      </w:r>
    </w:p>
    <w:p w14:paraId="522A2B83" w14:textId="027D6ACA" w:rsidR="007E54E2" w:rsidRDefault="003309E4" w:rsidP="00A732C1">
      <w:r>
        <w:rPr>
          <w:lang w:eastAsia="en-AU"/>
        </w:rPr>
        <w:t xml:space="preserve">Within </w:t>
      </w:r>
      <w:r w:rsidR="00D12468">
        <w:rPr>
          <w:lang w:eastAsia="en-AU"/>
        </w:rPr>
        <w:t>Victoria’s complex policy and legislative landscape</w:t>
      </w:r>
      <w:r>
        <w:rPr>
          <w:lang w:eastAsia="en-AU"/>
        </w:rPr>
        <w:t xml:space="preserve">, FNLRS has </w:t>
      </w:r>
      <w:r w:rsidR="00751F97">
        <w:rPr>
          <w:lang w:eastAsia="en-AU"/>
        </w:rPr>
        <w:t>worked</w:t>
      </w:r>
      <w:r w:rsidR="00F53A20">
        <w:rPr>
          <w:lang w:eastAsia="en-AU"/>
        </w:rPr>
        <w:t xml:space="preserve"> closely with Traditional Owners</w:t>
      </w:r>
      <w:r w:rsidR="00F84D4D">
        <w:rPr>
          <w:lang w:eastAsia="en-AU"/>
        </w:rPr>
        <w:t xml:space="preserve"> to explore all options for them</w:t>
      </w:r>
      <w:r w:rsidR="00F53A20">
        <w:rPr>
          <w:lang w:eastAsia="en-AU"/>
        </w:rPr>
        <w:t xml:space="preserve"> with </w:t>
      </w:r>
      <w:r w:rsidR="00313D38" w:rsidRPr="00313D38">
        <w:rPr>
          <w:lang w:eastAsia="en-AU"/>
        </w:rPr>
        <w:t xml:space="preserve">a very clear mandate of </w:t>
      </w:r>
      <w:r w:rsidR="008F1876">
        <w:rPr>
          <w:lang w:eastAsia="en-AU"/>
        </w:rPr>
        <w:t>supporting</w:t>
      </w:r>
      <w:r w:rsidR="00313D38" w:rsidRPr="00313D38">
        <w:rPr>
          <w:lang w:eastAsia="en-AU"/>
        </w:rPr>
        <w:t xml:space="preserve"> self-determination</w:t>
      </w:r>
      <w:r w:rsidR="00313D38">
        <w:rPr>
          <w:lang w:eastAsia="en-AU"/>
        </w:rPr>
        <w:t xml:space="preserve">. </w:t>
      </w:r>
      <w:r w:rsidR="007E54E2">
        <w:t xml:space="preserve">Interviewed </w:t>
      </w:r>
      <w:r w:rsidR="007E54E2" w:rsidRPr="00DE0AB8">
        <w:t>Traditional Owners</w:t>
      </w:r>
      <w:r w:rsidR="007E54E2">
        <w:t xml:space="preserve"> generally showed a</w:t>
      </w:r>
      <w:r w:rsidR="00C65576">
        <w:t>n</w:t>
      </w:r>
      <w:r w:rsidR="007E54E2">
        <w:t xml:space="preserve"> appreciation for </w:t>
      </w:r>
      <w:r w:rsidR="00B778A1">
        <w:t>FNLRS’s</w:t>
      </w:r>
      <w:r w:rsidR="007E54E2">
        <w:t xml:space="preserve"> progression of </w:t>
      </w:r>
      <w:r w:rsidR="00F13EC1">
        <w:t>all</w:t>
      </w:r>
      <w:r w:rsidR="007E54E2">
        <w:t xml:space="preserve"> mechanisms of recognition.</w:t>
      </w:r>
    </w:p>
    <w:p w14:paraId="2D64A627" w14:textId="1329E510" w:rsidR="0075684A" w:rsidRPr="00A732C1" w:rsidRDefault="0075684A" w:rsidP="00A732C1">
      <w:pPr>
        <w:rPr>
          <w:lang w:eastAsia="en-AU"/>
        </w:rPr>
      </w:pPr>
      <w:r w:rsidRPr="006E7DDC">
        <w:rPr>
          <w:lang w:eastAsia="en-AU"/>
        </w:rPr>
        <w:t xml:space="preserve">The Review heard feedback from many stakeholders that ultimately, it </w:t>
      </w:r>
      <w:r w:rsidR="00D67B19">
        <w:rPr>
          <w:lang w:eastAsia="en-AU"/>
        </w:rPr>
        <w:t xml:space="preserve">was </w:t>
      </w:r>
      <w:r w:rsidRPr="006E7DDC">
        <w:rPr>
          <w:lang w:eastAsia="en-AU"/>
        </w:rPr>
        <w:t xml:space="preserve">up to the Traditional Owner group what outcome are they seeking, </w:t>
      </w:r>
      <w:r>
        <w:rPr>
          <w:lang w:eastAsia="en-AU"/>
        </w:rPr>
        <w:t xml:space="preserve">the </w:t>
      </w:r>
      <w:r w:rsidRPr="006E7DDC">
        <w:rPr>
          <w:lang w:eastAsia="en-AU"/>
        </w:rPr>
        <w:t>form of recognition they would like to pursue and if it is in their interest to do so. Agency in decision</w:t>
      </w:r>
      <w:r>
        <w:rPr>
          <w:lang w:eastAsia="en-AU"/>
        </w:rPr>
        <w:t>-</w:t>
      </w:r>
      <w:r w:rsidRPr="006E7DDC">
        <w:rPr>
          <w:lang w:eastAsia="en-AU"/>
        </w:rPr>
        <w:t xml:space="preserve">making is key to the principles of self-determination. </w:t>
      </w:r>
      <w:r w:rsidR="00B778A1">
        <w:rPr>
          <w:lang w:eastAsia="en-AU"/>
        </w:rPr>
        <w:t>FNLRS’s</w:t>
      </w:r>
      <w:r w:rsidRPr="006E7DDC">
        <w:rPr>
          <w:lang w:eastAsia="en-AU"/>
        </w:rPr>
        <w:t xml:space="preserve"> capacity to support these family groups to educate them on the various avenues for formal recognition will be increasingly important.</w:t>
      </w:r>
    </w:p>
    <w:p w14:paraId="120160D7" w14:textId="621223C0" w:rsidR="008450BC" w:rsidRDefault="00280CAF" w:rsidP="00FC06F0">
      <w:pPr>
        <w:pStyle w:val="Heading5"/>
      </w:pPr>
      <w:r>
        <w:t xml:space="preserve">FNLRS has </w:t>
      </w:r>
      <w:r w:rsidR="000D478B">
        <w:t xml:space="preserve">awareness of </w:t>
      </w:r>
      <w:r w:rsidR="00D95C5C">
        <w:t xml:space="preserve">the potential </w:t>
      </w:r>
      <w:r w:rsidR="0093385F">
        <w:t xml:space="preserve">limitations around progress and </w:t>
      </w:r>
      <w:r w:rsidR="002A1979">
        <w:t>has been strategic in considering its future role</w:t>
      </w:r>
    </w:p>
    <w:p w14:paraId="508DB79E" w14:textId="79631479" w:rsidR="004E6AC5" w:rsidRDefault="007F0F6D" w:rsidP="00580C97">
      <w:pPr>
        <w:spacing w:after="165"/>
      </w:pPr>
      <w:r>
        <w:t xml:space="preserve">FNLRS </w:t>
      </w:r>
      <w:r w:rsidR="00776F54">
        <w:t>recognise</w:t>
      </w:r>
      <w:r w:rsidR="00F425EA">
        <w:t>d</w:t>
      </w:r>
      <w:r>
        <w:t xml:space="preserve"> that </w:t>
      </w:r>
      <w:r w:rsidR="00776F54">
        <w:t xml:space="preserve">the pace and progress of native title in Victoria </w:t>
      </w:r>
      <w:r w:rsidR="00F425EA">
        <w:t>did</w:t>
      </w:r>
      <w:r w:rsidR="00776F54">
        <w:t xml:space="preserve"> not match that of other </w:t>
      </w:r>
      <w:r w:rsidR="00811FC9">
        <w:t>s</w:t>
      </w:r>
      <w:r w:rsidR="00776F54">
        <w:t>tates</w:t>
      </w:r>
      <w:r w:rsidR="008A29D4">
        <w:t xml:space="preserve"> and </w:t>
      </w:r>
      <w:r w:rsidR="00811FC9">
        <w:t>t</w:t>
      </w:r>
      <w:r w:rsidR="008A29D4">
        <w:t>erritories</w:t>
      </w:r>
      <w:r w:rsidR="00776F54">
        <w:t>.</w:t>
      </w:r>
      <w:r w:rsidR="008A29D4">
        <w:t xml:space="preserve"> </w:t>
      </w:r>
      <w:r w:rsidR="00E013A2">
        <w:t>FNLRS staff also noted the increasingly</w:t>
      </w:r>
      <w:r w:rsidR="00EC61AA">
        <w:t xml:space="preserve"> conflicted environment</w:t>
      </w:r>
      <w:r w:rsidR="00E013A2">
        <w:t xml:space="preserve"> that it </w:t>
      </w:r>
      <w:r w:rsidR="00CE723F">
        <w:t xml:space="preserve">finds itself in which has </w:t>
      </w:r>
      <w:r w:rsidR="00E013A2">
        <w:t xml:space="preserve">made it </w:t>
      </w:r>
      <w:r w:rsidR="0016624D">
        <w:t>difficult</w:t>
      </w:r>
      <w:r w:rsidR="00EC61AA">
        <w:t xml:space="preserve"> for FNLRS to </w:t>
      </w:r>
      <w:r w:rsidR="00E013A2">
        <w:t xml:space="preserve">continue to represent clients. </w:t>
      </w:r>
      <w:r w:rsidR="008A29D4">
        <w:t xml:space="preserve">As a result, </w:t>
      </w:r>
      <w:r w:rsidR="008450BC" w:rsidRPr="008450BC">
        <w:t>FNLRS initiated a Strategic Review</w:t>
      </w:r>
      <w:r w:rsidR="00A4692C">
        <w:t xml:space="preserve"> towards the end of 2022</w:t>
      </w:r>
      <w:r w:rsidR="001C1696">
        <w:t xml:space="preserve"> (outside of the Review period)</w:t>
      </w:r>
      <w:r w:rsidR="00FC06F0">
        <w:t>,</w:t>
      </w:r>
      <w:r w:rsidR="008450BC" w:rsidRPr="008450BC">
        <w:t xml:space="preserve"> which was published in </w:t>
      </w:r>
      <w:r w:rsidR="00A4692C">
        <w:t xml:space="preserve">October </w:t>
      </w:r>
      <w:r w:rsidR="008450BC" w:rsidRPr="008450BC">
        <w:t>2023. The</w:t>
      </w:r>
      <w:r w:rsidR="00B34500">
        <w:t xml:space="preserve"> </w:t>
      </w:r>
      <w:r w:rsidR="008450BC" w:rsidRPr="008450BC">
        <w:t xml:space="preserve">Strategic Review </w:t>
      </w:r>
      <w:r w:rsidR="00B34500">
        <w:t xml:space="preserve">was </w:t>
      </w:r>
      <w:r w:rsidR="00341B72">
        <w:t xml:space="preserve">funded by the NIAA and was </w:t>
      </w:r>
      <w:r w:rsidR="008450BC" w:rsidRPr="008450BC">
        <w:t>undertaken by external consultants</w:t>
      </w:r>
      <w:r w:rsidR="00942C31">
        <w:t xml:space="preserve"> </w:t>
      </w:r>
      <w:r w:rsidR="0093385F">
        <w:t xml:space="preserve">to specifically consider </w:t>
      </w:r>
      <w:r w:rsidR="00811FC9">
        <w:t>FNLRS</w:t>
      </w:r>
      <w:r w:rsidR="0093385F">
        <w:t>’s future role within this operating context and how it could best continue to perform its native title functions.</w:t>
      </w:r>
    </w:p>
    <w:p w14:paraId="0F6671E4" w14:textId="0ABC7C53" w:rsidR="00C72F2E" w:rsidRDefault="00C72F2E" w:rsidP="00C72F2E">
      <w:pPr>
        <w:spacing w:after="165"/>
      </w:pPr>
      <w:r>
        <w:t xml:space="preserve">The </w:t>
      </w:r>
      <w:r w:rsidR="003F0099">
        <w:t>Strategic</w:t>
      </w:r>
      <w:r>
        <w:t xml:space="preserve"> Review considered and made recommendations on</w:t>
      </w:r>
      <w:r w:rsidR="003F0099">
        <w:rPr>
          <w:rStyle w:val="FootnoteReference"/>
        </w:rPr>
        <w:footnoteReference w:id="10"/>
      </w:r>
      <w:r>
        <w:t xml:space="preserve">: </w:t>
      </w:r>
    </w:p>
    <w:p w14:paraId="5470C764" w14:textId="5336CA7A" w:rsidR="00E656CA" w:rsidRPr="00D75DBC" w:rsidRDefault="006023BE" w:rsidP="00343D62">
      <w:pPr>
        <w:pStyle w:val="Bullet"/>
      </w:pPr>
      <w:r w:rsidRPr="6967B2CC">
        <w:t>T</w:t>
      </w:r>
      <w:r w:rsidR="00C72F2E" w:rsidRPr="6967B2CC">
        <w:t xml:space="preserve">he extent to which the operation of the legislative regimes and associated Victorian Government programs inhibit the performance of </w:t>
      </w:r>
      <w:r w:rsidR="0004126D" w:rsidRPr="6967B2CC">
        <w:t>FNLRS</w:t>
      </w:r>
      <w:r w:rsidR="00C72F2E" w:rsidRPr="6967B2CC">
        <w:t xml:space="preserve"> under the </w:t>
      </w:r>
      <w:r w:rsidR="00E24031" w:rsidRPr="6967B2CC">
        <w:t>NTA</w:t>
      </w:r>
      <w:r w:rsidR="00C72F2E" w:rsidRPr="6967B2CC">
        <w:t xml:space="preserve">, including their contribution to intra and inter-Indigenous disputes regarding native title rights and </w:t>
      </w:r>
      <w:proofErr w:type="gramStart"/>
      <w:r w:rsidR="00C72F2E" w:rsidRPr="6967B2CC">
        <w:t>interests;</w:t>
      </w:r>
      <w:proofErr w:type="gramEnd"/>
      <w:r w:rsidR="00C72F2E" w:rsidRPr="6967B2CC">
        <w:t xml:space="preserve"> and the perceived conflicts of interest with respect to the performance of </w:t>
      </w:r>
      <w:r w:rsidR="00E24031" w:rsidRPr="6967B2CC">
        <w:t>its</w:t>
      </w:r>
      <w:r w:rsidR="00C72F2E" w:rsidRPr="6967B2CC">
        <w:t xml:space="preserve"> functions. </w:t>
      </w:r>
    </w:p>
    <w:p w14:paraId="62161847" w14:textId="05AD032A" w:rsidR="00EC0251" w:rsidRPr="00D75DBC" w:rsidRDefault="00C72F2E" w:rsidP="00343D62">
      <w:pPr>
        <w:pStyle w:val="Bullet"/>
      </w:pPr>
      <w:r w:rsidRPr="6967B2CC">
        <w:t xml:space="preserve">How </w:t>
      </w:r>
      <w:r w:rsidR="0004126D" w:rsidRPr="6967B2CC">
        <w:t xml:space="preserve">FNLRS </w:t>
      </w:r>
      <w:r w:rsidRPr="6967B2CC">
        <w:t xml:space="preserve">can mitigate these impacts and perceptions, including any structural changes, to maximise the likelihood that </w:t>
      </w:r>
      <w:r w:rsidR="00E24031" w:rsidRPr="6967B2CC">
        <w:t>NTA</w:t>
      </w:r>
      <w:r w:rsidRPr="6967B2CC">
        <w:t xml:space="preserve"> functions will be performed to a high standard in Victoria over the next five years, while </w:t>
      </w:r>
      <w:r w:rsidR="00C26216" w:rsidRPr="6967B2CC">
        <w:t>considering</w:t>
      </w:r>
      <w:r w:rsidRPr="6967B2CC">
        <w:t xml:space="preserve"> the rapidly changing operating environment in Victoria.</w:t>
      </w:r>
      <w:r w:rsidR="003C31DC" w:rsidRPr="6967B2CC">
        <w:t xml:space="preserve"> </w:t>
      </w:r>
    </w:p>
    <w:p w14:paraId="2DC549F8" w14:textId="491512FE" w:rsidR="005930FC" w:rsidRDefault="008450BC" w:rsidP="00447C8A">
      <w:r w:rsidRPr="008450BC">
        <w:t>The Strategic Review engaged widely with FNLRS staff</w:t>
      </w:r>
      <w:r w:rsidR="0004126D">
        <w:t>,</w:t>
      </w:r>
      <w:r w:rsidRPr="008450BC">
        <w:t xml:space="preserve"> the </w:t>
      </w:r>
      <w:r w:rsidR="00B22C7D">
        <w:t xml:space="preserve">FNLRS </w:t>
      </w:r>
      <w:r w:rsidRPr="008450BC">
        <w:t>Board</w:t>
      </w:r>
      <w:r w:rsidR="0004126D">
        <w:t>,</w:t>
      </w:r>
      <w:r w:rsidRPr="008450BC">
        <w:t xml:space="preserve"> Traditional Owners</w:t>
      </w:r>
      <w:r w:rsidR="009E3495">
        <w:t xml:space="preserve"> </w:t>
      </w:r>
      <w:r w:rsidRPr="008450BC">
        <w:t>and government bodies</w:t>
      </w:r>
      <w:r w:rsidR="003537A8">
        <w:t>,</w:t>
      </w:r>
      <w:r w:rsidRPr="008450BC">
        <w:t xml:space="preserve"> including the Federal Court of Australia and the First People’s Assembly of Victoria. It made nine recommendations</w:t>
      </w:r>
      <w:r w:rsidR="003537A8">
        <w:t xml:space="preserve">, all of which </w:t>
      </w:r>
      <w:r w:rsidRPr="008450BC">
        <w:t>w</w:t>
      </w:r>
      <w:r w:rsidR="003537A8">
        <w:t>ere</w:t>
      </w:r>
      <w:r w:rsidRPr="008450BC">
        <w:t xml:space="preserve"> fully endorsed by the Board.</w:t>
      </w:r>
      <w:r w:rsidR="003537A8">
        <w:t xml:space="preserve"> </w:t>
      </w:r>
    </w:p>
    <w:p w14:paraId="5134BFA9" w14:textId="10711861" w:rsidR="00126F75" w:rsidRPr="008F47F8" w:rsidRDefault="00083840" w:rsidP="00447C8A">
      <w:r w:rsidRPr="003B6B06">
        <w:t xml:space="preserve">Central to these recommendations was </w:t>
      </w:r>
      <w:r w:rsidR="007D27E6">
        <w:t>a proposed</w:t>
      </w:r>
      <w:r w:rsidRPr="003B6B06">
        <w:t xml:space="preserve"> </w:t>
      </w:r>
      <w:r w:rsidR="007E5797" w:rsidRPr="003B6B06">
        <w:t xml:space="preserve">shift in </w:t>
      </w:r>
      <w:r w:rsidR="00B778A1">
        <w:t>FNLRS’s</w:t>
      </w:r>
      <w:r w:rsidR="007E5797" w:rsidRPr="003B6B06">
        <w:t xml:space="preserve"> role</w:t>
      </w:r>
      <w:r w:rsidR="003E0E6D">
        <w:t xml:space="preserve"> given the extensive intra-</w:t>
      </w:r>
      <w:r w:rsidR="00E83618">
        <w:t xml:space="preserve"> </w:t>
      </w:r>
      <w:r w:rsidR="003E0E6D">
        <w:t>and inter-Indigenous disputes that continue in Victoria</w:t>
      </w:r>
      <w:r w:rsidR="007A24D3" w:rsidRPr="00F4092F">
        <w:t xml:space="preserve">: </w:t>
      </w:r>
      <w:r w:rsidR="00274FB9">
        <w:t>“</w:t>
      </w:r>
      <w:r w:rsidR="008D2D79" w:rsidRPr="00274FB9">
        <w:t xml:space="preserve">Recommendation </w:t>
      </w:r>
      <w:r w:rsidR="0004126D" w:rsidRPr="00274FB9">
        <w:t>2</w:t>
      </w:r>
      <w:r w:rsidR="008D2D79" w:rsidRPr="00274FB9">
        <w:t xml:space="preserve">: FNLRS should adopt more </w:t>
      </w:r>
      <w:r w:rsidR="008D2D79" w:rsidRPr="00274FB9">
        <w:lastRenderedPageBreak/>
        <w:t>neutral positioning in active legal disputes</w:t>
      </w:r>
      <w:r w:rsidR="00A76498" w:rsidRPr="00274FB9">
        <w:t xml:space="preserve"> </w:t>
      </w:r>
      <w:r w:rsidR="008D2D79" w:rsidRPr="00274FB9">
        <w:t>between and internal to Traditional Owner groups,</w:t>
      </w:r>
      <w:r w:rsidR="0004126D" w:rsidRPr="00274FB9">
        <w:t xml:space="preserve"> </w:t>
      </w:r>
      <w:r w:rsidR="008D2D79" w:rsidRPr="00274FB9">
        <w:t>instead plac</w:t>
      </w:r>
      <w:r w:rsidR="0004126D" w:rsidRPr="00274FB9">
        <w:t>ing</w:t>
      </w:r>
      <w:r w:rsidR="008D2D79" w:rsidRPr="00274FB9">
        <w:t xml:space="preserve"> greater reliance on</w:t>
      </w:r>
      <w:r w:rsidR="00A76498" w:rsidRPr="00274FB9">
        <w:t xml:space="preserve"> </w:t>
      </w:r>
      <w:r w:rsidR="008D2D79" w:rsidRPr="00274FB9">
        <w:t>third party legal service providers.</w:t>
      </w:r>
      <w:r w:rsidR="00274FB9">
        <w:t>”</w:t>
      </w:r>
      <w:r w:rsidR="002F5907" w:rsidRPr="00BF6F2D">
        <w:rPr>
          <w:rStyle w:val="FootnoteReference"/>
          <w:iCs/>
        </w:rPr>
        <w:footnoteReference w:id="11"/>
      </w:r>
      <w:r w:rsidR="00CD7522">
        <w:t xml:space="preserve"> </w:t>
      </w:r>
      <w:r w:rsidR="000A4A45">
        <w:t>This</w:t>
      </w:r>
      <w:r w:rsidR="00D93948">
        <w:t xml:space="preserve"> </w:t>
      </w:r>
      <w:r w:rsidR="00CB27DB">
        <w:t xml:space="preserve">would </w:t>
      </w:r>
      <w:r w:rsidR="0043661E">
        <w:t>involve</w:t>
      </w:r>
      <w:r w:rsidR="00CB27DB">
        <w:t xml:space="preserve"> FNLR</w:t>
      </w:r>
      <w:r w:rsidR="007D27E6">
        <w:t>S</w:t>
      </w:r>
      <w:r w:rsidR="00563DA7">
        <w:t xml:space="preserve"> </w:t>
      </w:r>
      <w:r w:rsidR="00EF4084">
        <w:t xml:space="preserve">briefing out </w:t>
      </w:r>
      <w:r w:rsidR="003E0E6D">
        <w:t>representation to third party</w:t>
      </w:r>
      <w:r w:rsidR="00B53396">
        <w:t xml:space="preserve"> </w:t>
      </w:r>
      <w:r w:rsidR="003E0E6D" w:rsidRPr="008F47F8">
        <w:t xml:space="preserve">legal service providers </w:t>
      </w:r>
      <w:r w:rsidR="006E1240" w:rsidRPr="008F47F8">
        <w:t xml:space="preserve">for </w:t>
      </w:r>
      <w:r w:rsidR="00673486" w:rsidRPr="008F47F8">
        <w:t xml:space="preserve">most </w:t>
      </w:r>
      <w:r w:rsidR="006E1240" w:rsidRPr="008F47F8">
        <w:t>parties involved in a Traditional Owner dispute.</w:t>
      </w:r>
      <w:r w:rsidR="00D438BF" w:rsidRPr="008F47F8">
        <w:t xml:space="preserve"> </w:t>
      </w:r>
    </w:p>
    <w:p w14:paraId="5FDB9A70" w14:textId="6E25D281" w:rsidR="007A24D3" w:rsidRPr="008F47F8" w:rsidRDefault="002F477F" w:rsidP="00447C8A">
      <w:r w:rsidRPr="008F47F8">
        <w:t>The</w:t>
      </w:r>
      <w:r w:rsidR="00C430D0" w:rsidRPr="008F47F8">
        <w:t xml:space="preserve"> associated</w:t>
      </w:r>
      <w:r w:rsidR="0039024C" w:rsidRPr="008F47F8">
        <w:t xml:space="preserve"> Strategic Review recommendations </w:t>
      </w:r>
      <w:r w:rsidR="00291E21" w:rsidRPr="008F47F8">
        <w:t>propose</w:t>
      </w:r>
      <w:r w:rsidR="00D93948" w:rsidRPr="008F47F8">
        <w:t xml:space="preserve"> FNLRS</w:t>
      </w:r>
      <w:r w:rsidR="0086569C" w:rsidRPr="008F47F8">
        <w:t xml:space="preserve"> continue to play the </w:t>
      </w:r>
      <w:r w:rsidR="0039024C" w:rsidRPr="008F47F8">
        <w:t xml:space="preserve">role </w:t>
      </w:r>
      <w:r w:rsidR="0086569C" w:rsidRPr="008F47F8">
        <w:t xml:space="preserve">of </w:t>
      </w:r>
      <w:r w:rsidR="002D31D7" w:rsidRPr="008F47F8">
        <w:t>facilitating funding</w:t>
      </w:r>
      <w:r w:rsidR="005219F6" w:rsidRPr="008F47F8">
        <w:t xml:space="preserve"> </w:t>
      </w:r>
      <w:r w:rsidR="00291E21" w:rsidRPr="008F47F8">
        <w:t xml:space="preserve">and establish </w:t>
      </w:r>
      <w:r w:rsidR="005219F6" w:rsidRPr="008F47F8">
        <w:t>a</w:t>
      </w:r>
      <w:r w:rsidR="00350E1A" w:rsidRPr="008F47F8">
        <w:t xml:space="preserve"> panel of </w:t>
      </w:r>
      <w:r w:rsidR="00291E21" w:rsidRPr="008F47F8">
        <w:t xml:space="preserve">approved </w:t>
      </w:r>
      <w:r w:rsidR="00350E1A" w:rsidRPr="008F47F8">
        <w:t>external legal representatives</w:t>
      </w:r>
      <w:r w:rsidR="00E07E08" w:rsidRPr="008F47F8">
        <w:t xml:space="preserve"> who </w:t>
      </w:r>
      <w:r w:rsidR="0004703C" w:rsidRPr="008F47F8">
        <w:t>can</w:t>
      </w:r>
      <w:r w:rsidR="00E07E08" w:rsidRPr="008F47F8">
        <w:t xml:space="preserve"> access funding. </w:t>
      </w:r>
      <w:r w:rsidR="000630DE">
        <w:rPr>
          <w:lang w:eastAsia="en-AU"/>
        </w:rPr>
        <w:t xml:space="preserve">While FNLRS has stated its intention to adopt more neutral positioning and </w:t>
      </w:r>
      <w:r w:rsidR="000630DE" w:rsidRPr="007A059A">
        <w:rPr>
          <w:lang w:eastAsia="en-AU"/>
        </w:rPr>
        <w:t>place greater reliance on third party legal service providers</w:t>
      </w:r>
      <w:r w:rsidR="000630DE">
        <w:rPr>
          <w:lang w:eastAsia="en-AU"/>
        </w:rPr>
        <w:t xml:space="preserve">, FNLRS will still play an important role in helping to administer the funding for these claims and support pre- and post-claim activities. </w:t>
      </w:r>
      <w:r w:rsidR="00E07E08" w:rsidRPr="008F47F8">
        <w:t xml:space="preserve">FNLRS’s more neutral role would naturally shift to focus more on </w:t>
      </w:r>
      <w:r w:rsidR="0088017F" w:rsidRPr="008F47F8">
        <w:t>targeted</w:t>
      </w:r>
      <w:r w:rsidR="00D93948" w:rsidRPr="008F47F8">
        <w:t xml:space="preserve"> </w:t>
      </w:r>
      <w:r w:rsidR="00C430D0" w:rsidRPr="008F47F8">
        <w:t>research, community liaising</w:t>
      </w:r>
      <w:r w:rsidR="0086569C" w:rsidRPr="008F47F8">
        <w:t xml:space="preserve"> and </w:t>
      </w:r>
      <w:r w:rsidR="00C430D0" w:rsidRPr="008F47F8">
        <w:t>certification</w:t>
      </w:r>
      <w:r w:rsidR="008A214C" w:rsidRPr="008F47F8">
        <w:t>.</w:t>
      </w:r>
      <w:r w:rsidR="00575D3D" w:rsidRPr="008F47F8">
        <w:t xml:space="preserve"> </w:t>
      </w:r>
      <w:r w:rsidR="001768A8" w:rsidRPr="008F47F8">
        <w:t xml:space="preserve">This Review agrees with this </w:t>
      </w:r>
      <w:r w:rsidR="00E7368A" w:rsidRPr="008F47F8">
        <w:t xml:space="preserve">position </w:t>
      </w:r>
      <w:r w:rsidR="00DC5120" w:rsidRPr="008F47F8">
        <w:t>including</w:t>
      </w:r>
      <w:r w:rsidR="00E7368A" w:rsidRPr="008F47F8">
        <w:t xml:space="preserve"> </w:t>
      </w:r>
      <w:r w:rsidR="00483CBC" w:rsidRPr="00274FB9">
        <w:t>Recommendation 3</w:t>
      </w:r>
      <w:r w:rsidR="00B7781F">
        <w:t xml:space="preserve"> of the Strategic Review</w:t>
      </w:r>
      <w:r w:rsidR="00483CBC" w:rsidRPr="008F47F8">
        <w:t xml:space="preserve"> and supporting recommendations</w:t>
      </w:r>
      <w:r w:rsidR="00E7368A" w:rsidRPr="008F47F8">
        <w:t xml:space="preserve">. </w:t>
      </w:r>
      <w:r w:rsidR="00C859C0" w:rsidRPr="008F47F8">
        <w:t>FNLRS ha</w:t>
      </w:r>
      <w:r w:rsidR="007F2E61" w:rsidRPr="008F47F8">
        <w:t>d</w:t>
      </w:r>
      <w:r w:rsidR="00C859C0" w:rsidRPr="008F47F8">
        <w:t xml:space="preserve"> </w:t>
      </w:r>
      <w:r w:rsidR="00726B91" w:rsidRPr="008F47F8">
        <w:t>progress</w:t>
      </w:r>
      <w:r w:rsidR="00E268D6" w:rsidRPr="008F47F8">
        <w:t>ed</w:t>
      </w:r>
      <w:r w:rsidR="00726B91" w:rsidRPr="008F47F8">
        <w:t xml:space="preserve"> the implementation of these recommendations </w:t>
      </w:r>
      <w:r w:rsidR="00C859C0" w:rsidRPr="008F47F8">
        <w:t>at the time of writing this report</w:t>
      </w:r>
      <w:r w:rsidR="001A00C0">
        <w:t xml:space="preserve">, </w:t>
      </w:r>
      <w:r w:rsidR="007966C1">
        <w:t xml:space="preserve">including </w:t>
      </w:r>
      <w:r w:rsidR="00824AE0" w:rsidRPr="00824AE0">
        <w:t>establish</w:t>
      </w:r>
      <w:r w:rsidR="00824AE0">
        <w:t>ing a B</w:t>
      </w:r>
      <w:r w:rsidR="00824AE0" w:rsidRPr="00824AE0">
        <w:t xml:space="preserve">oard sub-committee to assess assistance requests and engage external expertise and peer review on a </w:t>
      </w:r>
      <w:r w:rsidR="003504CA" w:rsidRPr="00824AE0">
        <w:t>case-by-case</w:t>
      </w:r>
      <w:r w:rsidR="00824AE0" w:rsidRPr="00824AE0">
        <w:t xml:space="preserve"> basis</w:t>
      </w:r>
      <w:r w:rsidR="00824AE0">
        <w:t>.</w:t>
      </w:r>
    </w:p>
    <w:p w14:paraId="31E235AC" w14:textId="579834E1" w:rsidR="007A0210" w:rsidRDefault="000678AE" w:rsidP="007A24D3">
      <w:pPr>
        <w:spacing w:after="165"/>
      </w:pPr>
      <w:r w:rsidRPr="008F47F8">
        <w:t xml:space="preserve">There is an opportunity for </w:t>
      </w:r>
      <w:r w:rsidR="00466924" w:rsidRPr="008F47F8">
        <w:t xml:space="preserve">FNLRS to improve Traditional Owner awareness of </w:t>
      </w:r>
      <w:r w:rsidR="009F2861" w:rsidRPr="008F47F8">
        <w:t>changes in the Victorian land rights landscape</w:t>
      </w:r>
      <w:r w:rsidR="009F2861">
        <w:t xml:space="preserve"> (noting </w:t>
      </w:r>
      <w:r w:rsidR="009F2861" w:rsidRPr="009F2861">
        <w:t xml:space="preserve">the emergence of </w:t>
      </w:r>
      <w:r w:rsidR="001C0382">
        <w:t xml:space="preserve">the potential </w:t>
      </w:r>
      <w:r w:rsidR="009F2861" w:rsidRPr="009F2861">
        <w:t>Treaty</w:t>
      </w:r>
      <w:r w:rsidR="001C0382">
        <w:t xml:space="preserve"> negotiations</w:t>
      </w:r>
      <w:r w:rsidR="009F2861">
        <w:t xml:space="preserve">) and </w:t>
      </w:r>
      <w:r w:rsidR="00B64063">
        <w:t>of</w:t>
      </w:r>
      <w:r w:rsidR="00F50695">
        <w:t xml:space="preserve"> </w:t>
      </w:r>
      <w:r w:rsidR="00B778A1">
        <w:t>FNLRS’s</w:t>
      </w:r>
      <w:r w:rsidR="009F2861">
        <w:t xml:space="preserve"> own</w:t>
      </w:r>
      <w:r w:rsidR="00F522D8">
        <w:t xml:space="preserve"> role</w:t>
      </w:r>
      <w:r w:rsidR="009F2861">
        <w:t xml:space="preserve"> as a</w:t>
      </w:r>
      <w:r w:rsidR="003E47E1">
        <w:t>n</w:t>
      </w:r>
      <w:r w:rsidR="009F2861">
        <w:t xml:space="preserve"> </w:t>
      </w:r>
      <w:r w:rsidR="0021175C">
        <w:t>NTSP</w:t>
      </w:r>
      <w:r w:rsidR="003E47E1">
        <w:t>.</w:t>
      </w:r>
      <w:r w:rsidR="00365ED9">
        <w:t xml:space="preserve"> </w:t>
      </w:r>
      <w:r w:rsidR="003E47E1">
        <w:t xml:space="preserve">FNLRS </w:t>
      </w:r>
      <w:r w:rsidR="00C3082B">
        <w:t>developed</w:t>
      </w:r>
      <w:r w:rsidR="003E47E1">
        <w:t xml:space="preserve"> </w:t>
      </w:r>
      <w:r w:rsidR="005C007C">
        <w:t>easy</w:t>
      </w:r>
      <w:r w:rsidR="005B1E36">
        <w:t>-</w:t>
      </w:r>
      <w:r w:rsidR="005C007C">
        <w:t>to</w:t>
      </w:r>
      <w:r w:rsidR="005B1E36">
        <w:t>-</w:t>
      </w:r>
      <w:r w:rsidR="005C007C">
        <w:t>understand guides</w:t>
      </w:r>
      <w:r w:rsidR="00E71F2E">
        <w:t xml:space="preserve"> </w:t>
      </w:r>
      <w:r w:rsidR="005C007C">
        <w:t xml:space="preserve">to formal </w:t>
      </w:r>
      <w:r w:rsidR="00275373">
        <w:t>recognition</w:t>
      </w:r>
      <w:r w:rsidR="005C007C">
        <w:t xml:space="preserve"> processes in Victoria alongside the Victorian Government</w:t>
      </w:r>
      <w:r w:rsidR="00303DBB">
        <w:t xml:space="preserve"> during the Review period</w:t>
      </w:r>
      <w:r w:rsidR="005C007C">
        <w:t xml:space="preserve">. </w:t>
      </w:r>
      <w:r w:rsidR="00C3082B">
        <w:t>Incorporating</w:t>
      </w:r>
      <w:r w:rsidR="00303DBB">
        <w:t xml:space="preserve"> new elements of Treaty and </w:t>
      </w:r>
      <w:r w:rsidR="00B778A1">
        <w:t>FNLRS’s</w:t>
      </w:r>
      <w:r w:rsidR="00303DBB">
        <w:t xml:space="preserve"> changed role</w:t>
      </w:r>
      <w:r w:rsidR="00C3082B">
        <w:t xml:space="preserve"> in these guides and </w:t>
      </w:r>
      <w:r w:rsidR="005F102E">
        <w:t>promoting</w:t>
      </w:r>
      <w:r w:rsidR="00F707FC">
        <w:t xml:space="preserve"> them </w:t>
      </w:r>
      <w:r w:rsidR="00AE78BA">
        <w:t>appropriately</w:t>
      </w:r>
      <w:r w:rsidR="00303DBB">
        <w:t xml:space="preserve"> would be beneficial to Traditional Owners.</w:t>
      </w:r>
    </w:p>
    <w:p w14:paraId="688C0911" w14:textId="1F659BA4" w:rsidR="00260493" w:rsidRDefault="00260493" w:rsidP="007A24D3">
      <w:pPr>
        <w:spacing w:after="165"/>
      </w:pPr>
      <w:r>
        <w:t xml:space="preserve">FNLRS advised that </w:t>
      </w:r>
      <w:r w:rsidR="009B579B">
        <w:t>following the Review period it had</w:t>
      </w:r>
      <w:r w:rsidRPr="00260493">
        <w:t xml:space="preserve"> developed a fact sheet and guide</w:t>
      </w:r>
      <w:r w:rsidR="00E2585A">
        <w:t xml:space="preserve">: </w:t>
      </w:r>
      <w:r w:rsidR="00E04874" w:rsidRPr="006C3F25">
        <w:t xml:space="preserve">Formal Recognition Resources </w:t>
      </w:r>
      <w:r w:rsidR="00C80347">
        <w:t xml:space="preserve">– </w:t>
      </w:r>
      <w:r w:rsidR="00E04874" w:rsidRPr="006C3F25">
        <w:t xml:space="preserve">First Nations Legal </w:t>
      </w:r>
      <w:r w:rsidR="00C80347">
        <w:t>and</w:t>
      </w:r>
      <w:r w:rsidR="00E04874" w:rsidRPr="006C3F25">
        <w:t xml:space="preserve"> Research Services</w:t>
      </w:r>
      <w:r w:rsidR="006C3F25">
        <w:t>.</w:t>
      </w:r>
      <w:r w:rsidR="00E04874" w:rsidRPr="00C80347">
        <w:rPr>
          <w:rStyle w:val="FootnoteReference"/>
          <w:color w:val="00264D" w:themeColor="background2"/>
        </w:rPr>
        <w:footnoteReference w:id="12"/>
      </w:r>
    </w:p>
    <w:p w14:paraId="420AE460" w14:textId="77777777" w:rsidR="000D3298" w:rsidRPr="00C20F71" w:rsidRDefault="000D3298" w:rsidP="000D3298">
      <w:pPr>
        <w:pStyle w:val="Heading4"/>
      </w:pPr>
      <w:r w:rsidRPr="00A221B6">
        <w:t>Anthropological research</w:t>
      </w:r>
    </w:p>
    <w:p w14:paraId="36E81C65" w14:textId="77777777" w:rsidR="000D3298" w:rsidRDefault="000D3298" w:rsidP="000D3298">
      <w:pPr>
        <w:pStyle w:val="Heading5"/>
      </w:pPr>
      <w:r>
        <w:t xml:space="preserve">FNLRS’s research focussed on active claims and areas without formal recognition under the </w:t>
      </w:r>
      <w:r w:rsidRPr="007362AC">
        <w:t>NTA</w:t>
      </w:r>
      <w:r>
        <w:t xml:space="preserve"> or alternative mechanisms</w:t>
      </w:r>
    </w:p>
    <w:p w14:paraId="01961DF8" w14:textId="733F789C" w:rsidR="000D3298" w:rsidRDefault="000D3298" w:rsidP="000D3298">
      <w:pPr>
        <w:rPr>
          <w:lang w:eastAsia="en-AU"/>
        </w:rPr>
      </w:pPr>
      <w:r>
        <w:rPr>
          <w:lang w:eastAsia="en-AU"/>
        </w:rPr>
        <w:t>As noted, t</w:t>
      </w:r>
      <w:r w:rsidRPr="00C100D5">
        <w:rPr>
          <w:lang w:eastAsia="en-AU"/>
        </w:rPr>
        <w:t xml:space="preserve">he history of colonisation and dispossession of Aboriginal people in Victoria continued to significantly impact Traditional Owner’s likelihood of achieving native title determinations. The removal of Aboriginal people through various government laws and policies, paired with the high standard of evidence required for a native title determination and the impact of unfavourable previous claims (1999 Yota Yorta determination) has resulted in the need for extremely thorough </w:t>
      </w:r>
      <w:r>
        <w:rPr>
          <w:lang w:eastAsia="en-AU"/>
        </w:rPr>
        <w:t>and detailed</w:t>
      </w:r>
      <w:r w:rsidRPr="00C100D5">
        <w:rPr>
          <w:lang w:eastAsia="en-AU"/>
        </w:rPr>
        <w:t xml:space="preserve"> research</w:t>
      </w:r>
      <w:r>
        <w:rPr>
          <w:lang w:eastAsia="en-AU"/>
        </w:rPr>
        <w:t xml:space="preserve"> to prove ongoing connection.</w:t>
      </w:r>
    </w:p>
    <w:p w14:paraId="77086D4F" w14:textId="77777777" w:rsidR="000D3298" w:rsidRDefault="000D3298" w:rsidP="000D3298">
      <w:pPr>
        <w:rPr>
          <w:lang w:eastAsia="en-AU"/>
        </w:rPr>
      </w:pPr>
      <w:r>
        <w:rPr>
          <w:lang w:eastAsia="en-AU"/>
        </w:rPr>
        <w:t xml:space="preserve">FNLRS’s Research Team of five staff, headed by a Research Manager, conducted research for anthropology, historical, cultural and related research matters. The team also used consultant researchers, who were contracted based on capacity constraints or where independence was required. Staff appreciated the contribution of research consultants, highlighting that their work was generally of high quality and added independence to research, </w:t>
      </w:r>
      <w:r w:rsidRPr="00186295">
        <w:rPr>
          <w:lang w:eastAsia="en-AU"/>
        </w:rPr>
        <w:t>addressing any perceptions of bias.</w:t>
      </w:r>
    </w:p>
    <w:p w14:paraId="19567513" w14:textId="66E7EFD2" w:rsidR="000D3298" w:rsidRDefault="000D3298" w:rsidP="000D3298">
      <w:pPr>
        <w:rPr>
          <w:lang w:eastAsia="en-AU"/>
        </w:rPr>
      </w:pPr>
      <w:r>
        <w:rPr>
          <w:lang w:eastAsia="en-AU"/>
        </w:rPr>
        <w:t xml:space="preserve">During the Review period, a significant proportion of the Research Team’s work was for FNLRS’s active native title claims, Eastern Maar People and the First People of </w:t>
      </w:r>
      <w:proofErr w:type="spellStart"/>
      <w:r>
        <w:rPr>
          <w:lang w:eastAsia="en-AU"/>
        </w:rPr>
        <w:t>Millewa</w:t>
      </w:r>
      <w:proofErr w:type="spellEnd"/>
      <w:r>
        <w:rPr>
          <w:lang w:eastAsia="en-AU"/>
        </w:rPr>
        <w:t xml:space="preserve">-Mallee Claim. This work mostly comprised </w:t>
      </w:r>
      <w:r w:rsidRPr="009901FC">
        <w:rPr>
          <w:lang w:eastAsia="en-AU"/>
        </w:rPr>
        <w:t>targeted research to address conflicts</w:t>
      </w:r>
      <w:r>
        <w:rPr>
          <w:lang w:eastAsia="en-AU"/>
        </w:rPr>
        <w:t>, especially for the highly disputed Eastern Maar claim (more than 160 respondents), with disputes generally linked to group membership and claim boundaries.</w:t>
      </w:r>
      <w:r w:rsidR="000D5B4B">
        <w:rPr>
          <w:lang w:eastAsia="en-AU"/>
        </w:rPr>
        <w:t xml:space="preserve"> </w:t>
      </w:r>
      <w:r w:rsidR="00922C21">
        <w:rPr>
          <w:lang w:eastAsia="en-AU"/>
        </w:rPr>
        <w:t xml:space="preserve">The </w:t>
      </w:r>
      <w:r w:rsidR="006379CA">
        <w:rPr>
          <w:lang w:eastAsia="en-AU"/>
        </w:rPr>
        <w:t xml:space="preserve">relative difficulty of meeting </w:t>
      </w:r>
      <w:r>
        <w:rPr>
          <w:lang w:eastAsia="en-AU"/>
        </w:rPr>
        <w:t xml:space="preserve">the evidentiary standard for establishing continual connection </w:t>
      </w:r>
      <w:r w:rsidR="00995B3C">
        <w:rPr>
          <w:lang w:eastAsia="en-AU"/>
        </w:rPr>
        <w:t xml:space="preserve">to Country </w:t>
      </w:r>
      <w:r>
        <w:rPr>
          <w:lang w:eastAsia="en-AU"/>
        </w:rPr>
        <w:t>in Victoria</w:t>
      </w:r>
      <w:r w:rsidR="006379CA">
        <w:rPr>
          <w:lang w:eastAsia="en-AU"/>
        </w:rPr>
        <w:t xml:space="preserve"> was a further </w:t>
      </w:r>
      <w:r w:rsidR="00C73212">
        <w:rPr>
          <w:lang w:eastAsia="en-AU"/>
        </w:rPr>
        <w:t>challenge for this</w:t>
      </w:r>
      <w:r w:rsidR="00B15254">
        <w:rPr>
          <w:lang w:eastAsia="en-AU"/>
        </w:rPr>
        <w:t xml:space="preserve"> work.</w:t>
      </w:r>
    </w:p>
    <w:p w14:paraId="12409AB8" w14:textId="4B98B455" w:rsidR="000D5B4B" w:rsidRDefault="000D3298" w:rsidP="000D3298">
      <w:pPr>
        <w:rPr>
          <w:lang w:eastAsia="en-AU"/>
        </w:rPr>
      </w:pPr>
      <w:r>
        <w:rPr>
          <w:lang w:eastAsia="en-AU"/>
        </w:rPr>
        <w:lastRenderedPageBreak/>
        <w:t xml:space="preserve">FNLRS also undertook research on areas where there was no formal recognition under the </w:t>
      </w:r>
      <w:r w:rsidRPr="007362AC">
        <w:rPr>
          <w:lang w:eastAsia="en-AU"/>
        </w:rPr>
        <w:t>NTA</w:t>
      </w:r>
      <w:r>
        <w:rPr>
          <w:lang w:eastAsia="en-AU"/>
        </w:rPr>
        <w:t xml:space="preserve"> or state-based mechanisms. FNLRS formed working groups – which included a researcher, </w:t>
      </w:r>
      <w:r w:rsidRPr="00AF6066">
        <w:rPr>
          <w:lang w:eastAsia="en-AU"/>
        </w:rPr>
        <w:t>a CLO</w:t>
      </w:r>
      <w:r>
        <w:rPr>
          <w:lang w:eastAsia="en-AU"/>
        </w:rPr>
        <w:t xml:space="preserve"> and a lawyer – to facilitate research </w:t>
      </w:r>
      <w:r w:rsidR="001A03FF">
        <w:rPr>
          <w:lang w:eastAsia="en-AU"/>
        </w:rPr>
        <w:t xml:space="preserve">for four regions: </w:t>
      </w:r>
      <w:r>
        <w:rPr>
          <w:lang w:eastAsia="en-AU"/>
        </w:rPr>
        <w:t xml:space="preserve">the Victorian Mid </w:t>
      </w:r>
      <w:proofErr w:type="gramStart"/>
      <w:r>
        <w:rPr>
          <w:lang w:eastAsia="en-AU"/>
        </w:rPr>
        <w:t>North West</w:t>
      </w:r>
      <w:proofErr w:type="gramEnd"/>
      <w:r>
        <w:rPr>
          <w:lang w:eastAsia="en-AU"/>
        </w:rPr>
        <w:t xml:space="preserve">, </w:t>
      </w:r>
      <w:proofErr w:type="gramStart"/>
      <w:r>
        <w:rPr>
          <w:lang w:eastAsia="en-AU"/>
        </w:rPr>
        <w:t>North East</w:t>
      </w:r>
      <w:proofErr w:type="gramEnd"/>
      <w:r>
        <w:rPr>
          <w:lang w:eastAsia="en-AU"/>
        </w:rPr>
        <w:t xml:space="preserve">, Central </w:t>
      </w:r>
      <w:proofErr w:type="gramStart"/>
      <w:r>
        <w:rPr>
          <w:lang w:eastAsia="en-AU"/>
        </w:rPr>
        <w:t>North West</w:t>
      </w:r>
      <w:proofErr w:type="gramEnd"/>
      <w:r>
        <w:rPr>
          <w:lang w:eastAsia="en-AU"/>
        </w:rPr>
        <w:t xml:space="preserve"> and Far East Gippsland regions). Central </w:t>
      </w:r>
      <w:proofErr w:type="gramStart"/>
      <w:r>
        <w:rPr>
          <w:lang w:eastAsia="en-AU"/>
        </w:rPr>
        <w:t>North West</w:t>
      </w:r>
      <w:proofErr w:type="gramEnd"/>
      <w:r>
        <w:rPr>
          <w:lang w:eastAsia="en-AU"/>
        </w:rPr>
        <w:t xml:space="preserve"> research was discontinued by FNLRS in the latter part of the Review period after Wamba Wemba registered a claim (not represented by FNLRS).</w:t>
      </w:r>
    </w:p>
    <w:p w14:paraId="465E2AC9" w14:textId="77777777" w:rsidR="000D3298" w:rsidRDefault="000D3298" w:rsidP="000D3298">
      <w:r>
        <w:t xml:space="preserve">Research in areas without formal recognition was funded by various sources, including the Victorian Government’s Traditional Owner Nation-building Program, Treaty Readiness Support funding and by the NIAA. The aim was to foster agreement about group identity and governance for Victorian Traditional Owners. While some progress was made, several staff reported that there was still a lot of work needed in these areas to bring together family groups and chart a path forward. Staff reported that the work was highly resource-intensive and required sustained relationship building across communities. </w:t>
      </w:r>
    </w:p>
    <w:p w14:paraId="259C3444" w14:textId="77777777" w:rsidR="000D3298" w:rsidRDefault="000D3298" w:rsidP="000D3298">
      <w:pPr>
        <w:pStyle w:val="Heading5"/>
      </w:pPr>
      <w:r>
        <w:t>Opinions varied on the quality of FNLRS’s research</w:t>
      </w:r>
    </w:p>
    <w:p w14:paraId="748DE6F9" w14:textId="77777777" w:rsidR="000D3298" w:rsidRDefault="000D3298" w:rsidP="000D3298">
      <w:pPr>
        <w:rPr>
          <w:lang w:eastAsia="en-AU"/>
        </w:rPr>
      </w:pPr>
      <w:r w:rsidRPr="00A70E33">
        <w:rPr>
          <w:lang w:eastAsia="en-AU"/>
        </w:rPr>
        <w:t xml:space="preserve">The Review spoke to many stakeholders, including many Traditional Owners, who expressed mixed </w:t>
      </w:r>
      <w:r>
        <w:rPr>
          <w:lang w:eastAsia="en-AU"/>
        </w:rPr>
        <w:t>views</w:t>
      </w:r>
      <w:r w:rsidRPr="00A70E33">
        <w:rPr>
          <w:lang w:eastAsia="en-AU"/>
        </w:rPr>
        <w:t xml:space="preserve"> on the quality of </w:t>
      </w:r>
      <w:r>
        <w:rPr>
          <w:lang w:eastAsia="en-AU"/>
        </w:rPr>
        <w:t>FNLRS’s</w:t>
      </w:r>
      <w:r w:rsidRPr="00A70E33">
        <w:rPr>
          <w:lang w:eastAsia="en-AU"/>
        </w:rPr>
        <w:t xml:space="preserve"> research.</w:t>
      </w:r>
      <w:r>
        <w:rPr>
          <w:lang w:eastAsia="en-AU"/>
        </w:rPr>
        <w:t xml:space="preserve"> Traditional Owners with positive experiences with the outcomes of research (for example, regarding group membership) expressed satisfaction with research quality when interviewed by the Review. </w:t>
      </w:r>
    </w:p>
    <w:p w14:paraId="02E2C93C" w14:textId="77777777" w:rsidR="000D3298" w:rsidRDefault="000D3298" w:rsidP="000D3298">
      <w:pPr>
        <w:rPr>
          <w:lang w:eastAsia="en-AU"/>
        </w:rPr>
      </w:pPr>
      <w:r>
        <w:rPr>
          <w:lang w:eastAsia="en-AU"/>
        </w:rPr>
        <w:t xml:space="preserve">Conversely, those with less positive outcomes (who believed that their family group’s history was not being endorsed by the research) felt that FNLRS’s research quality could be better. This is a systemic issue present for all NTRB-SPs with the nature of native title. Some FNLRS staff also reported that there were doubts about the quality of research because of the deregistration of the </w:t>
      </w:r>
      <w:proofErr w:type="spellStart"/>
      <w:r>
        <w:rPr>
          <w:lang w:eastAsia="en-AU"/>
        </w:rPr>
        <w:t>Taungurung</w:t>
      </w:r>
      <w:proofErr w:type="spellEnd"/>
      <w:r>
        <w:rPr>
          <w:lang w:eastAsia="en-AU"/>
        </w:rPr>
        <w:t xml:space="preserve"> ILUA (explained below). However, staff were confident that FNLRS research was of high quality and believed that the outcome of a research and reconsideration process as agreed by the parties in mediation would validate this.</w:t>
      </w:r>
      <w:r w:rsidDel="004E00A9">
        <w:rPr>
          <w:lang w:eastAsia="en-AU"/>
        </w:rPr>
        <w:t xml:space="preserve"> </w:t>
      </w:r>
    </w:p>
    <w:p w14:paraId="770F7574" w14:textId="77777777" w:rsidR="00DF2929" w:rsidRPr="0083039B" w:rsidRDefault="00DF2929" w:rsidP="00DF2929">
      <w:pPr>
        <w:keepNext/>
        <w:numPr>
          <w:ilvl w:val="4"/>
          <w:numId w:val="2"/>
        </w:numPr>
        <w:spacing w:before="240"/>
        <w:outlineLvl w:val="4"/>
        <w:rPr>
          <w:rFonts w:eastAsia="Times New Roman" w:cs="Times New Roman"/>
          <w:b/>
          <w:color w:val="000000" w:themeColor="text1"/>
          <w:sz w:val="20"/>
          <w:szCs w:val="24"/>
          <w:lang w:eastAsia="en-AU"/>
        </w:rPr>
      </w:pPr>
      <w:r w:rsidRPr="0083039B">
        <w:rPr>
          <w:rFonts w:eastAsia="Times New Roman" w:cs="Times New Roman"/>
          <w:b/>
          <w:color w:val="000000" w:themeColor="text1"/>
          <w:sz w:val="20"/>
          <w:szCs w:val="24"/>
          <w:lang w:eastAsia="en-AU"/>
        </w:rPr>
        <w:t xml:space="preserve">Traditional Owners typically expressed satisfaction with </w:t>
      </w:r>
      <w:r>
        <w:rPr>
          <w:rFonts w:eastAsia="Times New Roman" w:cs="Times New Roman"/>
          <w:b/>
          <w:color w:val="000000" w:themeColor="text1"/>
          <w:sz w:val="20"/>
          <w:szCs w:val="24"/>
          <w:lang w:eastAsia="en-AU"/>
        </w:rPr>
        <w:t>FNLRS’s</w:t>
      </w:r>
      <w:r w:rsidRPr="0083039B">
        <w:rPr>
          <w:rFonts w:eastAsia="Times New Roman" w:cs="Times New Roman"/>
          <w:b/>
          <w:color w:val="000000" w:themeColor="text1"/>
          <w:sz w:val="20"/>
          <w:szCs w:val="24"/>
          <w:lang w:eastAsia="en-AU"/>
        </w:rPr>
        <w:t xml:space="preserve"> performance, </w:t>
      </w:r>
      <w:r>
        <w:rPr>
          <w:rFonts w:eastAsia="Times New Roman" w:cs="Times New Roman"/>
          <w:b/>
          <w:color w:val="000000" w:themeColor="text1"/>
          <w:sz w:val="20"/>
          <w:szCs w:val="24"/>
          <w:lang w:eastAsia="en-AU"/>
        </w:rPr>
        <w:t>with some suggested improvements</w:t>
      </w:r>
    </w:p>
    <w:p w14:paraId="2719D928" w14:textId="3550BC08" w:rsidR="00DF2929" w:rsidRPr="0083039B" w:rsidRDefault="00DF2929" w:rsidP="00DF2929">
      <w:pPr>
        <w:suppressAutoHyphens/>
        <w:rPr>
          <w:rFonts w:eastAsia="Times New Roman" w:cs="Times New Roman"/>
          <w:szCs w:val="19"/>
          <w:lang w:eastAsia="en-AU"/>
        </w:rPr>
      </w:pPr>
      <w:r w:rsidRPr="00EB0C07">
        <w:rPr>
          <w:rFonts w:eastAsia="Times New Roman" w:cs="Times New Roman"/>
          <w:szCs w:val="19"/>
          <w:lang w:eastAsia="en-AU"/>
        </w:rPr>
        <w:t>Most</w:t>
      </w:r>
      <w:r w:rsidRPr="0083039B">
        <w:rPr>
          <w:rFonts w:eastAsia="Times New Roman" w:cs="Times New Roman"/>
          <w:szCs w:val="19"/>
          <w:lang w:eastAsia="en-AU"/>
        </w:rPr>
        <w:t xml:space="preserve"> of the </w:t>
      </w:r>
      <w:r>
        <w:rPr>
          <w:rFonts w:eastAsia="Times New Roman" w:cs="Times New Roman"/>
          <w:szCs w:val="19"/>
          <w:lang w:eastAsia="en-AU"/>
        </w:rPr>
        <w:t xml:space="preserve">Traditional Owner </w:t>
      </w:r>
      <w:r w:rsidRPr="0083039B">
        <w:rPr>
          <w:rFonts w:eastAsia="Times New Roman" w:cs="Times New Roman"/>
          <w:szCs w:val="19"/>
          <w:lang w:eastAsia="en-AU"/>
        </w:rPr>
        <w:t xml:space="preserve">groups the Review </w:t>
      </w:r>
      <w:r>
        <w:rPr>
          <w:rFonts w:eastAsia="Times New Roman" w:cs="Times New Roman"/>
          <w:szCs w:val="19"/>
          <w:lang w:eastAsia="en-AU"/>
        </w:rPr>
        <w:t xml:space="preserve">interviewed </w:t>
      </w:r>
      <w:r w:rsidRPr="0083039B">
        <w:rPr>
          <w:rFonts w:eastAsia="Times New Roman" w:cs="Times New Roman"/>
          <w:szCs w:val="19"/>
          <w:lang w:eastAsia="en-AU"/>
        </w:rPr>
        <w:t xml:space="preserve">that were represented by and worked with FNLRS </w:t>
      </w:r>
      <w:r>
        <w:rPr>
          <w:rFonts w:eastAsia="Times New Roman" w:cs="Times New Roman"/>
          <w:szCs w:val="19"/>
          <w:lang w:eastAsia="en-AU"/>
        </w:rPr>
        <w:t>closely</w:t>
      </w:r>
      <w:r w:rsidR="00503B16">
        <w:rPr>
          <w:rFonts w:eastAsia="Times New Roman" w:cs="Times New Roman"/>
          <w:szCs w:val="19"/>
          <w:lang w:eastAsia="en-AU"/>
        </w:rPr>
        <w:t>,</w:t>
      </w:r>
      <w:r>
        <w:rPr>
          <w:rFonts w:eastAsia="Times New Roman" w:cs="Times New Roman"/>
          <w:szCs w:val="19"/>
          <w:lang w:eastAsia="en-AU"/>
        </w:rPr>
        <w:t xml:space="preserve"> </w:t>
      </w:r>
      <w:r w:rsidRPr="0083039B">
        <w:rPr>
          <w:rFonts w:eastAsia="Times New Roman" w:cs="Times New Roman"/>
          <w:szCs w:val="19"/>
          <w:lang w:eastAsia="en-AU"/>
        </w:rPr>
        <w:t xml:space="preserve">were satisfied with the organisation’s </w:t>
      </w:r>
      <w:r>
        <w:rPr>
          <w:rFonts w:eastAsia="Times New Roman" w:cs="Times New Roman"/>
          <w:szCs w:val="19"/>
          <w:lang w:eastAsia="en-AU"/>
        </w:rPr>
        <w:t>performance</w:t>
      </w:r>
      <w:r w:rsidRPr="0083039B">
        <w:rPr>
          <w:rFonts w:eastAsia="Times New Roman" w:cs="Times New Roman"/>
          <w:szCs w:val="19"/>
          <w:lang w:eastAsia="en-AU"/>
        </w:rPr>
        <w:t xml:space="preserve"> during the Review period. Satisfaction was largely attributed to </w:t>
      </w:r>
      <w:r>
        <w:rPr>
          <w:rFonts w:eastAsia="Times New Roman" w:cs="Times New Roman"/>
          <w:szCs w:val="19"/>
          <w:lang w:eastAsia="en-AU"/>
        </w:rPr>
        <w:t>FNLRS’s</w:t>
      </w:r>
      <w:r w:rsidRPr="0083039B">
        <w:rPr>
          <w:rFonts w:eastAsia="Times New Roman" w:cs="Times New Roman"/>
          <w:szCs w:val="19"/>
          <w:lang w:eastAsia="en-AU"/>
        </w:rPr>
        <w:t xml:space="preserve"> </w:t>
      </w:r>
      <w:r>
        <w:rPr>
          <w:rFonts w:eastAsia="Times New Roman" w:cs="Times New Roman"/>
          <w:szCs w:val="19"/>
          <w:lang w:eastAsia="en-AU"/>
        </w:rPr>
        <w:t xml:space="preserve">focus on </w:t>
      </w:r>
      <w:r w:rsidRPr="00EB0C07">
        <w:rPr>
          <w:rFonts w:eastAsia="Times New Roman" w:cs="Times New Roman"/>
          <w:szCs w:val="19"/>
          <w:lang w:eastAsia="en-AU"/>
        </w:rPr>
        <w:t xml:space="preserve">working flexibly with </w:t>
      </w:r>
      <w:r w:rsidRPr="0083039B">
        <w:rPr>
          <w:rFonts w:eastAsia="Times New Roman" w:cs="Times New Roman"/>
          <w:szCs w:val="19"/>
          <w:lang w:eastAsia="en-AU"/>
        </w:rPr>
        <w:t xml:space="preserve">Traditional </w:t>
      </w:r>
      <w:r w:rsidRPr="00EB0C07">
        <w:rPr>
          <w:rFonts w:eastAsia="Times New Roman" w:cs="Times New Roman"/>
          <w:szCs w:val="19"/>
          <w:lang w:eastAsia="en-AU"/>
        </w:rPr>
        <w:t>Owners</w:t>
      </w:r>
      <w:r w:rsidRPr="0083039B">
        <w:rPr>
          <w:rFonts w:eastAsia="Times New Roman" w:cs="Times New Roman"/>
          <w:szCs w:val="19"/>
          <w:lang w:eastAsia="en-AU"/>
        </w:rPr>
        <w:t xml:space="preserve"> and </w:t>
      </w:r>
      <w:r w:rsidRPr="00EB0C07">
        <w:rPr>
          <w:rFonts w:eastAsia="Times New Roman" w:cs="Times New Roman"/>
          <w:szCs w:val="19"/>
          <w:lang w:eastAsia="en-AU"/>
        </w:rPr>
        <w:t>helping them to understand and</w:t>
      </w:r>
      <w:r w:rsidRPr="0083039B">
        <w:rPr>
          <w:rFonts w:eastAsia="Times New Roman" w:cs="Times New Roman"/>
          <w:szCs w:val="19"/>
          <w:lang w:eastAsia="en-AU"/>
        </w:rPr>
        <w:t xml:space="preserve"> progress in the complex Victorian landscape.</w:t>
      </w:r>
      <w:r>
        <w:rPr>
          <w:rFonts w:eastAsia="Times New Roman" w:cs="Times New Roman"/>
          <w:szCs w:val="19"/>
          <w:lang w:eastAsia="en-AU"/>
        </w:rPr>
        <w:t xml:space="preserve"> </w:t>
      </w:r>
    </w:p>
    <w:p w14:paraId="25AC8A4E" w14:textId="1FDC1A0C" w:rsidR="00DF2929" w:rsidRPr="00EB0C07" w:rsidRDefault="00DF2929" w:rsidP="00DF2929">
      <w:pPr>
        <w:suppressAutoHyphens/>
        <w:rPr>
          <w:rFonts w:eastAsia="Times New Roman" w:cs="Times New Roman"/>
          <w:szCs w:val="19"/>
          <w:lang w:eastAsia="en-AU"/>
        </w:rPr>
      </w:pPr>
      <w:r w:rsidRPr="00EB0C07">
        <w:rPr>
          <w:rFonts w:eastAsia="Times New Roman" w:cs="Times New Roman"/>
          <w:szCs w:val="19"/>
          <w:lang w:eastAsia="en-AU"/>
        </w:rPr>
        <w:t xml:space="preserve">Traditional Owners particularly commented on the fact that FNLRS was very understanding of the aspirations </w:t>
      </w:r>
      <w:r>
        <w:rPr>
          <w:rFonts w:eastAsia="Times New Roman" w:cs="Times New Roman"/>
          <w:szCs w:val="19"/>
          <w:lang w:eastAsia="en-AU"/>
        </w:rPr>
        <w:t>of g</w:t>
      </w:r>
      <w:r w:rsidRPr="00EB0C07">
        <w:rPr>
          <w:rFonts w:eastAsia="Times New Roman" w:cs="Times New Roman"/>
          <w:szCs w:val="19"/>
          <w:lang w:eastAsia="en-AU"/>
        </w:rPr>
        <w:t xml:space="preserve">roups and that they believed there was </w:t>
      </w:r>
      <w:r>
        <w:rPr>
          <w:rFonts w:eastAsia="Times New Roman" w:cs="Times New Roman"/>
          <w:szCs w:val="19"/>
          <w:lang w:eastAsia="en-AU"/>
        </w:rPr>
        <w:t xml:space="preserve">clear dedication and </w:t>
      </w:r>
      <w:r w:rsidRPr="00EB0C07">
        <w:rPr>
          <w:rFonts w:eastAsia="Times New Roman" w:cs="Times New Roman"/>
          <w:szCs w:val="19"/>
          <w:lang w:eastAsia="en-AU"/>
        </w:rPr>
        <w:t>strong alignment with what they were trying to achieve. Several Traditional Owner groups valued the deep expertise of FNLRS in native title matters and its understanding of the intersection of native title with various other state-based mechanisms. Others raised the positive relationship they had built with FNL</w:t>
      </w:r>
      <w:r>
        <w:rPr>
          <w:rFonts w:eastAsia="Times New Roman" w:cs="Times New Roman"/>
          <w:szCs w:val="19"/>
          <w:lang w:eastAsia="en-AU"/>
        </w:rPr>
        <w:t>R</w:t>
      </w:r>
      <w:r w:rsidRPr="00EB0C07">
        <w:rPr>
          <w:rFonts w:eastAsia="Times New Roman" w:cs="Times New Roman"/>
          <w:szCs w:val="19"/>
          <w:lang w:eastAsia="en-AU"/>
        </w:rPr>
        <w:t xml:space="preserve">S and the </w:t>
      </w:r>
      <w:r>
        <w:rPr>
          <w:rFonts w:eastAsia="Times New Roman" w:cs="Times New Roman"/>
          <w:szCs w:val="19"/>
          <w:lang w:eastAsia="en-AU"/>
        </w:rPr>
        <w:t xml:space="preserve">organisation’s </w:t>
      </w:r>
      <w:r w:rsidRPr="00EB0C07">
        <w:rPr>
          <w:rFonts w:eastAsia="Times New Roman" w:cs="Times New Roman"/>
          <w:szCs w:val="19"/>
          <w:lang w:eastAsia="en-AU"/>
        </w:rPr>
        <w:t>openness to respond to requests</w:t>
      </w:r>
      <w:r>
        <w:rPr>
          <w:rFonts w:eastAsia="Times New Roman" w:cs="Times New Roman"/>
          <w:szCs w:val="19"/>
          <w:lang w:eastAsia="en-AU"/>
        </w:rPr>
        <w:t xml:space="preserve">, </w:t>
      </w:r>
      <w:r w:rsidRPr="00EB0C07">
        <w:rPr>
          <w:rFonts w:eastAsia="Times New Roman" w:cs="Times New Roman"/>
          <w:szCs w:val="19"/>
          <w:lang w:eastAsia="en-AU"/>
        </w:rPr>
        <w:t>proactively meet face to face and work through challenges.</w:t>
      </w:r>
    </w:p>
    <w:p w14:paraId="6742A3B5" w14:textId="77777777" w:rsidR="00DF2929" w:rsidRPr="00EB0C07" w:rsidRDefault="00DF2929" w:rsidP="00DF2929">
      <w:pPr>
        <w:suppressAutoHyphens/>
        <w:rPr>
          <w:rFonts w:eastAsia="Times New Roman" w:cs="Times New Roman"/>
          <w:szCs w:val="19"/>
          <w:lang w:eastAsia="en-AU"/>
        </w:rPr>
      </w:pPr>
      <w:r w:rsidRPr="000D3574">
        <w:rPr>
          <w:noProof/>
          <w:lang w:eastAsia="en-AU"/>
        </w:rPr>
        <w:lastRenderedPageBreak/>
        <mc:AlternateContent>
          <mc:Choice Requires="wps">
            <w:drawing>
              <wp:anchor distT="0" distB="0" distL="114300" distR="114300" simplePos="0" relativeHeight="251658247" behindDoc="0" locked="0" layoutInCell="1" allowOverlap="1" wp14:anchorId="01655993" wp14:editId="282A00BF">
                <wp:simplePos x="0" y="0"/>
                <wp:positionH relativeFrom="margin">
                  <wp:align>right</wp:align>
                </wp:positionH>
                <wp:positionV relativeFrom="paragraph">
                  <wp:posOffset>141605</wp:posOffset>
                </wp:positionV>
                <wp:extent cx="1935480" cy="2066925"/>
                <wp:effectExtent l="0" t="0" r="7620" b="0"/>
                <wp:wrapSquare wrapText="bothSides"/>
                <wp:docPr id="1052058358" name="Text Box 1052058358"/>
                <wp:cNvGraphicFramePr/>
                <a:graphic xmlns:a="http://schemas.openxmlformats.org/drawingml/2006/main">
                  <a:graphicData uri="http://schemas.microsoft.com/office/word/2010/wordprocessingShape">
                    <wps:wsp>
                      <wps:cNvSpPr txBox="1"/>
                      <wps:spPr>
                        <a:xfrm>
                          <a:off x="0" y="0"/>
                          <a:ext cx="1935480" cy="2066925"/>
                        </a:xfrm>
                        <a:prstGeom prst="rect">
                          <a:avLst/>
                        </a:prstGeom>
                        <a:solidFill>
                          <a:sysClr val="window" lastClr="FFFFFF"/>
                        </a:solidFill>
                        <a:ln w="6350">
                          <a:noFill/>
                        </a:ln>
                        <a:effectLst/>
                      </wps:spPr>
                      <wps:txbx>
                        <w:txbxContent>
                          <w:p w14:paraId="2C633CBD" w14:textId="77777777" w:rsidR="00DF2929" w:rsidRPr="00CA17C8" w:rsidRDefault="00DF2929" w:rsidP="00DF2929">
                            <w:pPr>
                              <w:pStyle w:val="Callout"/>
                              <w:rPr>
                                <w:color w:val="C2400B" w:themeColor="accent2" w:themeShade="BF"/>
                                <w:sz w:val="19"/>
                                <w:szCs w:val="19"/>
                              </w:rPr>
                            </w:pPr>
                            <w:r w:rsidRPr="00CA17C8">
                              <w:rPr>
                                <w:color w:val="C2400B" w:themeColor="accent2" w:themeShade="BF"/>
                                <w:sz w:val="19"/>
                                <w:szCs w:val="19"/>
                              </w:rPr>
                              <w:t xml:space="preserve">“There are so many ways to settle a matter – isn’t always about the evidence or meeting the test. The role of mediation is important – outcome may be native title, may be settlement, may be something else… it’s about having a conversation with people about what do they need.” </w:t>
                            </w:r>
                          </w:p>
                          <w:p w14:paraId="761DFA12" w14:textId="41BC0235" w:rsidR="00DF2929" w:rsidRPr="004F799A" w:rsidRDefault="00DF2929" w:rsidP="00DF2929">
                            <w:pPr>
                              <w:pStyle w:val="Callout"/>
                              <w:jc w:val="right"/>
                              <w:rPr>
                                <w:color w:val="00264D" w:themeColor="background2"/>
                                <w:sz w:val="19"/>
                                <w:szCs w:val="19"/>
                              </w:rPr>
                            </w:pPr>
                            <w:r>
                              <w:rPr>
                                <w:color w:val="00264D" w:themeColor="background2"/>
                                <w:sz w:val="19"/>
                                <w:szCs w:val="19"/>
                              </w:rPr>
                              <w:t>External stakeholder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1655993" id="_x0000_t202" coordsize="21600,21600" o:spt="202" path="m,l,21600r21600,l21600,xe">
                <v:stroke joinstyle="miter"/>
                <v:path gradientshapeok="t" o:connecttype="rect"/>
              </v:shapetype>
              <v:shape id="Text Box 1052058358" o:spid="_x0000_s1026" type="#_x0000_t202" style="position:absolute;margin-left:101.2pt;margin-top:11.15pt;width:152.4pt;height:162.75pt;z-index:25165824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" fillcolor="window" stroked="f" strokeweight=".5pt">
                <v:textbox style="mso-fit-shape-to-text:t" inset="0,,1mm">
                  <w:txbxContent>
                    <w:p w14:paraId="2C633CBD" w14:textId="77777777" w:rsidR="00DF2929" w:rsidRPr="00CA17C8" w:rsidRDefault="00DF2929" w:rsidP="00DF2929">
                      <w:pPr>
                        <w:pStyle w:val="Callout"/>
                        <w:rPr>
                          <w:color w:val="C2400B" w:themeColor="accent2" w:themeShade="BF"/>
                          <w:sz w:val="19"/>
                          <w:szCs w:val="19"/>
                        </w:rPr>
                      </w:pPr>
                      <w:r w:rsidRPr="00CA17C8">
                        <w:rPr>
                          <w:color w:val="C2400B" w:themeColor="accent2" w:themeShade="BF"/>
                          <w:sz w:val="19"/>
                          <w:szCs w:val="19"/>
                        </w:rPr>
                        <w:t xml:space="preserve">“There are so many ways to settle a matter – isn’t always about the evidence or meeting the test. The role of mediation is important – outcome may be native title, may be settlement, may be something else… it’s about having a conversation with people about what do they need.” </w:t>
                      </w:r>
                    </w:p>
                    <w:p w14:paraId="761DFA12" w14:textId="41BC0235" w:rsidR="00DF2929" w:rsidRPr="004F799A" w:rsidRDefault="00DF2929" w:rsidP="00DF2929">
                      <w:pPr>
                        <w:pStyle w:val="Callout"/>
                        <w:jc w:val="right"/>
                        <w:rPr>
                          <w:color w:val="00264D" w:themeColor="background2"/>
                          <w:sz w:val="19"/>
                          <w:szCs w:val="19"/>
                        </w:rPr>
                      </w:pPr>
                      <w:r>
                        <w:rPr>
                          <w:color w:val="00264D" w:themeColor="background2"/>
                          <w:sz w:val="19"/>
                          <w:szCs w:val="19"/>
                        </w:rPr>
                        <w:t>External stakeholder</w:t>
                      </w:r>
                    </w:p>
                  </w:txbxContent>
                </v:textbox>
                <w10:wrap type="square" anchorx="margin"/>
              </v:shape>
            </w:pict>
          </mc:Fallback>
        </mc:AlternateContent>
      </w:r>
      <w:r w:rsidRPr="000D3574">
        <w:rPr>
          <w:rFonts w:eastAsia="Times New Roman" w:cs="Times New Roman"/>
          <w:szCs w:val="19"/>
          <w:lang w:eastAsia="en-AU"/>
        </w:rPr>
        <w:t>The Review heard feedback from</w:t>
      </w:r>
      <w:r>
        <w:rPr>
          <w:rFonts w:eastAsia="Times New Roman" w:cs="Times New Roman"/>
          <w:szCs w:val="19"/>
          <w:lang w:eastAsia="en-AU"/>
        </w:rPr>
        <w:t xml:space="preserve"> some</w:t>
      </w:r>
      <w:r w:rsidRPr="000D3574">
        <w:rPr>
          <w:rFonts w:eastAsia="Times New Roman" w:cs="Times New Roman"/>
          <w:szCs w:val="19"/>
          <w:lang w:eastAsia="en-AU"/>
        </w:rPr>
        <w:t xml:space="preserve"> stakeholders that FNLRS could be more assertive in its approach to disputes and claim direction more generally. While it was acknowledged that FNLRS operated in a highly complex environment, some stakeholders believed that FNLRS could be more proactive to help resolve disputes or to bring together groups, for example with mediators, to help progress native title outcomes. </w:t>
      </w:r>
    </w:p>
    <w:p w14:paraId="028F3AA3" w14:textId="77777777" w:rsidR="00DF2929" w:rsidRDefault="00DF2929" w:rsidP="00DF2929">
      <w:pPr>
        <w:rPr>
          <w:lang w:eastAsia="en-AU"/>
        </w:rPr>
      </w:pPr>
      <w:r w:rsidRPr="000D3574">
        <w:rPr>
          <w:lang w:eastAsia="en-AU"/>
        </w:rPr>
        <w:t xml:space="preserve">This feedback </w:t>
      </w:r>
      <w:r>
        <w:rPr>
          <w:lang w:eastAsia="en-AU"/>
        </w:rPr>
        <w:t xml:space="preserve">from Traditional Owners </w:t>
      </w:r>
      <w:r w:rsidRPr="000D3574">
        <w:rPr>
          <w:lang w:eastAsia="en-AU"/>
        </w:rPr>
        <w:t xml:space="preserve">was consistent with reflections from external stakeholders interviewed </w:t>
      </w:r>
      <w:r>
        <w:rPr>
          <w:lang w:eastAsia="en-AU"/>
        </w:rPr>
        <w:t>who suggested</w:t>
      </w:r>
      <w:r w:rsidRPr="000D3574">
        <w:rPr>
          <w:lang w:eastAsia="en-AU"/>
        </w:rPr>
        <w:t xml:space="preserve"> </w:t>
      </w:r>
      <w:r>
        <w:rPr>
          <w:lang w:eastAsia="en-AU"/>
        </w:rPr>
        <w:t xml:space="preserve">there was </w:t>
      </w:r>
      <w:r w:rsidRPr="000D3574">
        <w:rPr>
          <w:lang w:eastAsia="en-AU"/>
        </w:rPr>
        <w:t xml:space="preserve">a clear need for effective mediation and dispute resolution services. </w:t>
      </w:r>
      <w:r>
        <w:rPr>
          <w:lang w:eastAsia="en-AU"/>
        </w:rPr>
        <w:t xml:space="preserve">These </w:t>
      </w:r>
      <w:r w:rsidRPr="000D3574">
        <w:rPr>
          <w:lang w:eastAsia="en-AU"/>
        </w:rPr>
        <w:t xml:space="preserve">stakeholders </w:t>
      </w:r>
      <w:r>
        <w:rPr>
          <w:lang w:eastAsia="en-AU"/>
        </w:rPr>
        <w:t>believed</w:t>
      </w:r>
      <w:r w:rsidRPr="000D3574">
        <w:rPr>
          <w:lang w:eastAsia="en-AU"/>
        </w:rPr>
        <w:t xml:space="preserve"> that while groups might think they need to approach the </w:t>
      </w:r>
      <w:r>
        <w:rPr>
          <w:lang w:eastAsia="en-AU"/>
        </w:rPr>
        <w:t>C</w:t>
      </w:r>
      <w:r w:rsidRPr="000D3574">
        <w:rPr>
          <w:lang w:eastAsia="en-AU"/>
        </w:rPr>
        <w:t>ourt to resolve disputes, often they are looking for resolution of their disputes which could be carried out by other means</w:t>
      </w:r>
      <w:r>
        <w:rPr>
          <w:lang w:eastAsia="en-AU"/>
        </w:rPr>
        <w:t xml:space="preserve"> than a court process</w:t>
      </w:r>
      <w:r w:rsidRPr="000D3574">
        <w:rPr>
          <w:lang w:eastAsia="en-AU"/>
        </w:rPr>
        <w:t>.</w:t>
      </w:r>
      <w:r w:rsidRPr="00EB0C07">
        <w:rPr>
          <w:lang w:eastAsia="en-AU"/>
        </w:rPr>
        <w:t xml:space="preserve"> </w:t>
      </w:r>
    </w:p>
    <w:p w14:paraId="4BC9378F" w14:textId="77777777" w:rsidR="00DF2929" w:rsidRPr="00BD0E60" w:rsidRDefault="00DF2929" w:rsidP="00DF2929">
      <w:pPr>
        <w:suppressAutoHyphens/>
        <w:rPr>
          <w:rFonts w:eastAsia="Times New Roman" w:cs="Times New Roman"/>
          <w:szCs w:val="19"/>
          <w:lang w:eastAsia="en-AU"/>
        </w:rPr>
      </w:pPr>
      <w:r w:rsidRPr="000D3574">
        <w:rPr>
          <w:rFonts w:eastAsia="Times New Roman" w:cs="Times New Roman"/>
          <w:szCs w:val="19"/>
          <w:lang w:eastAsia="en-AU"/>
        </w:rPr>
        <w:t xml:space="preserve">When asked whether FNLRS could play a more active and assertive role, FNLRS disagreed with this view. Staff believed they were proactive in their approach and struck the right balance between being true to the findings of the research while facilitating outcomes appropriately for all Traditional Owners. </w:t>
      </w:r>
    </w:p>
    <w:p w14:paraId="514EB021" w14:textId="77777777" w:rsidR="000D3298" w:rsidRDefault="000D3298" w:rsidP="000D3298">
      <w:pPr>
        <w:pStyle w:val="Heading4"/>
      </w:pPr>
      <w:r w:rsidRPr="00A221B6">
        <w:t>Future Acts and ILUAs</w:t>
      </w:r>
    </w:p>
    <w:p w14:paraId="52C7B7B5" w14:textId="77777777" w:rsidR="000D3298" w:rsidRDefault="000D3298" w:rsidP="000D3298">
      <w:pPr>
        <w:pStyle w:val="Heading5"/>
        <w:numPr>
          <w:ilvl w:val="4"/>
          <w:numId w:val="0"/>
        </w:numPr>
      </w:pPr>
      <w:r w:rsidRPr="6967B2CC">
        <w:t>There were a high number of Future Acts relative to the previous Review period, though this number is low compared to other NTRB-SPs</w:t>
      </w:r>
    </w:p>
    <w:p w14:paraId="52DF83CD" w14:textId="3A7AA6A5" w:rsidR="000D3298" w:rsidRDefault="000D3298" w:rsidP="000D3298">
      <w:pPr>
        <w:rPr>
          <w:lang w:eastAsia="en-AU"/>
        </w:rPr>
      </w:pPr>
      <w:r>
        <w:rPr>
          <w:lang w:eastAsia="en-AU"/>
        </w:rPr>
        <w:t>Victoria saw a substantial increase in Future Act activity relative to the previous Review period,</w:t>
      </w:r>
      <w:r>
        <w:rPr>
          <w:rStyle w:val="FootnoteReference"/>
          <w:lang w:eastAsia="en-AU"/>
        </w:rPr>
        <w:footnoteReference w:id="13"/>
      </w:r>
      <w:r>
        <w:rPr>
          <w:lang w:eastAsia="en-AU"/>
        </w:rPr>
        <w:t xml:space="preserve"> with a total of 304 Future Acts in three financial years (compared to 81 during the previous Review). Some of this increase was reported as linked to the progression of gas and offshore wind in the state. Future Act activity was concentrated in FY2020-21 and FY2021-22. It is likely that the lower numbers in FY2019-20 are a result of the impact of COVID-19 lockdowns. A breakdown of Future Act notifications (FANs) is provided in </w:t>
      </w:r>
      <w:r w:rsidR="00772033">
        <w:rPr>
          <w:lang w:eastAsia="en-AU"/>
        </w:rPr>
        <w:fldChar w:fldCharType="begin"/>
      </w:r>
      <w:r w:rsidR="00772033">
        <w:rPr>
          <w:lang w:eastAsia="en-AU"/>
        </w:rPr>
        <w:instrText xml:space="preserve"> REF _Ref166567389 \h </w:instrText>
      </w:r>
      <w:r w:rsidR="00772033">
        <w:rPr>
          <w:lang w:eastAsia="en-AU"/>
        </w:rPr>
      </w:r>
      <w:r w:rsidR="00772033">
        <w:rPr>
          <w:lang w:eastAsia="en-AU"/>
        </w:rPr>
        <w:fldChar w:fldCharType="separate"/>
      </w:r>
      <w:r w:rsidR="00AB7E95">
        <w:t xml:space="preserve">Table </w:t>
      </w:r>
      <w:r w:rsidR="00AB7E95">
        <w:rPr>
          <w:noProof/>
        </w:rPr>
        <w:t>3</w:t>
      </w:r>
      <w:r w:rsidR="00772033">
        <w:rPr>
          <w:lang w:eastAsia="en-AU"/>
        </w:rPr>
        <w:fldChar w:fldCharType="end"/>
      </w:r>
      <w:r>
        <w:rPr>
          <w:lang w:eastAsia="en-AU"/>
        </w:rPr>
        <w:t xml:space="preserve">. </w:t>
      </w:r>
    </w:p>
    <w:p w14:paraId="63D042A3" w14:textId="6D50117C" w:rsidR="000D3298" w:rsidRDefault="000D3298" w:rsidP="000D3298">
      <w:pPr>
        <w:pStyle w:val="Caption"/>
      </w:pPr>
      <w:bookmarkStart w:id="18" w:name="_Ref166567389"/>
      <w:r>
        <w:t xml:space="preserve">Table </w:t>
      </w:r>
      <w:r>
        <w:fldChar w:fldCharType="begin"/>
      </w:r>
      <w:r>
        <w:instrText xml:space="preserve"> SEQ Table \* ARABIC </w:instrText>
      </w:r>
      <w:r>
        <w:fldChar w:fldCharType="separate"/>
      </w:r>
      <w:r w:rsidR="00AB7E95">
        <w:rPr>
          <w:noProof/>
        </w:rPr>
        <w:t>3</w:t>
      </w:r>
      <w:r>
        <w:fldChar w:fldCharType="end"/>
      </w:r>
      <w:bookmarkEnd w:id="18"/>
      <w:r>
        <w:t xml:space="preserve"> | </w:t>
      </w:r>
      <w:r w:rsidRPr="009D385E">
        <w:t>Number of FANs received during the Review period</w:t>
      </w:r>
    </w:p>
    <w:tbl>
      <w:tblPr>
        <w:tblStyle w:val="NousTableTopandside"/>
        <w:tblW w:w="5000" w:type="pct"/>
        <w:tblLook w:val="04A0" w:firstRow="1" w:lastRow="0" w:firstColumn="1" w:lastColumn="0" w:noHBand="0" w:noVBand="1"/>
      </w:tblPr>
      <w:tblGrid>
        <w:gridCol w:w="1349"/>
        <w:gridCol w:w="2527"/>
        <w:gridCol w:w="2527"/>
        <w:gridCol w:w="2527"/>
      </w:tblGrid>
      <w:tr w:rsidR="000D3298" w14:paraId="11366EB3" w14:textId="77777777" w:rsidTr="006770B0">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55" w:type="pct"/>
            <w:vMerge w:val="restart"/>
          </w:tcPr>
          <w:p w14:paraId="47994806" w14:textId="77777777" w:rsidR="000D3298" w:rsidRDefault="000D3298">
            <w:pPr>
              <w:pStyle w:val="TableNheader"/>
            </w:pPr>
            <w:r>
              <w:t>Financial year</w:t>
            </w:r>
          </w:p>
        </w:tc>
        <w:tc>
          <w:tcPr>
            <w:tcW w:w="4245" w:type="pct"/>
            <w:gridSpan w:val="3"/>
          </w:tcPr>
          <w:p w14:paraId="5E6CDBBB" w14:textId="77777777" w:rsidR="000D3298" w:rsidRPr="004F25CC" w:rsidRDefault="000D3298" w:rsidP="0055435E">
            <w:pPr>
              <w:pStyle w:val="TableNheader"/>
              <w:jc w:val="center"/>
              <w:cnfStyle w:val="100000000000" w:firstRow="1" w:lastRow="0" w:firstColumn="0" w:lastColumn="0" w:oddVBand="0" w:evenVBand="0" w:oddHBand="0" w:evenHBand="0" w:firstRowFirstColumn="0" w:firstRowLastColumn="0" w:lastRowFirstColumn="0" w:lastRowLastColumn="0"/>
            </w:pPr>
            <w:r>
              <w:t>FANs</w:t>
            </w:r>
          </w:p>
        </w:tc>
      </w:tr>
      <w:tr w:rsidR="000D3298" w:rsidRPr="003D3A86" w14:paraId="0E47A768" w14:textId="77777777" w:rsidTr="006770B0">
        <w:trPr>
          <w:trHeight w:val="274"/>
        </w:trPr>
        <w:tc>
          <w:tcPr>
            <w:cnfStyle w:val="001000000000" w:firstRow="0" w:lastRow="0" w:firstColumn="1" w:lastColumn="0" w:oddVBand="0" w:evenVBand="0" w:oddHBand="0" w:evenHBand="0" w:firstRowFirstColumn="0" w:firstRowLastColumn="0" w:lastRowFirstColumn="0" w:lastRowLastColumn="0"/>
            <w:tcW w:w="755" w:type="pct"/>
            <w:vMerge/>
          </w:tcPr>
          <w:p w14:paraId="704193BA" w14:textId="77777777" w:rsidR="000D3298" w:rsidRDefault="000D3298"/>
        </w:tc>
        <w:tc>
          <w:tcPr>
            <w:tcW w:w="1415" w:type="pct"/>
            <w:shd w:val="clear" w:color="auto" w:fill="E6E6E1" w:themeFill="accent5"/>
          </w:tcPr>
          <w:p w14:paraId="1ECD4A72" w14:textId="77777777" w:rsidR="000D3298" w:rsidRPr="00981031" w:rsidRDefault="000D3298" w:rsidP="006770B0">
            <w:pPr>
              <w:pStyle w:val="TableNheader"/>
              <w:cnfStyle w:val="000000000000" w:firstRow="0" w:lastRow="0" w:firstColumn="0" w:lastColumn="0" w:oddVBand="0" w:evenVBand="0" w:oddHBand="0" w:evenHBand="0" w:firstRowFirstColumn="0" w:firstRowLastColumn="0" w:lastRowFirstColumn="0" w:lastRowLastColumn="0"/>
            </w:pPr>
            <w:r w:rsidRPr="00981031">
              <w:t>All notifications</w:t>
            </w:r>
          </w:p>
        </w:tc>
        <w:tc>
          <w:tcPr>
            <w:tcW w:w="1415" w:type="pct"/>
            <w:shd w:val="clear" w:color="auto" w:fill="E6E6E1" w:themeFill="accent5"/>
          </w:tcPr>
          <w:p w14:paraId="44ADC544" w14:textId="77777777" w:rsidR="000D3298" w:rsidRPr="00981031" w:rsidRDefault="000D3298" w:rsidP="006770B0">
            <w:pPr>
              <w:pStyle w:val="TableNheader"/>
              <w:cnfStyle w:val="000000000000" w:firstRow="0" w:lastRow="0" w:firstColumn="0" w:lastColumn="0" w:oddVBand="0" w:evenVBand="0" w:oddHBand="0" w:evenHBand="0" w:firstRowFirstColumn="0" w:firstRowLastColumn="0" w:lastRowFirstColumn="0" w:lastRowLastColumn="0"/>
            </w:pPr>
            <w:r w:rsidRPr="00981031">
              <w:t>Section 29 notifications</w:t>
            </w:r>
          </w:p>
        </w:tc>
        <w:tc>
          <w:tcPr>
            <w:tcW w:w="1415" w:type="pct"/>
            <w:shd w:val="clear" w:color="auto" w:fill="E6E6E1" w:themeFill="accent5"/>
          </w:tcPr>
          <w:p w14:paraId="597590FA" w14:textId="77777777" w:rsidR="000D3298" w:rsidRPr="00981031" w:rsidRDefault="000D3298" w:rsidP="006770B0">
            <w:pPr>
              <w:pStyle w:val="TableNheader"/>
              <w:cnfStyle w:val="000000000000" w:firstRow="0" w:lastRow="0" w:firstColumn="0" w:lastColumn="0" w:oddVBand="0" w:evenVBand="0" w:oddHBand="0" w:evenHBand="0" w:firstRowFirstColumn="0" w:firstRowLastColumn="0" w:lastRowFirstColumn="0" w:lastRowLastColumn="0"/>
            </w:pPr>
            <w:r w:rsidRPr="00981031">
              <w:t>Section 24 notifications</w:t>
            </w:r>
          </w:p>
        </w:tc>
      </w:tr>
      <w:tr w:rsidR="000D3298" w:rsidRPr="003D3A86" w14:paraId="2DBFBCEF" w14:textId="77777777" w:rsidTr="006770B0">
        <w:trPr>
          <w:trHeight w:val="232"/>
        </w:trPr>
        <w:tc>
          <w:tcPr>
            <w:cnfStyle w:val="001000000000" w:firstRow="0" w:lastRow="0" w:firstColumn="1" w:lastColumn="0" w:oddVBand="0" w:evenVBand="0" w:oddHBand="0" w:evenHBand="0" w:firstRowFirstColumn="0" w:firstRowLastColumn="0" w:lastRowFirstColumn="0" w:lastRowLastColumn="0"/>
            <w:tcW w:w="755" w:type="pct"/>
          </w:tcPr>
          <w:p w14:paraId="6DEDF96D" w14:textId="77777777" w:rsidR="000D3298" w:rsidRPr="00981031" w:rsidRDefault="000D3298">
            <w:pPr>
              <w:pStyle w:val="TableNheader"/>
            </w:pPr>
            <w:r w:rsidRPr="00981031">
              <w:t>2019</w:t>
            </w:r>
            <w:r>
              <w:t>-</w:t>
            </w:r>
            <w:r w:rsidRPr="00981031">
              <w:t>20</w:t>
            </w:r>
          </w:p>
        </w:tc>
        <w:tc>
          <w:tcPr>
            <w:tcW w:w="1415" w:type="pct"/>
          </w:tcPr>
          <w:p w14:paraId="5D86B0B9" w14:textId="77777777" w:rsidR="000D3298" w:rsidRPr="003D3A86" w:rsidRDefault="000D3298">
            <w:pPr>
              <w:pStyle w:val="TableNText"/>
              <w:cnfStyle w:val="000000000000" w:firstRow="0" w:lastRow="0" w:firstColumn="0" w:lastColumn="0" w:oddVBand="0" w:evenVBand="0" w:oddHBand="0" w:evenHBand="0" w:firstRowFirstColumn="0" w:firstRowLastColumn="0" w:lastRowFirstColumn="0" w:lastRowLastColumn="0"/>
            </w:pPr>
            <w:r>
              <w:t>17</w:t>
            </w:r>
          </w:p>
        </w:tc>
        <w:tc>
          <w:tcPr>
            <w:tcW w:w="1415" w:type="pct"/>
          </w:tcPr>
          <w:p w14:paraId="1336993A" w14:textId="77777777" w:rsidR="000D3298" w:rsidRPr="003D3A86" w:rsidRDefault="000D3298">
            <w:pPr>
              <w:pStyle w:val="TableNText"/>
              <w:cnfStyle w:val="000000000000" w:firstRow="0" w:lastRow="0" w:firstColumn="0" w:lastColumn="0" w:oddVBand="0" w:evenVBand="0" w:oddHBand="0" w:evenHBand="0" w:firstRowFirstColumn="0" w:firstRowLastColumn="0" w:lastRowFirstColumn="0" w:lastRowLastColumn="0"/>
            </w:pPr>
            <w:r>
              <w:t>0</w:t>
            </w:r>
          </w:p>
        </w:tc>
        <w:tc>
          <w:tcPr>
            <w:tcW w:w="1415" w:type="pct"/>
          </w:tcPr>
          <w:p w14:paraId="30A10EC1" w14:textId="77777777" w:rsidR="000D3298" w:rsidRPr="003D3A86" w:rsidRDefault="000D3298">
            <w:pPr>
              <w:pStyle w:val="TableNText"/>
              <w:cnfStyle w:val="000000000000" w:firstRow="0" w:lastRow="0" w:firstColumn="0" w:lastColumn="0" w:oddVBand="0" w:evenVBand="0" w:oddHBand="0" w:evenHBand="0" w:firstRowFirstColumn="0" w:firstRowLastColumn="0" w:lastRowFirstColumn="0" w:lastRowLastColumn="0"/>
            </w:pPr>
            <w:r>
              <w:t>17</w:t>
            </w:r>
          </w:p>
        </w:tc>
      </w:tr>
      <w:tr w:rsidR="000D3298" w:rsidRPr="003D3A86" w14:paraId="7BFF525E" w14:textId="77777777" w:rsidTr="006770B0">
        <w:trPr>
          <w:trHeight w:val="26"/>
        </w:trPr>
        <w:tc>
          <w:tcPr>
            <w:cnfStyle w:val="001000000000" w:firstRow="0" w:lastRow="0" w:firstColumn="1" w:lastColumn="0" w:oddVBand="0" w:evenVBand="0" w:oddHBand="0" w:evenHBand="0" w:firstRowFirstColumn="0" w:firstRowLastColumn="0" w:lastRowFirstColumn="0" w:lastRowLastColumn="0"/>
            <w:tcW w:w="755" w:type="pct"/>
          </w:tcPr>
          <w:p w14:paraId="2FBFE6DB" w14:textId="77777777" w:rsidR="000D3298" w:rsidRPr="00981031" w:rsidRDefault="000D3298">
            <w:pPr>
              <w:pStyle w:val="TableNheader"/>
            </w:pPr>
            <w:r w:rsidRPr="00981031">
              <w:t>2020</w:t>
            </w:r>
            <w:r>
              <w:t>-</w:t>
            </w:r>
            <w:r w:rsidRPr="00981031">
              <w:t>21</w:t>
            </w:r>
          </w:p>
        </w:tc>
        <w:tc>
          <w:tcPr>
            <w:tcW w:w="1415" w:type="pct"/>
          </w:tcPr>
          <w:p w14:paraId="700824B7" w14:textId="77777777" w:rsidR="000D3298" w:rsidRPr="003D3A86" w:rsidRDefault="000D3298">
            <w:pPr>
              <w:pStyle w:val="TableNText"/>
              <w:cnfStyle w:val="000000000000" w:firstRow="0" w:lastRow="0" w:firstColumn="0" w:lastColumn="0" w:oddVBand="0" w:evenVBand="0" w:oddHBand="0" w:evenHBand="0" w:firstRowFirstColumn="0" w:firstRowLastColumn="0" w:lastRowFirstColumn="0" w:lastRowLastColumn="0"/>
            </w:pPr>
            <w:r>
              <w:t>142</w:t>
            </w:r>
          </w:p>
        </w:tc>
        <w:tc>
          <w:tcPr>
            <w:tcW w:w="1415" w:type="pct"/>
          </w:tcPr>
          <w:p w14:paraId="0375736D" w14:textId="77777777" w:rsidR="000D3298" w:rsidRPr="003D3A86" w:rsidRDefault="000D3298">
            <w:pPr>
              <w:pStyle w:val="TableNText"/>
              <w:cnfStyle w:val="000000000000" w:firstRow="0" w:lastRow="0" w:firstColumn="0" w:lastColumn="0" w:oddVBand="0" w:evenVBand="0" w:oddHBand="0" w:evenHBand="0" w:firstRowFirstColumn="0" w:firstRowLastColumn="0" w:lastRowFirstColumn="0" w:lastRowLastColumn="0"/>
            </w:pPr>
            <w:r>
              <w:t>30</w:t>
            </w:r>
          </w:p>
        </w:tc>
        <w:tc>
          <w:tcPr>
            <w:tcW w:w="1415" w:type="pct"/>
          </w:tcPr>
          <w:p w14:paraId="4BD9C249" w14:textId="77777777" w:rsidR="000D3298" w:rsidRPr="003D3A86" w:rsidRDefault="000D3298">
            <w:pPr>
              <w:pStyle w:val="TableNText"/>
              <w:cnfStyle w:val="000000000000" w:firstRow="0" w:lastRow="0" w:firstColumn="0" w:lastColumn="0" w:oddVBand="0" w:evenVBand="0" w:oddHBand="0" w:evenHBand="0" w:firstRowFirstColumn="0" w:firstRowLastColumn="0" w:lastRowFirstColumn="0" w:lastRowLastColumn="0"/>
            </w:pPr>
            <w:r w:rsidRPr="006419F7">
              <w:t>112</w:t>
            </w:r>
          </w:p>
        </w:tc>
      </w:tr>
      <w:tr w:rsidR="000D3298" w14:paraId="57690959" w14:textId="77777777" w:rsidTr="006770B0">
        <w:trPr>
          <w:trHeight w:val="232"/>
        </w:trPr>
        <w:tc>
          <w:tcPr>
            <w:cnfStyle w:val="001000000000" w:firstRow="0" w:lastRow="0" w:firstColumn="1" w:lastColumn="0" w:oddVBand="0" w:evenVBand="0" w:oddHBand="0" w:evenHBand="0" w:firstRowFirstColumn="0" w:firstRowLastColumn="0" w:lastRowFirstColumn="0" w:lastRowLastColumn="0"/>
            <w:tcW w:w="755" w:type="pct"/>
          </w:tcPr>
          <w:p w14:paraId="0D07D6EA" w14:textId="77777777" w:rsidR="000D3298" w:rsidRPr="00981031" w:rsidRDefault="000D3298">
            <w:pPr>
              <w:pStyle w:val="TableNheader"/>
            </w:pPr>
            <w:r w:rsidRPr="00981031">
              <w:t>2021</w:t>
            </w:r>
            <w:r>
              <w:t>-</w:t>
            </w:r>
            <w:r w:rsidRPr="00981031">
              <w:t>22</w:t>
            </w:r>
          </w:p>
        </w:tc>
        <w:tc>
          <w:tcPr>
            <w:tcW w:w="1415" w:type="pct"/>
          </w:tcPr>
          <w:p w14:paraId="00CC7EBE" w14:textId="77777777" w:rsidR="000D3298" w:rsidRPr="003D3A86" w:rsidRDefault="000D3298">
            <w:pPr>
              <w:pStyle w:val="TableNText"/>
              <w:cnfStyle w:val="000000000000" w:firstRow="0" w:lastRow="0" w:firstColumn="0" w:lastColumn="0" w:oddVBand="0" w:evenVBand="0" w:oddHBand="0" w:evenHBand="0" w:firstRowFirstColumn="0" w:firstRowLastColumn="0" w:lastRowFirstColumn="0" w:lastRowLastColumn="0"/>
            </w:pPr>
            <w:r>
              <w:t>145</w:t>
            </w:r>
          </w:p>
        </w:tc>
        <w:tc>
          <w:tcPr>
            <w:tcW w:w="1415" w:type="pct"/>
          </w:tcPr>
          <w:p w14:paraId="4026E72F" w14:textId="77777777" w:rsidR="000D3298" w:rsidRPr="003D3A86" w:rsidRDefault="000D3298">
            <w:pPr>
              <w:pStyle w:val="TableNText"/>
              <w:cnfStyle w:val="000000000000" w:firstRow="0" w:lastRow="0" w:firstColumn="0" w:lastColumn="0" w:oddVBand="0" w:evenVBand="0" w:oddHBand="0" w:evenHBand="0" w:firstRowFirstColumn="0" w:firstRowLastColumn="0" w:lastRowFirstColumn="0" w:lastRowLastColumn="0"/>
            </w:pPr>
            <w:r>
              <w:t>67</w:t>
            </w:r>
          </w:p>
        </w:tc>
        <w:tc>
          <w:tcPr>
            <w:tcW w:w="1415" w:type="pct"/>
          </w:tcPr>
          <w:p w14:paraId="2F7FDDB4" w14:textId="77777777" w:rsidR="000D3298" w:rsidRPr="003D3A86" w:rsidRDefault="000D3298">
            <w:pPr>
              <w:pStyle w:val="TableNText"/>
              <w:cnfStyle w:val="000000000000" w:firstRow="0" w:lastRow="0" w:firstColumn="0" w:lastColumn="0" w:oddVBand="0" w:evenVBand="0" w:oddHBand="0" w:evenHBand="0" w:firstRowFirstColumn="0" w:firstRowLastColumn="0" w:lastRowFirstColumn="0" w:lastRowLastColumn="0"/>
            </w:pPr>
            <w:r w:rsidRPr="00390BE4">
              <w:t>78</w:t>
            </w:r>
          </w:p>
        </w:tc>
      </w:tr>
    </w:tbl>
    <w:p w14:paraId="739875B1" w14:textId="0FB4EE24" w:rsidR="000D3298" w:rsidRPr="002E2D66" w:rsidRDefault="000D3298" w:rsidP="000D3298">
      <w:pPr>
        <w:rPr>
          <w:lang w:eastAsia="en-AU"/>
        </w:rPr>
      </w:pPr>
      <w:r>
        <w:br/>
      </w:r>
      <w:r>
        <w:rPr>
          <w:lang w:eastAsia="en-AU"/>
        </w:rPr>
        <w:t xml:space="preserve">Multiple staff and Traditional Owners noted that </w:t>
      </w:r>
      <w:r w:rsidRPr="00D56A32">
        <w:rPr>
          <w:lang w:eastAsia="en-AU"/>
        </w:rPr>
        <w:t>FNLRS diligently provid</w:t>
      </w:r>
      <w:r>
        <w:rPr>
          <w:lang w:eastAsia="en-AU"/>
        </w:rPr>
        <w:t>ed</w:t>
      </w:r>
      <w:r w:rsidRPr="00D56A32">
        <w:rPr>
          <w:lang w:eastAsia="en-AU"/>
        </w:rPr>
        <w:t xml:space="preserve"> noti</w:t>
      </w:r>
      <w:r>
        <w:rPr>
          <w:lang w:eastAsia="en-AU"/>
        </w:rPr>
        <w:t>fication for required notices (for example, section 29 notices). FNLRS also typically provided legal assistance to PBCs in response to the notifications. However, legal assistance for Future Acts did not result in registration of any Future Act determination applications or Future Act</w:t>
      </w:r>
      <w:r w:rsidRPr="00C06C8F">
        <w:rPr>
          <w:lang w:eastAsia="en-AU"/>
        </w:rPr>
        <w:t xml:space="preserve"> </w:t>
      </w:r>
      <w:r>
        <w:rPr>
          <w:lang w:eastAsia="en-AU"/>
        </w:rPr>
        <w:t>o</w:t>
      </w:r>
      <w:r w:rsidRPr="00C06C8F">
        <w:rPr>
          <w:lang w:eastAsia="en-AU"/>
        </w:rPr>
        <w:t>bjection</w:t>
      </w:r>
      <w:r>
        <w:rPr>
          <w:lang w:eastAsia="en-AU"/>
        </w:rPr>
        <w:t xml:space="preserve"> applications during the Review period.</w:t>
      </w:r>
    </w:p>
    <w:p w14:paraId="3AE809C0" w14:textId="77777777" w:rsidR="000D3298" w:rsidRPr="004E5123" w:rsidRDefault="000D3298" w:rsidP="000D3298">
      <w:pPr>
        <w:pStyle w:val="Heading5"/>
      </w:pPr>
      <w:r w:rsidRPr="004E5123">
        <w:lastRenderedPageBreak/>
        <w:t>FNLRS registered two ILUAs during the Review period, though one was later deregistered</w:t>
      </w:r>
    </w:p>
    <w:p w14:paraId="72CAEDBA" w14:textId="77777777" w:rsidR="000D3298" w:rsidRDefault="000D3298" w:rsidP="000D3298">
      <w:pPr>
        <w:rPr>
          <w:lang w:eastAsia="en-AU"/>
        </w:rPr>
      </w:pPr>
      <w:r>
        <w:rPr>
          <w:lang w:eastAsia="en-AU"/>
        </w:rPr>
        <w:t>FNLRS successfully negotiated and registered one ILUA in late 2019 that resulted in</w:t>
      </w:r>
      <w:r w:rsidDel="00A31D42">
        <w:rPr>
          <w:lang w:eastAsia="en-AU"/>
        </w:rPr>
        <w:t xml:space="preserve"> </w:t>
      </w:r>
      <w:r>
        <w:rPr>
          <w:lang w:eastAsia="en-AU"/>
        </w:rPr>
        <w:t xml:space="preserve">the establishment of a playground in </w:t>
      </w:r>
      <w:proofErr w:type="spellStart"/>
      <w:r>
        <w:rPr>
          <w:lang w:eastAsia="en-AU"/>
        </w:rPr>
        <w:t>Gundijtmara</w:t>
      </w:r>
      <w:proofErr w:type="spellEnd"/>
      <w:r>
        <w:rPr>
          <w:lang w:eastAsia="en-AU"/>
        </w:rPr>
        <w:t xml:space="preserve"> Country, specifically located in the </w:t>
      </w:r>
      <w:r w:rsidRPr="006768FD">
        <w:rPr>
          <w:lang w:eastAsia="en-AU"/>
        </w:rPr>
        <w:t>Shire of Glenelg</w:t>
      </w:r>
      <w:r>
        <w:rPr>
          <w:lang w:eastAsia="en-AU"/>
        </w:rPr>
        <w:t xml:space="preserve"> </w:t>
      </w:r>
      <w:r w:rsidRPr="0004382D">
        <w:rPr>
          <w:lang w:eastAsia="en-AU"/>
        </w:rPr>
        <w:t>in south-west Victoria</w:t>
      </w:r>
      <w:r>
        <w:rPr>
          <w:lang w:eastAsia="en-AU"/>
        </w:rPr>
        <w:t xml:space="preserve">. </w:t>
      </w:r>
    </w:p>
    <w:p w14:paraId="6E0EF6BF" w14:textId="7FDB9CCC" w:rsidR="000D3298" w:rsidRDefault="000D3298" w:rsidP="000D3298">
      <w:pPr>
        <w:rPr>
          <w:lang w:eastAsia="en-AU"/>
        </w:rPr>
      </w:pPr>
      <w:r>
        <w:rPr>
          <w:lang w:eastAsia="en-AU"/>
        </w:rPr>
        <w:t xml:space="preserve">The </w:t>
      </w:r>
      <w:proofErr w:type="spellStart"/>
      <w:r>
        <w:rPr>
          <w:lang w:eastAsia="en-AU"/>
        </w:rPr>
        <w:t>Taungurung</w:t>
      </w:r>
      <w:proofErr w:type="spellEnd"/>
      <w:r>
        <w:rPr>
          <w:lang w:eastAsia="en-AU"/>
        </w:rPr>
        <w:t xml:space="preserve"> Settlement </w:t>
      </w:r>
      <w:r w:rsidRPr="00101857">
        <w:rPr>
          <w:lang w:eastAsia="en-AU"/>
        </w:rPr>
        <w:t>ILUA</w:t>
      </w:r>
      <w:r>
        <w:rPr>
          <w:i/>
          <w:iCs/>
          <w:lang w:eastAsia="en-AU"/>
        </w:rPr>
        <w:t xml:space="preserve"> (</w:t>
      </w:r>
      <w:r w:rsidRPr="007D4CB5">
        <w:rPr>
          <w:lang w:eastAsia="en-AU"/>
        </w:rPr>
        <w:t xml:space="preserve">resulting in </w:t>
      </w:r>
      <w:r>
        <w:rPr>
          <w:lang w:eastAsia="en-AU"/>
        </w:rPr>
        <w:t>an</w:t>
      </w:r>
      <w:r w:rsidRPr="007D4CB5">
        <w:rPr>
          <w:lang w:eastAsia="en-AU"/>
        </w:rPr>
        <w:t xml:space="preserve"> </w:t>
      </w:r>
      <w:r>
        <w:rPr>
          <w:lang w:eastAsia="en-AU"/>
        </w:rPr>
        <w:t>a</w:t>
      </w:r>
      <w:r w:rsidRPr="00F661CF">
        <w:rPr>
          <w:lang w:eastAsia="en-AU"/>
        </w:rPr>
        <w:t>greement not to lodge native title or compensation claims within the ILUA area for negotiated benefits</w:t>
      </w:r>
      <w:r>
        <w:rPr>
          <w:lang w:eastAsia="en-AU"/>
        </w:rPr>
        <w:t>)</w:t>
      </w:r>
      <w:r>
        <w:rPr>
          <w:i/>
          <w:iCs/>
          <w:lang w:eastAsia="en-AU"/>
        </w:rPr>
        <w:t xml:space="preserve"> </w:t>
      </w:r>
      <w:r>
        <w:rPr>
          <w:lang w:eastAsia="en-AU"/>
        </w:rPr>
        <w:t>was short lived</w:t>
      </w:r>
      <w:r w:rsidR="00645E42">
        <w:rPr>
          <w:lang w:eastAsia="en-AU"/>
        </w:rPr>
        <w:t>,</w:t>
      </w:r>
      <w:r>
        <w:rPr>
          <w:lang w:eastAsia="en-AU"/>
        </w:rPr>
        <w:t xml:space="preserve"> with registration existing from April 2020 until its deregistration in August 2021. The application for the ILUA was lodged by the State of Victoria in December 2018 after successful </w:t>
      </w:r>
      <w:r w:rsidRPr="00CF4976">
        <w:rPr>
          <w:lang w:eastAsia="en-AU"/>
        </w:rPr>
        <w:t xml:space="preserve">negotiation with </w:t>
      </w:r>
      <w:proofErr w:type="spellStart"/>
      <w:r w:rsidRPr="00CF4976">
        <w:rPr>
          <w:lang w:eastAsia="en-AU"/>
        </w:rPr>
        <w:t>Taungurung</w:t>
      </w:r>
      <w:proofErr w:type="spellEnd"/>
      <w:r w:rsidRPr="00CF4976">
        <w:rPr>
          <w:lang w:eastAsia="en-AU"/>
        </w:rPr>
        <w:t xml:space="preserve"> (represented by FNLRS) </w:t>
      </w:r>
      <w:r>
        <w:rPr>
          <w:lang w:eastAsia="en-AU"/>
        </w:rPr>
        <w:t>for</w:t>
      </w:r>
      <w:r w:rsidRPr="00CF4976">
        <w:rPr>
          <w:lang w:eastAsia="en-AU"/>
        </w:rPr>
        <w:t xml:space="preserve"> </w:t>
      </w:r>
      <w:r>
        <w:rPr>
          <w:lang w:eastAsia="en-AU"/>
        </w:rPr>
        <w:t>a</w:t>
      </w:r>
      <w:r w:rsidR="00645E42">
        <w:rPr>
          <w:lang w:eastAsia="en-AU"/>
        </w:rPr>
        <w:t>n</w:t>
      </w:r>
      <w:r>
        <w:rPr>
          <w:lang w:eastAsia="en-AU"/>
        </w:rPr>
        <w:t xml:space="preserve"> RSA</w:t>
      </w:r>
      <w:r w:rsidRPr="00E07A19">
        <w:rPr>
          <w:lang w:eastAsia="en-AU"/>
        </w:rPr>
        <w:t xml:space="preserve"> </w:t>
      </w:r>
      <w:r w:rsidRPr="00CF4976">
        <w:rPr>
          <w:lang w:eastAsia="en-AU"/>
        </w:rPr>
        <w:t>under the</w:t>
      </w:r>
      <w:r>
        <w:rPr>
          <w:lang w:eastAsia="en-AU"/>
        </w:rPr>
        <w:t xml:space="preserve"> state’s</w:t>
      </w:r>
      <w:r w:rsidRPr="00CF4976">
        <w:rPr>
          <w:lang w:eastAsia="en-AU"/>
        </w:rPr>
        <w:t xml:space="preserve"> </w:t>
      </w:r>
      <w:r w:rsidRPr="00447C8A">
        <w:rPr>
          <w:lang w:eastAsia="en-AU"/>
        </w:rPr>
        <w:t>Settlement Act</w:t>
      </w:r>
      <w:r>
        <w:rPr>
          <w:lang w:eastAsia="en-AU"/>
        </w:rPr>
        <w:t xml:space="preserve"> for the same area. FNLRS had supported </w:t>
      </w:r>
      <w:proofErr w:type="spellStart"/>
      <w:r>
        <w:rPr>
          <w:lang w:eastAsia="en-AU"/>
        </w:rPr>
        <w:t>Taungurung</w:t>
      </w:r>
      <w:proofErr w:type="spellEnd"/>
      <w:r>
        <w:rPr>
          <w:lang w:eastAsia="en-AU"/>
        </w:rPr>
        <w:t xml:space="preserve"> Traditional Owners to reach an agreement with the Victorian Government under the </w:t>
      </w:r>
      <w:r w:rsidRPr="0010561D">
        <w:rPr>
          <w:lang w:eastAsia="en-AU"/>
        </w:rPr>
        <w:t>Settlement Act</w:t>
      </w:r>
      <w:r>
        <w:rPr>
          <w:i/>
          <w:iCs/>
          <w:lang w:eastAsia="en-AU"/>
        </w:rPr>
        <w:t>,</w:t>
      </w:r>
      <w:r>
        <w:rPr>
          <w:lang w:eastAsia="en-AU"/>
        </w:rPr>
        <w:t xml:space="preserve"> after a long period of negotiation for 20,210 square kilometres across central Victoria. The registration</w:t>
      </w:r>
      <w:r w:rsidDel="00DE05C1">
        <w:rPr>
          <w:lang w:eastAsia="en-AU"/>
        </w:rPr>
        <w:t xml:space="preserve"> </w:t>
      </w:r>
      <w:r>
        <w:rPr>
          <w:lang w:eastAsia="en-AU"/>
        </w:rPr>
        <w:t xml:space="preserve">of the </w:t>
      </w:r>
      <w:proofErr w:type="spellStart"/>
      <w:r w:rsidR="0089527D">
        <w:rPr>
          <w:rStyle w:val="cf01"/>
        </w:rPr>
        <w:t>Taungurung</w:t>
      </w:r>
      <w:proofErr w:type="spellEnd"/>
      <w:r w:rsidR="0089527D">
        <w:rPr>
          <w:rStyle w:val="cf01"/>
        </w:rPr>
        <w:t xml:space="preserve"> Settlement ILUA </w:t>
      </w:r>
      <w:r>
        <w:rPr>
          <w:lang w:eastAsia="en-AU"/>
        </w:rPr>
        <w:t>was later subject to a judicial review in March 2021 and after consideration of further information the Native Title Registrar decided the agreement should not be registered</w:t>
      </w:r>
      <w:r>
        <w:rPr>
          <w:rStyle w:val="FootnoteReference"/>
          <w:lang w:eastAsia="en-AU"/>
        </w:rPr>
        <w:footnoteReference w:id="14"/>
      </w:r>
      <w:r>
        <w:rPr>
          <w:lang w:eastAsia="en-AU"/>
        </w:rPr>
        <w:t>.</w:t>
      </w:r>
    </w:p>
    <w:p w14:paraId="4F1CF918" w14:textId="77777777" w:rsidR="000D3298" w:rsidRDefault="000D3298" w:rsidP="000D3298">
      <w:pPr>
        <w:rPr>
          <w:i/>
          <w:iCs/>
          <w:lang w:eastAsia="en-AU"/>
        </w:rPr>
      </w:pPr>
      <w:r w:rsidRPr="002A4F4D">
        <w:rPr>
          <w:lang w:eastAsia="en-AU"/>
        </w:rPr>
        <w:t>According to Justice</w:t>
      </w:r>
      <w:r>
        <w:rPr>
          <w:lang w:eastAsia="en-AU"/>
        </w:rPr>
        <w:t xml:space="preserve"> Mortimer, the decision to deregister the ILUA, </w:t>
      </w:r>
    </w:p>
    <w:p w14:paraId="258CE35D" w14:textId="5433F72D" w:rsidR="000D3298" w:rsidRDefault="000D3298" w:rsidP="000D3298">
      <w:pPr>
        <w:ind w:left="720"/>
        <w:rPr>
          <w:i/>
          <w:iCs/>
          <w:lang w:eastAsia="en-AU"/>
        </w:rPr>
      </w:pPr>
      <w:r>
        <w:rPr>
          <w:i/>
          <w:iCs/>
          <w:lang w:eastAsia="en-AU"/>
        </w:rPr>
        <w:t>…i</w:t>
      </w:r>
      <w:r w:rsidRPr="004C10EB">
        <w:rPr>
          <w:i/>
          <w:iCs/>
          <w:lang w:eastAsia="en-AU"/>
        </w:rPr>
        <w:t>s not about whether the Court agrees with the delegate’s decision to register the ILUA. The Court’s decision only concerns whether the delegate properly understood and applied the legislation and other law governing the decision; whether the delegate adopted a legally fair process.</w:t>
      </w:r>
      <w:r w:rsidR="001F6F94">
        <w:rPr>
          <w:rStyle w:val="FootnoteReference"/>
          <w:i/>
          <w:iCs/>
          <w:lang w:eastAsia="en-AU"/>
        </w:rPr>
        <w:footnoteReference w:id="15"/>
      </w:r>
      <w:r>
        <w:rPr>
          <w:i/>
          <w:iCs/>
          <w:lang w:eastAsia="en-AU"/>
        </w:rPr>
        <w:t xml:space="preserve"> </w:t>
      </w:r>
    </w:p>
    <w:p w14:paraId="28FB31DD" w14:textId="77777777" w:rsidR="000D3298" w:rsidRDefault="000D3298" w:rsidP="000D3298">
      <w:pPr>
        <w:rPr>
          <w:lang w:eastAsia="en-AU"/>
        </w:rPr>
      </w:pPr>
      <w:r>
        <w:rPr>
          <w:lang w:eastAsia="en-AU"/>
        </w:rPr>
        <w:t>The matter is currently being settled through a r</w:t>
      </w:r>
      <w:r w:rsidRPr="00F661CF">
        <w:rPr>
          <w:lang w:eastAsia="en-AU"/>
        </w:rPr>
        <w:t>esearch and reconsideration process agreed by the parties in mediation</w:t>
      </w:r>
      <w:r>
        <w:rPr>
          <w:lang w:eastAsia="en-AU"/>
        </w:rPr>
        <w:t xml:space="preserve">. FNLRS staff expected reregistration to occur in 2024, pending the outcome of the research and reconsideration process. </w:t>
      </w:r>
    </w:p>
    <w:p w14:paraId="55B87317" w14:textId="77777777" w:rsidR="005A1D88" w:rsidRPr="00D11A65" w:rsidRDefault="005A1D88" w:rsidP="005A1D88">
      <w:pPr>
        <w:pStyle w:val="Heading4"/>
      </w:pPr>
      <w:r w:rsidRPr="00D11A65">
        <w:t>Number of claims resulting in a determination of native title or ILUA settlement as a proportion of total filed claims</w:t>
      </w:r>
    </w:p>
    <w:p w14:paraId="20241BE3" w14:textId="77777777" w:rsidR="005A1D88" w:rsidRDefault="005A1D88" w:rsidP="005A1D88">
      <w:pPr>
        <w:rPr>
          <w:lang w:eastAsia="en-AU"/>
        </w:rPr>
      </w:pPr>
      <w:r w:rsidRPr="00D11A65">
        <w:rPr>
          <w:lang w:eastAsia="en-AU"/>
        </w:rPr>
        <w:t>There were no claims resulting in a determination of native title during the Review period.</w:t>
      </w:r>
      <w:r>
        <w:rPr>
          <w:lang w:eastAsia="en-AU"/>
        </w:rPr>
        <w:t xml:space="preserve"> </w:t>
      </w:r>
      <w:r w:rsidRPr="00EE104B">
        <w:rPr>
          <w:lang w:eastAsia="en-AU"/>
        </w:rPr>
        <w:t xml:space="preserve">FNLRS registered two ILUAs during the Review period, though </w:t>
      </w:r>
      <w:r>
        <w:rPr>
          <w:lang w:eastAsia="en-AU"/>
        </w:rPr>
        <w:t xml:space="preserve">the </w:t>
      </w:r>
      <w:proofErr w:type="spellStart"/>
      <w:r>
        <w:rPr>
          <w:lang w:eastAsia="en-AU"/>
        </w:rPr>
        <w:t>Taungurung</w:t>
      </w:r>
      <w:proofErr w:type="spellEnd"/>
      <w:r>
        <w:rPr>
          <w:lang w:eastAsia="en-AU"/>
        </w:rPr>
        <w:t xml:space="preserve"> Settlement ILUA was later </w:t>
      </w:r>
      <w:r w:rsidRPr="00EE104B">
        <w:rPr>
          <w:lang w:eastAsia="en-AU"/>
        </w:rPr>
        <w:t>deregistered</w:t>
      </w:r>
      <w:r>
        <w:rPr>
          <w:lang w:eastAsia="en-AU"/>
        </w:rPr>
        <w:t xml:space="preserve"> in August 2021 (ILUAs are detailed earlier under TOR 1).</w:t>
      </w:r>
    </w:p>
    <w:p w14:paraId="19C3DE68" w14:textId="6687B6B2" w:rsidR="00E85100" w:rsidRPr="00A221B6" w:rsidRDefault="00E85100" w:rsidP="007F2EA7">
      <w:pPr>
        <w:pStyle w:val="Heading4"/>
      </w:pPr>
      <w:r w:rsidRPr="6967B2CC">
        <w:t xml:space="preserve">Number of claim groups the NTRB-SP has acted for or assisted via brief out arrangements in a native title determination application proceeding </w:t>
      </w:r>
      <w:r w:rsidR="008270AC" w:rsidRPr="6967B2CC">
        <w:t>during the Review period</w:t>
      </w:r>
    </w:p>
    <w:p w14:paraId="0A38079D" w14:textId="77777777" w:rsidR="00652185" w:rsidRDefault="00F808E1" w:rsidP="00F808E1">
      <w:r>
        <w:t xml:space="preserve">FNLRS did not </w:t>
      </w:r>
      <w:r w:rsidR="00783CA9">
        <w:t xml:space="preserve">assist any claim groups </w:t>
      </w:r>
      <w:r w:rsidR="00831322">
        <w:t xml:space="preserve">through brief out arrangements during the Review period. The two active claims represented by external providers were </w:t>
      </w:r>
      <w:r w:rsidR="00DB3FE0">
        <w:t xml:space="preserve">not briefed out, seeking external representation independent of FNLRS. </w:t>
      </w:r>
    </w:p>
    <w:p w14:paraId="14055890" w14:textId="77777777" w:rsidR="00E85100" w:rsidRPr="00A221B6" w:rsidRDefault="00E85100" w:rsidP="007F2EA7">
      <w:pPr>
        <w:pStyle w:val="Heading4"/>
      </w:pPr>
      <w:r w:rsidRPr="00A221B6">
        <w:t>Proportion of claimable land within the RATSIB area not subject to a registered claim or a determination</w:t>
      </w:r>
    </w:p>
    <w:p w14:paraId="5FFC45C8" w14:textId="54319675" w:rsidR="006837BE" w:rsidRDefault="008F38F5" w:rsidP="00C13574">
      <w:pPr>
        <w:pStyle w:val="Heading5"/>
      </w:pPr>
      <w:r>
        <w:t xml:space="preserve">Approximately </w:t>
      </w:r>
      <w:r w:rsidR="007B7F82">
        <w:t>26</w:t>
      </w:r>
      <w:r w:rsidR="00B64208">
        <w:t xml:space="preserve"> per cent</w:t>
      </w:r>
      <w:r w:rsidR="00B617C5">
        <w:t xml:space="preserve"> </w:t>
      </w:r>
      <w:r w:rsidR="002A2FFA">
        <w:t xml:space="preserve">of </w:t>
      </w:r>
      <w:r w:rsidR="00B617C5">
        <w:t>land</w:t>
      </w:r>
      <w:r w:rsidR="00C13574">
        <w:t xml:space="preserve"> within the </w:t>
      </w:r>
      <w:r w:rsidR="004E19CC">
        <w:t xml:space="preserve">FNLRS </w:t>
      </w:r>
      <w:r w:rsidR="00C13574">
        <w:t>RATSIB area was not subject to a registered claim or a determination as of 30 June 2022</w:t>
      </w:r>
      <w:r w:rsidR="002A2FFA">
        <w:t xml:space="preserve"> </w:t>
      </w:r>
    </w:p>
    <w:p w14:paraId="1558D339" w14:textId="0D65DBB3" w:rsidR="006837BE" w:rsidRPr="00E41E34" w:rsidRDefault="007D0AE2" w:rsidP="00E41E34">
      <w:pPr>
        <w:rPr>
          <w:lang w:eastAsia="en-AU"/>
        </w:rPr>
      </w:pPr>
      <w:r>
        <w:rPr>
          <w:lang w:eastAsia="en-AU"/>
        </w:rPr>
        <w:t xml:space="preserve">The </w:t>
      </w:r>
      <w:r w:rsidR="00B0049A">
        <w:rPr>
          <w:lang w:eastAsia="en-AU"/>
        </w:rPr>
        <w:t xml:space="preserve">land area of the </w:t>
      </w:r>
      <w:r w:rsidR="004E19CC" w:rsidRPr="004E19CC">
        <w:rPr>
          <w:lang w:eastAsia="en-AU"/>
        </w:rPr>
        <w:t xml:space="preserve">FNLRS </w:t>
      </w:r>
      <w:r w:rsidR="00B0049A">
        <w:rPr>
          <w:lang w:eastAsia="en-AU"/>
        </w:rPr>
        <w:t>RATSIB area is</w:t>
      </w:r>
      <w:r w:rsidR="00B42527">
        <w:rPr>
          <w:lang w:eastAsia="en-AU"/>
        </w:rPr>
        <w:t xml:space="preserve"> </w:t>
      </w:r>
      <w:r w:rsidR="00B42527" w:rsidRPr="00B42527">
        <w:rPr>
          <w:lang w:eastAsia="en-AU"/>
        </w:rPr>
        <w:t>227,416 square kilometres</w:t>
      </w:r>
      <w:r w:rsidR="00B42527">
        <w:rPr>
          <w:lang w:eastAsia="en-AU"/>
        </w:rPr>
        <w:t>.</w:t>
      </w:r>
      <w:r w:rsidR="00B0049A">
        <w:rPr>
          <w:lang w:eastAsia="en-AU"/>
        </w:rPr>
        <w:t xml:space="preserve"> </w:t>
      </w:r>
      <w:r w:rsidR="009F4A55">
        <w:rPr>
          <w:lang w:eastAsia="en-AU"/>
        </w:rPr>
        <w:t xml:space="preserve">Fifty-seven </w:t>
      </w:r>
      <w:r w:rsidR="00B64208">
        <w:rPr>
          <w:lang w:eastAsia="en-AU"/>
        </w:rPr>
        <w:t>per cent</w:t>
      </w:r>
      <w:r w:rsidR="006D4509">
        <w:rPr>
          <w:lang w:eastAsia="en-AU"/>
        </w:rPr>
        <w:t xml:space="preserve"> (</w:t>
      </w:r>
      <w:r w:rsidR="00B0504B" w:rsidRPr="00B0504B">
        <w:rPr>
          <w:lang w:eastAsia="en-AU"/>
        </w:rPr>
        <w:t xml:space="preserve">129,627 </w:t>
      </w:r>
      <w:r w:rsidR="006D4509">
        <w:rPr>
          <w:lang w:eastAsia="en-AU"/>
        </w:rPr>
        <w:t xml:space="preserve">square </w:t>
      </w:r>
      <w:r w:rsidR="00B0504B">
        <w:rPr>
          <w:lang w:eastAsia="en-AU"/>
        </w:rPr>
        <w:t>kilometres</w:t>
      </w:r>
      <w:r w:rsidR="006D4509">
        <w:rPr>
          <w:lang w:eastAsia="en-AU"/>
        </w:rPr>
        <w:t>)</w:t>
      </w:r>
      <w:r w:rsidR="00B0504B">
        <w:rPr>
          <w:lang w:eastAsia="en-AU"/>
        </w:rPr>
        <w:t xml:space="preserve"> </w:t>
      </w:r>
      <w:r w:rsidR="00C13574">
        <w:rPr>
          <w:lang w:eastAsia="en-AU"/>
        </w:rPr>
        <w:t>of claimable</w:t>
      </w:r>
      <w:r w:rsidR="00DD574F">
        <w:rPr>
          <w:lang w:eastAsia="en-AU"/>
        </w:rPr>
        <w:t xml:space="preserve"> land</w:t>
      </w:r>
      <w:r w:rsidR="002611A3">
        <w:rPr>
          <w:lang w:eastAsia="en-AU"/>
        </w:rPr>
        <w:t xml:space="preserve"> in Victoria</w:t>
      </w:r>
      <w:r w:rsidR="00B0504B">
        <w:rPr>
          <w:lang w:eastAsia="en-AU"/>
        </w:rPr>
        <w:t xml:space="preserve"> </w:t>
      </w:r>
      <w:r w:rsidR="008C351A">
        <w:rPr>
          <w:lang w:eastAsia="en-AU"/>
        </w:rPr>
        <w:t xml:space="preserve">was </w:t>
      </w:r>
      <w:r w:rsidR="00E05EBB">
        <w:rPr>
          <w:lang w:eastAsia="en-AU"/>
        </w:rPr>
        <w:t xml:space="preserve">determined under the </w:t>
      </w:r>
      <w:r w:rsidR="00E05EBB" w:rsidRPr="007362AC">
        <w:rPr>
          <w:lang w:eastAsia="en-AU"/>
        </w:rPr>
        <w:t>NTA</w:t>
      </w:r>
      <w:r w:rsidR="00E05EBB">
        <w:rPr>
          <w:lang w:eastAsia="en-AU"/>
        </w:rPr>
        <w:t xml:space="preserve"> </w:t>
      </w:r>
      <w:r w:rsidR="004C60AC">
        <w:rPr>
          <w:lang w:eastAsia="en-AU"/>
        </w:rPr>
        <w:t xml:space="preserve">and </w:t>
      </w:r>
      <w:r w:rsidR="009F4A55">
        <w:rPr>
          <w:lang w:eastAsia="en-AU"/>
        </w:rPr>
        <w:t xml:space="preserve">about </w:t>
      </w:r>
      <w:r w:rsidR="00FB5A0A">
        <w:rPr>
          <w:lang w:eastAsia="en-AU"/>
        </w:rPr>
        <w:t>1</w:t>
      </w:r>
      <w:r w:rsidR="007B7F82">
        <w:rPr>
          <w:lang w:eastAsia="en-AU"/>
        </w:rPr>
        <w:t>7</w:t>
      </w:r>
      <w:r w:rsidR="006572BC">
        <w:rPr>
          <w:lang w:eastAsia="en-AU"/>
        </w:rPr>
        <w:t xml:space="preserve"> per cent was </w:t>
      </w:r>
      <w:r w:rsidR="00F9487F">
        <w:rPr>
          <w:lang w:eastAsia="en-AU"/>
        </w:rPr>
        <w:t xml:space="preserve">subject </w:t>
      </w:r>
      <w:r w:rsidR="00F9487F">
        <w:rPr>
          <w:lang w:eastAsia="en-AU"/>
        </w:rPr>
        <w:lastRenderedPageBreak/>
        <w:t>to an active claim as of 30 June 2022</w:t>
      </w:r>
      <w:r w:rsidR="008F38F5">
        <w:rPr>
          <w:rStyle w:val="FootnoteReference"/>
          <w:lang w:eastAsia="en-AU"/>
        </w:rPr>
        <w:footnoteReference w:id="16"/>
      </w:r>
      <w:r w:rsidR="008F38F5">
        <w:rPr>
          <w:lang w:eastAsia="en-AU"/>
        </w:rPr>
        <w:t>.</w:t>
      </w:r>
      <w:r w:rsidR="00B1001D">
        <w:rPr>
          <w:lang w:eastAsia="en-AU"/>
        </w:rPr>
        <w:t xml:space="preserve"> Therefore,</w:t>
      </w:r>
      <w:r w:rsidR="00DC301E">
        <w:rPr>
          <w:lang w:eastAsia="en-AU"/>
        </w:rPr>
        <w:t xml:space="preserve"> </w:t>
      </w:r>
      <w:r w:rsidR="009F4A55">
        <w:rPr>
          <w:lang w:eastAsia="en-AU"/>
        </w:rPr>
        <w:t xml:space="preserve">about </w:t>
      </w:r>
      <w:r w:rsidR="00DC301E">
        <w:rPr>
          <w:lang w:eastAsia="en-AU"/>
        </w:rPr>
        <w:t>26</w:t>
      </w:r>
      <w:r w:rsidR="00E05EBB" w:rsidDel="00284965">
        <w:rPr>
          <w:lang w:eastAsia="en-AU"/>
        </w:rPr>
        <w:t xml:space="preserve"> per cent</w:t>
      </w:r>
      <w:r w:rsidR="00C06C6C" w:rsidDel="00284965">
        <w:rPr>
          <w:lang w:eastAsia="en-AU"/>
        </w:rPr>
        <w:t xml:space="preserve"> (</w:t>
      </w:r>
      <w:r w:rsidR="00264951">
        <w:rPr>
          <w:lang w:eastAsia="en-AU"/>
        </w:rPr>
        <w:t>59</w:t>
      </w:r>
      <w:r w:rsidR="006D3480" w:rsidRPr="006D3480">
        <w:rPr>
          <w:lang w:eastAsia="en-AU"/>
        </w:rPr>
        <w:t>,12</w:t>
      </w:r>
      <w:r w:rsidR="00264951">
        <w:rPr>
          <w:lang w:eastAsia="en-AU"/>
        </w:rPr>
        <w:t>8</w:t>
      </w:r>
      <w:r w:rsidR="00C06C6C" w:rsidDel="00284965">
        <w:rPr>
          <w:lang w:eastAsia="en-AU"/>
        </w:rPr>
        <w:t xml:space="preserve"> square kilometres</w:t>
      </w:r>
      <w:r w:rsidR="00213A2E" w:rsidRPr="00213A2E">
        <w:rPr>
          <w:lang w:eastAsia="en-AU"/>
        </w:rPr>
        <w:t xml:space="preserve">) </w:t>
      </w:r>
      <w:r w:rsidR="00E93B91">
        <w:rPr>
          <w:lang w:eastAsia="en-AU"/>
        </w:rPr>
        <w:t>of</w:t>
      </w:r>
      <w:r w:rsidR="00E93B91" w:rsidDel="00DC301E">
        <w:rPr>
          <w:lang w:eastAsia="en-AU"/>
        </w:rPr>
        <w:t xml:space="preserve"> </w:t>
      </w:r>
      <w:r w:rsidR="00E93B91">
        <w:rPr>
          <w:lang w:eastAsia="en-AU"/>
        </w:rPr>
        <w:t>land in Victoria was not subject to a registered claim or a determination at the end of the Review period.</w:t>
      </w:r>
    </w:p>
    <w:p w14:paraId="0AD6A282" w14:textId="1363051B" w:rsidR="00252C3F" w:rsidRPr="00727829" w:rsidRDefault="00A2663B" w:rsidP="00727829">
      <w:pPr>
        <w:keepNext/>
        <w:spacing w:before="240" w:after="60"/>
        <w:outlineLvl w:val="3"/>
        <w:rPr>
          <w:rFonts w:ascii="Segoe UI Semibold" w:eastAsia="Times New Roman" w:hAnsi="Segoe UI Semibold" w:cs="Times New Roman"/>
          <w:color w:val="00264D" w:themeColor="background2"/>
          <w:sz w:val="22"/>
          <w:szCs w:val="19"/>
          <w:lang w:eastAsia="en-AU"/>
        </w:rPr>
      </w:pPr>
      <w:r w:rsidRPr="00A2663B">
        <w:rPr>
          <w:rFonts w:ascii="Segoe UI Semibold" w:eastAsia="Times New Roman" w:hAnsi="Segoe UI Semibold" w:cs="Times New Roman"/>
          <w:color w:val="00264D" w:themeColor="background2"/>
          <w:sz w:val="22"/>
          <w:szCs w:val="19"/>
          <w:lang w:eastAsia="en-AU"/>
        </w:rPr>
        <w:t>Average time between filing an application for a determination of native title to the date a determination is made</w:t>
      </w:r>
    </w:p>
    <w:p w14:paraId="2EA7381C" w14:textId="46A472F4" w:rsidR="005C1EAC" w:rsidRDefault="00151CE6" w:rsidP="001B619E">
      <w:pPr>
        <w:pStyle w:val="Heading5"/>
      </w:pPr>
      <w:r>
        <w:t xml:space="preserve">The </w:t>
      </w:r>
      <w:r w:rsidR="00F535B1">
        <w:t xml:space="preserve">Eastern Maar People </w:t>
      </w:r>
      <w:r w:rsidR="00EB24DD">
        <w:t xml:space="preserve">Claim </w:t>
      </w:r>
      <w:r w:rsidR="00515AEA">
        <w:t xml:space="preserve">took </w:t>
      </w:r>
      <w:r w:rsidR="002C2B82">
        <w:t xml:space="preserve">approximately </w:t>
      </w:r>
      <w:r w:rsidR="00981031">
        <w:t>ten</w:t>
      </w:r>
      <w:r w:rsidR="00632EC6">
        <w:t xml:space="preserve"> years</w:t>
      </w:r>
    </w:p>
    <w:p w14:paraId="1BA85A59" w14:textId="069AA68E" w:rsidR="00EB24DD" w:rsidRDefault="00E90E4F" w:rsidP="00A2663B">
      <w:pPr>
        <w:rPr>
          <w:lang w:eastAsia="en-AU"/>
        </w:rPr>
      </w:pPr>
      <w:r>
        <w:rPr>
          <w:lang w:eastAsia="en-AU"/>
        </w:rPr>
        <w:t>The Eastern Maar People</w:t>
      </w:r>
      <w:r w:rsidR="008A1AC1">
        <w:rPr>
          <w:lang w:eastAsia="en-AU"/>
        </w:rPr>
        <w:t>’s</w:t>
      </w:r>
      <w:r>
        <w:rPr>
          <w:lang w:eastAsia="en-AU"/>
        </w:rPr>
        <w:t xml:space="preserve"> Claim</w:t>
      </w:r>
      <w:r w:rsidR="00CF4002">
        <w:rPr>
          <w:lang w:eastAsia="en-AU"/>
        </w:rPr>
        <w:t>, which</w:t>
      </w:r>
      <w:r w:rsidR="00CC4F72">
        <w:rPr>
          <w:lang w:eastAsia="en-AU"/>
        </w:rPr>
        <w:t xml:space="preserve"> was</w:t>
      </w:r>
      <w:r w:rsidR="000E077B">
        <w:rPr>
          <w:lang w:eastAsia="en-AU"/>
        </w:rPr>
        <w:t xml:space="preserve"> largely</w:t>
      </w:r>
      <w:r w:rsidR="00CC4F72">
        <w:rPr>
          <w:lang w:eastAsia="en-AU"/>
        </w:rPr>
        <w:t xml:space="preserve"> </w:t>
      </w:r>
      <w:r w:rsidR="00CF4002">
        <w:rPr>
          <w:lang w:eastAsia="en-AU"/>
        </w:rPr>
        <w:t>determined</w:t>
      </w:r>
      <w:r w:rsidR="008974BC">
        <w:rPr>
          <w:lang w:eastAsia="en-AU"/>
        </w:rPr>
        <w:t xml:space="preserve"> in March 2023 (post-Review period</w:t>
      </w:r>
      <w:r w:rsidR="00CF4002">
        <w:rPr>
          <w:lang w:eastAsia="en-AU"/>
        </w:rPr>
        <w:t>)</w:t>
      </w:r>
      <w:r w:rsidR="00944004">
        <w:rPr>
          <w:lang w:eastAsia="en-AU"/>
        </w:rPr>
        <w:t>,</w:t>
      </w:r>
      <w:r>
        <w:rPr>
          <w:lang w:eastAsia="en-AU"/>
        </w:rPr>
        <w:t xml:space="preserve"> </w:t>
      </w:r>
      <w:r w:rsidR="00C10E3D">
        <w:rPr>
          <w:lang w:eastAsia="en-AU"/>
        </w:rPr>
        <w:t xml:space="preserve">took </w:t>
      </w:r>
      <w:r w:rsidR="009F4C00">
        <w:rPr>
          <w:lang w:eastAsia="en-AU"/>
        </w:rPr>
        <w:t>approximately 10.2</w:t>
      </w:r>
      <w:r w:rsidR="007166E5">
        <w:rPr>
          <w:lang w:eastAsia="en-AU"/>
        </w:rPr>
        <w:t xml:space="preserve"> years</w:t>
      </w:r>
      <w:r w:rsidR="00CC4F72">
        <w:rPr>
          <w:lang w:eastAsia="en-AU"/>
        </w:rPr>
        <w:t xml:space="preserve"> from </w:t>
      </w:r>
      <w:r w:rsidR="00CF4002">
        <w:rPr>
          <w:lang w:eastAsia="en-AU"/>
        </w:rPr>
        <w:t>lodgement</w:t>
      </w:r>
      <w:r w:rsidR="00991C2D">
        <w:rPr>
          <w:rStyle w:val="FootnoteReference"/>
          <w:lang w:eastAsia="en-AU"/>
        </w:rPr>
        <w:footnoteReference w:id="17"/>
      </w:r>
      <w:r w:rsidR="008974BC">
        <w:rPr>
          <w:lang w:eastAsia="en-AU"/>
        </w:rPr>
        <w:t>.</w:t>
      </w:r>
      <w:r w:rsidR="00CC4F72">
        <w:rPr>
          <w:lang w:eastAsia="en-AU"/>
        </w:rPr>
        <w:t xml:space="preserve"> </w:t>
      </w:r>
      <w:r w:rsidR="008974BC">
        <w:rPr>
          <w:lang w:eastAsia="en-AU"/>
        </w:rPr>
        <w:t xml:space="preserve">This is slightly longer than </w:t>
      </w:r>
      <w:r w:rsidR="00B778A1">
        <w:rPr>
          <w:lang w:eastAsia="en-AU"/>
        </w:rPr>
        <w:t>FNLRS’s</w:t>
      </w:r>
      <w:r w:rsidR="005A076F">
        <w:rPr>
          <w:lang w:eastAsia="en-AU"/>
        </w:rPr>
        <w:t xml:space="preserve"> </w:t>
      </w:r>
      <w:r w:rsidR="008974BC">
        <w:rPr>
          <w:lang w:eastAsia="en-AU"/>
        </w:rPr>
        <w:t>average</w:t>
      </w:r>
      <w:r w:rsidR="005A076F">
        <w:rPr>
          <w:lang w:eastAsia="en-AU"/>
        </w:rPr>
        <w:t xml:space="preserve"> time of 9.3 years </w:t>
      </w:r>
      <w:r w:rsidR="00930E2C">
        <w:rPr>
          <w:lang w:eastAsia="en-AU"/>
        </w:rPr>
        <w:t>for th</w:t>
      </w:r>
      <w:r w:rsidR="008968CD">
        <w:rPr>
          <w:lang w:eastAsia="en-AU"/>
        </w:rPr>
        <w:t>e five</w:t>
      </w:r>
      <w:r w:rsidR="00417C64">
        <w:rPr>
          <w:lang w:eastAsia="en-AU"/>
        </w:rPr>
        <w:t xml:space="preserve"> </w:t>
      </w:r>
      <w:r w:rsidR="008968CD">
        <w:rPr>
          <w:lang w:eastAsia="en-AU"/>
        </w:rPr>
        <w:t>successful</w:t>
      </w:r>
      <w:r w:rsidR="008968CD">
        <w:rPr>
          <w:rStyle w:val="FootnoteReference"/>
          <w:lang w:eastAsia="en-AU"/>
        </w:rPr>
        <w:footnoteReference w:id="18"/>
      </w:r>
      <w:r w:rsidR="008968CD">
        <w:rPr>
          <w:lang w:eastAsia="en-AU"/>
        </w:rPr>
        <w:t xml:space="preserve"> determinations</w:t>
      </w:r>
      <w:r w:rsidR="00503F98">
        <w:rPr>
          <w:lang w:eastAsia="en-AU"/>
        </w:rPr>
        <w:t xml:space="preserve"> </w:t>
      </w:r>
      <w:r w:rsidR="008749ED">
        <w:rPr>
          <w:lang w:eastAsia="en-AU"/>
        </w:rPr>
        <w:t xml:space="preserve">in Victoria since the </w:t>
      </w:r>
      <w:r w:rsidR="00C7735D">
        <w:rPr>
          <w:lang w:eastAsia="en-AU"/>
        </w:rPr>
        <w:t>passage of the NTA</w:t>
      </w:r>
      <w:r w:rsidR="00417C64">
        <w:rPr>
          <w:lang w:eastAsia="en-AU"/>
        </w:rPr>
        <w:t>.</w:t>
      </w:r>
    </w:p>
    <w:p w14:paraId="1877256B" w14:textId="6BA1CFE5" w:rsidR="009A19B2" w:rsidRDefault="009A19B2" w:rsidP="00A2663B">
      <w:pPr>
        <w:rPr>
          <w:lang w:eastAsia="en-AU"/>
        </w:rPr>
      </w:pPr>
      <w:r w:rsidRPr="009A19B2">
        <w:rPr>
          <w:lang w:eastAsia="en-AU"/>
        </w:rPr>
        <w:t>The Federal Court has expressed a claim resolution target of five years for all claims lodged since 2011</w:t>
      </w:r>
      <w:r w:rsidR="004E19CC">
        <w:rPr>
          <w:lang w:eastAsia="en-AU"/>
        </w:rPr>
        <w:t>;</w:t>
      </w:r>
      <w:r w:rsidRPr="009A19B2">
        <w:rPr>
          <w:lang w:eastAsia="en-AU"/>
        </w:rPr>
        <w:t xml:space="preserve"> claims</w:t>
      </w:r>
      <w:r w:rsidR="007648D8">
        <w:rPr>
          <w:lang w:eastAsia="en-AU"/>
        </w:rPr>
        <w:t xml:space="preserve"> </w:t>
      </w:r>
      <w:r w:rsidRPr="009A19B2">
        <w:rPr>
          <w:lang w:eastAsia="en-AU"/>
        </w:rPr>
        <w:t>lodged before 2011</w:t>
      </w:r>
      <w:r w:rsidR="007648D8">
        <w:rPr>
          <w:lang w:eastAsia="en-AU"/>
        </w:rPr>
        <w:t xml:space="preserve"> had a ten-year benchmark.</w:t>
      </w:r>
      <w:r w:rsidRPr="009A19B2">
        <w:rPr>
          <w:lang w:eastAsia="en-AU"/>
        </w:rPr>
        <w:t xml:space="preserve"> The performance of </w:t>
      </w:r>
      <w:r>
        <w:rPr>
          <w:lang w:eastAsia="en-AU"/>
        </w:rPr>
        <w:t>FNLRS</w:t>
      </w:r>
      <w:r w:rsidR="003F0639">
        <w:rPr>
          <w:lang w:eastAsia="en-AU"/>
        </w:rPr>
        <w:t xml:space="preserve"> does not meet this benchmark</w:t>
      </w:r>
      <w:r w:rsidRPr="009A19B2">
        <w:rPr>
          <w:lang w:eastAsia="en-AU"/>
        </w:rPr>
        <w:t xml:space="preserve"> </w:t>
      </w:r>
      <w:r w:rsidR="00944004">
        <w:rPr>
          <w:lang w:eastAsia="en-AU"/>
        </w:rPr>
        <w:t xml:space="preserve">for the </w:t>
      </w:r>
      <w:r w:rsidR="00051DE7">
        <w:rPr>
          <w:lang w:eastAsia="en-AU"/>
        </w:rPr>
        <w:t>Eastern Maar claim</w:t>
      </w:r>
      <w:r w:rsidR="003F0639">
        <w:rPr>
          <w:lang w:eastAsia="en-AU"/>
        </w:rPr>
        <w:t xml:space="preserve">, lodged after 2011, though it does meet the benchmark for previous </w:t>
      </w:r>
      <w:r w:rsidR="004C5C77">
        <w:rPr>
          <w:lang w:eastAsia="en-AU"/>
        </w:rPr>
        <w:t>successful determinations</w:t>
      </w:r>
      <w:r w:rsidR="007648D8">
        <w:rPr>
          <w:lang w:eastAsia="en-AU"/>
        </w:rPr>
        <w:t xml:space="preserve"> lodged prior to 2011</w:t>
      </w:r>
      <w:r w:rsidR="004C5C77">
        <w:rPr>
          <w:lang w:eastAsia="en-AU"/>
        </w:rPr>
        <w:t>.</w:t>
      </w:r>
    </w:p>
    <w:p w14:paraId="04F5BB3D" w14:textId="365C821D" w:rsidR="00A2663B" w:rsidRPr="00A2663B" w:rsidRDefault="00A2663B" w:rsidP="00A2663B">
      <w:pPr>
        <w:keepNext/>
        <w:spacing w:before="240" w:after="60"/>
        <w:outlineLvl w:val="3"/>
        <w:rPr>
          <w:rFonts w:ascii="Segoe UI Semibold" w:eastAsia="Times New Roman" w:hAnsi="Segoe UI Semibold" w:cs="Times New Roman"/>
          <w:color w:val="00264D" w:themeColor="background2"/>
          <w:sz w:val="22"/>
          <w:szCs w:val="19"/>
          <w:lang w:eastAsia="en-AU"/>
        </w:rPr>
      </w:pPr>
      <w:r w:rsidRPr="009857D8">
        <w:rPr>
          <w:rFonts w:ascii="Segoe UI Semibold" w:eastAsia="Times New Roman" w:hAnsi="Segoe UI Semibold" w:cs="Times New Roman"/>
          <w:color w:val="00264D" w:themeColor="background2"/>
          <w:sz w:val="22"/>
          <w:szCs w:val="19"/>
          <w:lang w:eastAsia="en-AU"/>
        </w:rPr>
        <w:t>Number of common law native title holders/</w:t>
      </w:r>
      <w:r w:rsidR="000D1005" w:rsidRPr="009857D8">
        <w:t>r</w:t>
      </w:r>
      <w:r w:rsidR="000D1005" w:rsidRPr="009857D8">
        <w:rPr>
          <w:rFonts w:ascii="Segoe UI Semibold" w:eastAsia="Times New Roman" w:hAnsi="Segoe UI Semibold" w:cs="Times New Roman"/>
          <w:color w:val="00264D" w:themeColor="background2"/>
          <w:sz w:val="22"/>
          <w:szCs w:val="19"/>
          <w:lang w:eastAsia="en-AU"/>
        </w:rPr>
        <w:t>egistered native title bodies corporate (</w:t>
      </w:r>
      <w:r w:rsidRPr="009857D8">
        <w:rPr>
          <w:rFonts w:ascii="Segoe UI Semibold" w:eastAsia="Times New Roman" w:hAnsi="Segoe UI Semibold" w:cs="Times New Roman"/>
          <w:color w:val="00264D" w:themeColor="background2"/>
          <w:sz w:val="22"/>
          <w:szCs w:val="19"/>
          <w:lang w:eastAsia="en-AU"/>
        </w:rPr>
        <w:t>RNTBCs</w:t>
      </w:r>
      <w:r w:rsidR="000D1005" w:rsidRPr="009857D8">
        <w:rPr>
          <w:rFonts w:ascii="Segoe UI Semibold" w:eastAsia="Times New Roman" w:hAnsi="Segoe UI Semibold" w:cs="Times New Roman"/>
          <w:color w:val="00264D" w:themeColor="background2"/>
          <w:sz w:val="22"/>
          <w:szCs w:val="19"/>
          <w:lang w:eastAsia="en-AU"/>
        </w:rPr>
        <w:t>)</w:t>
      </w:r>
      <w:r w:rsidRPr="009857D8">
        <w:rPr>
          <w:rFonts w:ascii="Segoe UI Semibold" w:eastAsia="Times New Roman" w:hAnsi="Segoe UI Semibold" w:cs="Times New Roman"/>
          <w:color w:val="00264D" w:themeColor="background2"/>
          <w:sz w:val="22"/>
          <w:szCs w:val="19"/>
          <w:lang w:eastAsia="en-AU"/>
        </w:rPr>
        <w:t xml:space="preserve"> the NTRB-SP has acted for in a native title compensation application proceeding</w:t>
      </w:r>
    </w:p>
    <w:p w14:paraId="247A01AA" w14:textId="57F697E3" w:rsidR="00C74E12" w:rsidRDefault="00182A60" w:rsidP="00EF35F2">
      <w:pPr>
        <w:rPr>
          <w:lang w:eastAsia="en-AU"/>
        </w:rPr>
      </w:pPr>
      <w:r>
        <w:rPr>
          <w:lang w:eastAsia="en-AU"/>
        </w:rPr>
        <w:t xml:space="preserve">There </w:t>
      </w:r>
      <w:proofErr w:type="gramStart"/>
      <w:r>
        <w:rPr>
          <w:lang w:eastAsia="en-AU"/>
        </w:rPr>
        <w:t>were</w:t>
      </w:r>
      <w:proofErr w:type="gramEnd"/>
      <w:r>
        <w:rPr>
          <w:lang w:eastAsia="en-AU"/>
        </w:rPr>
        <w:t xml:space="preserve"> n</w:t>
      </w:r>
      <w:r w:rsidR="00E56327">
        <w:rPr>
          <w:lang w:eastAsia="en-AU"/>
        </w:rPr>
        <w:t>o</w:t>
      </w:r>
      <w:r w:rsidR="00A2663B" w:rsidRPr="00A2663B">
        <w:rPr>
          <w:lang w:eastAsia="en-AU"/>
        </w:rPr>
        <w:t xml:space="preserve"> native title compensation </w:t>
      </w:r>
      <w:r w:rsidR="00E56327">
        <w:rPr>
          <w:lang w:eastAsia="en-AU"/>
        </w:rPr>
        <w:t>claims</w:t>
      </w:r>
      <w:r w:rsidR="00A2663B" w:rsidRPr="00A2663B">
        <w:rPr>
          <w:lang w:eastAsia="en-AU"/>
        </w:rPr>
        <w:t xml:space="preserve"> during the Review period.</w:t>
      </w:r>
    </w:p>
    <w:p w14:paraId="779E9F49" w14:textId="26934A37" w:rsidR="00C74E12" w:rsidRDefault="005F4B71" w:rsidP="005F4B71">
      <w:pPr>
        <w:pStyle w:val="Heading3"/>
      </w:pPr>
      <w:bookmarkStart w:id="19" w:name="_Toc130908862"/>
      <w:bookmarkStart w:id="20" w:name="_Ref158551218"/>
      <w:bookmarkStart w:id="21" w:name="_Ref158553702"/>
      <w:bookmarkStart w:id="22" w:name="_Ref158559976"/>
      <w:bookmarkStart w:id="23" w:name="_Ref158559982"/>
      <w:r>
        <w:t xml:space="preserve">TOR 1: </w:t>
      </w:r>
      <w:r w:rsidR="00C74E12" w:rsidRPr="0060326B">
        <w:t>External factors</w:t>
      </w:r>
      <w:bookmarkEnd w:id="19"/>
      <w:bookmarkEnd w:id="20"/>
      <w:bookmarkEnd w:id="21"/>
      <w:bookmarkEnd w:id="22"/>
      <w:bookmarkEnd w:id="23"/>
    </w:p>
    <w:p w14:paraId="0A785CC1" w14:textId="392E7B82" w:rsidR="004F36A3" w:rsidRPr="004F36A3" w:rsidRDefault="004F36A3" w:rsidP="004F36A3">
      <w:pPr>
        <w:rPr>
          <w:lang w:eastAsia="en-AU"/>
        </w:rPr>
      </w:pPr>
      <w:r w:rsidRPr="004F36A3">
        <w:rPr>
          <w:lang w:eastAsia="en-AU"/>
        </w:rPr>
        <w:t xml:space="preserve">This section presents an analysis of factors that impacted on performance that were beyond </w:t>
      </w:r>
      <w:r>
        <w:rPr>
          <w:lang w:eastAsia="en-AU"/>
        </w:rPr>
        <w:t>FNLRS</w:t>
      </w:r>
      <w:r w:rsidRPr="004F36A3">
        <w:rPr>
          <w:lang w:eastAsia="en-AU"/>
        </w:rPr>
        <w:t>'s control.</w:t>
      </w:r>
    </w:p>
    <w:p w14:paraId="772CA29E" w14:textId="6C6984BE" w:rsidR="005C7C2D" w:rsidRPr="00407282" w:rsidRDefault="00C267A7" w:rsidP="006D7AA3">
      <w:pPr>
        <w:pStyle w:val="Heading4"/>
      </w:pPr>
      <w:bookmarkStart w:id="24" w:name="_Ref157406719"/>
      <w:r w:rsidRPr="00116271">
        <w:t xml:space="preserve">State government </w:t>
      </w:r>
      <w:r>
        <w:t>policy and legislation</w:t>
      </w:r>
      <w:bookmarkEnd w:id="24"/>
      <w:r>
        <w:t xml:space="preserve"> </w:t>
      </w:r>
    </w:p>
    <w:p w14:paraId="3E401FE2" w14:textId="7ED29D62" w:rsidR="00736780" w:rsidRDefault="00C23AC9" w:rsidP="00054DA1">
      <w:pPr>
        <w:pStyle w:val="Heading5"/>
        <w:numPr>
          <w:ilvl w:val="4"/>
          <w:numId w:val="0"/>
        </w:numPr>
      </w:pPr>
      <w:r w:rsidRPr="6967B2CC">
        <w:t xml:space="preserve">Victoria </w:t>
      </w:r>
      <w:r w:rsidR="00736780" w:rsidRPr="6967B2CC">
        <w:t xml:space="preserve">has </w:t>
      </w:r>
      <w:r w:rsidRPr="6967B2CC">
        <w:t>a complex policy and legislative landscape re</w:t>
      </w:r>
      <w:r w:rsidR="00D04726" w:rsidRPr="6967B2CC">
        <w:t xml:space="preserve">garding </w:t>
      </w:r>
      <w:r w:rsidR="00315878" w:rsidRPr="6967B2CC">
        <w:t xml:space="preserve">recognition </w:t>
      </w:r>
      <w:r w:rsidR="00D173D9" w:rsidRPr="6967B2CC">
        <w:t>for Traditional Owners</w:t>
      </w:r>
      <w:r w:rsidR="007708A1" w:rsidRPr="6967B2CC">
        <w:t xml:space="preserve"> </w:t>
      </w:r>
    </w:p>
    <w:p w14:paraId="37EB523B" w14:textId="4A6B58A9" w:rsidR="00F17E96" w:rsidRDefault="00217B63" w:rsidP="00D37A49">
      <w:pPr>
        <w:rPr>
          <w:lang w:eastAsia="en-AU"/>
        </w:rPr>
      </w:pPr>
      <w:r>
        <w:rPr>
          <w:lang w:eastAsia="en-AU"/>
        </w:rPr>
        <w:t xml:space="preserve">The Victorian Government </w:t>
      </w:r>
      <w:r w:rsidR="008F2898">
        <w:rPr>
          <w:lang w:eastAsia="en-AU"/>
        </w:rPr>
        <w:t>continued to play</w:t>
      </w:r>
      <w:r>
        <w:rPr>
          <w:lang w:eastAsia="en-AU"/>
        </w:rPr>
        <w:t xml:space="preserve"> a </w:t>
      </w:r>
      <w:r w:rsidR="00B67AF6">
        <w:rPr>
          <w:lang w:eastAsia="en-AU"/>
        </w:rPr>
        <w:t>central</w:t>
      </w:r>
      <w:r>
        <w:rPr>
          <w:lang w:eastAsia="en-AU"/>
        </w:rPr>
        <w:t xml:space="preserve"> role in supporting Traditional Owners to achieve</w:t>
      </w:r>
      <w:r w:rsidR="003F6251">
        <w:rPr>
          <w:lang w:eastAsia="en-AU"/>
        </w:rPr>
        <w:t xml:space="preserve"> formal recognition</w:t>
      </w:r>
      <w:r w:rsidR="008B67DC">
        <w:rPr>
          <w:lang w:eastAsia="en-AU"/>
        </w:rPr>
        <w:t xml:space="preserve">, </w:t>
      </w:r>
      <w:r w:rsidR="006B0037">
        <w:rPr>
          <w:lang w:eastAsia="en-AU"/>
        </w:rPr>
        <w:t>through the relevant legislation</w:t>
      </w:r>
      <w:r w:rsidR="009F71A0">
        <w:rPr>
          <w:lang w:eastAsia="en-AU"/>
        </w:rPr>
        <w:t xml:space="preserve"> (see </w:t>
      </w:r>
      <w:r w:rsidR="004A574B">
        <w:rPr>
          <w:lang w:eastAsia="en-AU"/>
        </w:rPr>
        <w:fldChar w:fldCharType="begin"/>
      </w:r>
      <w:r w:rsidR="004A574B">
        <w:rPr>
          <w:lang w:eastAsia="en-AU"/>
        </w:rPr>
        <w:instrText xml:space="preserve"> REF _Ref164753982 \h </w:instrText>
      </w:r>
      <w:r w:rsidR="004A574B">
        <w:rPr>
          <w:lang w:eastAsia="en-AU"/>
        </w:rPr>
      </w:r>
      <w:r w:rsidR="004A574B">
        <w:rPr>
          <w:lang w:eastAsia="en-AU"/>
        </w:rPr>
        <w:fldChar w:fldCharType="separate"/>
      </w:r>
      <w:r w:rsidR="00AB7E95">
        <w:t xml:space="preserve">Table </w:t>
      </w:r>
      <w:r w:rsidR="00AB7E95">
        <w:rPr>
          <w:noProof/>
        </w:rPr>
        <w:t>4</w:t>
      </w:r>
      <w:r w:rsidR="004A574B">
        <w:rPr>
          <w:lang w:eastAsia="en-AU"/>
        </w:rPr>
        <w:fldChar w:fldCharType="end"/>
      </w:r>
      <w:r w:rsidR="009A7383">
        <w:rPr>
          <w:lang w:eastAsia="en-AU"/>
        </w:rPr>
        <w:t>)</w:t>
      </w:r>
      <w:r w:rsidR="008F2898">
        <w:rPr>
          <w:lang w:eastAsia="en-AU"/>
        </w:rPr>
        <w:t xml:space="preserve"> during the Review period</w:t>
      </w:r>
      <w:r w:rsidR="008B67DC">
        <w:rPr>
          <w:lang w:eastAsia="en-AU"/>
        </w:rPr>
        <w:t>.</w:t>
      </w:r>
      <w:r w:rsidR="00B63754">
        <w:rPr>
          <w:lang w:eastAsia="en-AU"/>
        </w:rPr>
        <w:t xml:space="preserve"> This support </w:t>
      </w:r>
      <w:r w:rsidR="008F2898">
        <w:rPr>
          <w:lang w:eastAsia="en-AU"/>
        </w:rPr>
        <w:t xml:space="preserve">flowed through to FNLRS as the primary organisation in Victoria assisting clients to achieve </w:t>
      </w:r>
      <w:r w:rsidR="00FC3EB1">
        <w:rPr>
          <w:lang w:eastAsia="en-AU"/>
        </w:rPr>
        <w:t xml:space="preserve">this </w:t>
      </w:r>
      <w:r w:rsidR="000C1C33">
        <w:rPr>
          <w:lang w:eastAsia="en-AU"/>
        </w:rPr>
        <w:t>recognition.</w:t>
      </w:r>
    </w:p>
    <w:p w14:paraId="5FC007FD" w14:textId="7821CF37" w:rsidR="00BC1DBC" w:rsidRPr="00343D62" w:rsidRDefault="00BC1DBC" w:rsidP="00BC1DBC">
      <w:pPr>
        <w:rPr>
          <w:rFonts w:asciiTheme="majorHAnsi" w:eastAsia="Times New Roman" w:hAnsiTheme="majorHAnsi" w:cstheme="majorHAnsi"/>
          <w:bCs/>
          <w:i/>
          <w:iCs/>
          <w:color w:val="000000" w:themeColor="text1"/>
          <w:szCs w:val="19"/>
          <w:lang w:eastAsia="en-AU"/>
        </w:rPr>
      </w:pPr>
      <w:r w:rsidRPr="00343D62">
        <w:rPr>
          <w:rFonts w:asciiTheme="majorHAnsi" w:eastAsia="Times New Roman" w:hAnsiTheme="majorHAnsi" w:cstheme="majorHAnsi"/>
          <w:bCs/>
          <w:i/>
          <w:iCs/>
          <w:color w:val="000000" w:themeColor="text1"/>
          <w:szCs w:val="19"/>
          <w:lang w:eastAsia="en-AU"/>
        </w:rPr>
        <w:t>The Traditional Owner Settlement Act</w:t>
      </w:r>
      <w:r w:rsidR="00B0238E" w:rsidRPr="00343D62">
        <w:rPr>
          <w:rFonts w:asciiTheme="majorHAnsi" w:eastAsia="Times New Roman" w:hAnsiTheme="majorHAnsi" w:cstheme="majorHAnsi"/>
          <w:bCs/>
          <w:i/>
          <w:iCs/>
          <w:color w:val="000000" w:themeColor="text1"/>
          <w:szCs w:val="19"/>
          <w:lang w:eastAsia="en-AU"/>
        </w:rPr>
        <w:t xml:space="preserve"> </w:t>
      </w:r>
      <w:r w:rsidR="00DF6900" w:rsidRPr="00343D62">
        <w:rPr>
          <w:rFonts w:asciiTheme="majorHAnsi" w:eastAsia="Times New Roman" w:hAnsiTheme="majorHAnsi" w:cstheme="majorHAnsi"/>
          <w:bCs/>
          <w:i/>
          <w:iCs/>
          <w:color w:val="000000" w:themeColor="text1"/>
          <w:szCs w:val="19"/>
          <w:lang w:eastAsia="en-AU"/>
        </w:rPr>
        <w:t>2010</w:t>
      </w:r>
    </w:p>
    <w:p w14:paraId="0E253EC7" w14:textId="6D37A8DC" w:rsidR="00EB4BAA" w:rsidRDefault="00D37A49" w:rsidP="00D37A49">
      <w:pPr>
        <w:rPr>
          <w:lang w:eastAsia="en-AU"/>
        </w:rPr>
      </w:pPr>
      <w:r>
        <w:rPr>
          <w:lang w:eastAsia="en-AU"/>
        </w:rPr>
        <w:t xml:space="preserve">The </w:t>
      </w:r>
      <w:r w:rsidR="00E424AF" w:rsidRPr="0010561D">
        <w:rPr>
          <w:lang w:eastAsia="en-AU"/>
        </w:rPr>
        <w:t>Settlement Act</w:t>
      </w:r>
      <w:r w:rsidR="00E424AF">
        <w:rPr>
          <w:lang w:eastAsia="en-AU"/>
        </w:rPr>
        <w:t xml:space="preserve"> is an alternative avenue to recognise Traditional Owner rights in Victoria. </w:t>
      </w:r>
      <w:r w:rsidR="00F84C59">
        <w:rPr>
          <w:lang w:eastAsia="en-AU"/>
        </w:rPr>
        <w:t xml:space="preserve">The </w:t>
      </w:r>
      <w:r w:rsidR="00F84C59" w:rsidRPr="0010561D">
        <w:rPr>
          <w:lang w:eastAsia="en-AU"/>
        </w:rPr>
        <w:t>Settlement Act</w:t>
      </w:r>
      <w:r w:rsidR="00F84C59">
        <w:rPr>
          <w:lang w:eastAsia="en-AU"/>
        </w:rPr>
        <w:t xml:space="preserve"> was </w:t>
      </w:r>
      <w:r w:rsidR="00B717AB">
        <w:rPr>
          <w:lang w:eastAsia="en-AU"/>
        </w:rPr>
        <w:t xml:space="preserve">established in response to the </w:t>
      </w:r>
      <w:r w:rsidR="00710FB8">
        <w:rPr>
          <w:lang w:eastAsia="en-AU"/>
        </w:rPr>
        <w:t xml:space="preserve">outcome of the </w:t>
      </w:r>
      <w:r w:rsidR="00B717AB">
        <w:rPr>
          <w:lang w:eastAsia="en-AU"/>
        </w:rPr>
        <w:t xml:space="preserve">1998 Yorta </w:t>
      </w:r>
      <w:proofErr w:type="spellStart"/>
      <w:r w:rsidR="00B717AB">
        <w:rPr>
          <w:lang w:eastAsia="en-AU"/>
        </w:rPr>
        <w:t>Yorta</w:t>
      </w:r>
      <w:proofErr w:type="spellEnd"/>
      <w:r w:rsidR="00B717AB">
        <w:rPr>
          <w:lang w:eastAsia="en-AU"/>
        </w:rPr>
        <w:t xml:space="preserve"> </w:t>
      </w:r>
      <w:r w:rsidR="0036299C">
        <w:rPr>
          <w:lang w:eastAsia="en-AU"/>
        </w:rPr>
        <w:t>decision</w:t>
      </w:r>
      <w:r w:rsidR="00B717AB">
        <w:rPr>
          <w:lang w:eastAsia="en-AU"/>
        </w:rPr>
        <w:t xml:space="preserve"> which made it </w:t>
      </w:r>
      <w:r w:rsidR="009C0A36">
        <w:rPr>
          <w:lang w:eastAsia="en-AU"/>
        </w:rPr>
        <w:t>very</w:t>
      </w:r>
      <w:r w:rsidR="00B717AB">
        <w:rPr>
          <w:lang w:eastAsia="en-AU"/>
        </w:rPr>
        <w:t xml:space="preserve"> difficult for Traditional Owners </w:t>
      </w:r>
      <w:r w:rsidR="00EF77E0">
        <w:rPr>
          <w:lang w:eastAsia="en-AU"/>
        </w:rPr>
        <w:t xml:space="preserve">in Victoria </w:t>
      </w:r>
      <w:r w:rsidR="00B717AB">
        <w:rPr>
          <w:lang w:eastAsia="en-AU"/>
        </w:rPr>
        <w:t xml:space="preserve">to achieve native title outcomes in </w:t>
      </w:r>
      <w:r w:rsidR="0064074F">
        <w:rPr>
          <w:lang w:eastAsia="en-AU"/>
        </w:rPr>
        <w:t xml:space="preserve">highly colonised areas where traditional </w:t>
      </w:r>
      <w:r w:rsidR="00E4381F">
        <w:rPr>
          <w:lang w:eastAsia="en-AU"/>
        </w:rPr>
        <w:t xml:space="preserve">law and customs had been </w:t>
      </w:r>
      <w:r w:rsidR="002F640A">
        <w:rPr>
          <w:lang w:eastAsia="en-AU"/>
        </w:rPr>
        <w:t>significantly</w:t>
      </w:r>
      <w:r w:rsidR="00DA569C">
        <w:rPr>
          <w:lang w:eastAsia="en-AU"/>
        </w:rPr>
        <w:t xml:space="preserve"> disrupted</w:t>
      </w:r>
      <w:r w:rsidR="003551CE">
        <w:rPr>
          <w:lang w:eastAsia="en-AU"/>
        </w:rPr>
        <w:t xml:space="preserve"> by dislocation and dispossession</w:t>
      </w:r>
      <w:r w:rsidR="005F6BD9">
        <w:rPr>
          <w:lang w:eastAsia="en-AU"/>
        </w:rPr>
        <w:t xml:space="preserve">. </w:t>
      </w:r>
      <w:r w:rsidR="00BE1E5D">
        <w:rPr>
          <w:lang w:eastAsia="en-AU"/>
        </w:rPr>
        <w:t xml:space="preserve">The introduction of the </w:t>
      </w:r>
      <w:r w:rsidR="00BE1E5D" w:rsidRPr="0010561D">
        <w:rPr>
          <w:lang w:eastAsia="en-AU"/>
        </w:rPr>
        <w:t>Settlement Act</w:t>
      </w:r>
      <w:r w:rsidR="00BE1E5D">
        <w:rPr>
          <w:lang w:eastAsia="en-AU"/>
        </w:rPr>
        <w:t xml:space="preserve"> in 2010 sought to remedy the precedent set by the Yorta </w:t>
      </w:r>
      <w:proofErr w:type="spellStart"/>
      <w:r w:rsidR="00BE1E5D">
        <w:rPr>
          <w:lang w:eastAsia="en-AU"/>
        </w:rPr>
        <w:t>Yorta</w:t>
      </w:r>
      <w:proofErr w:type="spellEnd"/>
      <w:r w:rsidR="00BE1E5D">
        <w:rPr>
          <w:lang w:eastAsia="en-AU"/>
        </w:rPr>
        <w:t xml:space="preserve"> decision </w:t>
      </w:r>
      <w:r w:rsidR="00E3146B">
        <w:rPr>
          <w:lang w:eastAsia="en-AU"/>
        </w:rPr>
        <w:lastRenderedPageBreak/>
        <w:t>by</w:t>
      </w:r>
      <w:r w:rsidR="00114AA7">
        <w:rPr>
          <w:lang w:eastAsia="en-AU"/>
        </w:rPr>
        <w:t xml:space="preserve"> adopting a </w:t>
      </w:r>
      <w:r w:rsidR="00AA61EB">
        <w:rPr>
          <w:lang w:eastAsia="en-AU"/>
        </w:rPr>
        <w:t xml:space="preserve">different standard of proof which </w:t>
      </w:r>
      <w:r w:rsidR="00D12857">
        <w:rPr>
          <w:lang w:eastAsia="en-AU"/>
        </w:rPr>
        <w:t>did</w:t>
      </w:r>
      <w:r w:rsidR="00AA61EB">
        <w:rPr>
          <w:lang w:eastAsia="en-AU"/>
        </w:rPr>
        <w:t xml:space="preserve"> not </w:t>
      </w:r>
      <w:r w:rsidR="00A36300">
        <w:rPr>
          <w:lang w:eastAsia="en-AU"/>
        </w:rPr>
        <w:t xml:space="preserve">require evidence of </w:t>
      </w:r>
      <w:r w:rsidR="008D1B5A">
        <w:rPr>
          <w:lang w:eastAsia="en-AU"/>
        </w:rPr>
        <w:t>continuous</w:t>
      </w:r>
      <w:r w:rsidR="00A36300">
        <w:rPr>
          <w:lang w:eastAsia="en-AU"/>
        </w:rPr>
        <w:t xml:space="preserve"> con</w:t>
      </w:r>
      <w:r w:rsidR="008D1B5A">
        <w:rPr>
          <w:lang w:eastAsia="en-AU"/>
        </w:rPr>
        <w:t xml:space="preserve">nection to Country from pre-colonisation. </w:t>
      </w:r>
    </w:p>
    <w:p w14:paraId="724BCCE8" w14:textId="224A34B6" w:rsidR="00BE794F" w:rsidRDefault="00E57164" w:rsidP="00D37A49">
      <w:pPr>
        <w:rPr>
          <w:lang w:eastAsia="en-AU"/>
        </w:rPr>
      </w:pPr>
      <w:r w:rsidRPr="00BC5690">
        <w:rPr>
          <w:noProof/>
          <w:highlight w:val="yellow"/>
          <w:lang w:eastAsia="en-AU"/>
        </w:rPr>
        <mc:AlternateContent>
          <mc:Choice Requires="wps">
            <w:drawing>
              <wp:anchor distT="0" distB="0" distL="114300" distR="114300" simplePos="0" relativeHeight="251658244" behindDoc="0" locked="0" layoutInCell="1" allowOverlap="1" wp14:anchorId="7851DA60" wp14:editId="21C86785">
                <wp:simplePos x="0" y="0"/>
                <wp:positionH relativeFrom="margin">
                  <wp:align>right</wp:align>
                </wp:positionH>
                <wp:positionV relativeFrom="paragraph">
                  <wp:posOffset>1203123</wp:posOffset>
                </wp:positionV>
                <wp:extent cx="1935480" cy="2066925"/>
                <wp:effectExtent l="0" t="0" r="7620" b="8255"/>
                <wp:wrapSquare wrapText="bothSides"/>
                <wp:docPr id="1940877877" name="Text Box 1940877877"/>
                <wp:cNvGraphicFramePr/>
                <a:graphic xmlns:a="http://schemas.openxmlformats.org/drawingml/2006/main">
                  <a:graphicData uri="http://schemas.microsoft.com/office/word/2010/wordprocessingShape">
                    <wps:wsp>
                      <wps:cNvSpPr txBox="1"/>
                      <wps:spPr>
                        <a:xfrm>
                          <a:off x="0" y="0"/>
                          <a:ext cx="193548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C316E" w14:textId="302C19BE" w:rsidR="005120D5" w:rsidRPr="00CA17C8" w:rsidRDefault="005120D5" w:rsidP="00E57164">
                            <w:pPr>
                              <w:pStyle w:val="Callout"/>
                              <w:rPr>
                                <w:color w:val="C2400B" w:themeColor="accent2" w:themeShade="BF"/>
                                <w:sz w:val="19"/>
                                <w:szCs w:val="19"/>
                              </w:rPr>
                            </w:pPr>
                            <w:r w:rsidRPr="00CA17C8">
                              <w:rPr>
                                <w:color w:val="C2400B" w:themeColor="accent2" w:themeShade="BF"/>
                                <w:sz w:val="19"/>
                                <w:szCs w:val="19"/>
                              </w:rPr>
                              <w:t xml:space="preserve">“We do a substantial amount of work with groups negotiating settlements under the </w:t>
                            </w:r>
                            <w:r w:rsidRPr="00CA17C8">
                              <w:rPr>
                                <w:i/>
                                <w:iCs/>
                                <w:color w:val="C2400B" w:themeColor="accent2" w:themeShade="BF"/>
                                <w:sz w:val="19"/>
                                <w:szCs w:val="19"/>
                              </w:rPr>
                              <w:t xml:space="preserve">Traditional Owner Settlement Act </w:t>
                            </w:r>
                            <w:r w:rsidR="002B4953" w:rsidRPr="00CA17C8">
                              <w:rPr>
                                <w:i/>
                                <w:iCs/>
                                <w:color w:val="C2400B" w:themeColor="accent2" w:themeShade="BF"/>
                                <w:sz w:val="19"/>
                                <w:szCs w:val="19"/>
                              </w:rPr>
                              <w:t>(</w:t>
                            </w:r>
                            <w:r w:rsidRPr="00CA17C8">
                              <w:rPr>
                                <w:i/>
                                <w:iCs/>
                                <w:color w:val="C2400B" w:themeColor="accent2" w:themeShade="BF"/>
                                <w:sz w:val="19"/>
                                <w:szCs w:val="19"/>
                              </w:rPr>
                              <w:t>2010</w:t>
                            </w:r>
                            <w:r w:rsidR="002B4953" w:rsidRPr="00CA17C8">
                              <w:rPr>
                                <w:i/>
                                <w:iCs/>
                                <w:color w:val="C2400B" w:themeColor="accent2" w:themeShade="BF"/>
                                <w:sz w:val="19"/>
                                <w:szCs w:val="19"/>
                              </w:rPr>
                              <w:t>)</w:t>
                            </w:r>
                            <w:r w:rsidR="002B4953" w:rsidRPr="00CA17C8">
                              <w:rPr>
                                <w:color w:val="C2400B" w:themeColor="accent2" w:themeShade="BF"/>
                                <w:sz w:val="19"/>
                                <w:szCs w:val="19"/>
                              </w:rPr>
                              <w:t xml:space="preserve">. </w:t>
                            </w:r>
                            <w:r w:rsidRPr="00CA17C8">
                              <w:rPr>
                                <w:color w:val="C2400B" w:themeColor="accent2" w:themeShade="BF"/>
                                <w:sz w:val="19"/>
                                <w:szCs w:val="19"/>
                              </w:rPr>
                              <w:t xml:space="preserve">In the early years a lot of this work happened in tandem with prosecuting a native title claim. However, in recent years…the state has preferred that if a native title claim is being pursued that this is resolved first and then settlement negotiations with the determined group happens afterwards.” </w:t>
                            </w:r>
                          </w:p>
                          <w:p w14:paraId="4E40F6BE" w14:textId="614BFFF4" w:rsidR="005120D5" w:rsidRPr="004F799A" w:rsidRDefault="005120D5" w:rsidP="00E57164">
                            <w:pPr>
                              <w:pStyle w:val="Callout"/>
                              <w:jc w:val="right"/>
                              <w:rPr>
                                <w:color w:val="00264D" w:themeColor="background2"/>
                                <w:sz w:val="19"/>
                                <w:szCs w:val="19"/>
                              </w:rPr>
                            </w:pPr>
                            <w:r>
                              <w:rPr>
                                <w:color w:val="00264D" w:themeColor="background2"/>
                                <w:sz w:val="19"/>
                                <w:szCs w:val="19"/>
                              </w:rPr>
                              <w:t>FNLRS staff member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51DA60" id="Text Box 1940877877" o:spid="_x0000_s1027" type="#_x0000_t202" style="position:absolute;margin-left:101.2pt;margin-top:94.75pt;width:152.4pt;height:162.75pt;z-index:2516582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" fillcolor="white [3201]" stroked="f" strokeweight=".5pt">
                <v:textbox style="mso-fit-shape-to-text:t" inset="0,,1mm">
                  <w:txbxContent>
                    <w:p w14:paraId="063C316E" w14:textId="302C19BE" w:rsidR="005120D5" w:rsidRPr="00CA17C8" w:rsidRDefault="005120D5" w:rsidP="00E57164">
                      <w:pPr>
                        <w:pStyle w:val="Callout"/>
                        <w:rPr>
                          <w:color w:val="C2400B" w:themeColor="accent2" w:themeShade="BF"/>
                          <w:sz w:val="19"/>
                          <w:szCs w:val="19"/>
                        </w:rPr>
                      </w:pPr>
                      <w:r w:rsidRPr="00CA17C8">
                        <w:rPr>
                          <w:color w:val="C2400B" w:themeColor="accent2" w:themeShade="BF"/>
                          <w:sz w:val="19"/>
                          <w:szCs w:val="19"/>
                        </w:rPr>
                        <w:t xml:space="preserve">“We do a substantial amount of work with groups negotiating settlements under the </w:t>
                      </w:r>
                      <w:r w:rsidRPr="00CA17C8">
                        <w:rPr>
                          <w:i/>
                          <w:iCs/>
                          <w:color w:val="C2400B" w:themeColor="accent2" w:themeShade="BF"/>
                          <w:sz w:val="19"/>
                          <w:szCs w:val="19"/>
                        </w:rPr>
                        <w:t xml:space="preserve">Traditional Owner Settlement Act </w:t>
                      </w:r>
                      <w:r w:rsidR="002B4953" w:rsidRPr="00CA17C8">
                        <w:rPr>
                          <w:i/>
                          <w:iCs/>
                          <w:color w:val="C2400B" w:themeColor="accent2" w:themeShade="BF"/>
                          <w:sz w:val="19"/>
                          <w:szCs w:val="19"/>
                        </w:rPr>
                        <w:t>(</w:t>
                      </w:r>
                      <w:r w:rsidRPr="00CA17C8">
                        <w:rPr>
                          <w:i/>
                          <w:iCs/>
                          <w:color w:val="C2400B" w:themeColor="accent2" w:themeShade="BF"/>
                          <w:sz w:val="19"/>
                          <w:szCs w:val="19"/>
                        </w:rPr>
                        <w:t>2010</w:t>
                      </w:r>
                      <w:r w:rsidR="002B4953" w:rsidRPr="00CA17C8">
                        <w:rPr>
                          <w:i/>
                          <w:iCs/>
                          <w:color w:val="C2400B" w:themeColor="accent2" w:themeShade="BF"/>
                          <w:sz w:val="19"/>
                          <w:szCs w:val="19"/>
                        </w:rPr>
                        <w:t>)</w:t>
                      </w:r>
                      <w:r w:rsidR="002B4953" w:rsidRPr="00CA17C8">
                        <w:rPr>
                          <w:color w:val="C2400B" w:themeColor="accent2" w:themeShade="BF"/>
                          <w:sz w:val="19"/>
                          <w:szCs w:val="19"/>
                        </w:rPr>
                        <w:t xml:space="preserve">. </w:t>
                      </w:r>
                      <w:r w:rsidRPr="00CA17C8">
                        <w:rPr>
                          <w:color w:val="C2400B" w:themeColor="accent2" w:themeShade="BF"/>
                          <w:sz w:val="19"/>
                          <w:szCs w:val="19"/>
                        </w:rPr>
                        <w:t xml:space="preserve">In the early years a lot of this work happened in tandem with prosecuting a native title claim. However, in recent years…the state has preferred that if a native title claim is being pursued that this is resolved first and then settlement negotiations with the determined group happens afterwards.” </w:t>
                      </w:r>
                    </w:p>
                    <w:p w14:paraId="4E40F6BE" w14:textId="614BFFF4" w:rsidR="005120D5" w:rsidRPr="004F799A" w:rsidRDefault="005120D5" w:rsidP="00E57164">
                      <w:pPr>
                        <w:pStyle w:val="Callout"/>
                        <w:jc w:val="right"/>
                        <w:rPr>
                          <w:color w:val="00264D" w:themeColor="background2"/>
                          <w:sz w:val="19"/>
                          <w:szCs w:val="19"/>
                        </w:rPr>
                      </w:pPr>
                      <w:r>
                        <w:rPr>
                          <w:color w:val="00264D" w:themeColor="background2"/>
                          <w:sz w:val="19"/>
                          <w:szCs w:val="19"/>
                        </w:rPr>
                        <w:t>FNLRS staff member</w:t>
                      </w:r>
                    </w:p>
                  </w:txbxContent>
                </v:textbox>
                <w10:wrap type="square" anchorx="margin"/>
              </v:shape>
            </w:pict>
          </mc:Fallback>
        </mc:AlternateContent>
      </w:r>
      <w:r w:rsidR="00EC4499">
        <w:rPr>
          <w:lang w:eastAsia="en-AU"/>
        </w:rPr>
        <w:t xml:space="preserve">The </w:t>
      </w:r>
      <w:r w:rsidR="00D12857">
        <w:rPr>
          <w:lang w:eastAsia="en-AU"/>
        </w:rPr>
        <w:t xml:space="preserve">original </w:t>
      </w:r>
      <w:r w:rsidR="00EC4499">
        <w:rPr>
          <w:lang w:eastAsia="en-AU"/>
        </w:rPr>
        <w:t xml:space="preserve">purpose of the </w:t>
      </w:r>
      <w:r w:rsidR="00EC4499" w:rsidRPr="0010561D">
        <w:rPr>
          <w:lang w:eastAsia="en-AU"/>
        </w:rPr>
        <w:t>Settlement Act</w:t>
      </w:r>
      <w:r w:rsidR="00EC4499">
        <w:rPr>
          <w:lang w:eastAsia="en-AU"/>
        </w:rPr>
        <w:t xml:space="preserve"> was</w:t>
      </w:r>
      <w:r w:rsidR="00C5514F">
        <w:rPr>
          <w:lang w:eastAsia="en-AU"/>
        </w:rPr>
        <w:t xml:space="preserve"> for the Victorian Government</w:t>
      </w:r>
      <w:r w:rsidR="00EC4499">
        <w:rPr>
          <w:lang w:eastAsia="en-AU"/>
        </w:rPr>
        <w:t xml:space="preserve"> to take a non</w:t>
      </w:r>
      <w:r w:rsidR="00765E1C">
        <w:rPr>
          <w:lang w:eastAsia="en-AU"/>
        </w:rPr>
        <w:t>-</w:t>
      </w:r>
      <w:r w:rsidR="00F03396">
        <w:rPr>
          <w:lang w:eastAsia="en-AU"/>
        </w:rPr>
        <w:t>adversarial</w:t>
      </w:r>
      <w:r w:rsidR="00765E1C">
        <w:rPr>
          <w:lang w:eastAsia="en-AU"/>
        </w:rPr>
        <w:t xml:space="preserve"> approach to negotiate outcomes </w:t>
      </w:r>
      <w:r w:rsidR="00BE1E9A">
        <w:rPr>
          <w:lang w:eastAsia="en-AU"/>
        </w:rPr>
        <w:t xml:space="preserve">more quickly </w:t>
      </w:r>
      <w:r w:rsidR="00CE6F0D">
        <w:rPr>
          <w:lang w:eastAsia="en-AU"/>
        </w:rPr>
        <w:t xml:space="preserve">for Traditional Owners </w:t>
      </w:r>
      <w:r w:rsidR="00B8175C">
        <w:rPr>
          <w:lang w:eastAsia="en-AU"/>
        </w:rPr>
        <w:t xml:space="preserve">through dispute resolution </w:t>
      </w:r>
      <w:r w:rsidR="00765E1C">
        <w:rPr>
          <w:lang w:eastAsia="en-AU"/>
        </w:rPr>
        <w:t xml:space="preserve">outside the </w:t>
      </w:r>
      <w:r w:rsidR="00D473F4" w:rsidRPr="0014178C">
        <w:rPr>
          <w:lang w:eastAsia="en-AU"/>
        </w:rPr>
        <w:t>NTA</w:t>
      </w:r>
      <w:r w:rsidR="00765E1C">
        <w:rPr>
          <w:lang w:eastAsia="en-AU"/>
        </w:rPr>
        <w:t xml:space="preserve">. </w:t>
      </w:r>
      <w:r w:rsidR="00DF2487">
        <w:rPr>
          <w:lang w:eastAsia="en-AU"/>
        </w:rPr>
        <w:t xml:space="preserve">While originally the Victorian Government encouraged groups to </w:t>
      </w:r>
      <w:r w:rsidR="00EF0748">
        <w:rPr>
          <w:lang w:eastAsia="en-AU"/>
        </w:rPr>
        <w:t>forgo</w:t>
      </w:r>
      <w:r w:rsidR="00DF2487">
        <w:rPr>
          <w:lang w:eastAsia="en-AU"/>
        </w:rPr>
        <w:t xml:space="preserve"> filing a native title claim</w:t>
      </w:r>
      <w:r w:rsidR="00EF0748">
        <w:rPr>
          <w:lang w:eastAsia="en-AU"/>
        </w:rPr>
        <w:t xml:space="preserve"> </w:t>
      </w:r>
      <w:r w:rsidR="0086203A">
        <w:rPr>
          <w:lang w:eastAsia="en-AU"/>
        </w:rPr>
        <w:t>to</w:t>
      </w:r>
      <w:r w:rsidR="00DF2487">
        <w:rPr>
          <w:lang w:eastAsia="en-AU"/>
        </w:rPr>
        <w:t xml:space="preserve"> pursue</w:t>
      </w:r>
      <w:r w:rsidR="00EF0748">
        <w:rPr>
          <w:lang w:eastAsia="en-AU"/>
        </w:rPr>
        <w:t xml:space="preserve"> alternative</w:t>
      </w:r>
      <w:r w:rsidR="00DF2487">
        <w:rPr>
          <w:lang w:eastAsia="en-AU"/>
        </w:rPr>
        <w:t xml:space="preserve"> mediation under the </w:t>
      </w:r>
      <w:r w:rsidR="00EF0748" w:rsidRPr="0010561D">
        <w:rPr>
          <w:lang w:eastAsia="en-AU"/>
        </w:rPr>
        <w:t>Settlement</w:t>
      </w:r>
      <w:r w:rsidR="00DF2487" w:rsidRPr="0010561D">
        <w:rPr>
          <w:lang w:eastAsia="en-AU"/>
        </w:rPr>
        <w:t xml:space="preserve"> Act</w:t>
      </w:r>
      <w:r w:rsidR="00DF2487">
        <w:rPr>
          <w:lang w:eastAsia="en-AU"/>
        </w:rPr>
        <w:t xml:space="preserve">, </w:t>
      </w:r>
      <w:r w:rsidR="00EF0748">
        <w:rPr>
          <w:lang w:eastAsia="en-AU"/>
        </w:rPr>
        <w:t xml:space="preserve">negotiations under the </w:t>
      </w:r>
      <w:r w:rsidR="00EF0748" w:rsidRPr="0010561D">
        <w:rPr>
          <w:lang w:eastAsia="en-AU"/>
        </w:rPr>
        <w:t>Settlement Act</w:t>
      </w:r>
      <w:r w:rsidR="00EF0748">
        <w:rPr>
          <w:lang w:eastAsia="en-AU"/>
        </w:rPr>
        <w:t xml:space="preserve"> are</w:t>
      </w:r>
      <w:r w:rsidR="004A12EF">
        <w:rPr>
          <w:lang w:eastAsia="en-AU"/>
        </w:rPr>
        <w:t xml:space="preserve"> </w:t>
      </w:r>
      <w:r w:rsidR="009E624A">
        <w:rPr>
          <w:lang w:eastAsia="en-AU"/>
        </w:rPr>
        <w:t>no longer</w:t>
      </w:r>
      <w:r w:rsidR="004F0B2B">
        <w:rPr>
          <w:lang w:eastAsia="en-AU"/>
        </w:rPr>
        <w:t xml:space="preserve"> seen as</w:t>
      </w:r>
      <w:r w:rsidR="004A12EF">
        <w:rPr>
          <w:lang w:eastAsia="en-AU"/>
        </w:rPr>
        <w:t xml:space="preserve"> an exclusive alternative and </w:t>
      </w:r>
      <w:r w:rsidR="004A4823">
        <w:rPr>
          <w:lang w:eastAsia="en-AU"/>
        </w:rPr>
        <w:t>the understanding of its r</w:t>
      </w:r>
      <w:r w:rsidR="004065E2">
        <w:rPr>
          <w:lang w:eastAsia="en-AU"/>
        </w:rPr>
        <w:t>ole has</w:t>
      </w:r>
      <w:r w:rsidR="0051428D">
        <w:rPr>
          <w:lang w:eastAsia="en-AU"/>
        </w:rPr>
        <w:t xml:space="preserve"> evolved to </w:t>
      </w:r>
      <w:r w:rsidR="004A12EF">
        <w:rPr>
          <w:lang w:eastAsia="en-AU"/>
        </w:rPr>
        <w:t>allow for parties to pursue</w:t>
      </w:r>
      <w:r w:rsidR="00980A65">
        <w:rPr>
          <w:lang w:eastAsia="en-AU"/>
        </w:rPr>
        <w:t xml:space="preserve"> both</w:t>
      </w:r>
      <w:r w:rsidR="004065E2">
        <w:rPr>
          <w:lang w:eastAsia="en-AU"/>
        </w:rPr>
        <w:t xml:space="preserve">. </w:t>
      </w:r>
      <w:r w:rsidR="00307A78">
        <w:rPr>
          <w:lang w:eastAsia="en-AU"/>
        </w:rPr>
        <w:t xml:space="preserve">This can be seen through the </w:t>
      </w:r>
      <w:proofErr w:type="spellStart"/>
      <w:r w:rsidR="00D473F4">
        <w:rPr>
          <w:lang w:eastAsia="en-AU"/>
        </w:rPr>
        <w:t>Gunaikurnai</w:t>
      </w:r>
      <w:proofErr w:type="spellEnd"/>
      <w:r w:rsidR="00D473F4">
        <w:rPr>
          <w:lang w:eastAsia="en-AU"/>
        </w:rPr>
        <w:t xml:space="preserve"> </w:t>
      </w:r>
      <w:r w:rsidR="00445611">
        <w:rPr>
          <w:lang w:eastAsia="en-AU"/>
        </w:rPr>
        <w:t>achieving a</w:t>
      </w:r>
      <w:r w:rsidR="00307A78">
        <w:rPr>
          <w:lang w:eastAsia="en-AU"/>
        </w:rPr>
        <w:t xml:space="preserve"> successful native title determination</w:t>
      </w:r>
      <w:r w:rsidR="00445611">
        <w:rPr>
          <w:lang w:eastAsia="en-AU"/>
        </w:rPr>
        <w:t xml:space="preserve"> </w:t>
      </w:r>
      <w:r w:rsidR="00822568">
        <w:rPr>
          <w:lang w:eastAsia="en-AU"/>
        </w:rPr>
        <w:t>and signing a</w:t>
      </w:r>
      <w:r w:rsidR="00923CCC">
        <w:rPr>
          <w:lang w:eastAsia="en-AU"/>
        </w:rPr>
        <w:t>n RSA</w:t>
      </w:r>
      <w:r w:rsidR="00794EAD">
        <w:rPr>
          <w:lang w:eastAsia="en-AU"/>
        </w:rPr>
        <w:t xml:space="preserve"> under the </w:t>
      </w:r>
      <w:r w:rsidR="00794EAD" w:rsidRPr="0010561D">
        <w:rPr>
          <w:lang w:eastAsia="en-AU"/>
        </w:rPr>
        <w:t>Settlement Act</w:t>
      </w:r>
      <w:r w:rsidR="00822568">
        <w:rPr>
          <w:iCs/>
          <w:lang w:eastAsia="en-AU"/>
        </w:rPr>
        <w:t xml:space="preserve"> at the same time, or the Eastern Maar pursuing an RSA after previous determinations under the </w:t>
      </w:r>
      <w:r w:rsidR="00822568" w:rsidRPr="00447C8A">
        <w:rPr>
          <w:lang w:eastAsia="en-AU"/>
        </w:rPr>
        <w:t>NTA</w:t>
      </w:r>
      <w:r w:rsidR="00822568">
        <w:rPr>
          <w:iCs/>
          <w:lang w:eastAsia="en-AU"/>
        </w:rPr>
        <w:t>.</w:t>
      </w:r>
      <w:r w:rsidR="00794EAD" w:rsidRPr="005856B6">
        <w:rPr>
          <w:i/>
          <w:lang w:eastAsia="en-AU"/>
        </w:rPr>
        <w:t xml:space="preserve"> </w:t>
      </w:r>
    </w:p>
    <w:p w14:paraId="50B433A1" w14:textId="7005915F" w:rsidR="00D150BE" w:rsidRDefault="00B33020" w:rsidP="00781795">
      <w:pPr>
        <w:rPr>
          <w:lang w:eastAsia="en-AU"/>
        </w:rPr>
      </w:pPr>
      <w:r>
        <w:rPr>
          <w:lang w:eastAsia="en-AU"/>
        </w:rPr>
        <w:t>A</w:t>
      </w:r>
      <w:r w:rsidR="00781795">
        <w:rPr>
          <w:lang w:eastAsia="en-AU"/>
        </w:rPr>
        <w:t>s reported in the</w:t>
      </w:r>
      <w:r w:rsidR="00E76E2D">
        <w:rPr>
          <w:lang w:eastAsia="en-AU"/>
        </w:rPr>
        <w:t xml:space="preserve"> </w:t>
      </w:r>
      <w:r w:rsidR="00781795">
        <w:rPr>
          <w:lang w:eastAsia="en-AU"/>
        </w:rPr>
        <w:t>Strategic Review</w:t>
      </w:r>
      <w:r w:rsidR="00E76E2D">
        <w:rPr>
          <w:lang w:eastAsia="en-AU"/>
        </w:rPr>
        <w:t xml:space="preserve"> a</w:t>
      </w:r>
      <w:r w:rsidR="00781795">
        <w:rPr>
          <w:lang w:eastAsia="en-AU"/>
        </w:rPr>
        <w:t xml:space="preserve">nd raised by stakeholders interviewed as part of this Review, it seems that the aspirations of the </w:t>
      </w:r>
      <w:r w:rsidR="00781795" w:rsidRPr="0010561D">
        <w:rPr>
          <w:lang w:eastAsia="en-AU"/>
        </w:rPr>
        <w:t>Settlement Act</w:t>
      </w:r>
      <w:r w:rsidR="00781795">
        <w:rPr>
          <w:lang w:eastAsia="en-AU"/>
        </w:rPr>
        <w:t xml:space="preserve"> to easily resolve disputes through mediation ha</w:t>
      </w:r>
      <w:r w:rsidR="00D20BF8">
        <w:rPr>
          <w:lang w:eastAsia="en-AU"/>
        </w:rPr>
        <w:t>ve</w:t>
      </w:r>
      <w:r w:rsidR="00781795">
        <w:rPr>
          <w:lang w:eastAsia="en-AU"/>
        </w:rPr>
        <w:t xml:space="preserve"> not been realised </w:t>
      </w:r>
      <w:r w:rsidR="009857D8">
        <w:rPr>
          <w:lang w:eastAsia="en-AU"/>
        </w:rPr>
        <w:t>–</w:t>
      </w:r>
      <w:r w:rsidR="00781795">
        <w:rPr>
          <w:lang w:eastAsia="en-AU"/>
        </w:rPr>
        <w:t xml:space="preserve"> particularly </w:t>
      </w:r>
      <w:r w:rsidR="00C04556">
        <w:rPr>
          <w:lang w:eastAsia="en-AU"/>
        </w:rPr>
        <w:t>as many</w:t>
      </w:r>
      <w:r w:rsidR="00781795">
        <w:rPr>
          <w:lang w:eastAsia="en-AU"/>
        </w:rPr>
        <w:t xml:space="preserve"> cases </w:t>
      </w:r>
      <w:r w:rsidR="00C04556">
        <w:rPr>
          <w:lang w:eastAsia="en-AU"/>
        </w:rPr>
        <w:t xml:space="preserve">involve </w:t>
      </w:r>
      <w:r w:rsidR="00781795">
        <w:rPr>
          <w:lang w:eastAsia="en-AU"/>
        </w:rPr>
        <w:t xml:space="preserve">inter-group disputes or have a high number of objections, as in the </w:t>
      </w:r>
      <w:proofErr w:type="spellStart"/>
      <w:r w:rsidR="00781795" w:rsidRPr="00EA445C">
        <w:rPr>
          <w:lang w:eastAsia="en-AU"/>
        </w:rPr>
        <w:t>Taungurung</w:t>
      </w:r>
      <w:proofErr w:type="spellEnd"/>
      <w:r w:rsidR="00781795">
        <w:rPr>
          <w:lang w:eastAsia="en-AU"/>
        </w:rPr>
        <w:t xml:space="preserve"> case. Staff raised the fact that</w:t>
      </w:r>
      <w:r w:rsidR="005707CB">
        <w:rPr>
          <w:lang w:eastAsia="en-AU"/>
        </w:rPr>
        <w:t xml:space="preserve">, despite moving away from native title after the introduction of the </w:t>
      </w:r>
      <w:r w:rsidR="005707CB" w:rsidRPr="0010561D">
        <w:rPr>
          <w:lang w:eastAsia="en-AU"/>
        </w:rPr>
        <w:t>Settlement Act</w:t>
      </w:r>
      <w:r w:rsidR="005707CB">
        <w:rPr>
          <w:lang w:eastAsia="en-AU"/>
        </w:rPr>
        <w:t>,</w:t>
      </w:r>
      <w:r w:rsidR="00781795">
        <w:rPr>
          <w:lang w:eastAsia="en-AU"/>
        </w:rPr>
        <w:t xml:space="preserve"> Traditional Owner </w:t>
      </w:r>
      <w:r w:rsidR="001007C7">
        <w:rPr>
          <w:lang w:eastAsia="en-AU"/>
        </w:rPr>
        <w:t>g</w:t>
      </w:r>
      <w:r w:rsidR="00781795">
        <w:rPr>
          <w:lang w:eastAsia="en-AU"/>
        </w:rPr>
        <w:t xml:space="preserve">roups </w:t>
      </w:r>
      <w:r w:rsidR="005707CB">
        <w:rPr>
          <w:lang w:eastAsia="en-AU"/>
        </w:rPr>
        <w:t>were now</w:t>
      </w:r>
      <w:r w:rsidR="00781795">
        <w:rPr>
          <w:lang w:eastAsia="en-AU"/>
        </w:rPr>
        <w:t xml:space="preserve"> returning to the native title process </w:t>
      </w:r>
      <w:r w:rsidR="0079360F">
        <w:rPr>
          <w:lang w:eastAsia="en-AU"/>
        </w:rPr>
        <w:t xml:space="preserve">as their preferred approach </w:t>
      </w:r>
      <w:r w:rsidR="00781795">
        <w:rPr>
          <w:lang w:eastAsia="en-AU"/>
        </w:rPr>
        <w:t xml:space="preserve">and lodging new native title claims to progress outcomes and resolve disputes through the </w:t>
      </w:r>
      <w:r w:rsidR="00B70938">
        <w:rPr>
          <w:lang w:eastAsia="en-AU"/>
        </w:rPr>
        <w:t xml:space="preserve">Federal </w:t>
      </w:r>
      <w:r w:rsidR="00781795">
        <w:rPr>
          <w:lang w:eastAsia="en-AU"/>
        </w:rPr>
        <w:t>Court proc</w:t>
      </w:r>
      <w:r w:rsidR="00781795" w:rsidRPr="00211C99">
        <w:rPr>
          <w:lang w:eastAsia="en-AU"/>
        </w:rPr>
        <w:t>ess.</w:t>
      </w:r>
      <w:r w:rsidR="00460F7E">
        <w:rPr>
          <w:lang w:eastAsia="en-AU"/>
        </w:rPr>
        <w:t xml:space="preserve"> </w:t>
      </w:r>
    </w:p>
    <w:p w14:paraId="71118D31" w14:textId="0AAB4426" w:rsidR="00642D49" w:rsidRDefault="00301F98" w:rsidP="000F2A1E">
      <w:pPr>
        <w:rPr>
          <w:lang w:eastAsia="en-AU"/>
        </w:rPr>
      </w:pPr>
      <w:r>
        <w:rPr>
          <w:lang w:eastAsia="en-AU"/>
        </w:rPr>
        <w:t xml:space="preserve">The Review </w:t>
      </w:r>
      <w:r w:rsidR="00E718CC">
        <w:rPr>
          <w:lang w:eastAsia="en-AU"/>
        </w:rPr>
        <w:t>heard that</w:t>
      </w:r>
      <w:r w:rsidR="00AA70FC">
        <w:rPr>
          <w:lang w:eastAsia="en-AU"/>
        </w:rPr>
        <w:t xml:space="preserve"> </w:t>
      </w:r>
      <w:r w:rsidR="000F2A1E">
        <w:rPr>
          <w:lang w:eastAsia="en-AU"/>
        </w:rPr>
        <w:t xml:space="preserve">the </w:t>
      </w:r>
      <w:r w:rsidR="007362AC">
        <w:rPr>
          <w:lang w:eastAsia="en-AU"/>
        </w:rPr>
        <w:t>s</w:t>
      </w:r>
      <w:r w:rsidR="00671C07">
        <w:rPr>
          <w:lang w:eastAsia="en-AU"/>
        </w:rPr>
        <w:t xml:space="preserve">tate’s position on the </w:t>
      </w:r>
      <w:r w:rsidR="000F2A1E">
        <w:rPr>
          <w:lang w:eastAsia="en-AU"/>
        </w:rPr>
        <w:t xml:space="preserve">relationship between the </w:t>
      </w:r>
      <w:r w:rsidR="000F2A1E" w:rsidRPr="0010561D">
        <w:rPr>
          <w:lang w:eastAsia="en-AU"/>
        </w:rPr>
        <w:t>Settlement Act</w:t>
      </w:r>
      <w:r w:rsidR="000F2A1E">
        <w:rPr>
          <w:lang w:eastAsia="en-AU"/>
        </w:rPr>
        <w:t xml:space="preserve"> and the </w:t>
      </w:r>
      <w:r w:rsidR="00DF6900" w:rsidRPr="001B6D65">
        <w:rPr>
          <w:lang w:eastAsia="en-AU"/>
        </w:rPr>
        <w:t>NTA</w:t>
      </w:r>
      <w:r w:rsidR="000F2A1E" w:rsidRPr="005856B6">
        <w:rPr>
          <w:i/>
          <w:lang w:eastAsia="en-AU"/>
        </w:rPr>
        <w:t xml:space="preserve"> </w:t>
      </w:r>
      <w:r w:rsidR="00671C07">
        <w:rPr>
          <w:lang w:eastAsia="en-AU"/>
        </w:rPr>
        <w:t>ha</w:t>
      </w:r>
      <w:r w:rsidR="004136F7">
        <w:rPr>
          <w:lang w:eastAsia="en-AU"/>
        </w:rPr>
        <w:t>s</w:t>
      </w:r>
      <w:r w:rsidR="000F2A1E">
        <w:rPr>
          <w:lang w:eastAsia="en-AU"/>
        </w:rPr>
        <w:t xml:space="preserve"> </w:t>
      </w:r>
      <w:r w:rsidR="001D7681">
        <w:rPr>
          <w:lang w:eastAsia="en-AU"/>
        </w:rPr>
        <w:t>therefore</w:t>
      </w:r>
      <w:r w:rsidR="00D440BE">
        <w:rPr>
          <w:lang w:eastAsia="en-AU"/>
        </w:rPr>
        <w:t xml:space="preserve"> </w:t>
      </w:r>
      <w:r w:rsidR="000F2A1E">
        <w:rPr>
          <w:lang w:eastAsia="en-AU"/>
        </w:rPr>
        <w:t xml:space="preserve">become </w:t>
      </w:r>
      <w:r w:rsidR="004D1C27">
        <w:rPr>
          <w:lang w:eastAsia="en-AU"/>
        </w:rPr>
        <w:t>clearer</w:t>
      </w:r>
      <w:r w:rsidR="000F2A1E">
        <w:rPr>
          <w:lang w:eastAsia="en-AU"/>
        </w:rPr>
        <w:t xml:space="preserve"> in recent years</w:t>
      </w:r>
      <w:r w:rsidR="00FE6D6C">
        <w:rPr>
          <w:lang w:eastAsia="en-AU"/>
        </w:rPr>
        <w:t>.</w:t>
      </w:r>
      <w:r w:rsidR="0061450C">
        <w:rPr>
          <w:lang w:eastAsia="en-AU"/>
        </w:rPr>
        <w:t xml:space="preserve"> </w:t>
      </w:r>
      <w:r w:rsidR="00FE6D6C">
        <w:rPr>
          <w:lang w:eastAsia="en-AU"/>
        </w:rPr>
        <w:t>N</w:t>
      </w:r>
      <w:r w:rsidR="0061450C">
        <w:rPr>
          <w:lang w:eastAsia="en-AU"/>
        </w:rPr>
        <w:t>ative title processes</w:t>
      </w:r>
      <w:r w:rsidR="00FE6D6C">
        <w:rPr>
          <w:lang w:eastAsia="en-AU"/>
        </w:rPr>
        <w:t xml:space="preserve"> are now</w:t>
      </w:r>
      <w:r w:rsidR="0061450C">
        <w:rPr>
          <w:lang w:eastAsia="en-AU"/>
        </w:rPr>
        <w:t xml:space="preserve"> being seen as the avenue </w:t>
      </w:r>
      <w:r w:rsidR="00F96E46">
        <w:rPr>
          <w:lang w:eastAsia="en-AU"/>
        </w:rPr>
        <w:t xml:space="preserve">to </w:t>
      </w:r>
      <w:r w:rsidR="00D216C1">
        <w:rPr>
          <w:lang w:eastAsia="en-AU"/>
        </w:rPr>
        <w:t>determine</w:t>
      </w:r>
      <w:r w:rsidR="0036749F">
        <w:rPr>
          <w:lang w:eastAsia="en-AU"/>
        </w:rPr>
        <w:t xml:space="preserve"> boundaries</w:t>
      </w:r>
      <w:r w:rsidR="003C01F2">
        <w:rPr>
          <w:lang w:eastAsia="en-AU"/>
        </w:rPr>
        <w:t xml:space="preserve"> and grou</w:t>
      </w:r>
      <w:r w:rsidR="004136F7">
        <w:rPr>
          <w:lang w:eastAsia="en-AU"/>
        </w:rPr>
        <w:t>p composition</w:t>
      </w:r>
      <w:r w:rsidR="00D110EB">
        <w:rPr>
          <w:lang w:eastAsia="en-AU"/>
        </w:rPr>
        <w:t xml:space="preserve"> </w:t>
      </w:r>
      <w:r w:rsidR="00DD7BE5">
        <w:rPr>
          <w:lang w:eastAsia="en-AU"/>
        </w:rPr>
        <w:t>for</w:t>
      </w:r>
      <w:r w:rsidR="0061450C" w:rsidDel="00D6551E">
        <w:rPr>
          <w:lang w:eastAsia="en-AU"/>
        </w:rPr>
        <w:t xml:space="preserve"> </w:t>
      </w:r>
      <w:r w:rsidR="0061450C" w:rsidRPr="0010561D">
        <w:rPr>
          <w:lang w:eastAsia="en-AU"/>
        </w:rPr>
        <w:t>Settlement Act</w:t>
      </w:r>
      <w:r w:rsidR="00D6551E">
        <w:rPr>
          <w:i/>
          <w:iCs/>
          <w:lang w:eastAsia="en-AU"/>
        </w:rPr>
        <w:t xml:space="preserve"> </w:t>
      </w:r>
      <w:r w:rsidR="00D6551E">
        <w:rPr>
          <w:lang w:eastAsia="en-AU"/>
        </w:rPr>
        <w:t>progress</w:t>
      </w:r>
      <w:r w:rsidR="0061450C">
        <w:rPr>
          <w:lang w:eastAsia="en-AU"/>
        </w:rPr>
        <w:t xml:space="preserve"> </w:t>
      </w:r>
      <w:r w:rsidR="00D6551E">
        <w:rPr>
          <w:lang w:eastAsia="en-AU"/>
        </w:rPr>
        <w:t>and</w:t>
      </w:r>
      <w:r w:rsidR="00D110EB">
        <w:rPr>
          <w:lang w:eastAsia="en-AU"/>
        </w:rPr>
        <w:t xml:space="preserve"> post-determination settlement benefits. </w:t>
      </w:r>
      <w:r w:rsidR="00950730" w:rsidRPr="00211C99">
        <w:rPr>
          <w:lang w:eastAsia="en-AU"/>
        </w:rPr>
        <w:t xml:space="preserve">Government stakeholders interviewed as part of the Review noted that views around what establishes </w:t>
      </w:r>
      <w:r w:rsidR="000555C4">
        <w:rPr>
          <w:lang w:eastAsia="en-AU"/>
        </w:rPr>
        <w:t>“</w:t>
      </w:r>
      <w:r w:rsidR="00950730" w:rsidRPr="00211C99">
        <w:rPr>
          <w:lang w:eastAsia="en-AU"/>
        </w:rPr>
        <w:t>connection</w:t>
      </w:r>
      <w:r w:rsidR="000555C4">
        <w:rPr>
          <w:lang w:eastAsia="en-AU"/>
        </w:rPr>
        <w:t>”</w:t>
      </w:r>
      <w:r w:rsidR="00950730" w:rsidRPr="00211C99">
        <w:rPr>
          <w:lang w:eastAsia="en-AU"/>
        </w:rPr>
        <w:t xml:space="preserve"> ha</w:t>
      </w:r>
      <w:r w:rsidR="00C03E0A">
        <w:rPr>
          <w:lang w:eastAsia="en-AU"/>
        </w:rPr>
        <w:t>ve</w:t>
      </w:r>
      <w:r w:rsidR="00950730" w:rsidRPr="00211C99">
        <w:rPr>
          <w:lang w:eastAsia="en-AU"/>
        </w:rPr>
        <w:t xml:space="preserve"> also evolved over time compared to the early years of the </w:t>
      </w:r>
      <w:r w:rsidR="000A1485" w:rsidRPr="007362AC">
        <w:rPr>
          <w:lang w:eastAsia="en-AU"/>
        </w:rPr>
        <w:t>NTA</w:t>
      </w:r>
      <w:r w:rsidR="00950730" w:rsidRPr="00211C99">
        <w:rPr>
          <w:lang w:eastAsia="en-AU"/>
        </w:rPr>
        <w:t xml:space="preserve"> and that the </w:t>
      </w:r>
      <w:r w:rsidR="00C90AA0">
        <w:rPr>
          <w:lang w:eastAsia="en-AU"/>
        </w:rPr>
        <w:t>c</w:t>
      </w:r>
      <w:r w:rsidR="00950730" w:rsidRPr="00211C99">
        <w:rPr>
          <w:lang w:eastAsia="en-AU"/>
        </w:rPr>
        <w:t xml:space="preserve">ourts were also more sympathetic to working through questions around group membership and boundaries. </w:t>
      </w:r>
    </w:p>
    <w:p w14:paraId="0ADAA319" w14:textId="21880800" w:rsidR="00753F3A" w:rsidRDefault="00B93A90" w:rsidP="000F2A1E">
      <w:pPr>
        <w:rPr>
          <w:lang w:eastAsia="en-AU"/>
        </w:rPr>
      </w:pPr>
      <w:r>
        <w:rPr>
          <w:lang w:eastAsia="en-AU"/>
        </w:rPr>
        <w:t>The Review believes that this</w:t>
      </w:r>
      <w:r w:rsidR="00950730" w:rsidRPr="00211C99">
        <w:rPr>
          <w:lang w:eastAsia="en-AU"/>
        </w:rPr>
        <w:t xml:space="preserve"> has resulted in more native title claims being lodged</w:t>
      </w:r>
      <w:r w:rsidR="00950730">
        <w:rPr>
          <w:lang w:eastAsia="en-AU"/>
        </w:rPr>
        <w:t xml:space="preserve"> in recent years</w:t>
      </w:r>
      <w:r w:rsidR="00950730" w:rsidRPr="00211C99">
        <w:rPr>
          <w:lang w:eastAsia="en-AU"/>
        </w:rPr>
        <w:t xml:space="preserve"> and </w:t>
      </w:r>
      <w:r w:rsidR="001D7E67">
        <w:rPr>
          <w:lang w:eastAsia="en-AU"/>
        </w:rPr>
        <w:t xml:space="preserve">is likely to result in more native title claims </w:t>
      </w:r>
      <w:r w:rsidR="00950730" w:rsidRPr="00211C99">
        <w:rPr>
          <w:lang w:eastAsia="en-AU"/>
        </w:rPr>
        <w:t>be</w:t>
      </w:r>
      <w:r w:rsidR="004B3A4D">
        <w:rPr>
          <w:lang w:eastAsia="en-AU"/>
        </w:rPr>
        <w:t>ing</w:t>
      </w:r>
      <w:r w:rsidR="00950730" w:rsidRPr="00211C99">
        <w:rPr>
          <w:lang w:eastAsia="en-AU"/>
        </w:rPr>
        <w:t xml:space="preserve"> lodged in the future</w:t>
      </w:r>
      <w:r w:rsidR="00950730">
        <w:rPr>
          <w:lang w:eastAsia="en-AU"/>
        </w:rPr>
        <w:t xml:space="preserve">. </w:t>
      </w:r>
    </w:p>
    <w:p w14:paraId="06BBD4CF" w14:textId="307423C3" w:rsidR="001F3AD3" w:rsidRPr="002C34AB" w:rsidRDefault="002877C7" w:rsidP="002877C7">
      <w:pPr>
        <w:rPr>
          <w:rFonts w:asciiTheme="majorHAnsi" w:eastAsia="Times New Roman" w:hAnsiTheme="majorHAnsi" w:cstheme="majorHAnsi"/>
          <w:bCs/>
          <w:i/>
          <w:iCs/>
          <w:color w:val="000000" w:themeColor="text1"/>
          <w:sz w:val="18"/>
          <w:lang w:eastAsia="en-AU"/>
        </w:rPr>
      </w:pPr>
      <w:r w:rsidRPr="002C34AB">
        <w:rPr>
          <w:rFonts w:asciiTheme="majorHAnsi" w:eastAsia="Times New Roman" w:hAnsiTheme="majorHAnsi" w:cstheme="majorHAnsi"/>
          <w:i/>
          <w:color w:val="000000" w:themeColor="text1"/>
          <w:sz w:val="18"/>
          <w:lang w:eastAsia="en-AU"/>
        </w:rPr>
        <w:t xml:space="preserve">The </w:t>
      </w:r>
      <w:r w:rsidR="006025FE" w:rsidRPr="002C34AB">
        <w:rPr>
          <w:rFonts w:asciiTheme="majorHAnsi" w:eastAsia="Times New Roman" w:hAnsiTheme="majorHAnsi" w:cstheme="majorHAnsi"/>
          <w:bCs/>
          <w:i/>
          <w:iCs/>
          <w:color w:val="000000" w:themeColor="text1"/>
          <w:sz w:val="18"/>
          <w:lang w:eastAsia="en-AU"/>
        </w:rPr>
        <w:t xml:space="preserve">Victorian </w:t>
      </w:r>
      <w:r w:rsidRPr="002C34AB">
        <w:rPr>
          <w:rFonts w:asciiTheme="majorHAnsi" w:eastAsia="Times New Roman" w:hAnsiTheme="majorHAnsi" w:cstheme="majorHAnsi"/>
          <w:i/>
          <w:color w:val="000000" w:themeColor="text1"/>
          <w:sz w:val="18"/>
          <w:lang w:eastAsia="en-AU"/>
        </w:rPr>
        <w:t xml:space="preserve">Aboriginal Heritage Act </w:t>
      </w:r>
      <w:r w:rsidR="006025FE" w:rsidRPr="002C34AB">
        <w:rPr>
          <w:rFonts w:asciiTheme="majorHAnsi" w:eastAsia="Times New Roman" w:hAnsiTheme="majorHAnsi" w:cstheme="majorHAnsi"/>
          <w:bCs/>
          <w:i/>
          <w:iCs/>
          <w:color w:val="000000" w:themeColor="text1"/>
          <w:sz w:val="18"/>
          <w:lang w:eastAsia="en-AU"/>
        </w:rPr>
        <w:t>2006</w:t>
      </w:r>
    </w:p>
    <w:p w14:paraId="7DC30CFF" w14:textId="3E9942B9" w:rsidR="000072D0" w:rsidRDefault="00CB16D6" w:rsidP="002877C7">
      <w:pPr>
        <w:rPr>
          <w:lang w:eastAsia="en-AU"/>
        </w:rPr>
      </w:pPr>
      <w:r w:rsidRPr="00447C8A">
        <w:rPr>
          <w:sz w:val="18"/>
          <w:szCs w:val="20"/>
        </w:rPr>
        <w:t>The</w:t>
      </w:r>
      <w:r>
        <w:rPr>
          <w:i/>
          <w:iCs/>
          <w:sz w:val="18"/>
          <w:szCs w:val="20"/>
        </w:rPr>
        <w:t xml:space="preserve"> </w:t>
      </w:r>
      <w:r w:rsidRPr="00447C8A">
        <w:rPr>
          <w:sz w:val="18"/>
          <w:szCs w:val="20"/>
        </w:rPr>
        <w:t>Aboriginal Heritage Act</w:t>
      </w:r>
      <w:r>
        <w:rPr>
          <w:i/>
          <w:iCs/>
          <w:sz w:val="18"/>
          <w:szCs w:val="20"/>
        </w:rPr>
        <w:t xml:space="preserve"> </w:t>
      </w:r>
      <w:r w:rsidR="002877C7" w:rsidRPr="009E6009">
        <w:rPr>
          <w:lang w:eastAsia="en-AU"/>
        </w:rPr>
        <w:t>allows for the appointment of a RAP</w:t>
      </w:r>
      <w:r w:rsidR="009167B9" w:rsidRPr="009E6009">
        <w:rPr>
          <w:lang w:eastAsia="en-AU"/>
        </w:rPr>
        <w:t xml:space="preserve"> who </w:t>
      </w:r>
      <w:r w:rsidR="00F15555">
        <w:rPr>
          <w:lang w:eastAsia="en-AU"/>
        </w:rPr>
        <w:t>are</w:t>
      </w:r>
      <w:r w:rsidR="009167B9" w:rsidRPr="009E6009">
        <w:rPr>
          <w:lang w:eastAsia="en-AU"/>
        </w:rPr>
        <w:t xml:space="preserve"> recognised as the primary </w:t>
      </w:r>
      <w:r w:rsidR="002C2B02" w:rsidRPr="009E6009">
        <w:rPr>
          <w:lang w:eastAsia="en-AU"/>
        </w:rPr>
        <w:t>guardians of Aboriginal cultural heritage</w:t>
      </w:r>
      <w:r w:rsidR="00F15555">
        <w:rPr>
          <w:lang w:eastAsia="en-AU"/>
        </w:rPr>
        <w:t xml:space="preserve"> and</w:t>
      </w:r>
      <w:r w:rsidR="002423AA">
        <w:rPr>
          <w:lang w:eastAsia="en-AU"/>
        </w:rPr>
        <w:t xml:space="preserve"> </w:t>
      </w:r>
      <w:r w:rsidR="00800721">
        <w:rPr>
          <w:lang w:eastAsia="en-AU"/>
        </w:rPr>
        <w:t>have</w:t>
      </w:r>
      <w:r w:rsidR="002423AA">
        <w:rPr>
          <w:lang w:eastAsia="en-AU"/>
        </w:rPr>
        <w:t xml:space="preserve"> </w:t>
      </w:r>
      <w:r w:rsidR="00E17B0B">
        <w:rPr>
          <w:lang w:eastAsia="en-AU"/>
        </w:rPr>
        <w:t>formal Traditional Owner status</w:t>
      </w:r>
      <w:r w:rsidR="002877C7" w:rsidRPr="009E6009">
        <w:rPr>
          <w:lang w:eastAsia="en-AU"/>
        </w:rPr>
        <w:t xml:space="preserve">. </w:t>
      </w:r>
      <w:r w:rsidR="00345752" w:rsidRPr="009E6009">
        <w:rPr>
          <w:lang w:eastAsia="en-AU"/>
        </w:rPr>
        <w:t xml:space="preserve">RAP </w:t>
      </w:r>
      <w:r w:rsidR="008E232B" w:rsidRPr="009E6009">
        <w:rPr>
          <w:lang w:eastAsia="en-AU"/>
        </w:rPr>
        <w:t xml:space="preserve">status is the easiest form of </w:t>
      </w:r>
      <w:r w:rsidR="008D49B2" w:rsidRPr="009E6009">
        <w:rPr>
          <w:lang w:eastAsia="en-AU"/>
        </w:rPr>
        <w:t xml:space="preserve">formal </w:t>
      </w:r>
      <w:r w:rsidR="008E232B" w:rsidRPr="009E6009">
        <w:rPr>
          <w:lang w:eastAsia="en-AU"/>
        </w:rPr>
        <w:t xml:space="preserve">recognition to obtain and requires a lower standard of evidence focused particularly on cultural heritage. </w:t>
      </w:r>
      <w:r w:rsidR="00BE5162" w:rsidRPr="009E6009">
        <w:rPr>
          <w:lang w:eastAsia="en-AU"/>
        </w:rPr>
        <w:t>RAPs</w:t>
      </w:r>
      <w:r w:rsidR="0036115D">
        <w:rPr>
          <w:lang w:eastAsia="en-AU"/>
        </w:rPr>
        <w:t xml:space="preserve"> </w:t>
      </w:r>
      <w:r w:rsidR="00B44010">
        <w:rPr>
          <w:lang w:eastAsia="en-AU"/>
        </w:rPr>
        <w:t xml:space="preserve">are responsible for important functions such as </w:t>
      </w:r>
      <w:r w:rsidR="0036115D">
        <w:rPr>
          <w:lang w:eastAsia="en-AU"/>
        </w:rPr>
        <w:t xml:space="preserve">evaluating Cultural </w:t>
      </w:r>
      <w:r w:rsidR="00DB336F">
        <w:rPr>
          <w:lang w:eastAsia="en-AU"/>
        </w:rPr>
        <w:t>Heritage</w:t>
      </w:r>
      <w:r w:rsidR="0036115D">
        <w:rPr>
          <w:lang w:eastAsia="en-AU"/>
        </w:rPr>
        <w:t xml:space="preserve"> Management Plans</w:t>
      </w:r>
      <w:r w:rsidR="00DB336F">
        <w:rPr>
          <w:lang w:eastAsia="en-AU"/>
        </w:rPr>
        <w:t xml:space="preserve"> and entering into</w:t>
      </w:r>
      <w:r w:rsidR="00BF1AB4">
        <w:rPr>
          <w:lang w:eastAsia="en-AU"/>
        </w:rPr>
        <w:t xml:space="preserve"> Cultural Heritage</w:t>
      </w:r>
      <w:r w:rsidR="00DB336F">
        <w:rPr>
          <w:lang w:eastAsia="en-AU"/>
        </w:rPr>
        <w:t xml:space="preserve"> Land Agreements with public land managers.</w:t>
      </w:r>
      <w:r w:rsidR="001B05DE" w:rsidRPr="009E6009">
        <w:rPr>
          <w:lang w:eastAsia="en-AU"/>
        </w:rPr>
        <w:t xml:space="preserve"> </w:t>
      </w:r>
      <w:r w:rsidR="00800035">
        <w:rPr>
          <w:lang w:eastAsia="en-AU"/>
        </w:rPr>
        <w:t>There were 11 RAPs at the end of the Review period, which covered approximately 75</w:t>
      </w:r>
      <w:r w:rsidR="00F547A5">
        <w:rPr>
          <w:lang w:eastAsia="en-AU"/>
        </w:rPr>
        <w:t xml:space="preserve"> per cent</w:t>
      </w:r>
      <w:r w:rsidR="00800035">
        <w:rPr>
          <w:lang w:eastAsia="en-AU"/>
        </w:rPr>
        <w:t xml:space="preserve"> of Victoria.</w:t>
      </w:r>
    </w:p>
    <w:p w14:paraId="2A8D4F4A" w14:textId="23F91381" w:rsidR="007365B4" w:rsidRDefault="002877C7" w:rsidP="002877C7">
      <w:pPr>
        <w:rPr>
          <w:lang w:eastAsia="en-AU"/>
        </w:rPr>
      </w:pPr>
      <w:r w:rsidRPr="009E6009">
        <w:rPr>
          <w:lang w:eastAsia="en-AU"/>
        </w:rPr>
        <w:t xml:space="preserve">While this form of recognition </w:t>
      </w:r>
      <w:r w:rsidR="008E232B" w:rsidRPr="009E6009">
        <w:rPr>
          <w:lang w:eastAsia="en-AU"/>
        </w:rPr>
        <w:t>is</w:t>
      </w:r>
      <w:r w:rsidR="008F0A84">
        <w:rPr>
          <w:lang w:eastAsia="en-AU"/>
        </w:rPr>
        <w:t xml:space="preserve"> generally</w:t>
      </w:r>
      <w:r w:rsidR="008E232B" w:rsidRPr="009E6009">
        <w:rPr>
          <w:lang w:eastAsia="en-AU"/>
        </w:rPr>
        <w:t xml:space="preserve"> </w:t>
      </w:r>
      <w:r w:rsidRPr="009E6009">
        <w:rPr>
          <w:lang w:eastAsia="en-AU"/>
        </w:rPr>
        <w:t xml:space="preserve">seen to be positive, particularly </w:t>
      </w:r>
      <w:r w:rsidR="00917D7A">
        <w:rPr>
          <w:lang w:eastAsia="en-AU"/>
        </w:rPr>
        <w:t>in recognising more</w:t>
      </w:r>
      <w:r w:rsidRPr="009E6009">
        <w:rPr>
          <w:lang w:eastAsia="en-AU"/>
        </w:rPr>
        <w:t xml:space="preserve"> Traditional Owner groups with </w:t>
      </w:r>
      <w:r w:rsidR="008D49B2" w:rsidRPr="009E6009">
        <w:rPr>
          <w:lang w:eastAsia="en-AU"/>
        </w:rPr>
        <w:t>high levels</w:t>
      </w:r>
      <w:r w:rsidRPr="009E6009">
        <w:rPr>
          <w:lang w:eastAsia="en-AU"/>
        </w:rPr>
        <w:t xml:space="preserve"> of disconnection and dispossession</w:t>
      </w:r>
      <w:r w:rsidR="008D49B2" w:rsidRPr="009E6009">
        <w:rPr>
          <w:lang w:eastAsia="en-AU"/>
        </w:rPr>
        <w:t xml:space="preserve">, the additional layer of formal </w:t>
      </w:r>
      <w:r w:rsidR="001B05DE" w:rsidRPr="009E6009">
        <w:rPr>
          <w:lang w:eastAsia="en-AU"/>
        </w:rPr>
        <w:t xml:space="preserve">recognition </w:t>
      </w:r>
      <w:r w:rsidR="008D49B2" w:rsidRPr="009E6009">
        <w:rPr>
          <w:lang w:eastAsia="en-AU"/>
        </w:rPr>
        <w:t xml:space="preserve">adds complexity to the system. </w:t>
      </w:r>
      <w:r w:rsidR="00CB0803">
        <w:rPr>
          <w:lang w:eastAsia="en-AU"/>
        </w:rPr>
        <w:t>Groups with RAP status are</w:t>
      </w:r>
      <w:r w:rsidR="00291DB5">
        <w:rPr>
          <w:lang w:eastAsia="en-AU"/>
        </w:rPr>
        <w:t xml:space="preserve"> essentially</w:t>
      </w:r>
      <w:r w:rsidR="00CB0803">
        <w:rPr>
          <w:lang w:eastAsia="en-AU"/>
        </w:rPr>
        <w:t xml:space="preserve"> recognised as Traditional Owners by the </w:t>
      </w:r>
      <w:r w:rsidR="00291DB5">
        <w:rPr>
          <w:lang w:eastAsia="en-AU"/>
        </w:rPr>
        <w:t>Victorian Government</w:t>
      </w:r>
      <w:r w:rsidR="00D6551E">
        <w:rPr>
          <w:lang w:eastAsia="en-AU"/>
        </w:rPr>
        <w:t>;</w:t>
      </w:r>
      <w:r w:rsidR="009D1BBC">
        <w:rPr>
          <w:lang w:eastAsia="en-AU"/>
        </w:rPr>
        <w:t xml:space="preserve"> </w:t>
      </w:r>
      <w:r w:rsidR="00F33659">
        <w:rPr>
          <w:lang w:eastAsia="en-AU"/>
        </w:rPr>
        <w:t xml:space="preserve">however, </w:t>
      </w:r>
      <w:r w:rsidR="009D1BBC">
        <w:rPr>
          <w:lang w:eastAsia="en-AU"/>
        </w:rPr>
        <w:t>d</w:t>
      </w:r>
      <w:r w:rsidR="00590FB8">
        <w:rPr>
          <w:lang w:eastAsia="en-AU"/>
        </w:rPr>
        <w:t>o not</w:t>
      </w:r>
      <w:r w:rsidR="009D1BBC">
        <w:rPr>
          <w:lang w:eastAsia="en-AU"/>
        </w:rPr>
        <w:t xml:space="preserve"> have the same set of rights as those </w:t>
      </w:r>
      <w:r w:rsidR="00F33659">
        <w:rPr>
          <w:lang w:eastAsia="en-AU"/>
        </w:rPr>
        <w:t xml:space="preserve">under the </w:t>
      </w:r>
      <w:r w:rsidR="00F33659" w:rsidRPr="001B6D65">
        <w:rPr>
          <w:lang w:eastAsia="en-AU"/>
        </w:rPr>
        <w:t>NTA</w:t>
      </w:r>
      <w:r w:rsidR="001007C7">
        <w:rPr>
          <w:lang w:eastAsia="en-AU"/>
        </w:rPr>
        <w:t>;</w:t>
      </w:r>
      <w:r w:rsidR="003849AD">
        <w:rPr>
          <w:lang w:eastAsia="en-AU"/>
        </w:rPr>
        <w:t xml:space="preserve"> if there is a direct conflict </w:t>
      </w:r>
      <w:r w:rsidR="00A17CEC">
        <w:rPr>
          <w:lang w:eastAsia="en-AU"/>
        </w:rPr>
        <w:t>the</w:t>
      </w:r>
      <w:r w:rsidR="00A17CEC" w:rsidRPr="001B6D65">
        <w:rPr>
          <w:lang w:eastAsia="en-AU"/>
        </w:rPr>
        <w:t xml:space="preserve"> NTA</w:t>
      </w:r>
      <w:r w:rsidR="00A17CEC">
        <w:rPr>
          <w:lang w:eastAsia="en-AU"/>
        </w:rPr>
        <w:t xml:space="preserve"> overri</w:t>
      </w:r>
      <w:r w:rsidR="007107EC">
        <w:rPr>
          <w:lang w:eastAsia="en-AU"/>
        </w:rPr>
        <w:t>d</w:t>
      </w:r>
      <w:r w:rsidR="00A17CEC">
        <w:rPr>
          <w:lang w:eastAsia="en-AU"/>
        </w:rPr>
        <w:t xml:space="preserve">es any rights under the </w:t>
      </w:r>
      <w:r w:rsidR="00190D51" w:rsidRPr="00447C8A">
        <w:rPr>
          <w:iCs/>
          <w:lang w:eastAsia="en-AU"/>
        </w:rPr>
        <w:t xml:space="preserve">Aboriginal </w:t>
      </w:r>
      <w:r w:rsidR="00A17CEC" w:rsidRPr="00447C8A">
        <w:rPr>
          <w:iCs/>
          <w:lang w:eastAsia="en-AU"/>
        </w:rPr>
        <w:t>Heritage Act</w:t>
      </w:r>
      <w:r w:rsidR="00274311" w:rsidRPr="00984372">
        <w:rPr>
          <w:iCs/>
          <w:lang w:eastAsia="en-AU"/>
        </w:rPr>
        <w:t>.</w:t>
      </w:r>
      <w:r w:rsidR="00274311">
        <w:rPr>
          <w:lang w:eastAsia="en-AU"/>
        </w:rPr>
        <w:t xml:space="preserve"> </w:t>
      </w:r>
      <w:r w:rsidR="003E3953" w:rsidRPr="003E3953">
        <w:rPr>
          <w:lang w:eastAsia="en-AU"/>
        </w:rPr>
        <w:t xml:space="preserve">The lower </w:t>
      </w:r>
      <w:r w:rsidR="0045537A">
        <w:rPr>
          <w:lang w:eastAsia="en-AU"/>
        </w:rPr>
        <w:t xml:space="preserve">evidentiary </w:t>
      </w:r>
      <w:r w:rsidR="003E3953" w:rsidRPr="003E3953">
        <w:rPr>
          <w:lang w:eastAsia="en-AU"/>
        </w:rPr>
        <w:t>threshold</w:t>
      </w:r>
      <w:r w:rsidR="0045537A">
        <w:rPr>
          <w:lang w:eastAsia="en-AU"/>
        </w:rPr>
        <w:t xml:space="preserve"> for</w:t>
      </w:r>
      <w:r w:rsidR="004A2D37">
        <w:rPr>
          <w:lang w:eastAsia="en-AU"/>
        </w:rPr>
        <w:t xml:space="preserve"> connection via</w:t>
      </w:r>
      <w:r w:rsidR="00F708D3">
        <w:rPr>
          <w:lang w:eastAsia="en-AU"/>
        </w:rPr>
        <w:t xml:space="preserve"> the </w:t>
      </w:r>
      <w:r w:rsidR="00F708D3" w:rsidRPr="00447C8A">
        <w:rPr>
          <w:iCs/>
          <w:lang w:eastAsia="en-AU"/>
        </w:rPr>
        <w:t>Aboriginal Heritage Act</w:t>
      </w:r>
      <w:r w:rsidR="0045537A">
        <w:rPr>
          <w:lang w:eastAsia="en-AU"/>
        </w:rPr>
        <w:t xml:space="preserve"> </w:t>
      </w:r>
      <w:r w:rsidR="003E3953" w:rsidRPr="003E3953">
        <w:rPr>
          <w:lang w:eastAsia="en-AU"/>
        </w:rPr>
        <w:t xml:space="preserve">has resulted in some cases in a mismatch between the </w:t>
      </w:r>
      <w:r w:rsidR="004A2D37">
        <w:rPr>
          <w:lang w:eastAsia="en-AU"/>
        </w:rPr>
        <w:t xml:space="preserve">groups with </w:t>
      </w:r>
      <w:r w:rsidR="003E3953" w:rsidRPr="003E3953">
        <w:rPr>
          <w:lang w:eastAsia="en-AU"/>
        </w:rPr>
        <w:t>RAP</w:t>
      </w:r>
      <w:r w:rsidR="004A2D37">
        <w:rPr>
          <w:lang w:eastAsia="en-AU"/>
        </w:rPr>
        <w:t xml:space="preserve"> status</w:t>
      </w:r>
      <w:r w:rsidR="003E3953" w:rsidRPr="003E3953">
        <w:rPr>
          <w:lang w:eastAsia="en-AU"/>
        </w:rPr>
        <w:t xml:space="preserve"> and the likely native title holding group for the same area, further exacerbating group membership disputes</w:t>
      </w:r>
      <w:r w:rsidR="00DE06EF">
        <w:rPr>
          <w:lang w:eastAsia="en-AU"/>
        </w:rPr>
        <w:t>.</w:t>
      </w:r>
    </w:p>
    <w:p w14:paraId="3FACB94C" w14:textId="445534FC" w:rsidR="00990C5E" w:rsidRPr="00343D62" w:rsidRDefault="00A06919" w:rsidP="00FC41EF">
      <w:pPr>
        <w:rPr>
          <w:rFonts w:asciiTheme="majorHAnsi" w:eastAsia="Times New Roman" w:hAnsiTheme="majorHAnsi" w:cstheme="majorHAnsi"/>
          <w:bCs/>
          <w:i/>
          <w:iCs/>
          <w:color w:val="000000" w:themeColor="text1"/>
          <w:szCs w:val="19"/>
          <w:lang w:eastAsia="en-AU"/>
        </w:rPr>
      </w:pPr>
      <w:r w:rsidRPr="00343D62">
        <w:rPr>
          <w:rFonts w:asciiTheme="majorHAnsi" w:eastAsia="Times New Roman" w:hAnsiTheme="majorHAnsi" w:cstheme="majorHAnsi"/>
          <w:bCs/>
          <w:i/>
          <w:iCs/>
          <w:color w:val="000000" w:themeColor="text1"/>
          <w:szCs w:val="19"/>
          <w:lang w:eastAsia="en-AU"/>
        </w:rPr>
        <w:lastRenderedPageBreak/>
        <w:t>Advancing the Treaty Process with Aboriginal Victorians Act 2018</w:t>
      </w:r>
    </w:p>
    <w:p w14:paraId="7A40C634" w14:textId="23EC9085" w:rsidR="00213D8C" w:rsidRDefault="00990C5E" w:rsidP="00FC41EF">
      <w:pPr>
        <w:rPr>
          <w:lang w:eastAsia="en-AU"/>
        </w:rPr>
      </w:pPr>
      <w:r w:rsidRPr="00137768">
        <w:rPr>
          <w:lang w:eastAsia="en-AU"/>
        </w:rPr>
        <w:t xml:space="preserve">Treaty </w:t>
      </w:r>
      <w:r w:rsidR="00A06919" w:rsidRPr="00137768">
        <w:rPr>
          <w:lang w:eastAsia="en-AU"/>
        </w:rPr>
        <w:t xml:space="preserve">is also shaping the recognition system in Victoria. </w:t>
      </w:r>
      <w:r w:rsidR="00137768">
        <w:rPr>
          <w:lang w:eastAsia="en-AU"/>
        </w:rPr>
        <w:t>Victoria’s Treaty process was raised throughout most consultations as a key change on the horizon that will significantly shape the way self-determination is pursued</w:t>
      </w:r>
      <w:r w:rsidR="00974903">
        <w:rPr>
          <w:lang w:eastAsia="en-AU"/>
        </w:rPr>
        <w:t xml:space="preserve"> in </w:t>
      </w:r>
      <w:r w:rsidR="00137768">
        <w:rPr>
          <w:lang w:eastAsia="en-AU"/>
        </w:rPr>
        <w:t xml:space="preserve">Victoria and subsequently impact FNLRS as an organisation. </w:t>
      </w:r>
      <w:r w:rsidR="00696CD0" w:rsidRPr="00137768">
        <w:rPr>
          <w:lang w:eastAsia="en-AU"/>
        </w:rPr>
        <w:t xml:space="preserve">Treaty provides a path to negotiate the transfer of resources to Traditional Owners </w:t>
      </w:r>
      <w:r w:rsidR="00C75BC3" w:rsidRPr="00137768">
        <w:rPr>
          <w:lang w:eastAsia="en-AU"/>
        </w:rPr>
        <w:t>with</w:t>
      </w:r>
      <w:r w:rsidR="00974903">
        <w:rPr>
          <w:lang w:eastAsia="en-AU"/>
        </w:rPr>
        <w:t xml:space="preserve"> the </w:t>
      </w:r>
      <w:r w:rsidR="00C75BC3" w:rsidRPr="00137768">
        <w:rPr>
          <w:lang w:eastAsia="en-AU"/>
        </w:rPr>
        <w:t xml:space="preserve">aim of </w:t>
      </w:r>
      <w:r w:rsidR="00595722" w:rsidRPr="00137768">
        <w:rPr>
          <w:lang w:eastAsia="en-AU"/>
        </w:rPr>
        <w:t>delivering</w:t>
      </w:r>
      <w:r w:rsidR="00C75BC3" w:rsidRPr="00137768">
        <w:rPr>
          <w:lang w:eastAsia="en-AU"/>
        </w:rPr>
        <w:t xml:space="preserve"> long-term solutions for Traditional Owners. </w:t>
      </w:r>
    </w:p>
    <w:p w14:paraId="59587B8E" w14:textId="2EEC634B" w:rsidR="00213D8C" w:rsidRPr="00940B17" w:rsidRDefault="00213D8C" w:rsidP="00213D8C">
      <w:pPr>
        <w:rPr>
          <w:lang w:eastAsia="en-AU"/>
        </w:rPr>
      </w:pPr>
      <w:r>
        <w:rPr>
          <w:lang w:eastAsia="en-AU"/>
        </w:rPr>
        <w:t xml:space="preserve">When asked about </w:t>
      </w:r>
      <w:r w:rsidR="00B778A1">
        <w:rPr>
          <w:lang w:eastAsia="en-AU"/>
        </w:rPr>
        <w:t>FNLRS’s</w:t>
      </w:r>
      <w:r>
        <w:rPr>
          <w:lang w:eastAsia="en-AU"/>
        </w:rPr>
        <w:t xml:space="preserve"> role in Treaty, all stakeholders consulted believed that FNLRS </w:t>
      </w:r>
      <w:r w:rsidR="00974903">
        <w:rPr>
          <w:lang w:eastAsia="en-AU"/>
        </w:rPr>
        <w:t xml:space="preserve">was </w:t>
      </w:r>
      <w:r>
        <w:rPr>
          <w:lang w:eastAsia="en-AU"/>
        </w:rPr>
        <w:t>well-positioned</w:t>
      </w:r>
      <w:r w:rsidR="00974903">
        <w:rPr>
          <w:lang w:eastAsia="en-AU"/>
        </w:rPr>
        <w:t xml:space="preserve"> to </w:t>
      </w:r>
      <w:r>
        <w:rPr>
          <w:lang w:eastAsia="en-AU"/>
        </w:rPr>
        <w:t xml:space="preserve">play a </w:t>
      </w:r>
      <w:r w:rsidR="007236B3">
        <w:rPr>
          <w:lang w:eastAsia="en-AU"/>
        </w:rPr>
        <w:t xml:space="preserve">potentially </w:t>
      </w:r>
      <w:r>
        <w:rPr>
          <w:lang w:eastAsia="en-AU"/>
        </w:rPr>
        <w:t>valuable role in the process</w:t>
      </w:r>
      <w:r w:rsidR="006C0BB4">
        <w:rPr>
          <w:lang w:eastAsia="en-AU"/>
        </w:rPr>
        <w:t>, due to</w:t>
      </w:r>
      <w:r>
        <w:rPr>
          <w:lang w:eastAsia="en-AU"/>
        </w:rPr>
        <w:t xml:space="preserve"> </w:t>
      </w:r>
      <w:r w:rsidRPr="00940B17">
        <w:rPr>
          <w:lang w:eastAsia="en-AU"/>
        </w:rPr>
        <w:t xml:space="preserve">FNLRS’s deep organisational knowledge and the intersection between the </w:t>
      </w:r>
      <w:r w:rsidR="0014178C">
        <w:rPr>
          <w:lang w:eastAsia="en-AU"/>
        </w:rPr>
        <w:t>NTA</w:t>
      </w:r>
      <w:r w:rsidRPr="00940B17">
        <w:rPr>
          <w:lang w:eastAsia="en-AU"/>
        </w:rPr>
        <w:t xml:space="preserve">, Settlement Act and Treaty agreements. Stakeholders </w:t>
      </w:r>
      <w:r w:rsidR="0044473C">
        <w:rPr>
          <w:lang w:eastAsia="en-AU"/>
        </w:rPr>
        <w:t xml:space="preserve">noted that </w:t>
      </w:r>
      <w:r w:rsidR="0044473C" w:rsidRPr="00940B17">
        <w:rPr>
          <w:lang w:eastAsia="en-AU"/>
        </w:rPr>
        <w:t>if Traditional Owners seek services from FNLRS using the funding that will flow from the Self-Determination Fund</w:t>
      </w:r>
      <w:r w:rsidR="0044473C">
        <w:rPr>
          <w:lang w:eastAsia="en-AU"/>
        </w:rPr>
        <w:t>,</w:t>
      </w:r>
      <w:r w:rsidR="0044473C" w:rsidRPr="00940B17">
        <w:rPr>
          <w:lang w:eastAsia="en-AU"/>
        </w:rPr>
        <w:t xml:space="preserve"> </w:t>
      </w:r>
      <w:r w:rsidR="00974903">
        <w:rPr>
          <w:lang w:eastAsia="en-AU"/>
        </w:rPr>
        <w:t xml:space="preserve">work for </w:t>
      </w:r>
      <w:r w:rsidRPr="00940B17">
        <w:rPr>
          <w:lang w:eastAsia="en-AU"/>
        </w:rPr>
        <w:t>FNLRS might increase</w:t>
      </w:r>
      <w:r w:rsidR="0044473C">
        <w:rPr>
          <w:lang w:eastAsia="en-AU"/>
        </w:rPr>
        <w:t>.</w:t>
      </w:r>
      <w:r>
        <w:rPr>
          <w:lang w:eastAsia="en-AU"/>
        </w:rPr>
        <w:t xml:space="preserve"> Many stakeholders including PBCs</w:t>
      </w:r>
      <w:r w:rsidRPr="00940B17">
        <w:rPr>
          <w:lang w:eastAsia="en-AU"/>
        </w:rPr>
        <w:t xml:space="preserve"> noted that while the First People’s Assembly of Victoria plays an important role </w:t>
      </w:r>
      <w:r>
        <w:rPr>
          <w:lang w:eastAsia="en-AU"/>
        </w:rPr>
        <w:t>in</w:t>
      </w:r>
      <w:r w:rsidRPr="00940B17">
        <w:rPr>
          <w:lang w:eastAsia="en-AU"/>
        </w:rPr>
        <w:t xml:space="preserve"> facilitat</w:t>
      </w:r>
      <w:r>
        <w:rPr>
          <w:lang w:eastAsia="en-AU"/>
        </w:rPr>
        <w:t>ing</w:t>
      </w:r>
      <w:r w:rsidRPr="00940B17">
        <w:rPr>
          <w:lang w:eastAsia="en-AU"/>
        </w:rPr>
        <w:t xml:space="preserve"> negotiations, expert advice (including </w:t>
      </w:r>
      <w:r>
        <w:rPr>
          <w:lang w:eastAsia="en-AU"/>
        </w:rPr>
        <w:t>legal advice</w:t>
      </w:r>
      <w:r w:rsidRPr="00940B17">
        <w:rPr>
          <w:lang w:eastAsia="en-AU"/>
        </w:rPr>
        <w:t xml:space="preserve"> from FNLRS) will </w:t>
      </w:r>
      <w:r>
        <w:rPr>
          <w:lang w:eastAsia="en-AU"/>
        </w:rPr>
        <w:t>likely be needed</w:t>
      </w:r>
      <w:r w:rsidRPr="00940B17">
        <w:rPr>
          <w:lang w:eastAsia="en-AU"/>
        </w:rPr>
        <w:t xml:space="preserve"> to progress Treaty negotiations. </w:t>
      </w:r>
    </w:p>
    <w:p w14:paraId="1DB3BE1F" w14:textId="5B4F97A5" w:rsidR="003C674A" w:rsidRDefault="00595722" w:rsidP="00FC41EF">
      <w:pPr>
        <w:rPr>
          <w:lang w:eastAsia="en-AU"/>
        </w:rPr>
      </w:pPr>
      <w:r w:rsidRPr="00137768">
        <w:rPr>
          <w:lang w:eastAsia="en-AU"/>
        </w:rPr>
        <w:t xml:space="preserve">At the time of </w:t>
      </w:r>
      <w:r w:rsidR="0044473C">
        <w:rPr>
          <w:lang w:eastAsia="en-AU"/>
        </w:rPr>
        <w:t>the</w:t>
      </w:r>
      <w:r w:rsidRPr="00137768">
        <w:rPr>
          <w:lang w:eastAsia="en-AU"/>
        </w:rPr>
        <w:t xml:space="preserve"> Review, Treaty</w:t>
      </w:r>
      <w:r w:rsidR="009751A9" w:rsidRPr="00137768">
        <w:rPr>
          <w:lang w:eastAsia="en-AU"/>
        </w:rPr>
        <w:t xml:space="preserve"> was only just starting to begin the negotiation phase</w:t>
      </w:r>
      <w:r w:rsidRPr="00137768">
        <w:rPr>
          <w:lang w:eastAsia="en-AU"/>
        </w:rPr>
        <w:t>.</w:t>
      </w:r>
      <w:r w:rsidR="00974903" w:rsidRPr="00DD3A47">
        <w:rPr>
          <w:lang w:eastAsia="en-AU"/>
        </w:rPr>
        <w:t xml:space="preserve"> </w:t>
      </w:r>
      <w:r w:rsidR="00C76184" w:rsidRPr="00DD3A47">
        <w:rPr>
          <w:lang w:eastAsia="en-AU"/>
        </w:rPr>
        <w:t xml:space="preserve">More can be found </w:t>
      </w:r>
      <w:r w:rsidR="0061688D">
        <w:rPr>
          <w:lang w:eastAsia="en-AU"/>
        </w:rPr>
        <w:t>under</w:t>
      </w:r>
      <w:r w:rsidR="0061688D" w:rsidRPr="00DD3A47">
        <w:rPr>
          <w:lang w:eastAsia="en-AU"/>
        </w:rPr>
        <w:t xml:space="preserve"> </w:t>
      </w:r>
      <w:r w:rsidR="00DD3A47" w:rsidRPr="00DD3A47">
        <w:rPr>
          <w:lang w:eastAsia="en-AU"/>
        </w:rPr>
        <w:t xml:space="preserve">TOR 7 </w:t>
      </w:r>
      <w:r w:rsidR="00C76184" w:rsidRPr="00DD3A47">
        <w:rPr>
          <w:lang w:eastAsia="en-AU"/>
        </w:rPr>
        <w:t>around the likely impact of Victoria’s Treaty process on FNLRS into the future.</w:t>
      </w:r>
    </w:p>
    <w:p w14:paraId="57DECD2A" w14:textId="175A087C" w:rsidR="007B56D1" w:rsidRDefault="007B56D1" w:rsidP="007B56D1">
      <w:pPr>
        <w:pStyle w:val="Caption"/>
      </w:pPr>
      <w:bookmarkStart w:id="25" w:name="_Ref164753982"/>
      <w:r>
        <w:t xml:space="preserve">Table </w:t>
      </w:r>
      <w:r>
        <w:fldChar w:fldCharType="begin"/>
      </w:r>
      <w:r>
        <w:instrText xml:space="preserve"> SEQ Table \* ARABIC </w:instrText>
      </w:r>
      <w:r>
        <w:fldChar w:fldCharType="separate"/>
      </w:r>
      <w:r w:rsidR="00AB7E95">
        <w:rPr>
          <w:noProof/>
        </w:rPr>
        <w:t>4</w:t>
      </w:r>
      <w:r>
        <w:fldChar w:fldCharType="end"/>
      </w:r>
      <w:bookmarkEnd w:id="25"/>
      <w:r>
        <w:t xml:space="preserve"> | </w:t>
      </w:r>
      <w:r w:rsidRPr="00850B11">
        <w:t>Relevant Victorian legislation</w:t>
      </w:r>
    </w:p>
    <w:tbl>
      <w:tblPr>
        <w:tblStyle w:val="AEMO4"/>
        <w:tblW w:w="5000" w:type="pct"/>
        <w:tblLook w:val="04A0" w:firstRow="1" w:lastRow="0" w:firstColumn="1" w:lastColumn="0" w:noHBand="0" w:noVBand="1"/>
      </w:tblPr>
      <w:tblGrid>
        <w:gridCol w:w="1954"/>
        <w:gridCol w:w="6976"/>
      </w:tblGrid>
      <w:tr w:rsidR="0000360B" w:rsidRPr="005D62EA" w14:paraId="26356B45" w14:textId="77777777" w:rsidTr="006770B0">
        <w:trPr>
          <w:cnfStyle w:val="100000000000" w:firstRow="1" w:lastRow="0" w:firstColumn="0" w:lastColumn="0" w:oddVBand="0" w:evenVBand="0" w:oddHBand="0" w:evenHBand="0" w:firstRowFirstColumn="0" w:firstRowLastColumn="0" w:lastRowFirstColumn="0" w:lastRowLastColumn="0"/>
        </w:trPr>
        <w:tc>
          <w:tcPr>
            <w:tcW w:w="1094" w:type="pct"/>
          </w:tcPr>
          <w:p w14:paraId="66A47E60" w14:textId="77777777" w:rsidR="006F12A2" w:rsidRPr="005D62EA" w:rsidRDefault="006F12A2" w:rsidP="00981031">
            <w:pPr>
              <w:pStyle w:val="TableNheader"/>
            </w:pPr>
            <w:r w:rsidRPr="005D62EA">
              <w:t xml:space="preserve">Legislation </w:t>
            </w:r>
          </w:p>
        </w:tc>
        <w:tc>
          <w:tcPr>
            <w:tcW w:w="3906" w:type="pct"/>
          </w:tcPr>
          <w:p w14:paraId="4F910DE1" w14:textId="77777777" w:rsidR="006F12A2" w:rsidRPr="005D62EA" w:rsidRDefault="006F12A2" w:rsidP="00981031">
            <w:pPr>
              <w:pStyle w:val="TableNheader"/>
            </w:pPr>
            <w:r w:rsidRPr="005D62EA">
              <w:t xml:space="preserve">Description </w:t>
            </w:r>
          </w:p>
        </w:tc>
      </w:tr>
      <w:tr w:rsidR="006F12A2" w:rsidRPr="005D62EA" w14:paraId="7B4B851B" w14:textId="77777777" w:rsidTr="006770B0">
        <w:trPr>
          <w:cnfStyle w:val="000000100000" w:firstRow="0" w:lastRow="0" w:firstColumn="0" w:lastColumn="0" w:oddVBand="0" w:evenVBand="0" w:oddHBand="1" w:evenHBand="0" w:firstRowFirstColumn="0" w:firstRowLastColumn="0" w:lastRowFirstColumn="0" w:lastRowLastColumn="0"/>
          <w:trHeight w:val="704"/>
        </w:trPr>
        <w:tc>
          <w:tcPr>
            <w:tcW w:w="1094" w:type="pct"/>
          </w:tcPr>
          <w:p w14:paraId="6A60EF62" w14:textId="7F0B8BA5" w:rsidR="006F12A2" w:rsidRPr="00822C77" w:rsidRDefault="006F12A2" w:rsidP="00981031">
            <w:pPr>
              <w:pStyle w:val="TableNText"/>
              <w:rPr>
                <w:rFonts w:asciiTheme="minorHAnsi" w:hAnsiTheme="minorHAnsi" w:cstheme="minorHAnsi"/>
              </w:rPr>
            </w:pPr>
            <w:r w:rsidRPr="00822C77">
              <w:rPr>
                <w:rFonts w:asciiTheme="minorHAnsi" w:hAnsiTheme="minorHAnsi" w:cstheme="minorHAnsi"/>
                <w:i/>
              </w:rPr>
              <w:t>Traditional Owner Settlement Act 2010</w:t>
            </w:r>
            <w:r w:rsidRPr="00822C77">
              <w:rPr>
                <w:rFonts w:asciiTheme="minorHAnsi" w:hAnsiTheme="minorHAnsi" w:cstheme="minorHAnsi"/>
              </w:rPr>
              <w:t xml:space="preserve"> (V</w:t>
            </w:r>
            <w:r w:rsidR="009117EA">
              <w:rPr>
                <w:rFonts w:asciiTheme="minorHAnsi" w:hAnsiTheme="minorHAnsi" w:cstheme="minorHAnsi"/>
              </w:rPr>
              <w:t>IC</w:t>
            </w:r>
            <w:r w:rsidRPr="00822C77">
              <w:rPr>
                <w:rFonts w:asciiTheme="minorHAnsi" w:hAnsiTheme="minorHAnsi" w:cstheme="minorHAnsi"/>
              </w:rPr>
              <w:t>)</w:t>
            </w:r>
          </w:p>
        </w:tc>
        <w:tc>
          <w:tcPr>
            <w:tcW w:w="3906" w:type="pct"/>
          </w:tcPr>
          <w:p w14:paraId="23CC8115" w14:textId="44BAC7A9" w:rsidR="006F12A2" w:rsidRPr="000A05F2" w:rsidRDefault="006F12A2" w:rsidP="005E205C">
            <w:pPr>
              <w:pStyle w:val="TableNText"/>
              <w:rPr>
                <w:lang w:eastAsia="en-AU"/>
              </w:rPr>
            </w:pPr>
            <w:r w:rsidRPr="000A05F2">
              <w:rPr>
                <w:lang w:eastAsia="en-AU"/>
              </w:rPr>
              <w:t xml:space="preserve">The </w:t>
            </w:r>
            <w:r w:rsidRPr="0010561D">
              <w:rPr>
                <w:lang w:eastAsia="en-AU"/>
              </w:rPr>
              <w:t>Settlement Act</w:t>
            </w:r>
            <w:r w:rsidRPr="000A05F2">
              <w:rPr>
                <w:lang w:eastAsia="en-AU"/>
              </w:rPr>
              <w:t xml:space="preserve"> provides an alternative avenue to the </w:t>
            </w:r>
            <w:r w:rsidR="0053124C" w:rsidRPr="007362AC">
              <w:rPr>
                <w:lang w:eastAsia="en-AU"/>
              </w:rPr>
              <w:t>NTA</w:t>
            </w:r>
            <w:r w:rsidRPr="000A05F2">
              <w:rPr>
                <w:lang w:eastAsia="en-AU"/>
              </w:rPr>
              <w:t xml:space="preserve"> to recognise Traditional Owner rights in Victoria. </w:t>
            </w:r>
            <w:r w:rsidR="00A17CB2" w:rsidRPr="000A05F2">
              <w:rPr>
                <w:lang w:eastAsia="en-AU"/>
              </w:rPr>
              <w:t xml:space="preserve">The </w:t>
            </w:r>
            <w:r w:rsidR="0028297B" w:rsidRPr="000A05F2">
              <w:rPr>
                <w:lang w:eastAsia="en-AU"/>
              </w:rPr>
              <w:t>process relies on mediation to resolve disputes</w:t>
            </w:r>
            <w:r w:rsidR="00A17CB2" w:rsidRPr="000A05F2">
              <w:rPr>
                <w:lang w:eastAsia="en-AU"/>
              </w:rPr>
              <w:t xml:space="preserve"> with</w:t>
            </w:r>
            <w:r w:rsidR="0028297B" w:rsidRPr="000A05F2">
              <w:rPr>
                <w:lang w:eastAsia="en-AU"/>
              </w:rPr>
              <w:t xml:space="preserve"> </w:t>
            </w:r>
            <w:r w:rsidR="00A17CB2" w:rsidRPr="000A05F2">
              <w:rPr>
                <w:lang w:eastAsia="en-AU"/>
              </w:rPr>
              <w:t>t</w:t>
            </w:r>
            <w:r w:rsidR="00F03E97" w:rsidRPr="000A05F2">
              <w:rPr>
                <w:lang w:eastAsia="en-AU"/>
              </w:rPr>
              <w:t xml:space="preserve">he standard of proof required less </w:t>
            </w:r>
            <w:r w:rsidR="0028297B" w:rsidRPr="000A05F2">
              <w:rPr>
                <w:lang w:eastAsia="en-AU"/>
              </w:rPr>
              <w:t xml:space="preserve">than that required </w:t>
            </w:r>
            <w:r w:rsidR="0043395F" w:rsidRPr="000A05F2">
              <w:rPr>
                <w:lang w:eastAsia="en-AU"/>
              </w:rPr>
              <w:t>by the Federal Court under</w:t>
            </w:r>
            <w:r w:rsidR="0028297B" w:rsidRPr="000A05F2">
              <w:rPr>
                <w:lang w:eastAsia="en-AU"/>
              </w:rPr>
              <w:t xml:space="preserve"> the </w:t>
            </w:r>
            <w:r w:rsidR="00F46039" w:rsidRPr="007362AC">
              <w:rPr>
                <w:lang w:eastAsia="en-AU"/>
              </w:rPr>
              <w:t>NTA</w:t>
            </w:r>
            <w:r w:rsidR="00D84893" w:rsidRPr="000A05F2">
              <w:rPr>
                <w:lang w:eastAsia="en-AU"/>
              </w:rPr>
              <w:t xml:space="preserve">. </w:t>
            </w:r>
            <w:r w:rsidR="00FE48B1" w:rsidRPr="000A05F2">
              <w:rPr>
                <w:lang w:eastAsia="en-AU"/>
              </w:rPr>
              <w:t>Applicants</w:t>
            </w:r>
            <w:r w:rsidR="006975EE" w:rsidRPr="000A05F2">
              <w:rPr>
                <w:lang w:eastAsia="en-AU"/>
              </w:rPr>
              <w:t xml:space="preserve"> do not need to prove </w:t>
            </w:r>
            <w:r w:rsidR="000555C4">
              <w:rPr>
                <w:lang w:eastAsia="en-AU"/>
              </w:rPr>
              <w:t>“</w:t>
            </w:r>
            <w:r w:rsidR="006975EE" w:rsidRPr="000A05F2">
              <w:rPr>
                <w:lang w:eastAsia="en-AU"/>
              </w:rPr>
              <w:t>continuous connection</w:t>
            </w:r>
            <w:r w:rsidR="000555C4">
              <w:rPr>
                <w:lang w:eastAsia="en-AU"/>
              </w:rPr>
              <w:t>”</w:t>
            </w:r>
            <w:r w:rsidR="006975EE" w:rsidRPr="000A05F2">
              <w:rPr>
                <w:lang w:eastAsia="en-AU"/>
              </w:rPr>
              <w:t xml:space="preserve"> to Country pre-colonisation. </w:t>
            </w:r>
            <w:r w:rsidR="001B0482" w:rsidRPr="000A05F2">
              <w:rPr>
                <w:lang w:eastAsia="en-AU"/>
              </w:rPr>
              <w:t>The</w:t>
            </w:r>
            <w:r w:rsidR="00C64E74" w:rsidRPr="000A05F2">
              <w:rPr>
                <w:lang w:eastAsia="en-AU"/>
              </w:rPr>
              <w:t xml:space="preserve"> </w:t>
            </w:r>
            <w:r w:rsidR="0095599E" w:rsidRPr="007362AC">
              <w:rPr>
                <w:lang w:eastAsia="en-AU"/>
              </w:rPr>
              <w:t>NTA</w:t>
            </w:r>
            <w:r w:rsidR="00C64E74" w:rsidRPr="000A05F2">
              <w:rPr>
                <w:lang w:eastAsia="en-AU"/>
              </w:rPr>
              <w:t xml:space="preserve"> and Settlement Act processes are connected in that the</w:t>
            </w:r>
            <w:r w:rsidR="00D05CB1" w:rsidRPr="000A05F2">
              <w:rPr>
                <w:lang w:eastAsia="en-AU"/>
              </w:rPr>
              <w:t xml:space="preserve"> </w:t>
            </w:r>
            <w:r w:rsidR="00A51C42" w:rsidRPr="0010561D">
              <w:rPr>
                <w:lang w:eastAsia="en-AU"/>
              </w:rPr>
              <w:t>Settlement Act</w:t>
            </w:r>
            <w:r w:rsidR="00A51C42" w:rsidRPr="005856B6">
              <w:rPr>
                <w:i/>
                <w:lang w:eastAsia="en-AU"/>
              </w:rPr>
              <w:t xml:space="preserve"> </w:t>
            </w:r>
            <w:r w:rsidR="00A51C42" w:rsidRPr="000A05F2">
              <w:rPr>
                <w:lang w:eastAsia="en-AU"/>
              </w:rPr>
              <w:t xml:space="preserve">also provides for </w:t>
            </w:r>
            <w:r w:rsidR="005E205C">
              <w:rPr>
                <w:lang w:eastAsia="en-AU"/>
              </w:rPr>
              <w:t>I</w:t>
            </w:r>
            <w:r w:rsidR="00A51C42" w:rsidRPr="000A05F2">
              <w:rPr>
                <w:lang w:eastAsia="en-AU"/>
              </w:rPr>
              <w:t>LUA</w:t>
            </w:r>
            <w:r w:rsidR="002D6827">
              <w:rPr>
                <w:lang w:eastAsia="en-AU"/>
              </w:rPr>
              <w:t>s</w:t>
            </w:r>
            <w:r w:rsidR="00C64E74" w:rsidRPr="000A05F2">
              <w:rPr>
                <w:lang w:eastAsia="en-AU"/>
              </w:rPr>
              <w:t xml:space="preserve"> </w:t>
            </w:r>
            <w:r w:rsidR="00A51C42" w:rsidRPr="000A05F2">
              <w:rPr>
                <w:lang w:eastAsia="en-AU"/>
              </w:rPr>
              <w:t>to be part of any settlement package. ILUA</w:t>
            </w:r>
            <w:r w:rsidR="0095599E">
              <w:rPr>
                <w:lang w:eastAsia="en-AU"/>
              </w:rPr>
              <w:t>s</w:t>
            </w:r>
            <w:r w:rsidR="00A51C42" w:rsidRPr="000A05F2">
              <w:rPr>
                <w:lang w:eastAsia="en-AU"/>
              </w:rPr>
              <w:t xml:space="preserve"> are </w:t>
            </w:r>
            <w:r w:rsidR="001B0482" w:rsidRPr="000A05F2">
              <w:rPr>
                <w:lang w:eastAsia="en-AU"/>
              </w:rPr>
              <w:t>statutory</w:t>
            </w:r>
            <w:r w:rsidR="00A51C42" w:rsidRPr="000A05F2">
              <w:rPr>
                <w:lang w:eastAsia="en-AU"/>
              </w:rPr>
              <w:t xml:space="preserve"> agreements created by the </w:t>
            </w:r>
            <w:r w:rsidR="00A51C42" w:rsidRPr="007362AC">
              <w:rPr>
                <w:lang w:eastAsia="en-AU"/>
              </w:rPr>
              <w:t>N</w:t>
            </w:r>
            <w:r w:rsidR="000251C7" w:rsidRPr="007362AC">
              <w:rPr>
                <w:lang w:eastAsia="en-AU"/>
              </w:rPr>
              <w:t>TA</w:t>
            </w:r>
            <w:r w:rsidR="003E0455" w:rsidRPr="000A05F2">
              <w:rPr>
                <w:lang w:eastAsia="en-AU"/>
              </w:rPr>
              <w:t xml:space="preserve"> and must be registered under the </w:t>
            </w:r>
            <w:r w:rsidR="0095599E" w:rsidRPr="007362AC">
              <w:rPr>
                <w:lang w:eastAsia="en-AU"/>
              </w:rPr>
              <w:t>NTA</w:t>
            </w:r>
            <w:r w:rsidR="006975EE" w:rsidRPr="000A05F2">
              <w:rPr>
                <w:lang w:eastAsia="en-AU"/>
              </w:rPr>
              <w:t xml:space="preserve">. </w:t>
            </w:r>
          </w:p>
        </w:tc>
      </w:tr>
      <w:tr w:rsidR="006F12A2" w:rsidRPr="005D62EA" w14:paraId="767A7397" w14:textId="77777777" w:rsidTr="006770B0">
        <w:trPr>
          <w:cnfStyle w:val="000000010000" w:firstRow="0" w:lastRow="0" w:firstColumn="0" w:lastColumn="0" w:oddVBand="0" w:evenVBand="0" w:oddHBand="0" w:evenHBand="1" w:firstRowFirstColumn="0" w:firstRowLastColumn="0" w:lastRowFirstColumn="0" w:lastRowLastColumn="0"/>
          <w:trHeight w:val="563"/>
        </w:trPr>
        <w:tc>
          <w:tcPr>
            <w:tcW w:w="1094" w:type="pct"/>
          </w:tcPr>
          <w:p w14:paraId="1B3E6122" w14:textId="0BE3ACB3" w:rsidR="006F12A2" w:rsidRPr="00822C77" w:rsidRDefault="006F12A2" w:rsidP="00981031">
            <w:pPr>
              <w:pStyle w:val="TableNText"/>
              <w:rPr>
                <w:rFonts w:asciiTheme="minorHAnsi" w:hAnsiTheme="minorHAnsi" w:cstheme="minorHAnsi"/>
              </w:rPr>
            </w:pPr>
            <w:r w:rsidRPr="00822C77">
              <w:rPr>
                <w:rFonts w:asciiTheme="minorHAnsi" w:hAnsiTheme="minorHAnsi" w:cstheme="minorHAnsi"/>
                <w:i/>
              </w:rPr>
              <w:t>Victorian Aboriginal Heritage Act 2006</w:t>
            </w:r>
            <w:r w:rsidRPr="00822C77">
              <w:rPr>
                <w:rFonts w:asciiTheme="minorHAnsi" w:hAnsiTheme="minorHAnsi" w:cstheme="minorHAnsi"/>
              </w:rPr>
              <w:t xml:space="preserve"> </w:t>
            </w:r>
          </w:p>
        </w:tc>
        <w:tc>
          <w:tcPr>
            <w:tcW w:w="3906" w:type="pct"/>
          </w:tcPr>
          <w:p w14:paraId="432126CC" w14:textId="67621D2D" w:rsidR="006F12A2" w:rsidRPr="000A05F2" w:rsidRDefault="006F12A2" w:rsidP="005E205C">
            <w:pPr>
              <w:pStyle w:val="TableNText"/>
              <w:rPr>
                <w:lang w:eastAsia="en-AU"/>
              </w:rPr>
            </w:pPr>
            <w:r w:rsidRPr="000A05F2">
              <w:rPr>
                <w:lang w:eastAsia="en-AU"/>
              </w:rPr>
              <w:t xml:space="preserve">The </w:t>
            </w:r>
            <w:r w:rsidRPr="00447C8A">
              <w:rPr>
                <w:iCs/>
                <w:lang w:eastAsia="en-AU"/>
              </w:rPr>
              <w:t>Aboriginal Heritage Act</w:t>
            </w:r>
            <w:r w:rsidRPr="00B93B3A">
              <w:rPr>
                <w:iCs/>
                <w:lang w:eastAsia="en-AU"/>
              </w:rPr>
              <w:t xml:space="preserve"> </w:t>
            </w:r>
            <w:r w:rsidRPr="000A05F2">
              <w:rPr>
                <w:lang w:eastAsia="en-AU"/>
              </w:rPr>
              <w:t xml:space="preserve">recognises Traditional Owner </w:t>
            </w:r>
            <w:r w:rsidR="001F495E">
              <w:rPr>
                <w:lang w:eastAsia="en-AU"/>
              </w:rPr>
              <w:t>c</w:t>
            </w:r>
            <w:r w:rsidRPr="000A05F2">
              <w:rPr>
                <w:lang w:eastAsia="en-AU"/>
              </w:rPr>
              <w:t xml:space="preserve">orporations as RAPs. RAPs are another form of formal recognition in Victoria and recognises these groups as the primary guardians and holders of Aboriginal cultural heritage in the region. </w:t>
            </w:r>
            <w:r w:rsidR="00DA51E7" w:rsidRPr="000A05F2">
              <w:rPr>
                <w:lang w:eastAsia="en-AU"/>
              </w:rPr>
              <w:t>RAPs receive base funding</w:t>
            </w:r>
            <w:r w:rsidR="00211A76" w:rsidRPr="000A05F2">
              <w:rPr>
                <w:lang w:eastAsia="en-AU"/>
              </w:rPr>
              <w:t xml:space="preserve"> and have the right to collect fees for cultural heritage management activities. </w:t>
            </w:r>
          </w:p>
        </w:tc>
      </w:tr>
      <w:tr w:rsidR="006F12A2" w:rsidRPr="005D62EA" w14:paraId="7599E74C" w14:textId="77777777" w:rsidTr="006770B0">
        <w:trPr>
          <w:cnfStyle w:val="000000100000" w:firstRow="0" w:lastRow="0" w:firstColumn="0" w:lastColumn="0" w:oddVBand="0" w:evenVBand="0" w:oddHBand="1" w:evenHBand="0" w:firstRowFirstColumn="0" w:firstRowLastColumn="0" w:lastRowFirstColumn="0" w:lastRowLastColumn="0"/>
          <w:trHeight w:val="823"/>
        </w:trPr>
        <w:tc>
          <w:tcPr>
            <w:tcW w:w="1094" w:type="pct"/>
          </w:tcPr>
          <w:p w14:paraId="7D0A21EC" w14:textId="2EA4F9DC" w:rsidR="006F12A2" w:rsidRPr="00822C77" w:rsidRDefault="006F12A2" w:rsidP="00981031">
            <w:pPr>
              <w:pStyle w:val="TableNText"/>
              <w:rPr>
                <w:rFonts w:asciiTheme="minorHAnsi" w:hAnsiTheme="minorHAnsi" w:cstheme="minorHAnsi"/>
              </w:rPr>
            </w:pPr>
            <w:r w:rsidRPr="00822C77">
              <w:rPr>
                <w:rFonts w:asciiTheme="minorHAnsi" w:hAnsiTheme="minorHAnsi" w:cstheme="minorHAnsi"/>
                <w:i/>
              </w:rPr>
              <w:t>Advancing the Treaty Process with Aboriginal Victorians Act 2018</w:t>
            </w:r>
            <w:r w:rsidRPr="00822C77">
              <w:rPr>
                <w:rFonts w:asciiTheme="minorHAnsi" w:hAnsiTheme="minorHAnsi" w:cstheme="minorHAnsi"/>
              </w:rPr>
              <w:t xml:space="preserve"> </w:t>
            </w:r>
          </w:p>
        </w:tc>
        <w:tc>
          <w:tcPr>
            <w:tcW w:w="3906" w:type="pct"/>
          </w:tcPr>
          <w:p w14:paraId="08C44D27" w14:textId="19C21526" w:rsidR="00C2324C" w:rsidRPr="000A05F2" w:rsidRDefault="007C3096" w:rsidP="005E205C">
            <w:pPr>
              <w:pStyle w:val="TableNText"/>
              <w:rPr>
                <w:lang w:eastAsia="en-AU"/>
              </w:rPr>
            </w:pPr>
            <w:r w:rsidRPr="000A05F2">
              <w:rPr>
                <w:lang w:eastAsia="en-AU"/>
              </w:rPr>
              <w:t>Victoria’s</w:t>
            </w:r>
            <w:r w:rsidR="006F12A2" w:rsidRPr="000A05F2">
              <w:rPr>
                <w:lang w:eastAsia="en-AU"/>
              </w:rPr>
              <w:t xml:space="preserve"> </w:t>
            </w:r>
            <w:r w:rsidR="006F12A2" w:rsidRPr="00447C8A">
              <w:rPr>
                <w:iCs/>
                <w:lang w:eastAsia="en-AU"/>
              </w:rPr>
              <w:t>Treaty Act</w:t>
            </w:r>
            <w:r w:rsidR="006F12A2" w:rsidRPr="00B93B3A">
              <w:rPr>
                <w:iCs/>
                <w:lang w:eastAsia="en-AU"/>
              </w:rPr>
              <w:t xml:space="preserve"> </w:t>
            </w:r>
            <w:r w:rsidR="003D4C88" w:rsidRPr="000A05F2">
              <w:rPr>
                <w:lang w:eastAsia="en-AU"/>
              </w:rPr>
              <w:t xml:space="preserve">is Australia’s first Treaty Act. It </w:t>
            </w:r>
            <w:r w:rsidR="00EC2867" w:rsidRPr="000A05F2">
              <w:rPr>
                <w:lang w:eastAsia="en-AU"/>
              </w:rPr>
              <w:t>outlines</w:t>
            </w:r>
            <w:r w:rsidR="003D4C88" w:rsidRPr="000A05F2">
              <w:rPr>
                <w:lang w:eastAsia="en-AU"/>
              </w:rPr>
              <w:t xml:space="preserve"> the pathway towards achieving Treaty negotiations in Victoria</w:t>
            </w:r>
            <w:r w:rsidR="004A077F" w:rsidRPr="000A05F2">
              <w:rPr>
                <w:lang w:eastAsia="en-AU"/>
              </w:rPr>
              <w:t xml:space="preserve">. The </w:t>
            </w:r>
            <w:r w:rsidR="003560A6" w:rsidRPr="000A05F2">
              <w:rPr>
                <w:lang w:eastAsia="en-AU"/>
              </w:rPr>
              <w:t xml:space="preserve">Treaty </w:t>
            </w:r>
            <w:r w:rsidR="00EC2867" w:rsidRPr="000A05F2">
              <w:rPr>
                <w:lang w:eastAsia="en-AU"/>
              </w:rPr>
              <w:t>Act establishes the First People’s Assembly of Victoria</w:t>
            </w:r>
            <w:r w:rsidR="009E6A86" w:rsidRPr="000A05F2">
              <w:rPr>
                <w:lang w:eastAsia="en-AU"/>
              </w:rPr>
              <w:t>,</w:t>
            </w:r>
            <w:r w:rsidR="00996B93" w:rsidRPr="000A05F2">
              <w:rPr>
                <w:lang w:eastAsia="en-AU"/>
              </w:rPr>
              <w:t xml:space="preserve"> which </w:t>
            </w:r>
            <w:r w:rsidR="00170E8D" w:rsidRPr="000A05F2">
              <w:rPr>
                <w:lang w:eastAsia="en-AU"/>
              </w:rPr>
              <w:t xml:space="preserve">comprises 31 members </w:t>
            </w:r>
            <w:r w:rsidR="00017D4B">
              <w:rPr>
                <w:lang w:eastAsia="en-AU"/>
              </w:rPr>
              <w:t>(</w:t>
            </w:r>
            <w:r w:rsidR="00170E8D" w:rsidRPr="000A05F2">
              <w:rPr>
                <w:lang w:eastAsia="en-AU"/>
              </w:rPr>
              <w:t>Traditional Owners</w:t>
            </w:r>
            <w:r w:rsidR="00017D4B">
              <w:rPr>
                <w:lang w:eastAsia="en-AU"/>
              </w:rPr>
              <w:t>)</w:t>
            </w:r>
            <w:r w:rsidR="00170E8D" w:rsidRPr="000A05F2">
              <w:rPr>
                <w:lang w:eastAsia="en-AU"/>
              </w:rPr>
              <w:t xml:space="preserve"> across Victoria </w:t>
            </w:r>
            <w:r w:rsidR="005C6406" w:rsidRPr="000A05F2">
              <w:rPr>
                <w:lang w:eastAsia="en-AU"/>
              </w:rPr>
              <w:t xml:space="preserve">and is </w:t>
            </w:r>
            <w:r w:rsidR="00996B93" w:rsidRPr="000A05F2">
              <w:rPr>
                <w:lang w:eastAsia="en-AU"/>
              </w:rPr>
              <w:t xml:space="preserve">the key body to </w:t>
            </w:r>
            <w:r w:rsidR="00170E8D" w:rsidRPr="000A05F2">
              <w:rPr>
                <w:lang w:eastAsia="en-AU"/>
              </w:rPr>
              <w:t>progress Treaty negotiations</w:t>
            </w:r>
            <w:r w:rsidR="00B62235" w:rsidRPr="000A05F2">
              <w:rPr>
                <w:lang w:eastAsia="en-AU"/>
              </w:rPr>
              <w:t xml:space="preserve">. The </w:t>
            </w:r>
            <w:r w:rsidR="00984372" w:rsidRPr="000A05F2">
              <w:t>Treaty Act</w:t>
            </w:r>
            <w:r w:rsidR="00984372" w:rsidRPr="000A05F2" w:rsidDel="00984372">
              <w:rPr>
                <w:lang w:eastAsia="en-AU"/>
              </w:rPr>
              <w:t xml:space="preserve"> </w:t>
            </w:r>
            <w:r w:rsidR="00B62235" w:rsidRPr="000A05F2">
              <w:rPr>
                <w:lang w:eastAsia="en-AU"/>
              </w:rPr>
              <w:t xml:space="preserve">also sets out a </w:t>
            </w:r>
            <w:r w:rsidR="008B40F7" w:rsidRPr="000A05F2">
              <w:rPr>
                <w:lang w:eastAsia="en-AU"/>
              </w:rPr>
              <w:t>Treaty Negotiation Framework</w:t>
            </w:r>
            <w:r w:rsidR="00B62235" w:rsidRPr="000A05F2">
              <w:rPr>
                <w:lang w:eastAsia="en-AU"/>
              </w:rPr>
              <w:t xml:space="preserve">, establishes a Treaty Authority and </w:t>
            </w:r>
            <w:r w:rsidR="008B40F7" w:rsidRPr="000A05F2">
              <w:rPr>
                <w:lang w:eastAsia="en-AU"/>
              </w:rPr>
              <w:t xml:space="preserve">the Self-Determination Fund. </w:t>
            </w:r>
            <w:r w:rsidR="00BF4734" w:rsidRPr="000A05F2">
              <w:rPr>
                <w:lang w:eastAsia="en-AU"/>
              </w:rPr>
              <w:t xml:space="preserve">The Self-Determination Fund </w:t>
            </w:r>
            <w:r w:rsidR="00567B4D" w:rsidRPr="000A05F2">
              <w:rPr>
                <w:lang w:eastAsia="en-AU"/>
              </w:rPr>
              <w:t xml:space="preserve">provides funding for Traditional Owners to </w:t>
            </w:r>
            <w:r w:rsidR="00066AE2" w:rsidRPr="000A05F2">
              <w:rPr>
                <w:lang w:eastAsia="en-AU"/>
              </w:rPr>
              <w:t>progress Treaty negotiations and help to build communities.</w:t>
            </w:r>
          </w:p>
        </w:tc>
      </w:tr>
    </w:tbl>
    <w:p w14:paraId="6CAB809D" w14:textId="643171FB" w:rsidR="00C267A7" w:rsidRDefault="00C267A7" w:rsidP="00C267A7">
      <w:pPr>
        <w:pStyle w:val="Heading4"/>
      </w:pPr>
      <w:r>
        <w:t>Complexity of remaining claims</w:t>
      </w:r>
    </w:p>
    <w:p w14:paraId="1CCAA86C" w14:textId="60625650" w:rsidR="00AB4D9F" w:rsidRDefault="00AB4D9F" w:rsidP="3F43E8F7">
      <w:pPr>
        <w:pStyle w:val="Heading5"/>
        <w:numPr>
          <w:ilvl w:val="4"/>
          <w:numId w:val="0"/>
        </w:numPr>
      </w:pPr>
      <w:r w:rsidRPr="6967B2CC">
        <w:t xml:space="preserve">The complexity of remaining claims </w:t>
      </w:r>
      <w:r w:rsidR="001B27D8" w:rsidRPr="6967B2CC">
        <w:t xml:space="preserve">is </w:t>
      </w:r>
      <w:r w:rsidR="004A2335" w:rsidRPr="6967B2CC">
        <w:t xml:space="preserve">largely </w:t>
      </w:r>
      <w:r w:rsidR="001B27D8" w:rsidRPr="6967B2CC">
        <w:t>caused by</w:t>
      </w:r>
      <w:r w:rsidR="00A14086" w:rsidRPr="6967B2CC">
        <w:t xml:space="preserve"> </w:t>
      </w:r>
      <w:r w:rsidR="00566E8E" w:rsidRPr="6967B2CC">
        <w:t>inter</w:t>
      </w:r>
      <w:r w:rsidR="003560A6">
        <w:t>-</w:t>
      </w:r>
      <w:r w:rsidR="00566E8E" w:rsidRPr="6967B2CC">
        <w:t xml:space="preserve"> and </w:t>
      </w:r>
      <w:r w:rsidR="003560A6" w:rsidRPr="6967B2CC">
        <w:t>intra</w:t>
      </w:r>
      <w:r w:rsidR="003560A6">
        <w:t xml:space="preserve">-family </w:t>
      </w:r>
      <w:r w:rsidR="00A14086" w:rsidRPr="6967B2CC">
        <w:t xml:space="preserve">group </w:t>
      </w:r>
      <w:r w:rsidR="00566E8E" w:rsidRPr="6967B2CC">
        <w:t xml:space="preserve">disputes </w:t>
      </w:r>
    </w:p>
    <w:p w14:paraId="680786FC" w14:textId="298572DF" w:rsidR="009F5144" w:rsidRDefault="00AB4D9F" w:rsidP="009F5144">
      <w:pPr>
        <w:rPr>
          <w:lang w:eastAsia="en-AU"/>
        </w:rPr>
      </w:pPr>
      <w:r w:rsidRPr="00AB4D9F">
        <w:rPr>
          <w:lang w:eastAsia="en-AU"/>
        </w:rPr>
        <w:t xml:space="preserve">Staff reported it was possible for all native title claims </w:t>
      </w:r>
      <w:r w:rsidR="00E22A30">
        <w:rPr>
          <w:lang w:eastAsia="en-AU"/>
        </w:rPr>
        <w:t xml:space="preserve">in Victoria </w:t>
      </w:r>
      <w:r w:rsidRPr="00AB4D9F">
        <w:rPr>
          <w:lang w:eastAsia="en-AU"/>
        </w:rPr>
        <w:t>to be finalised in the next five to ten years</w:t>
      </w:r>
      <w:r w:rsidR="00E22A30">
        <w:rPr>
          <w:lang w:eastAsia="en-AU"/>
        </w:rPr>
        <w:t>, with the major barrier to pro</w:t>
      </w:r>
      <w:r w:rsidR="004B2B9F">
        <w:rPr>
          <w:lang w:eastAsia="en-AU"/>
        </w:rPr>
        <w:t xml:space="preserve">gressing claims </w:t>
      </w:r>
      <w:r w:rsidR="00E22A30">
        <w:rPr>
          <w:lang w:eastAsia="en-AU"/>
        </w:rPr>
        <w:t>being</w:t>
      </w:r>
      <w:r w:rsidR="002E4BC0">
        <w:rPr>
          <w:lang w:eastAsia="en-AU"/>
        </w:rPr>
        <w:t xml:space="preserve"> </w:t>
      </w:r>
      <w:r w:rsidR="004B2B9F">
        <w:rPr>
          <w:lang w:eastAsia="en-AU"/>
        </w:rPr>
        <w:t>inter</w:t>
      </w:r>
      <w:r w:rsidR="00D71B82">
        <w:rPr>
          <w:lang w:eastAsia="en-AU"/>
        </w:rPr>
        <w:t>-</w:t>
      </w:r>
      <w:r w:rsidR="004B2B9F">
        <w:rPr>
          <w:lang w:eastAsia="en-AU"/>
        </w:rPr>
        <w:t xml:space="preserve"> and intra</w:t>
      </w:r>
      <w:r w:rsidR="00D71B82">
        <w:rPr>
          <w:lang w:eastAsia="en-AU"/>
        </w:rPr>
        <w:t>-</w:t>
      </w:r>
      <w:r w:rsidR="00E22A30">
        <w:rPr>
          <w:lang w:eastAsia="en-AU"/>
        </w:rPr>
        <w:t xml:space="preserve">family </w:t>
      </w:r>
      <w:r w:rsidR="004B2B9F">
        <w:rPr>
          <w:lang w:eastAsia="en-AU"/>
        </w:rPr>
        <w:t>group</w:t>
      </w:r>
      <w:r w:rsidR="00B5617D">
        <w:rPr>
          <w:lang w:eastAsia="en-AU"/>
        </w:rPr>
        <w:t xml:space="preserve"> disputes</w:t>
      </w:r>
      <w:r w:rsidR="004B2B9F">
        <w:rPr>
          <w:lang w:eastAsia="en-AU"/>
        </w:rPr>
        <w:t xml:space="preserve">. Areas prioritised to date </w:t>
      </w:r>
      <w:r w:rsidR="002E4BC0">
        <w:rPr>
          <w:lang w:eastAsia="en-AU"/>
        </w:rPr>
        <w:t>have been</w:t>
      </w:r>
      <w:r w:rsidR="004B2B9F">
        <w:rPr>
          <w:lang w:eastAsia="en-AU"/>
        </w:rPr>
        <w:t xml:space="preserve"> areas with more cohesive family group composition </w:t>
      </w:r>
      <w:r w:rsidR="002E4BC0">
        <w:rPr>
          <w:lang w:eastAsia="en-AU"/>
        </w:rPr>
        <w:t>and</w:t>
      </w:r>
      <w:r w:rsidR="004B2B9F">
        <w:rPr>
          <w:lang w:eastAsia="en-AU"/>
        </w:rPr>
        <w:t xml:space="preserve"> less disputed boundaries.</w:t>
      </w:r>
      <w:r w:rsidR="002E4BC0">
        <w:rPr>
          <w:lang w:eastAsia="en-AU"/>
        </w:rPr>
        <w:t xml:space="preserve"> </w:t>
      </w:r>
      <w:r>
        <w:rPr>
          <w:lang w:eastAsia="en-AU"/>
        </w:rPr>
        <w:t xml:space="preserve">FNLRS staff reported that native title </w:t>
      </w:r>
      <w:r w:rsidR="0029039B">
        <w:rPr>
          <w:lang w:eastAsia="en-AU"/>
        </w:rPr>
        <w:t>p</w:t>
      </w:r>
      <w:r w:rsidRPr="006E7DDC">
        <w:rPr>
          <w:lang w:eastAsia="en-AU"/>
        </w:rPr>
        <w:t>rogres</w:t>
      </w:r>
      <w:r>
        <w:rPr>
          <w:lang w:eastAsia="en-AU"/>
        </w:rPr>
        <w:t>s</w:t>
      </w:r>
      <w:r w:rsidRPr="006E7DDC">
        <w:rPr>
          <w:lang w:eastAsia="en-AU"/>
        </w:rPr>
        <w:t xml:space="preserve"> in areas with no formal determinations </w:t>
      </w:r>
      <w:r w:rsidR="004A2335">
        <w:rPr>
          <w:lang w:eastAsia="en-AU"/>
        </w:rPr>
        <w:t>to date</w:t>
      </w:r>
      <w:r w:rsidRPr="006E7DDC">
        <w:rPr>
          <w:lang w:eastAsia="en-AU"/>
        </w:rPr>
        <w:t xml:space="preserve"> is likely to be slow</w:t>
      </w:r>
      <w:r>
        <w:rPr>
          <w:lang w:eastAsia="en-AU"/>
        </w:rPr>
        <w:t xml:space="preserve"> and difficult</w:t>
      </w:r>
      <w:r w:rsidRPr="006E7DDC">
        <w:rPr>
          <w:lang w:eastAsia="en-AU"/>
        </w:rPr>
        <w:t xml:space="preserve">. </w:t>
      </w:r>
      <w:r w:rsidR="00611991">
        <w:rPr>
          <w:lang w:eastAsia="en-AU"/>
        </w:rPr>
        <w:t>G</w:t>
      </w:r>
      <w:r w:rsidRPr="006E7DDC">
        <w:rPr>
          <w:lang w:eastAsia="en-AU"/>
        </w:rPr>
        <w:t xml:space="preserve">overnment stakeholders </w:t>
      </w:r>
      <w:r w:rsidR="0029039B">
        <w:rPr>
          <w:lang w:eastAsia="en-AU"/>
        </w:rPr>
        <w:t xml:space="preserve">also </w:t>
      </w:r>
      <w:r w:rsidRPr="006E7DDC">
        <w:rPr>
          <w:lang w:eastAsia="en-AU"/>
        </w:rPr>
        <w:t xml:space="preserve">recognised the complexity of these </w:t>
      </w:r>
      <w:r>
        <w:rPr>
          <w:lang w:eastAsia="en-AU"/>
        </w:rPr>
        <w:t xml:space="preserve">remaining </w:t>
      </w:r>
      <w:r w:rsidRPr="006E7DDC">
        <w:rPr>
          <w:lang w:eastAsia="en-AU"/>
        </w:rPr>
        <w:t xml:space="preserve">areas which have </w:t>
      </w:r>
      <w:r w:rsidR="0029039B">
        <w:rPr>
          <w:lang w:eastAsia="en-AU"/>
        </w:rPr>
        <w:t>long-standing</w:t>
      </w:r>
      <w:r w:rsidRPr="006E7DDC">
        <w:rPr>
          <w:lang w:eastAsia="en-AU"/>
        </w:rPr>
        <w:t xml:space="preserve"> inter-family group disputes</w:t>
      </w:r>
      <w:r w:rsidR="002530C2">
        <w:rPr>
          <w:lang w:eastAsia="en-AU"/>
        </w:rPr>
        <w:t>,</w:t>
      </w:r>
      <w:r w:rsidR="00DA3365">
        <w:rPr>
          <w:lang w:eastAsia="en-AU"/>
        </w:rPr>
        <w:t xml:space="preserve"> which unless resolved, will </w:t>
      </w:r>
      <w:r w:rsidR="004A2335">
        <w:rPr>
          <w:lang w:eastAsia="en-AU"/>
        </w:rPr>
        <w:t xml:space="preserve">affect </w:t>
      </w:r>
      <w:r w:rsidR="00DA3365">
        <w:rPr>
          <w:lang w:eastAsia="en-AU"/>
        </w:rPr>
        <w:t xml:space="preserve">FNLRS’s ability to perform its native title </w:t>
      </w:r>
      <w:r w:rsidR="00363BEC">
        <w:rPr>
          <w:lang w:eastAsia="en-AU"/>
        </w:rPr>
        <w:t>functions</w:t>
      </w:r>
      <w:r w:rsidR="00DA3365">
        <w:rPr>
          <w:lang w:eastAsia="en-AU"/>
        </w:rPr>
        <w:t>.</w:t>
      </w:r>
    </w:p>
    <w:p w14:paraId="0A71F149" w14:textId="77777777" w:rsidR="00C267A7" w:rsidRDefault="00C267A7" w:rsidP="00C267A7">
      <w:pPr>
        <w:pStyle w:val="Heading4"/>
      </w:pPr>
      <w:r w:rsidRPr="6967B2CC">
        <w:lastRenderedPageBreak/>
        <w:t>History of previous claims</w:t>
      </w:r>
    </w:p>
    <w:p w14:paraId="6BAE8965" w14:textId="77EAB1A1" w:rsidR="001C4047" w:rsidRDefault="007A4E77" w:rsidP="3F43E8F7">
      <w:pPr>
        <w:pStyle w:val="Heading5"/>
        <w:numPr>
          <w:ilvl w:val="4"/>
          <w:numId w:val="0"/>
        </w:numPr>
      </w:pPr>
      <w:r w:rsidRPr="6967B2CC">
        <w:t xml:space="preserve">The </w:t>
      </w:r>
      <w:r w:rsidR="005A6AA2" w:rsidRPr="6967B2CC">
        <w:t xml:space="preserve">negative </w:t>
      </w:r>
      <w:r w:rsidRPr="6967B2CC">
        <w:t xml:space="preserve">Yorta </w:t>
      </w:r>
      <w:proofErr w:type="spellStart"/>
      <w:r w:rsidRPr="6967B2CC">
        <w:t>Yorta</w:t>
      </w:r>
      <w:proofErr w:type="spellEnd"/>
      <w:r w:rsidR="005A6AA2" w:rsidRPr="6967B2CC">
        <w:t xml:space="preserve"> determination </w:t>
      </w:r>
      <w:r w:rsidR="004C3F3F" w:rsidRPr="6967B2CC">
        <w:t>continued to have an impact</w:t>
      </w:r>
      <w:r w:rsidR="004148D7" w:rsidRPr="6967B2CC">
        <w:t xml:space="preserve"> on</w:t>
      </w:r>
      <w:r w:rsidR="00327548" w:rsidRPr="6967B2CC">
        <w:t xml:space="preserve"> </w:t>
      </w:r>
      <w:r w:rsidR="00E84FA9" w:rsidRPr="6967B2CC">
        <w:t>the achievement of</w:t>
      </w:r>
      <w:r w:rsidR="00327548" w:rsidRPr="6967B2CC">
        <w:t xml:space="preserve"> native title </w:t>
      </w:r>
    </w:p>
    <w:p w14:paraId="7C18F525" w14:textId="7DE2F767" w:rsidR="00330862" w:rsidRDefault="00945A59" w:rsidP="00327548">
      <w:pPr>
        <w:rPr>
          <w:lang w:eastAsia="en-AU"/>
        </w:rPr>
      </w:pPr>
      <w:r w:rsidRPr="00AE24F3">
        <w:rPr>
          <w:lang w:eastAsia="en-AU"/>
        </w:rPr>
        <w:t xml:space="preserve">As </w:t>
      </w:r>
      <w:r w:rsidR="007B50FC">
        <w:rPr>
          <w:lang w:eastAsia="en-AU"/>
        </w:rPr>
        <w:t>noted above</w:t>
      </w:r>
      <w:r w:rsidRPr="00AE24F3">
        <w:rPr>
          <w:lang w:eastAsia="en-AU"/>
        </w:rPr>
        <w:t>, t</w:t>
      </w:r>
      <w:r w:rsidR="00327548" w:rsidRPr="00AE24F3">
        <w:rPr>
          <w:lang w:eastAsia="en-AU"/>
        </w:rPr>
        <w:t>he</w:t>
      </w:r>
      <w:r w:rsidR="00327548">
        <w:rPr>
          <w:lang w:eastAsia="en-AU"/>
        </w:rPr>
        <w:t xml:space="preserve"> </w:t>
      </w:r>
      <w:r w:rsidR="00A30D8A">
        <w:rPr>
          <w:lang w:eastAsia="en-AU"/>
        </w:rPr>
        <w:t xml:space="preserve">unfavourable </w:t>
      </w:r>
      <w:r w:rsidR="00AF4D67">
        <w:rPr>
          <w:lang w:eastAsia="en-AU"/>
        </w:rPr>
        <w:t xml:space="preserve">1998 </w:t>
      </w:r>
      <w:r w:rsidR="00C35DBE">
        <w:rPr>
          <w:lang w:eastAsia="en-AU"/>
        </w:rPr>
        <w:t xml:space="preserve">Yorta </w:t>
      </w:r>
      <w:proofErr w:type="spellStart"/>
      <w:r w:rsidR="00C35DBE">
        <w:rPr>
          <w:lang w:eastAsia="en-AU"/>
        </w:rPr>
        <w:t>Yorta</w:t>
      </w:r>
      <w:proofErr w:type="spellEnd"/>
      <w:r w:rsidR="00C35DBE">
        <w:rPr>
          <w:lang w:eastAsia="en-AU"/>
        </w:rPr>
        <w:t xml:space="preserve"> </w:t>
      </w:r>
      <w:r w:rsidR="003270DD">
        <w:rPr>
          <w:lang w:eastAsia="en-AU"/>
        </w:rPr>
        <w:t xml:space="preserve">decision </w:t>
      </w:r>
      <w:r w:rsidR="00C35DBE">
        <w:rPr>
          <w:lang w:eastAsia="en-AU"/>
        </w:rPr>
        <w:t>(</w:t>
      </w:r>
      <w:r w:rsidR="00C35DBE" w:rsidRPr="00C35DBE">
        <w:rPr>
          <w:lang w:eastAsia="en-AU"/>
        </w:rPr>
        <w:t>VID6001/1995</w:t>
      </w:r>
      <w:r w:rsidR="004B5CAA">
        <w:rPr>
          <w:lang w:eastAsia="en-AU"/>
        </w:rPr>
        <w:t xml:space="preserve">) and </w:t>
      </w:r>
      <w:r w:rsidR="007315B6">
        <w:rPr>
          <w:lang w:eastAsia="en-AU"/>
        </w:rPr>
        <w:t>unsuccessful</w:t>
      </w:r>
      <w:r w:rsidR="003161C1">
        <w:rPr>
          <w:lang w:eastAsia="en-AU"/>
        </w:rPr>
        <w:t xml:space="preserve"> </w:t>
      </w:r>
      <w:r w:rsidR="008B7E8F" w:rsidRPr="00AE24F3">
        <w:rPr>
          <w:lang w:eastAsia="en-AU"/>
        </w:rPr>
        <w:t>High Court</w:t>
      </w:r>
      <w:r w:rsidR="004B5CAA">
        <w:rPr>
          <w:lang w:eastAsia="en-AU"/>
        </w:rPr>
        <w:t xml:space="preserve"> appeals</w:t>
      </w:r>
      <w:r w:rsidR="006D1C89">
        <w:rPr>
          <w:lang w:eastAsia="en-AU"/>
        </w:rPr>
        <w:t xml:space="preserve"> </w:t>
      </w:r>
      <w:r w:rsidR="000231D6" w:rsidRPr="00AE24F3">
        <w:rPr>
          <w:lang w:eastAsia="en-AU"/>
        </w:rPr>
        <w:t xml:space="preserve">significantly impacted </w:t>
      </w:r>
      <w:r w:rsidR="00734D4C" w:rsidRPr="00AE24F3">
        <w:rPr>
          <w:lang w:eastAsia="en-AU"/>
        </w:rPr>
        <w:t>the likelihood of achieving</w:t>
      </w:r>
      <w:r w:rsidR="00A30D8A">
        <w:rPr>
          <w:lang w:eastAsia="en-AU"/>
        </w:rPr>
        <w:t xml:space="preserve"> native title recognition</w:t>
      </w:r>
      <w:r w:rsidR="00611BA9" w:rsidRPr="00AE24F3">
        <w:rPr>
          <w:lang w:eastAsia="en-AU"/>
        </w:rPr>
        <w:t xml:space="preserve"> in Victoria</w:t>
      </w:r>
      <w:r w:rsidR="00CB5663" w:rsidRPr="00AE24F3">
        <w:rPr>
          <w:lang w:eastAsia="en-AU"/>
        </w:rPr>
        <w:t xml:space="preserve">, given the high bar of </w:t>
      </w:r>
      <w:r w:rsidR="001C66EC" w:rsidRPr="00AE24F3">
        <w:rPr>
          <w:lang w:eastAsia="en-AU"/>
        </w:rPr>
        <w:t xml:space="preserve">evidence </w:t>
      </w:r>
      <w:r w:rsidR="00897EF0" w:rsidRPr="00AE24F3">
        <w:rPr>
          <w:lang w:eastAsia="en-AU"/>
        </w:rPr>
        <w:t>required</w:t>
      </w:r>
      <w:r w:rsidR="001C66EC" w:rsidRPr="00AE24F3">
        <w:rPr>
          <w:lang w:eastAsia="en-AU"/>
        </w:rPr>
        <w:t xml:space="preserve"> to prove continuous</w:t>
      </w:r>
      <w:r w:rsidR="00CB5663" w:rsidRPr="00AE24F3">
        <w:rPr>
          <w:lang w:eastAsia="en-AU"/>
        </w:rPr>
        <w:t xml:space="preserve"> </w:t>
      </w:r>
      <w:r w:rsidR="00A5561B" w:rsidRPr="00AE24F3">
        <w:rPr>
          <w:lang w:eastAsia="en-AU"/>
        </w:rPr>
        <w:t xml:space="preserve">connection with </w:t>
      </w:r>
      <w:r w:rsidR="00B77E10">
        <w:rPr>
          <w:lang w:eastAsia="en-AU"/>
        </w:rPr>
        <w:t>Country</w:t>
      </w:r>
      <w:r w:rsidR="00A5561B" w:rsidRPr="00AE24F3">
        <w:rPr>
          <w:lang w:eastAsia="en-AU"/>
        </w:rPr>
        <w:t xml:space="preserve"> </w:t>
      </w:r>
      <w:r w:rsidR="001C66EC" w:rsidRPr="00AE24F3">
        <w:rPr>
          <w:lang w:eastAsia="en-AU"/>
        </w:rPr>
        <w:t>since pre-colonial society.</w:t>
      </w:r>
      <w:r w:rsidR="00661019">
        <w:rPr>
          <w:lang w:eastAsia="en-AU"/>
        </w:rPr>
        <w:t xml:space="preserve"> </w:t>
      </w:r>
      <w:r w:rsidR="00704F65">
        <w:rPr>
          <w:lang w:eastAsia="en-AU"/>
        </w:rPr>
        <w:t>Many stakeholders who spoke to the Review</w:t>
      </w:r>
      <w:r w:rsidR="00DB4CDA">
        <w:rPr>
          <w:lang w:eastAsia="en-AU"/>
        </w:rPr>
        <w:t xml:space="preserve"> </w:t>
      </w:r>
      <w:r w:rsidR="001C66EC" w:rsidRPr="00AE24F3">
        <w:rPr>
          <w:lang w:eastAsia="en-AU"/>
        </w:rPr>
        <w:t xml:space="preserve">believed that the Yorta </w:t>
      </w:r>
      <w:proofErr w:type="spellStart"/>
      <w:r w:rsidR="001C66EC" w:rsidRPr="00AE24F3">
        <w:rPr>
          <w:lang w:eastAsia="en-AU"/>
        </w:rPr>
        <w:t>Yorta</w:t>
      </w:r>
      <w:proofErr w:type="spellEnd"/>
      <w:r w:rsidR="001C66EC" w:rsidRPr="00AE24F3">
        <w:rPr>
          <w:lang w:eastAsia="en-AU"/>
        </w:rPr>
        <w:t xml:space="preserve"> </w:t>
      </w:r>
      <w:r w:rsidR="000A695D" w:rsidRPr="00AE24F3">
        <w:rPr>
          <w:lang w:eastAsia="en-AU"/>
        </w:rPr>
        <w:t xml:space="preserve">case continued to cast a </w:t>
      </w:r>
      <w:r w:rsidR="002C15C2">
        <w:rPr>
          <w:lang w:eastAsia="en-AU"/>
        </w:rPr>
        <w:t xml:space="preserve">long </w:t>
      </w:r>
      <w:r w:rsidR="000A695D" w:rsidRPr="00AE24F3">
        <w:rPr>
          <w:lang w:eastAsia="en-AU"/>
        </w:rPr>
        <w:t>shadow o</w:t>
      </w:r>
      <w:r w:rsidR="00070682">
        <w:rPr>
          <w:lang w:eastAsia="en-AU"/>
        </w:rPr>
        <w:t>ver</w:t>
      </w:r>
      <w:r w:rsidR="000A695D" w:rsidRPr="00AE24F3">
        <w:rPr>
          <w:lang w:eastAsia="en-AU"/>
        </w:rPr>
        <w:t xml:space="preserve"> the native title system and </w:t>
      </w:r>
      <w:r w:rsidR="004F048D">
        <w:rPr>
          <w:lang w:eastAsia="en-AU"/>
        </w:rPr>
        <w:t>increased</w:t>
      </w:r>
      <w:r w:rsidR="001C66EC" w:rsidRPr="00AE24F3">
        <w:rPr>
          <w:lang w:eastAsia="en-AU"/>
        </w:rPr>
        <w:t xml:space="preserve"> </w:t>
      </w:r>
      <w:r w:rsidR="001B0CD8" w:rsidRPr="00AE24F3">
        <w:rPr>
          <w:lang w:eastAsia="en-AU"/>
        </w:rPr>
        <w:t xml:space="preserve">uncertainty around </w:t>
      </w:r>
      <w:r w:rsidR="001C66EC" w:rsidRPr="00AE24F3">
        <w:rPr>
          <w:lang w:eastAsia="en-AU"/>
        </w:rPr>
        <w:t xml:space="preserve">the </w:t>
      </w:r>
      <w:r w:rsidR="0025636D" w:rsidRPr="00AE24F3">
        <w:rPr>
          <w:lang w:eastAsia="en-AU"/>
        </w:rPr>
        <w:t>likelihood of</w:t>
      </w:r>
      <w:r w:rsidR="001C66EC" w:rsidRPr="00AE24F3">
        <w:rPr>
          <w:lang w:eastAsia="en-AU"/>
        </w:rPr>
        <w:t xml:space="preserve"> </w:t>
      </w:r>
      <w:r w:rsidR="004F048D">
        <w:rPr>
          <w:lang w:eastAsia="en-AU"/>
        </w:rPr>
        <w:t>success of</w:t>
      </w:r>
      <w:r w:rsidR="001C66EC" w:rsidRPr="00AE24F3">
        <w:rPr>
          <w:lang w:eastAsia="en-AU"/>
        </w:rPr>
        <w:t xml:space="preserve"> native title claims</w:t>
      </w:r>
      <w:r w:rsidR="0033564A" w:rsidRPr="00AE24F3">
        <w:rPr>
          <w:lang w:eastAsia="en-AU"/>
        </w:rPr>
        <w:t>.</w:t>
      </w:r>
      <w:r w:rsidR="00AC67BD">
        <w:rPr>
          <w:lang w:eastAsia="en-AU"/>
        </w:rPr>
        <w:t xml:space="preserve"> </w:t>
      </w:r>
      <w:r w:rsidR="00DD5404">
        <w:rPr>
          <w:lang w:eastAsia="en-AU"/>
        </w:rPr>
        <w:t>However, over the last</w:t>
      </w:r>
      <w:r w:rsidR="00AE2917">
        <w:rPr>
          <w:lang w:eastAsia="en-AU"/>
        </w:rPr>
        <w:t xml:space="preserve"> </w:t>
      </w:r>
      <w:r w:rsidR="00D71B82">
        <w:rPr>
          <w:lang w:eastAsia="en-AU"/>
        </w:rPr>
        <w:t xml:space="preserve">20 </w:t>
      </w:r>
      <w:r w:rsidR="00AE2917">
        <w:rPr>
          <w:lang w:eastAsia="en-AU"/>
        </w:rPr>
        <w:t>years</w:t>
      </w:r>
      <w:r w:rsidR="001C0D2A">
        <w:rPr>
          <w:lang w:eastAsia="en-AU"/>
        </w:rPr>
        <w:t>,</w:t>
      </w:r>
      <w:r w:rsidR="00AC67BD">
        <w:rPr>
          <w:lang w:eastAsia="en-AU"/>
        </w:rPr>
        <w:t xml:space="preserve"> both the </w:t>
      </w:r>
      <w:r w:rsidR="000D7E8C">
        <w:rPr>
          <w:lang w:eastAsia="en-AU"/>
        </w:rPr>
        <w:t>Victorian G</w:t>
      </w:r>
      <w:r w:rsidR="00AC67BD">
        <w:rPr>
          <w:lang w:eastAsia="en-AU"/>
        </w:rPr>
        <w:t xml:space="preserve">overnment and </w:t>
      </w:r>
      <w:r w:rsidR="003270DD">
        <w:rPr>
          <w:lang w:eastAsia="en-AU"/>
        </w:rPr>
        <w:t xml:space="preserve">the </w:t>
      </w:r>
      <w:r w:rsidR="00AC67BD">
        <w:rPr>
          <w:lang w:eastAsia="en-AU"/>
        </w:rPr>
        <w:t xml:space="preserve">Federal Court </w:t>
      </w:r>
      <w:r w:rsidR="00DD5404">
        <w:rPr>
          <w:lang w:eastAsia="en-AU"/>
        </w:rPr>
        <w:t>have adopted</w:t>
      </w:r>
      <w:r w:rsidR="001C0D2A">
        <w:rPr>
          <w:lang w:eastAsia="en-AU"/>
        </w:rPr>
        <w:t xml:space="preserve"> a more</w:t>
      </w:r>
      <w:r w:rsidR="00080806">
        <w:rPr>
          <w:lang w:eastAsia="en-AU"/>
        </w:rPr>
        <w:t xml:space="preserve"> favourable </w:t>
      </w:r>
      <w:r w:rsidR="00BF5C22">
        <w:rPr>
          <w:lang w:eastAsia="en-AU"/>
        </w:rPr>
        <w:t xml:space="preserve">and flexible </w:t>
      </w:r>
      <w:r w:rsidR="00080806">
        <w:rPr>
          <w:lang w:eastAsia="en-AU"/>
        </w:rPr>
        <w:t xml:space="preserve">approach to native title </w:t>
      </w:r>
      <w:r w:rsidR="00DD5404">
        <w:rPr>
          <w:lang w:eastAsia="en-AU"/>
        </w:rPr>
        <w:t>which</w:t>
      </w:r>
      <w:r w:rsidR="00065DD1">
        <w:rPr>
          <w:lang w:eastAsia="en-AU"/>
        </w:rPr>
        <w:t>, although still difficult,</w:t>
      </w:r>
      <w:r w:rsidR="00DD5404">
        <w:rPr>
          <w:lang w:eastAsia="en-AU"/>
        </w:rPr>
        <w:t xml:space="preserve"> has resulted in claims being successfully determined. </w:t>
      </w:r>
    </w:p>
    <w:p w14:paraId="504246E0" w14:textId="77777777" w:rsidR="00C267A7" w:rsidRDefault="00C267A7" w:rsidP="00C267A7">
      <w:pPr>
        <w:pStyle w:val="Heading4"/>
      </w:pPr>
      <w:r>
        <w:t>Complexity of land use and tenure</w:t>
      </w:r>
    </w:p>
    <w:p w14:paraId="3B8F30F8" w14:textId="3E08396F" w:rsidR="00BB5011" w:rsidRPr="000D199D" w:rsidRDefault="00BB5011" w:rsidP="00447C8A">
      <w:pPr>
        <w:pStyle w:val="Heading5"/>
      </w:pPr>
      <w:r w:rsidRPr="6967B2CC">
        <w:t xml:space="preserve">Complexity of land use and tenure </w:t>
      </w:r>
      <w:r w:rsidR="00901302" w:rsidRPr="6967B2CC">
        <w:t>did</w:t>
      </w:r>
      <w:r w:rsidRPr="6967B2CC">
        <w:t xml:space="preserve"> not significant</w:t>
      </w:r>
      <w:r w:rsidR="00901302" w:rsidRPr="6967B2CC">
        <w:t>ly</w:t>
      </w:r>
      <w:r w:rsidRPr="6967B2CC">
        <w:t xml:space="preserve"> impact </w:t>
      </w:r>
      <w:r w:rsidR="00B778A1" w:rsidRPr="6967B2CC">
        <w:t>FNLRS’s</w:t>
      </w:r>
      <w:r w:rsidRPr="6967B2CC">
        <w:t xml:space="preserve"> performance</w:t>
      </w:r>
    </w:p>
    <w:p w14:paraId="3659DDB4" w14:textId="45351B63" w:rsidR="00DC32C6" w:rsidRDefault="00DC32C6" w:rsidP="0032270A">
      <w:pPr>
        <w:rPr>
          <w:highlight w:val="yellow"/>
          <w:lang w:eastAsia="en-AU"/>
        </w:rPr>
      </w:pPr>
      <w:r w:rsidRPr="000D199D">
        <w:rPr>
          <w:lang w:eastAsia="en-AU"/>
        </w:rPr>
        <w:t>The intensity of Victoria's colonisation means that areas with substantial potential for land use and activity were exploited before the Ma</w:t>
      </w:r>
      <w:r w:rsidR="001E6C28">
        <w:rPr>
          <w:lang w:eastAsia="en-AU"/>
        </w:rPr>
        <w:t>b</w:t>
      </w:r>
      <w:r w:rsidRPr="000D199D">
        <w:rPr>
          <w:lang w:eastAsia="en-AU"/>
        </w:rPr>
        <w:t xml:space="preserve">o decision and are thus not </w:t>
      </w:r>
      <w:r w:rsidR="005749E6">
        <w:rPr>
          <w:lang w:eastAsia="en-AU"/>
        </w:rPr>
        <w:t>the subject of</w:t>
      </w:r>
      <w:r w:rsidRPr="000D199D">
        <w:rPr>
          <w:lang w:eastAsia="en-AU"/>
        </w:rPr>
        <w:t xml:space="preserve"> native title claims. As a </w:t>
      </w:r>
      <w:r w:rsidR="001E6C28" w:rsidRPr="000D199D">
        <w:rPr>
          <w:lang w:eastAsia="en-AU"/>
        </w:rPr>
        <w:t>result,</w:t>
      </w:r>
      <w:r w:rsidRPr="000D199D">
        <w:rPr>
          <w:lang w:eastAsia="en-AU"/>
        </w:rPr>
        <w:t xml:space="preserve"> land use complexity was not cited by stakeholders as an </w:t>
      </w:r>
      <w:r>
        <w:rPr>
          <w:rStyle w:val="normaltextrun"/>
          <w:rFonts w:cs="Segoe UI"/>
          <w:color w:val="000000"/>
          <w:shd w:val="clear" w:color="auto" w:fill="FFFFFF"/>
        </w:rPr>
        <w:t xml:space="preserve">influence on </w:t>
      </w:r>
      <w:r w:rsidR="00B778A1">
        <w:rPr>
          <w:rStyle w:val="normaltextrun"/>
          <w:rFonts w:cs="Segoe UI"/>
          <w:color w:val="000000"/>
          <w:shd w:val="clear" w:color="auto" w:fill="FFFFFF"/>
        </w:rPr>
        <w:t>FNLRS’s</w:t>
      </w:r>
      <w:r>
        <w:rPr>
          <w:rStyle w:val="normaltextrun"/>
          <w:rFonts w:cs="Segoe UI"/>
          <w:color w:val="000000"/>
          <w:shd w:val="clear" w:color="auto" w:fill="FFFFFF"/>
        </w:rPr>
        <w:t xml:space="preserve"> ability to achieve positive native title outcomes.</w:t>
      </w:r>
      <w:r>
        <w:rPr>
          <w:rStyle w:val="eop"/>
          <w:rFonts w:cs="Segoe UI"/>
          <w:color w:val="000000"/>
          <w:shd w:val="clear" w:color="auto" w:fill="FFFFFF"/>
        </w:rPr>
        <w:t> </w:t>
      </w:r>
    </w:p>
    <w:p w14:paraId="19A5D28C" w14:textId="77777777" w:rsidR="00C267A7" w:rsidRDefault="00C267A7" w:rsidP="00C267A7">
      <w:pPr>
        <w:pStyle w:val="Heading4"/>
      </w:pPr>
      <w:r>
        <w:t>COVID-19</w:t>
      </w:r>
    </w:p>
    <w:p w14:paraId="0D0A10D4" w14:textId="0805709F" w:rsidR="00934D71" w:rsidRPr="00934D71" w:rsidRDefault="00934D71" w:rsidP="3248A9F0">
      <w:pPr>
        <w:pStyle w:val="Heading5"/>
        <w:numPr>
          <w:ilvl w:val="4"/>
          <w:numId w:val="0"/>
        </w:numPr>
      </w:pPr>
      <w:r w:rsidRPr="6967B2CC">
        <w:t>FNLRS implemented appropriate measures to respond to COVID-19</w:t>
      </w:r>
      <w:r w:rsidR="0070425A" w:rsidRPr="6967B2CC">
        <w:t>, though</w:t>
      </w:r>
      <w:r w:rsidR="008238BD" w:rsidRPr="6967B2CC">
        <w:t xml:space="preserve"> native title</w:t>
      </w:r>
      <w:r w:rsidR="0070425A" w:rsidRPr="6967B2CC">
        <w:t xml:space="preserve"> progress was </w:t>
      </w:r>
      <w:r w:rsidR="003E15D7" w:rsidRPr="6967B2CC">
        <w:t xml:space="preserve">delayed </w:t>
      </w:r>
      <w:r w:rsidR="0070425A" w:rsidRPr="6967B2CC">
        <w:t xml:space="preserve">by </w:t>
      </w:r>
      <w:r w:rsidR="00C12E3E" w:rsidRPr="6967B2CC">
        <w:t>lengthy lockdowns</w:t>
      </w:r>
    </w:p>
    <w:p w14:paraId="399DD5AD" w14:textId="069D2A1D" w:rsidR="00C75FBE" w:rsidRDefault="00DB6327" w:rsidP="009F455A">
      <w:pPr>
        <w:rPr>
          <w:lang w:eastAsia="en-AU"/>
        </w:rPr>
      </w:pPr>
      <w:r>
        <w:rPr>
          <w:lang w:eastAsia="en-AU"/>
        </w:rPr>
        <w:t xml:space="preserve">FNLRS developed a </w:t>
      </w:r>
      <w:r w:rsidR="004D69A6">
        <w:rPr>
          <w:lang w:eastAsia="en-AU"/>
        </w:rPr>
        <w:t xml:space="preserve">COVID-19 </w:t>
      </w:r>
      <w:r>
        <w:rPr>
          <w:lang w:eastAsia="en-AU"/>
        </w:rPr>
        <w:t>Safe Plan</w:t>
      </w:r>
      <w:r w:rsidR="0087109D">
        <w:rPr>
          <w:lang w:eastAsia="en-AU"/>
        </w:rPr>
        <w:t xml:space="preserve"> </w:t>
      </w:r>
      <w:r>
        <w:rPr>
          <w:lang w:eastAsia="en-AU"/>
        </w:rPr>
        <w:t xml:space="preserve">which </w:t>
      </w:r>
      <w:r w:rsidR="0087109D">
        <w:rPr>
          <w:lang w:eastAsia="en-AU"/>
        </w:rPr>
        <w:t xml:space="preserve">was established </w:t>
      </w:r>
      <w:r w:rsidR="00001257">
        <w:rPr>
          <w:lang w:eastAsia="en-AU"/>
        </w:rPr>
        <w:t xml:space="preserve">in response to the </w:t>
      </w:r>
      <w:r w:rsidR="0061416F">
        <w:rPr>
          <w:lang w:eastAsia="en-AU"/>
        </w:rPr>
        <w:t>pandemic</w:t>
      </w:r>
      <w:r w:rsidR="00001257">
        <w:rPr>
          <w:lang w:eastAsia="en-AU"/>
        </w:rPr>
        <w:t xml:space="preserve"> </w:t>
      </w:r>
      <w:r w:rsidR="0087109D">
        <w:rPr>
          <w:lang w:eastAsia="en-AU"/>
        </w:rPr>
        <w:t xml:space="preserve">to maintain the health, safety and wellbeing of all employees as well as contractors, volunteers and visitors. </w:t>
      </w:r>
      <w:r w:rsidR="009875EB">
        <w:rPr>
          <w:lang w:eastAsia="en-AU"/>
        </w:rPr>
        <w:t>FNLRS implemented several measures</w:t>
      </w:r>
      <w:r w:rsidR="00AF1299">
        <w:rPr>
          <w:lang w:eastAsia="en-AU"/>
        </w:rPr>
        <w:t>,</w:t>
      </w:r>
      <w:r w:rsidR="009875EB">
        <w:rPr>
          <w:lang w:eastAsia="en-AU"/>
        </w:rPr>
        <w:t xml:space="preserve"> including </w:t>
      </w:r>
      <w:r w:rsidR="009875EB" w:rsidRPr="007B492F">
        <w:rPr>
          <w:lang w:eastAsia="en-AU"/>
        </w:rPr>
        <w:t>closure of the office</w:t>
      </w:r>
      <w:r w:rsidR="00C75FBE">
        <w:rPr>
          <w:lang w:eastAsia="en-AU"/>
        </w:rPr>
        <w:t xml:space="preserve"> and </w:t>
      </w:r>
      <w:r w:rsidR="00D14C21">
        <w:rPr>
          <w:lang w:eastAsia="en-AU"/>
        </w:rPr>
        <w:t>a mandate to work</w:t>
      </w:r>
      <w:r w:rsidR="009875EB" w:rsidRPr="007B492F">
        <w:rPr>
          <w:lang w:eastAsia="en-AU"/>
        </w:rPr>
        <w:t xml:space="preserve"> from home for all staff</w:t>
      </w:r>
      <w:r w:rsidR="00C75FBE">
        <w:rPr>
          <w:lang w:eastAsia="en-AU"/>
        </w:rPr>
        <w:t xml:space="preserve">. The provision of laptops to all staff just before COVID-19 as part of a general IT upgrade for the office helped the office smoothly transition to working from home. </w:t>
      </w:r>
    </w:p>
    <w:p w14:paraId="6C5F9C42" w14:textId="74FE657C" w:rsidR="00DD7E3E" w:rsidRDefault="0056548B" w:rsidP="009F455A">
      <w:pPr>
        <w:rPr>
          <w:lang w:eastAsia="en-AU"/>
        </w:rPr>
      </w:pPr>
      <w:r>
        <w:rPr>
          <w:lang w:eastAsia="en-AU"/>
        </w:rPr>
        <w:t xml:space="preserve">COVID-19 resulted in a slowdown of the mediation process for </w:t>
      </w:r>
      <w:r w:rsidR="00650AAB">
        <w:rPr>
          <w:lang w:eastAsia="en-AU"/>
        </w:rPr>
        <w:t>all FNLRS cases</w:t>
      </w:r>
      <w:r w:rsidR="00AF1299">
        <w:rPr>
          <w:lang w:eastAsia="en-AU"/>
        </w:rPr>
        <w:t xml:space="preserve">, </w:t>
      </w:r>
      <w:r w:rsidR="0068052F">
        <w:rPr>
          <w:lang w:eastAsia="en-AU"/>
        </w:rPr>
        <w:t xml:space="preserve">with no </w:t>
      </w:r>
      <w:r w:rsidR="00253B8F" w:rsidDel="00363CE7">
        <w:rPr>
          <w:lang w:eastAsia="en-AU"/>
        </w:rPr>
        <w:t>face</w:t>
      </w:r>
      <w:r w:rsidR="00253B8F">
        <w:rPr>
          <w:lang w:eastAsia="en-AU"/>
        </w:rPr>
        <w:t>-to-face</w:t>
      </w:r>
      <w:r w:rsidR="0068052F">
        <w:rPr>
          <w:lang w:eastAsia="en-AU"/>
        </w:rPr>
        <w:t xml:space="preserve"> meetings with Traditional Owners in Victoria </w:t>
      </w:r>
      <w:r w:rsidR="003270DD">
        <w:rPr>
          <w:lang w:eastAsia="en-AU"/>
        </w:rPr>
        <w:t xml:space="preserve">given the strong </w:t>
      </w:r>
      <w:r w:rsidR="0068052F">
        <w:rPr>
          <w:lang w:eastAsia="en-AU"/>
        </w:rPr>
        <w:t>lockdown</w:t>
      </w:r>
      <w:r w:rsidR="00B96250">
        <w:rPr>
          <w:lang w:eastAsia="en-AU"/>
        </w:rPr>
        <w:t>.</w:t>
      </w:r>
      <w:r w:rsidR="00650AAB">
        <w:rPr>
          <w:lang w:eastAsia="en-AU"/>
        </w:rPr>
        <w:t xml:space="preserve"> </w:t>
      </w:r>
      <w:r w:rsidR="001313AA">
        <w:rPr>
          <w:lang w:eastAsia="en-AU"/>
        </w:rPr>
        <w:t>D</w:t>
      </w:r>
      <w:r w:rsidR="00650AAB">
        <w:rPr>
          <w:lang w:eastAsia="en-AU"/>
        </w:rPr>
        <w:t>espite this</w:t>
      </w:r>
      <w:r w:rsidR="001313AA">
        <w:rPr>
          <w:lang w:eastAsia="en-AU"/>
        </w:rPr>
        <w:t>,</w:t>
      </w:r>
      <w:r w:rsidR="00650AAB">
        <w:rPr>
          <w:lang w:eastAsia="en-AU"/>
        </w:rPr>
        <w:t xml:space="preserve"> FNLRS was</w:t>
      </w:r>
      <w:r w:rsidR="00104638">
        <w:rPr>
          <w:lang w:eastAsia="en-AU"/>
        </w:rPr>
        <w:t xml:space="preserve"> able to continue to progress</w:t>
      </w:r>
      <w:r w:rsidR="00B41187">
        <w:rPr>
          <w:lang w:eastAsia="en-AU"/>
        </w:rPr>
        <w:t xml:space="preserve"> </w:t>
      </w:r>
      <w:r w:rsidR="00A912B6">
        <w:rPr>
          <w:lang w:eastAsia="en-AU"/>
        </w:rPr>
        <w:t>active</w:t>
      </w:r>
      <w:r w:rsidR="00B41187">
        <w:rPr>
          <w:lang w:eastAsia="en-AU"/>
        </w:rPr>
        <w:t xml:space="preserve"> </w:t>
      </w:r>
      <w:r w:rsidR="00F41F4A">
        <w:rPr>
          <w:lang w:eastAsia="en-AU"/>
        </w:rPr>
        <w:t>claims before the Federal Court</w:t>
      </w:r>
      <w:r w:rsidR="00806C61">
        <w:rPr>
          <w:lang w:eastAsia="en-AU"/>
        </w:rPr>
        <w:t xml:space="preserve"> (</w:t>
      </w:r>
      <w:r w:rsidR="00B41187">
        <w:rPr>
          <w:lang w:eastAsia="en-AU"/>
        </w:rPr>
        <w:t>the Eastern Maar People’s claim and the First Peopl</w:t>
      </w:r>
      <w:r w:rsidR="00F458CA">
        <w:rPr>
          <w:lang w:eastAsia="en-AU"/>
        </w:rPr>
        <w:t>es</w:t>
      </w:r>
      <w:r w:rsidR="00B41187">
        <w:rPr>
          <w:lang w:eastAsia="en-AU"/>
        </w:rPr>
        <w:t xml:space="preserve"> of the </w:t>
      </w:r>
      <w:proofErr w:type="spellStart"/>
      <w:r w:rsidR="002712B2">
        <w:rPr>
          <w:lang w:eastAsia="en-AU"/>
        </w:rPr>
        <w:t>Mil</w:t>
      </w:r>
      <w:r w:rsidR="009E60B2">
        <w:rPr>
          <w:lang w:eastAsia="en-AU"/>
        </w:rPr>
        <w:t>l</w:t>
      </w:r>
      <w:r w:rsidR="007C4650">
        <w:rPr>
          <w:lang w:eastAsia="en-AU"/>
        </w:rPr>
        <w:t>e</w:t>
      </w:r>
      <w:r w:rsidR="002712B2">
        <w:rPr>
          <w:lang w:eastAsia="en-AU"/>
        </w:rPr>
        <w:t>wa</w:t>
      </w:r>
      <w:proofErr w:type="spellEnd"/>
      <w:r w:rsidR="00B41187">
        <w:rPr>
          <w:lang w:eastAsia="en-AU"/>
        </w:rPr>
        <w:t xml:space="preserve">-Mallee </w:t>
      </w:r>
      <w:r w:rsidR="004464E3">
        <w:rPr>
          <w:lang w:eastAsia="en-AU"/>
        </w:rPr>
        <w:t>c</w:t>
      </w:r>
      <w:r w:rsidR="00B41187">
        <w:rPr>
          <w:lang w:eastAsia="en-AU"/>
        </w:rPr>
        <w:t>laim</w:t>
      </w:r>
      <w:r w:rsidR="00806C61">
        <w:rPr>
          <w:lang w:eastAsia="en-AU"/>
        </w:rPr>
        <w:t>)</w:t>
      </w:r>
      <w:r w:rsidR="00B41187">
        <w:rPr>
          <w:lang w:eastAsia="en-AU"/>
        </w:rPr>
        <w:t xml:space="preserve">. </w:t>
      </w:r>
      <w:r w:rsidR="004464E3">
        <w:rPr>
          <w:lang w:eastAsia="en-AU"/>
        </w:rPr>
        <w:t>FNLRS s</w:t>
      </w:r>
      <w:r w:rsidR="00D53B22">
        <w:rPr>
          <w:lang w:eastAsia="en-AU"/>
        </w:rPr>
        <w:t>taff reported that there was a strong focus on trying to keep community groups engaged during this time and conduct</w:t>
      </w:r>
      <w:r w:rsidR="00B93F44">
        <w:rPr>
          <w:lang w:eastAsia="en-AU"/>
        </w:rPr>
        <w:t>ed</w:t>
      </w:r>
      <w:r w:rsidR="00D53B22">
        <w:rPr>
          <w:lang w:eastAsia="en-AU"/>
        </w:rPr>
        <w:t xml:space="preserve"> meetings online where they could, although </w:t>
      </w:r>
      <w:r w:rsidR="00626C59">
        <w:rPr>
          <w:lang w:eastAsia="en-AU"/>
        </w:rPr>
        <w:t xml:space="preserve">some meetings were rescheduled till </w:t>
      </w:r>
      <w:r w:rsidR="004311AC">
        <w:rPr>
          <w:lang w:eastAsia="en-AU"/>
        </w:rPr>
        <w:t>later financial years</w:t>
      </w:r>
      <w:r w:rsidR="00C71B16">
        <w:rPr>
          <w:lang w:eastAsia="en-AU"/>
        </w:rPr>
        <w:t>.</w:t>
      </w:r>
      <w:r w:rsidR="004311AC">
        <w:rPr>
          <w:lang w:eastAsia="en-AU"/>
        </w:rPr>
        <w:t xml:space="preserve"> </w:t>
      </w:r>
      <w:r w:rsidR="001868DC" w:rsidRPr="00484DA5">
        <w:rPr>
          <w:lang w:eastAsia="en-AU"/>
        </w:rPr>
        <w:t>R</w:t>
      </w:r>
      <w:r w:rsidR="007C347A" w:rsidRPr="00484DA5">
        <w:rPr>
          <w:lang w:eastAsia="en-AU"/>
        </w:rPr>
        <w:t xml:space="preserve">esearch </w:t>
      </w:r>
      <w:r w:rsidR="001868DC" w:rsidRPr="00484DA5">
        <w:rPr>
          <w:lang w:eastAsia="en-AU"/>
        </w:rPr>
        <w:t xml:space="preserve">activity </w:t>
      </w:r>
      <w:r w:rsidR="007C347A" w:rsidRPr="00484DA5">
        <w:rPr>
          <w:lang w:eastAsia="en-AU"/>
        </w:rPr>
        <w:t xml:space="preserve">continued, </w:t>
      </w:r>
      <w:r w:rsidR="001868DC" w:rsidRPr="00484DA5">
        <w:rPr>
          <w:lang w:eastAsia="en-AU"/>
        </w:rPr>
        <w:t xml:space="preserve">but </w:t>
      </w:r>
      <w:r w:rsidR="004311AC">
        <w:rPr>
          <w:lang w:eastAsia="en-AU"/>
        </w:rPr>
        <w:t>this was also limited</w:t>
      </w:r>
      <w:r w:rsidR="00D75010">
        <w:rPr>
          <w:lang w:eastAsia="en-AU"/>
        </w:rPr>
        <w:t xml:space="preserve"> </w:t>
      </w:r>
      <w:r w:rsidR="00182865">
        <w:rPr>
          <w:lang w:eastAsia="en-AU"/>
        </w:rPr>
        <w:t xml:space="preserve">by lockdowns. Overall, the shift in meeting and research timelines </w:t>
      </w:r>
      <w:r w:rsidR="00AF1299">
        <w:rPr>
          <w:lang w:eastAsia="en-AU"/>
        </w:rPr>
        <w:t>impacted</w:t>
      </w:r>
      <w:r w:rsidR="00D74B65">
        <w:rPr>
          <w:lang w:eastAsia="en-AU"/>
        </w:rPr>
        <w:t xml:space="preserve"> </w:t>
      </w:r>
      <w:r w:rsidR="00B778A1">
        <w:rPr>
          <w:lang w:eastAsia="en-AU"/>
        </w:rPr>
        <w:t>FNLRS’s</w:t>
      </w:r>
      <w:r w:rsidR="00D74B65">
        <w:rPr>
          <w:lang w:eastAsia="en-AU"/>
        </w:rPr>
        <w:t xml:space="preserve"> progression of active claims</w:t>
      </w:r>
      <w:r w:rsidR="001F7DDA">
        <w:rPr>
          <w:lang w:eastAsia="en-AU"/>
        </w:rPr>
        <w:t xml:space="preserve"> moderately</w:t>
      </w:r>
      <w:r w:rsidR="00D74B65">
        <w:rPr>
          <w:lang w:eastAsia="en-AU"/>
        </w:rPr>
        <w:t xml:space="preserve"> and</w:t>
      </w:r>
      <w:r w:rsidR="001F7DDA">
        <w:rPr>
          <w:lang w:eastAsia="en-AU"/>
        </w:rPr>
        <w:t xml:space="preserve"> </w:t>
      </w:r>
      <w:r w:rsidR="0019700F">
        <w:rPr>
          <w:lang w:eastAsia="en-AU"/>
        </w:rPr>
        <w:t>prospective claims</w:t>
      </w:r>
      <w:r w:rsidR="001F7DDA">
        <w:rPr>
          <w:lang w:eastAsia="en-AU"/>
        </w:rPr>
        <w:t xml:space="preserve"> considerably</w:t>
      </w:r>
      <w:r w:rsidR="0019700F">
        <w:rPr>
          <w:lang w:eastAsia="en-AU"/>
        </w:rPr>
        <w:t xml:space="preserve"> during the Review period.</w:t>
      </w:r>
      <w:r w:rsidR="00182865">
        <w:rPr>
          <w:lang w:eastAsia="en-AU"/>
        </w:rPr>
        <w:t xml:space="preserve"> </w:t>
      </w:r>
    </w:p>
    <w:p w14:paraId="098B102A" w14:textId="77777777" w:rsidR="00C267A7" w:rsidRDefault="00C267A7" w:rsidP="00C267A7">
      <w:pPr>
        <w:pStyle w:val="Heading4"/>
      </w:pPr>
      <w:r>
        <w:t xml:space="preserve">Amount </w:t>
      </w:r>
      <w:r w:rsidRPr="00AC1E26">
        <w:t>of funding</w:t>
      </w:r>
    </w:p>
    <w:p w14:paraId="064A4EE5" w14:textId="74493D74" w:rsidR="00BA4387" w:rsidRPr="006475ED" w:rsidRDefault="00E703F2" w:rsidP="006475ED">
      <w:pPr>
        <w:keepNext/>
        <w:numPr>
          <w:ilvl w:val="4"/>
          <w:numId w:val="2"/>
        </w:numPr>
        <w:spacing w:before="240"/>
        <w:outlineLvl w:val="4"/>
        <w:rPr>
          <w:rFonts w:eastAsia="Times New Roman" w:cs="Times New Roman"/>
          <w:b/>
          <w:i/>
          <w:color w:val="000000" w:themeColor="text1"/>
          <w:sz w:val="20"/>
          <w:szCs w:val="24"/>
          <w:lang w:eastAsia="en-AU"/>
        </w:rPr>
      </w:pPr>
      <w:r w:rsidRPr="00E703F2">
        <w:rPr>
          <w:rFonts w:eastAsia="Times New Roman" w:cs="Times New Roman"/>
          <w:b/>
          <w:color w:val="000000" w:themeColor="text1"/>
          <w:sz w:val="20"/>
          <w:szCs w:val="24"/>
          <w:lang w:eastAsia="en-AU"/>
        </w:rPr>
        <w:t>F</w:t>
      </w:r>
      <w:r w:rsidR="009A09CF" w:rsidRPr="00E703F2">
        <w:rPr>
          <w:rFonts w:eastAsia="Times New Roman" w:cs="Times New Roman"/>
          <w:b/>
          <w:color w:val="000000" w:themeColor="text1"/>
          <w:sz w:val="20"/>
          <w:szCs w:val="24"/>
          <w:lang w:eastAsia="en-AU"/>
        </w:rPr>
        <w:t>unding</w:t>
      </w:r>
      <w:r w:rsidR="009A09CF" w:rsidRPr="00E703F2" w:rsidDel="00FC5636">
        <w:rPr>
          <w:rFonts w:eastAsia="Times New Roman" w:cs="Times New Roman"/>
          <w:b/>
          <w:color w:val="000000" w:themeColor="text1"/>
          <w:sz w:val="20"/>
          <w:szCs w:val="24"/>
          <w:lang w:eastAsia="en-AU"/>
        </w:rPr>
        <w:t xml:space="preserve"> </w:t>
      </w:r>
      <w:r w:rsidR="00FC5636">
        <w:rPr>
          <w:rFonts w:eastAsia="Times New Roman" w:cs="Times New Roman"/>
          <w:b/>
          <w:color w:val="000000" w:themeColor="text1"/>
          <w:sz w:val="20"/>
          <w:szCs w:val="24"/>
          <w:lang w:eastAsia="en-AU"/>
        </w:rPr>
        <w:t>did not have a significant impact on performance for FNLRS during the Review period</w:t>
      </w:r>
    </w:p>
    <w:p w14:paraId="2E45C8D5" w14:textId="77777777" w:rsidR="005E4EF7" w:rsidRDefault="008107CE" w:rsidP="00981031">
      <w:pPr>
        <w:rPr>
          <w:lang w:eastAsia="en-AU"/>
        </w:rPr>
      </w:pPr>
      <w:r w:rsidRPr="00CB65B6">
        <w:rPr>
          <w:lang w:eastAsia="en-AU"/>
        </w:rPr>
        <w:t xml:space="preserve">Many </w:t>
      </w:r>
      <w:r w:rsidR="009A09CF" w:rsidRPr="00CB65B6">
        <w:rPr>
          <w:lang w:eastAsia="en-AU"/>
        </w:rPr>
        <w:t xml:space="preserve">FNLRS staff </w:t>
      </w:r>
      <w:r w:rsidRPr="00CB65B6">
        <w:rPr>
          <w:lang w:eastAsia="en-AU"/>
        </w:rPr>
        <w:t xml:space="preserve">interviewed by the Review </w:t>
      </w:r>
      <w:r w:rsidR="00AA4364" w:rsidRPr="00CB65B6">
        <w:rPr>
          <w:lang w:eastAsia="en-AU"/>
        </w:rPr>
        <w:t xml:space="preserve">mentioned </w:t>
      </w:r>
      <w:r w:rsidR="004F7EC8" w:rsidRPr="005120D5">
        <w:rPr>
          <w:lang w:eastAsia="en-AU"/>
        </w:rPr>
        <w:t>that</w:t>
      </w:r>
      <w:r w:rsidR="00AA4364" w:rsidRPr="005120D5">
        <w:rPr>
          <w:lang w:eastAsia="en-AU"/>
        </w:rPr>
        <w:t xml:space="preserve"> the</w:t>
      </w:r>
      <w:r w:rsidR="00626747" w:rsidRPr="005120D5">
        <w:rPr>
          <w:lang w:eastAsia="en-AU"/>
        </w:rPr>
        <w:t xml:space="preserve"> </w:t>
      </w:r>
      <w:r w:rsidR="00CF2AEE" w:rsidRPr="005120D5">
        <w:rPr>
          <w:lang w:eastAsia="en-AU"/>
        </w:rPr>
        <w:t xml:space="preserve">reduction in </w:t>
      </w:r>
      <w:r w:rsidR="00EE6285" w:rsidRPr="005120D5">
        <w:rPr>
          <w:lang w:eastAsia="en-AU"/>
        </w:rPr>
        <w:t xml:space="preserve">NIAA </w:t>
      </w:r>
      <w:r w:rsidR="003E4E4E" w:rsidRPr="005120D5">
        <w:rPr>
          <w:lang w:eastAsia="en-AU"/>
        </w:rPr>
        <w:t xml:space="preserve">funding </w:t>
      </w:r>
      <w:r w:rsidR="00EE6285" w:rsidRPr="005120D5">
        <w:rPr>
          <w:lang w:eastAsia="en-AU"/>
        </w:rPr>
        <w:t>that occurred</w:t>
      </w:r>
      <w:r w:rsidR="003E4E4E" w:rsidRPr="005120D5">
        <w:rPr>
          <w:lang w:eastAsia="en-AU"/>
        </w:rPr>
        <w:t xml:space="preserve"> </w:t>
      </w:r>
      <w:r w:rsidR="00782754" w:rsidRPr="005120D5">
        <w:rPr>
          <w:lang w:eastAsia="en-AU"/>
        </w:rPr>
        <w:t xml:space="preserve">a </w:t>
      </w:r>
      <w:r w:rsidR="00FC5636" w:rsidRPr="005120D5">
        <w:rPr>
          <w:lang w:eastAsia="en-AU"/>
        </w:rPr>
        <w:t xml:space="preserve">year </w:t>
      </w:r>
      <w:r w:rsidR="00782754" w:rsidRPr="005120D5">
        <w:rPr>
          <w:lang w:eastAsia="en-AU"/>
        </w:rPr>
        <w:t>before</w:t>
      </w:r>
      <w:r w:rsidR="00626747" w:rsidRPr="005120D5">
        <w:rPr>
          <w:lang w:eastAsia="en-AU"/>
        </w:rPr>
        <w:t xml:space="preserve"> the Review period</w:t>
      </w:r>
      <w:r w:rsidR="00AA4364" w:rsidRPr="005120D5">
        <w:rPr>
          <w:lang w:eastAsia="en-AU"/>
        </w:rPr>
        <w:t xml:space="preserve"> </w:t>
      </w:r>
      <w:r w:rsidR="004F7EC8" w:rsidRPr="005120D5">
        <w:rPr>
          <w:lang w:eastAsia="en-AU"/>
        </w:rPr>
        <w:t>had led to</w:t>
      </w:r>
      <w:r w:rsidR="00C30FFC" w:rsidRPr="005120D5">
        <w:rPr>
          <w:lang w:eastAsia="en-AU"/>
        </w:rPr>
        <w:t xml:space="preserve"> downsizing of the</w:t>
      </w:r>
      <w:r w:rsidR="00AA4364" w:rsidRPr="00CB65B6">
        <w:rPr>
          <w:lang w:eastAsia="en-AU"/>
        </w:rPr>
        <w:t xml:space="preserve"> research and legal functions</w:t>
      </w:r>
      <w:r w:rsidR="00626747" w:rsidRPr="00CB65B6">
        <w:rPr>
          <w:lang w:eastAsia="en-AU"/>
        </w:rPr>
        <w:t>.</w:t>
      </w:r>
      <w:r w:rsidR="00436442" w:rsidRPr="00CB65B6">
        <w:rPr>
          <w:lang w:eastAsia="en-AU"/>
        </w:rPr>
        <w:t xml:space="preserve"> </w:t>
      </w:r>
      <w:r w:rsidR="005E4EF7" w:rsidRPr="005120D5">
        <w:rPr>
          <w:lang w:eastAsia="en-AU"/>
        </w:rPr>
        <w:t>Base funding</w:t>
      </w:r>
      <w:r w:rsidR="005E4EF7">
        <w:rPr>
          <w:lang w:eastAsia="en-AU"/>
        </w:rPr>
        <w:t xml:space="preserve"> that was received was then relatively stable to those levels over the Review period. </w:t>
      </w:r>
    </w:p>
    <w:p w14:paraId="0CC7F8BB" w14:textId="77777777" w:rsidR="00AB7E95" w:rsidRDefault="009237FD" w:rsidP="00A302E7">
      <w:pPr>
        <w:pStyle w:val="Caption"/>
        <w:rPr>
          <w:lang w:eastAsia="en-AU"/>
        </w:rPr>
      </w:pPr>
      <w:r>
        <w:rPr>
          <w:lang w:eastAsia="en-AU"/>
        </w:rPr>
        <w:lastRenderedPageBreak/>
        <w:fldChar w:fldCharType="begin"/>
      </w:r>
      <w:r>
        <w:rPr>
          <w:lang w:eastAsia="en-AU"/>
        </w:rPr>
        <w:instrText xml:space="preserve"> REF _Ref169600648 \h </w:instrText>
      </w:r>
      <w:r>
        <w:rPr>
          <w:lang w:eastAsia="en-AU"/>
        </w:rPr>
      </w:r>
      <w:r>
        <w:rPr>
          <w:lang w:eastAsia="en-AU"/>
        </w:rPr>
        <w:fldChar w:fldCharType="separate"/>
      </w:r>
      <w:r w:rsidR="00AB7E95">
        <w:t xml:space="preserve">Table </w:t>
      </w:r>
      <w:r w:rsidR="00AB7E95">
        <w:rPr>
          <w:noProof/>
        </w:rPr>
        <w:t>5</w:t>
      </w:r>
      <w:r>
        <w:rPr>
          <w:lang w:eastAsia="en-AU"/>
        </w:rPr>
        <w:fldChar w:fldCharType="end"/>
      </w:r>
      <w:r>
        <w:rPr>
          <w:lang w:eastAsia="en-AU"/>
        </w:rPr>
        <w:t xml:space="preserve"> </w:t>
      </w:r>
      <w:r w:rsidR="0010561D">
        <w:rPr>
          <w:lang w:eastAsia="en-AU"/>
        </w:rPr>
        <w:fldChar w:fldCharType="begin"/>
      </w:r>
      <w:r w:rsidR="0010561D">
        <w:rPr>
          <w:lang w:eastAsia="en-AU"/>
        </w:rPr>
        <w:instrText xml:space="preserve"> REF _Ref164754269 \h </w:instrText>
      </w:r>
      <w:r w:rsidR="00343D62">
        <w:rPr>
          <w:lang w:eastAsia="en-AU"/>
        </w:rPr>
        <w:instrText xml:space="preserve"> \* MERGEFORMAT </w:instrText>
      </w:r>
      <w:r w:rsidR="0010561D">
        <w:rPr>
          <w:lang w:eastAsia="en-AU"/>
        </w:rPr>
      </w:r>
      <w:r w:rsidR="0010561D">
        <w:rPr>
          <w:lang w:eastAsia="en-AU"/>
        </w:rPr>
        <w:fldChar w:fldCharType="separate"/>
      </w:r>
      <w:r w:rsidR="00AB7E95">
        <w:t xml:space="preserve">Table </w:t>
      </w:r>
      <w:r w:rsidR="00AB7E95">
        <w:rPr>
          <w:noProof/>
        </w:rPr>
        <w:t>5</w:t>
      </w:r>
      <w:r w:rsidR="00AB7E95" w:rsidRPr="006475ED">
        <w:t xml:space="preserve"> | Total </w:t>
      </w:r>
      <w:r w:rsidR="00AB7E95">
        <w:t xml:space="preserve">NIAA </w:t>
      </w:r>
      <w:r w:rsidR="00AB7E95" w:rsidRPr="006475ED">
        <w:t>funding relative to factors of interest</w:t>
      </w:r>
    </w:p>
    <w:p w14:paraId="0BBABA53" w14:textId="36AB9271" w:rsidR="00FC5636" w:rsidRDefault="0010561D" w:rsidP="00343D62">
      <w:pPr>
        <w:rPr>
          <w:lang w:eastAsia="en-AU"/>
        </w:rPr>
      </w:pPr>
      <w:r>
        <w:rPr>
          <w:lang w:eastAsia="en-AU"/>
        </w:rPr>
        <w:fldChar w:fldCharType="end"/>
      </w:r>
      <w:r w:rsidR="00723E91">
        <w:rPr>
          <w:lang w:eastAsia="en-AU"/>
        </w:rPr>
        <w:t>shows the ratio of FNLR</w:t>
      </w:r>
      <w:r w:rsidR="004464E3">
        <w:rPr>
          <w:lang w:eastAsia="en-AU"/>
        </w:rPr>
        <w:t>S</w:t>
      </w:r>
      <w:r w:rsidR="00723E91">
        <w:rPr>
          <w:lang w:eastAsia="en-AU"/>
        </w:rPr>
        <w:t>’s funding to other factors of interest.</w:t>
      </w:r>
    </w:p>
    <w:p w14:paraId="1A81AC0F" w14:textId="03AC0BD4" w:rsidR="00A302E7" w:rsidRDefault="00A302E7" w:rsidP="00A302E7">
      <w:pPr>
        <w:pStyle w:val="Caption"/>
        <w:rPr>
          <w:lang w:eastAsia="en-AU"/>
        </w:rPr>
      </w:pPr>
      <w:bookmarkStart w:id="26" w:name="_Ref169600648"/>
      <w:bookmarkStart w:id="27" w:name="_Ref164754269"/>
      <w:r>
        <w:t xml:space="preserve">Table </w:t>
      </w:r>
      <w:r w:rsidRPr="006475ED">
        <w:fldChar w:fldCharType="begin"/>
      </w:r>
      <w:r w:rsidRPr="006475ED">
        <w:instrText xml:space="preserve"> SEQ Table \* ARABIC </w:instrText>
      </w:r>
      <w:r w:rsidRPr="006475ED">
        <w:fldChar w:fldCharType="separate"/>
      </w:r>
      <w:r w:rsidR="00AB7E95">
        <w:rPr>
          <w:noProof/>
        </w:rPr>
        <w:t>5</w:t>
      </w:r>
      <w:r w:rsidRPr="006475ED">
        <w:fldChar w:fldCharType="end"/>
      </w:r>
      <w:bookmarkEnd w:id="26"/>
      <w:r w:rsidRPr="006475ED">
        <w:t xml:space="preserve"> | Total </w:t>
      </w:r>
      <w:r>
        <w:t xml:space="preserve">NIAA </w:t>
      </w:r>
      <w:r w:rsidRPr="006475ED">
        <w:t>funding relative to factors of interest</w:t>
      </w:r>
      <w:r w:rsidRPr="006475ED">
        <w:rPr>
          <w:vertAlign w:val="superscript"/>
        </w:rPr>
        <w:footnoteReference w:id="19"/>
      </w:r>
    </w:p>
    <w:tbl>
      <w:tblPr>
        <w:tblStyle w:val="AEMO5"/>
        <w:tblW w:w="5000" w:type="pct"/>
        <w:tblLook w:val="04A0" w:firstRow="1" w:lastRow="0" w:firstColumn="1" w:lastColumn="0" w:noHBand="0" w:noVBand="1"/>
      </w:tblPr>
      <w:tblGrid>
        <w:gridCol w:w="4465"/>
        <w:gridCol w:w="4465"/>
      </w:tblGrid>
      <w:tr w:rsidR="0000360B" w:rsidRPr="006475ED" w14:paraId="6674EF93" w14:textId="77777777" w:rsidTr="006770B0">
        <w:trPr>
          <w:cnfStyle w:val="100000000000" w:firstRow="1" w:lastRow="0" w:firstColumn="0" w:lastColumn="0" w:oddVBand="0" w:evenVBand="0" w:oddHBand="0" w:evenHBand="0" w:firstRowFirstColumn="0" w:firstRowLastColumn="0" w:lastRowFirstColumn="0" w:lastRowLastColumn="0"/>
        </w:trPr>
        <w:tc>
          <w:tcPr>
            <w:tcW w:w="2500" w:type="pct"/>
          </w:tcPr>
          <w:bookmarkEnd w:id="27"/>
          <w:p w14:paraId="0F3D468C" w14:textId="60D8F726" w:rsidR="006475ED" w:rsidRPr="006475ED" w:rsidRDefault="006475ED" w:rsidP="00981031">
            <w:pPr>
              <w:pStyle w:val="TableNheader"/>
              <w:rPr>
                <w:lang w:eastAsia="en-AU"/>
              </w:rPr>
            </w:pPr>
            <w:r w:rsidRPr="006475ED">
              <w:rPr>
                <w:lang w:eastAsia="en-AU"/>
              </w:rPr>
              <w:t xml:space="preserve">Factor of interest (denominator) </w:t>
            </w:r>
          </w:p>
        </w:tc>
        <w:tc>
          <w:tcPr>
            <w:tcW w:w="2500" w:type="pct"/>
          </w:tcPr>
          <w:p w14:paraId="3CC82D0C" w14:textId="77777777" w:rsidR="006475ED" w:rsidRPr="006475ED" w:rsidRDefault="006475ED" w:rsidP="00981031">
            <w:pPr>
              <w:pStyle w:val="TableNheader"/>
              <w:rPr>
                <w:lang w:eastAsia="en-AU"/>
              </w:rPr>
            </w:pPr>
            <w:r w:rsidRPr="006475ED">
              <w:rPr>
                <w:lang w:eastAsia="en-AU"/>
              </w:rPr>
              <w:t>Ratio</w:t>
            </w:r>
          </w:p>
        </w:tc>
      </w:tr>
      <w:tr w:rsidR="006475ED" w:rsidRPr="006475ED" w14:paraId="405AF244" w14:textId="77777777" w:rsidTr="006770B0">
        <w:trPr>
          <w:cnfStyle w:val="000000100000" w:firstRow="0" w:lastRow="0" w:firstColumn="0" w:lastColumn="0" w:oddVBand="0" w:evenVBand="0" w:oddHBand="1" w:evenHBand="0" w:firstRowFirstColumn="0" w:firstRowLastColumn="0" w:lastRowFirstColumn="0" w:lastRowLastColumn="0"/>
        </w:trPr>
        <w:tc>
          <w:tcPr>
            <w:tcW w:w="2500" w:type="pct"/>
          </w:tcPr>
          <w:p w14:paraId="2F17C434" w14:textId="69EB6E11" w:rsidR="006475ED" w:rsidRPr="006475ED" w:rsidRDefault="00B778A1" w:rsidP="00981031">
            <w:pPr>
              <w:pStyle w:val="TableNText"/>
              <w:rPr>
                <w:lang w:eastAsia="en-AU"/>
              </w:rPr>
            </w:pPr>
            <w:r>
              <w:rPr>
                <w:lang w:eastAsia="en-AU"/>
              </w:rPr>
              <w:t>FNLRS’s</w:t>
            </w:r>
            <w:r w:rsidR="006475ED" w:rsidRPr="006475ED">
              <w:rPr>
                <w:lang w:eastAsia="en-AU"/>
              </w:rPr>
              <w:t xml:space="preserve"> total land area:</w:t>
            </w:r>
            <w:r w:rsidR="00912FE2">
              <w:rPr>
                <w:lang w:eastAsia="en-AU"/>
              </w:rPr>
              <w:t xml:space="preserve"> </w:t>
            </w:r>
            <w:r w:rsidR="00912FE2" w:rsidRPr="00912FE2">
              <w:rPr>
                <w:lang w:eastAsia="en-AU"/>
              </w:rPr>
              <w:t>227,416</w:t>
            </w:r>
            <w:r w:rsidR="006475ED" w:rsidRPr="006475ED">
              <w:rPr>
                <w:lang w:eastAsia="en-AU"/>
              </w:rPr>
              <w:t xml:space="preserve"> </w:t>
            </w:r>
            <w:r w:rsidR="006475ED" w:rsidRPr="006475ED">
              <w:t>square kilometre</w:t>
            </w:r>
            <w:r w:rsidR="007C1A44">
              <w:t>s</w:t>
            </w:r>
          </w:p>
        </w:tc>
        <w:tc>
          <w:tcPr>
            <w:tcW w:w="2500" w:type="pct"/>
          </w:tcPr>
          <w:p w14:paraId="3DCEC4A6" w14:textId="539A4DF7" w:rsidR="006475ED" w:rsidRPr="006475ED" w:rsidRDefault="006475ED" w:rsidP="00981031">
            <w:pPr>
              <w:pStyle w:val="TableNText"/>
              <w:rPr>
                <w:lang w:eastAsia="en-AU"/>
              </w:rPr>
            </w:pPr>
            <w:r w:rsidRPr="006475ED">
              <w:rPr>
                <w:lang w:eastAsia="en-AU"/>
              </w:rPr>
              <w:t>$</w:t>
            </w:r>
            <w:r w:rsidR="004B0FB1">
              <w:rPr>
                <w:lang w:eastAsia="en-AU"/>
              </w:rPr>
              <w:t>49.41</w:t>
            </w:r>
            <w:r w:rsidRPr="006475ED">
              <w:rPr>
                <w:lang w:eastAsia="en-AU"/>
              </w:rPr>
              <w:t xml:space="preserve"> per </w:t>
            </w:r>
            <w:r w:rsidRPr="006475ED">
              <w:t>square kilometre</w:t>
            </w:r>
          </w:p>
        </w:tc>
      </w:tr>
      <w:tr w:rsidR="006475ED" w:rsidRPr="006475ED" w14:paraId="5BE50579" w14:textId="77777777" w:rsidTr="006770B0">
        <w:trPr>
          <w:cnfStyle w:val="000000010000" w:firstRow="0" w:lastRow="0" w:firstColumn="0" w:lastColumn="0" w:oddVBand="0" w:evenVBand="0" w:oddHBand="0" w:evenHBand="1" w:firstRowFirstColumn="0" w:firstRowLastColumn="0" w:lastRowFirstColumn="0" w:lastRowLastColumn="0"/>
          <w:trHeight w:val="18"/>
        </w:trPr>
        <w:tc>
          <w:tcPr>
            <w:tcW w:w="2500" w:type="pct"/>
          </w:tcPr>
          <w:p w14:paraId="7C0CEBFF" w14:textId="70D8FEC7" w:rsidR="006475ED" w:rsidRPr="00BB4D26" w:rsidRDefault="00A35C40" w:rsidP="00981031">
            <w:pPr>
              <w:pStyle w:val="TableNText"/>
              <w:rPr>
                <w:lang w:eastAsia="en-AU"/>
              </w:rPr>
            </w:pPr>
            <w:r w:rsidRPr="00D66C18">
              <w:rPr>
                <w:lang w:eastAsia="en-AU"/>
              </w:rPr>
              <w:t>Total number of</w:t>
            </w:r>
            <w:r w:rsidR="006475ED" w:rsidRPr="00D66C18">
              <w:rPr>
                <w:lang w:eastAsia="en-AU"/>
              </w:rPr>
              <w:t xml:space="preserve"> </w:t>
            </w:r>
            <w:r w:rsidR="00CE55CA">
              <w:rPr>
                <w:lang w:eastAsia="en-AU"/>
              </w:rPr>
              <w:t>a</w:t>
            </w:r>
            <w:r w:rsidR="006475ED" w:rsidRPr="00D66C18">
              <w:rPr>
                <w:lang w:eastAsia="en-AU"/>
              </w:rPr>
              <w:t>ctive claims</w:t>
            </w:r>
            <w:r w:rsidR="00CE55CA">
              <w:rPr>
                <w:lang w:eastAsia="en-AU"/>
              </w:rPr>
              <w:t xml:space="preserve"> (3)</w:t>
            </w:r>
            <w:r w:rsidR="00951C41">
              <w:rPr>
                <w:rStyle w:val="FootnoteReference"/>
                <w:lang w:eastAsia="en-AU"/>
              </w:rPr>
              <w:footnoteReference w:id="20"/>
            </w:r>
            <w:r w:rsidR="00C233CD">
              <w:rPr>
                <w:lang w:eastAsia="en-AU"/>
              </w:rPr>
              <w:t xml:space="preserve"> and ILUA settlement</w:t>
            </w:r>
            <w:r w:rsidR="009275CF">
              <w:rPr>
                <w:lang w:eastAsia="en-AU"/>
              </w:rPr>
              <w:t>s</w:t>
            </w:r>
            <w:r w:rsidR="006475ED" w:rsidRPr="00D66C18">
              <w:rPr>
                <w:lang w:eastAsia="en-AU"/>
              </w:rPr>
              <w:t xml:space="preserve"> (</w:t>
            </w:r>
            <w:r w:rsidR="00CE55CA">
              <w:rPr>
                <w:lang w:eastAsia="en-AU"/>
              </w:rPr>
              <w:t>1</w:t>
            </w:r>
            <w:r w:rsidR="00C233CD">
              <w:rPr>
                <w:lang w:eastAsia="en-AU"/>
              </w:rPr>
              <w:t>)</w:t>
            </w:r>
            <w:r w:rsidR="002B6B34">
              <w:rPr>
                <w:rStyle w:val="FootnoteReference"/>
                <w:lang w:eastAsia="en-AU"/>
              </w:rPr>
              <w:footnoteReference w:id="21"/>
            </w:r>
            <w:r w:rsidR="00D66C18" w:rsidRPr="00D66C18">
              <w:rPr>
                <w:lang w:eastAsia="en-AU"/>
              </w:rPr>
              <w:t xml:space="preserve"> </w:t>
            </w:r>
            <w:proofErr w:type="gramStart"/>
            <w:r w:rsidR="006475ED" w:rsidRPr="00D66C18">
              <w:rPr>
                <w:lang w:eastAsia="en-AU"/>
              </w:rPr>
              <w:t>at</w:t>
            </w:r>
            <w:proofErr w:type="gramEnd"/>
            <w:r w:rsidR="006475ED" w:rsidRPr="00D66C18">
              <w:rPr>
                <w:lang w:eastAsia="en-AU"/>
              </w:rPr>
              <w:t xml:space="preserve"> 30 June 2022</w:t>
            </w:r>
            <w:r w:rsidR="005B5F27">
              <w:rPr>
                <w:lang w:eastAsia="en-AU"/>
              </w:rPr>
              <w:t>: 4</w:t>
            </w:r>
          </w:p>
        </w:tc>
        <w:tc>
          <w:tcPr>
            <w:tcW w:w="2500" w:type="pct"/>
          </w:tcPr>
          <w:p w14:paraId="16C698EA" w14:textId="4BC40B42" w:rsidR="006475ED" w:rsidRPr="00BB4D26" w:rsidRDefault="006475ED" w:rsidP="00981031">
            <w:pPr>
              <w:pStyle w:val="TableNText"/>
              <w:rPr>
                <w:lang w:eastAsia="en-AU"/>
              </w:rPr>
            </w:pPr>
            <w:r w:rsidRPr="006475ED">
              <w:rPr>
                <w:lang w:eastAsia="en-AU"/>
              </w:rPr>
              <w:t>$</w:t>
            </w:r>
            <w:r w:rsidR="0068567C">
              <w:rPr>
                <w:lang w:eastAsia="en-AU"/>
              </w:rPr>
              <w:t>2,809,267</w:t>
            </w:r>
            <w:r w:rsidR="006708B4">
              <w:rPr>
                <w:lang w:eastAsia="en-AU"/>
              </w:rPr>
              <w:t xml:space="preserve"> </w:t>
            </w:r>
            <w:r w:rsidRPr="006475ED">
              <w:rPr>
                <w:lang w:eastAsia="en-AU"/>
              </w:rPr>
              <w:t>per claim</w:t>
            </w:r>
            <w:r w:rsidR="00B51C05">
              <w:rPr>
                <w:lang w:eastAsia="en-AU"/>
              </w:rPr>
              <w:t xml:space="preserve"> </w:t>
            </w:r>
            <w:r w:rsidR="006825B9">
              <w:rPr>
                <w:lang w:eastAsia="en-AU"/>
              </w:rPr>
              <w:t>(</w:t>
            </w:r>
            <w:r w:rsidR="00B51C05">
              <w:rPr>
                <w:lang w:eastAsia="en-AU"/>
              </w:rPr>
              <w:t xml:space="preserve">and </w:t>
            </w:r>
            <w:r w:rsidR="006825B9">
              <w:rPr>
                <w:lang w:eastAsia="en-AU"/>
              </w:rPr>
              <w:t>for</w:t>
            </w:r>
            <w:r w:rsidR="002B6B34">
              <w:rPr>
                <w:lang w:eastAsia="en-AU"/>
              </w:rPr>
              <w:t xml:space="preserve"> one</w:t>
            </w:r>
            <w:r w:rsidR="006825B9">
              <w:rPr>
                <w:lang w:eastAsia="en-AU"/>
              </w:rPr>
              <w:t xml:space="preserve"> </w:t>
            </w:r>
            <w:r w:rsidR="00DB76F7">
              <w:rPr>
                <w:lang w:eastAsia="en-AU"/>
              </w:rPr>
              <w:t>ILUA settlement</w:t>
            </w:r>
            <w:r w:rsidR="006825B9">
              <w:rPr>
                <w:lang w:eastAsia="en-AU"/>
              </w:rPr>
              <w:t>)</w:t>
            </w:r>
          </w:p>
        </w:tc>
      </w:tr>
    </w:tbl>
    <w:p w14:paraId="5090C965" w14:textId="22660FD4" w:rsidR="000872DF" w:rsidRPr="00CB65B6" w:rsidRDefault="00981031" w:rsidP="00981031">
      <w:pPr>
        <w:rPr>
          <w:lang w:eastAsia="en-AU"/>
        </w:rPr>
      </w:pPr>
      <w:r>
        <w:rPr>
          <w:lang w:eastAsia="en-AU"/>
        </w:rPr>
        <w:br/>
      </w:r>
      <w:r w:rsidR="000872DF" w:rsidRPr="00CB65B6">
        <w:rPr>
          <w:lang w:eastAsia="en-AU"/>
        </w:rPr>
        <w:t>FNLRS</w:t>
      </w:r>
      <w:r w:rsidR="000872DF">
        <w:rPr>
          <w:lang w:eastAsia="en-AU"/>
        </w:rPr>
        <w:t>’s</w:t>
      </w:r>
      <w:r w:rsidR="000872DF" w:rsidRPr="00CB65B6">
        <w:rPr>
          <w:lang w:eastAsia="en-AU"/>
        </w:rPr>
        <w:t xml:space="preserve"> </w:t>
      </w:r>
      <w:r w:rsidR="000872DF">
        <w:t>funding to factor ratios were slightly higher than other NTRB-</w:t>
      </w:r>
      <w:proofErr w:type="gramStart"/>
      <w:r w:rsidR="000872DF">
        <w:t>SPs, but</w:t>
      </w:r>
      <w:proofErr w:type="gramEnd"/>
      <w:r w:rsidR="000872DF">
        <w:t xml:space="preserve"> still fell within a comparable overall range. It is unlikely that amount</w:t>
      </w:r>
      <w:r w:rsidR="005120D5">
        <w:t>s</w:t>
      </w:r>
      <w:r w:rsidR="000872DF">
        <w:t xml:space="preserve"> of funding played a major role in the success or challenges faced by</w:t>
      </w:r>
      <w:r w:rsidR="005E4EF7">
        <w:t xml:space="preserve"> FNLRS.</w:t>
      </w:r>
    </w:p>
    <w:p w14:paraId="430B66D1" w14:textId="5A238EDF" w:rsidR="00F32A5F" w:rsidRDefault="00683699" w:rsidP="00DA4A2A">
      <w:pPr>
        <w:pStyle w:val="Heading3"/>
      </w:pPr>
      <w:r>
        <w:t>TOR 1</w:t>
      </w:r>
      <w:r w:rsidR="005F4B71">
        <w:t>:</w:t>
      </w:r>
      <w:r>
        <w:t xml:space="preserve"> </w:t>
      </w:r>
      <w:r w:rsidR="00F32A5F">
        <w:t>Recommendations</w:t>
      </w:r>
      <w:r w:rsidR="002F7243">
        <w:t xml:space="preserve"> </w:t>
      </w:r>
    </w:p>
    <w:tbl>
      <w:tblPr>
        <w:tblW w:w="0" w:type="auto"/>
        <w:tblLook w:val="04A0" w:firstRow="1" w:lastRow="0" w:firstColumn="1" w:lastColumn="0" w:noHBand="0" w:noVBand="1"/>
      </w:tblPr>
      <w:tblGrid>
        <w:gridCol w:w="8269"/>
        <w:gridCol w:w="661"/>
      </w:tblGrid>
      <w:tr w:rsidR="00E812CB" w14:paraId="77798BD2" w14:textId="77777777" w:rsidTr="00CA17C8">
        <w:trPr>
          <w:trHeight w:val="360"/>
        </w:trPr>
        <w:tc>
          <w:tcPr>
            <w:tcW w:w="8223" w:type="dxa"/>
          </w:tcPr>
          <w:p w14:paraId="76EB332F" w14:textId="77777777" w:rsidR="00E812CB" w:rsidRDefault="00E812CB" w:rsidP="00665DC6">
            <w:pPr>
              <w:rPr>
                <w:lang w:eastAsia="en-AU"/>
              </w:rPr>
            </w:pPr>
            <w:r w:rsidRPr="00F97AB5">
              <w:rPr>
                <w:noProof/>
                <w:lang w:eastAsia="en-AU"/>
              </w:rPr>
              <w:drawing>
                <wp:inline distT="0" distB="0" distL="0" distR="0" wp14:anchorId="1A527BD7" wp14:editId="47A9833A">
                  <wp:extent cx="5114199" cy="287655"/>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8177894" w14:textId="0EDA90BC" w:rsidR="00E812CB" w:rsidRPr="00F97AB5" w:rsidRDefault="00E812CB" w:rsidP="00665DC6">
            <w:pPr>
              <w:spacing w:after="100" w:afterAutospacing="1"/>
              <w:jc w:val="center"/>
              <w:rPr>
                <w:sz w:val="30"/>
                <w:szCs w:val="30"/>
                <w:lang w:eastAsia="en-AU"/>
              </w:rPr>
            </w:pPr>
            <w:r w:rsidRPr="00CA17C8">
              <w:rPr>
                <w:color w:val="404040" w:themeColor="text1" w:themeTint="BF"/>
                <w:sz w:val="30"/>
                <w:szCs w:val="30"/>
                <w:lang w:eastAsia="en-AU"/>
              </w:rPr>
              <w:t>1</w:t>
            </w:r>
          </w:p>
        </w:tc>
      </w:tr>
      <w:tr w:rsidR="00E812CB" w14:paraId="52301996" w14:textId="77777777" w:rsidTr="00CA17C8">
        <w:tc>
          <w:tcPr>
            <w:tcW w:w="8930" w:type="dxa"/>
            <w:gridSpan w:val="2"/>
          </w:tcPr>
          <w:p w14:paraId="0CF5F120" w14:textId="0B6A28DA" w:rsidR="00303DBB" w:rsidRPr="00BD37ED" w:rsidRDefault="000F7B4E" w:rsidP="00636E38">
            <w:r>
              <w:t>Continue to build on</w:t>
            </w:r>
            <w:r w:rsidR="005816CC">
              <w:t xml:space="preserve"> </w:t>
            </w:r>
            <w:r>
              <w:t>the steps it has already taken to i</w:t>
            </w:r>
            <w:r w:rsidR="0034086F">
              <w:t>mprove Traditional Owner awareness of changes in the Victorian land rights landscape (noting the emergence of Treaty) to increase Traditional Owners’ understanding of the different forms of recognition and FNLRS’s role as an NTSP in the changing Victorian landscape</w:t>
            </w:r>
            <w:r w:rsidR="00D97969">
              <w:t>.</w:t>
            </w:r>
          </w:p>
        </w:tc>
      </w:tr>
      <w:tr w:rsidR="0077633E" w14:paraId="293D46FD" w14:textId="77777777" w:rsidTr="00CA17C8">
        <w:trPr>
          <w:trHeight w:val="360"/>
        </w:trPr>
        <w:tc>
          <w:tcPr>
            <w:tcW w:w="8223" w:type="dxa"/>
          </w:tcPr>
          <w:p w14:paraId="4076105E" w14:textId="77777777" w:rsidR="0077633E" w:rsidRDefault="0077633E">
            <w:pPr>
              <w:rPr>
                <w:lang w:eastAsia="en-AU"/>
              </w:rPr>
            </w:pPr>
            <w:r w:rsidRPr="00F97AB5">
              <w:rPr>
                <w:noProof/>
                <w:lang w:eastAsia="en-AU"/>
              </w:rPr>
              <w:drawing>
                <wp:inline distT="0" distB="0" distL="0" distR="0" wp14:anchorId="0F7A1829" wp14:editId="4D1C18FE">
                  <wp:extent cx="5114199" cy="287655"/>
                  <wp:effectExtent l="0" t="0" r="0" b="0"/>
                  <wp:docPr id="1714762705" name="Picture 1714762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62705" name="Picture 171476270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C5EBB1F" w14:textId="0217441B" w:rsidR="0077633E" w:rsidRPr="00CA17C8" w:rsidRDefault="00636E38">
            <w:pPr>
              <w:spacing w:after="100" w:afterAutospacing="1"/>
              <w:jc w:val="center"/>
              <w:rPr>
                <w:sz w:val="30"/>
                <w:szCs w:val="30"/>
                <w:lang w:eastAsia="en-AU"/>
              </w:rPr>
            </w:pPr>
            <w:r w:rsidRPr="00CA17C8">
              <w:rPr>
                <w:sz w:val="30"/>
                <w:szCs w:val="30"/>
                <w:lang w:eastAsia="en-AU"/>
              </w:rPr>
              <w:t>2</w:t>
            </w:r>
          </w:p>
        </w:tc>
      </w:tr>
      <w:tr w:rsidR="0077633E" w14:paraId="773D8DE9" w14:textId="77777777" w:rsidTr="00CA17C8">
        <w:tc>
          <w:tcPr>
            <w:tcW w:w="8930" w:type="dxa"/>
            <w:gridSpan w:val="2"/>
          </w:tcPr>
          <w:p w14:paraId="15E70365" w14:textId="4991C9E4" w:rsidR="002F5993" w:rsidRDefault="002F5993" w:rsidP="002F5993">
            <w:r>
              <w:t xml:space="preserve">This Review endorses the </w:t>
            </w:r>
            <w:r w:rsidR="007E4BE8">
              <w:t xml:space="preserve">following </w:t>
            </w:r>
            <w:r>
              <w:t xml:space="preserve">recommendations </w:t>
            </w:r>
            <w:r w:rsidR="007E4BE8">
              <w:t>of</w:t>
            </w:r>
            <w:r>
              <w:t xml:space="preserve"> the Strategic Review: </w:t>
            </w:r>
          </w:p>
          <w:p w14:paraId="3AE6034A" w14:textId="0D86B437" w:rsidR="007F6DE5" w:rsidRPr="00822568" w:rsidRDefault="007F6DE5" w:rsidP="00343D62">
            <w:pPr>
              <w:pStyle w:val="Bullet"/>
            </w:pPr>
            <w:r w:rsidRPr="00822568">
              <w:t>FNLRS should adopt more neutral positioning in active legal disputes between and internal to Traditional Owner groups, instead plac</w:t>
            </w:r>
            <w:r w:rsidR="0004126D">
              <w:t>ing</w:t>
            </w:r>
            <w:r w:rsidRPr="00822568">
              <w:t xml:space="preserve"> greater reliance on third party legal service providers.</w:t>
            </w:r>
          </w:p>
          <w:p w14:paraId="3F7B0DD9" w14:textId="15970BE8" w:rsidR="0077633E" w:rsidRPr="00822568" w:rsidRDefault="00444AE9" w:rsidP="00343D62">
            <w:pPr>
              <w:pStyle w:val="Bullet"/>
            </w:pPr>
            <w:r w:rsidRPr="6967B2CC">
              <w:t>In repositioning to rely more on third party legal services providers</w:t>
            </w:r>
            <w:r w:rsidR="004305DE">
              <w:t>,</w:t>
            </w:r>
            <w:r w:rsidRPr="6967B2CC">
              <w:t xml:space="preserve"> FNLRS should not move too quickly </w:t>
            </w:r>
            <w:proofErr w:type="gramStart"/>
            <w:r w:rsidRPr="6967B2CC">
              <w:t>so as to</w:t>
            </w:r>
            <w:proofErr w:type="gramEnd"/>
            <w:r w:rsidRPr="6967B2CC">
              <w:t xml:space="preserve"> deplete existing services and potentially alienate the users of those services</w:t>
            </w:r>
            <w:r w:rsidR="00413553" w:rsidRPr="6967B2CC">
              <w:t>.</w:t>
            </w:r>
          </w:p>
          <w:p w14:paraId="3F10814F" w14:textId="19077156" w:rsidR="00413553" w:rsidRPr="00BD37ED" w:rsidRDefault="00413553" w:rsidP="00343D62">
            <w:pPr>
              <w:pStyle w:val="Bullet"/>
            </w:pPr>
            <w:r w:rsidRPr="6967B2CC">
              <w:t xml:space="preserve">FNLRS should </w:t>
            </w:r>
            <w:r w:rsidR="00022311" w:rsidRPr="6967B2CC">
              <w:t xml:space="preserve">continue to </w:t>
            </w:r>
            <w:r w:rsidRPr="6967B2CC">
              <w:t>seek to externalise politically charged decisions or research outcomes, and/or support the authority of such decisions/positions by reference to external and independent expertise.</w:t>
            </w:r>
          </w:p>
        </w:tc>
      </w:tr>
    </w:tbl>
    <w:p w14:paraId="16C67813" w14:textId="77777777" w:rsidR="000A4757" w:rsidRDefault="000A4757" w:rsidP="000A4757">
      <w:pPr>
        <w:rPr>
          <w:rFonts w:ascii="Segoe UI Semibold" w:eastAsia="Times New Roman" w:hAnsi="Segoe UI Semibold" w:cs="Times New Roman"/>
          <w:color w:val="00264D"/>
          <w:sz w:val="30"/>
          <w:szCs w:val="19"/>
          <w:lang w:eastAsia="en-AU"/>
        </w:rPr>
      </w:pPr>
      <w:r>
        <w:br w:type="page"/>
      </w:r>
    </w:p>
    <w:p w14:paraId="6E48FEB8" w14:textId="44414C8E" w:rsidR="007577DB" w:rsidRDefault="007577DB" w:rsidP="00560519">
      <w:pPr>
        <w:pStyle w:val="Heading2"/>
      </w:pPr>
      <w:bookmarkStart w:id="28" w:name="_Toc170469984"/>
      <w:r w:rsidRPr="6967B2CC">
        <w:lastRenderedPageBreak/>
        <w:t>TOR 2 | Extent to which each organisation assesses and prioritises applications for assistance in a manner that is equitable, transparent, and robust and is well publicised and understood by clients and potential clients.</w:t>
      </w:r>
      <w:bookmarkEnd w:id="28"/>
    </w:p>
    <w:tbl>
      <w:tblPr>
        <w:tblStyle w:val="TableGrid"/>
        <w:tblW w:w="0" w:type="auto"/>
        <w:tblLook w:val="04A0" w:firstRow="1" w:lastRow="0" w:firstColumn="1" w:lastColumn="0" w:noHBand="0" w:noVBand="1"/>
      </w:tblPr>
      <w:tblGrid>
        <w:gridCol w:w="8930"/>
      </w:tblGrid>
      <w:tr w:rsidR="0000360B" w14:paraId="18CF4A46" w14:textId="77777777" w:rsidTr="6967B2CC">
        <w:trPr>
          <w:cnfStyle w:val="100000000000" w:firstRow="1" w:lastRow="0" w:firstColumn="0" w:lastColumn="0" w:oddVBand="0" w:evenVBand="0" w:oddHBand="0" w:evenHBand="0" w:firstRowFirstColumn="0" w:firstRowLastColumn="0" w:lastRowFirstColumn="0" w:lastRowLastColumn="0"/>
        </w:trPr>
        <w:tc>
          <w:tcPr>
            <w:tcW w:w="8930" w:type="dxa"/>
          </w:tcPr>
          <w:p w14:paraId="14E9D0FF" w14:textId="77777777" w:rsidR="008810A0" w:rsidRPr="00343D62" w:rsidRDefault="008810A0" w:rsidP="00343D62">
            <w:pPr>
              <w:pStyle w:val="Longformcallout"/>
              <w:rPr>
                <w:rFonts w:ascii="Segoe UI Semibold" w:hAnsi="Segoe UI Semibold" w:cs="Segoe UI Semibold"/>
              </w:rPr>
            </w:pPr>
            <w:r w:rsidRPr="00343D62">
              <w:rPr>
                <w:rFonts w:ascii="Segoe UI Semibold" w:hAnsi="Segoe UI Semibold" w:cs="Segoe UI Semibold"/>
              </w:rPr>
              <w:t>Summary</w:t>
            </w:r>
          </w:p>
          <w:p w14:paraId="15F69648" w14:textId="1DCCA283" w:rsidR="00291F55" w:rsidRPr="00343D62" w:rsidRDefault="008A5763" w:rsidP="00343D62">
            <w:pPr>
              <w:pStyle w:val="Longformcallout"/>
            </w:pPr>
            <w:r w:rsidRPr="6967B2CC">
              <w:t>FNLRS used</w:t>
            </w:r>
            <w:r w:rsidR="00FC7DC5" w:rsidRPr="6967B2CC">
              <w:t xml:space="preserve"> </w:t>
            </w:r>
            <w:r w:rsidR="00A70652">
              <w:t>the</w:t>
            </w:r>
            <w:r w:rsidR="00A70652" w:rsidRPr="6967B2CC">
              <w:t xml:space="preserve"> </w:t>
            </w:r>
            <w:r w:rsidR="00FC7DC5" w:rsidRPr="6967B2CC">
              <w:t xml:space="preserve">Guidelines for First Nations Assistance to </w:t>
            </w:r>
            <w:r w:rsidR="00B02524">
              <w:t>N</w:t>
            </w:r>
            <w:r w:rsidR="00056D5B" w:rsidRPr="6967B2CC">
              <w:t xml:space="preserve">ative </w:t>
            </w:r>
            <w:r w:rsidR="00B02524">
              <w:t>T</w:t>
            </w:r>
            <w:r w:rsidR="00056D5B" w:rsidRPr="6967B2CC">
              <w:t xml:space="preserve">itle </w:t>
            </w:r>
            <w:r w:rsidR="00B02524">
              <w:t>G</w:t>
            </w:r>
            <w:r w:rsidR="00056D5B" w:rsidRPr="6967B2CC">
              <w:t xml:space="preserve">roups </w:t>
            </w:r>
            <w:r w:rsidR="00FC7DC5" w:rsidRPr="6967B2CC">
              <w:t xml:space="preserve">to </w:t>
            </w:r>
            <w:r w:rsidR="000D2535" w:rsidRPr="6967B2CC">
              <w:t xml:space="preserve">guide </w:t>
            </w:r>
            <w:r w:rsidR="000D2003" w:rsidRPr="6967B2CC">
              <w:t>its</w:t>
            </w:r>
            <w:r w:rsidR="000D2535" w:rsidRPr="6967B2CC">
              <w:t xml:space="preserve"> assessment and prioritisation decisions. </w:t>
            </w:r>
            <w:r w:rsidR="000D2003" w:rsidRPr="6967B2CC">
              <w:t xml:space="preserve">The guidelines clearly outlined the process for applying for assistance, including instructions as to how to make an application and the process for ascertaining the facts surrounding an application. </w:t>
            </w:r>
          </w:p>
          <w:p w14:paraId="03B3953B" w14:textId="11E4CFE8" w:rsidR="009E1020" w:rsidRPr="00343D62" w:rsidRDefault="009E1020" w:rsidP="00343D62">
            <w:pPr>
              <w:pStyle w:val="Longformcallout"/>
            </w:pPr>
            <w:r w:rsidRPr="6967B2CC">
              <w:t xml:space="preserve">The guidelines were updated during the Review period to refine the assessment practices, expand the criteria for assistance and provide further detail for </w:t>
            </w:r>
            <w:r w:rsidR="00B778A1" w:rsidRPr="6967B2CC">
              <w:t>FNLRS’s</w:t>
            </w:r>
            <w:r w:rsidRPr="6967B2CC">
              <w:t xml:space="preserve"> approach </w:t>
            </w:r>
            <w:r w:rsidR="003471C0" w:rsidRPr="6967B2CC">
              <w:t>to</w:t>
            </w:r>
            <w:r w:rsidRPr="6967B2CC">
              <w:t xml:space="preserve"> assessing assistance requests. These adjustments enhanced the transparency, accessibility and effectiveness of the guidelines.</w:t>
            </w:r>
          </w:p>
          <w:p w14:paraId="284FF6D1" w14:textId="56B03EE3" w:rsidR="005B6286" w:rsidRPr="00343D62" w:rsidRDefault="00CC7AB7" w:rsidP="00343D62">
            <w:pPr>
              <w:pStyle w:val="Longformcallout"/>
            </w:pPr>
            <w:r w:rsidRPr="00343D62">
              <w:t>The Review did not receive extensive feedback from Traditional Owners around the assessment and prioritisation process. While some Traditional Owners were positive about the process, o</w:t>
            </w:r>
            <w:r w:rsidR="005B6286" w:rsidRPr="00343D62">
              <w:t xml:space="preserve">ther Traditional Owners interviewed viewed </w:t>
            </w:r>
            <w:r w:rsidR="00302462" w:rsidRPr="00343D62">
              <w:t>FNLRS’</w:t>
            </w:r>
            <w:r w:rsidR="00056D5B" w:rsidRPr="00343D62">
              <w:t>s</w:t>
            </w:r>
            <w:r w:rsidR="005B6286" w:rsidRPr="00343D62">
              <w:t xml:space="preserve"> performance as less favourable, raising issues around their </w:t>
            </w:r>
            <w:r w:rsidR="00302462" w:rsidRPr="00343D62">
              <w:t xml:space="preserve">perceived role as a </w:t>
            </w:r>
            <w:r w:rsidR="0081643C">
              <w:t>“</w:t>
            </w:r>
            <w:r w:rsidR="00302462" w:rsidRPr="00343D62">
              <w:t>gatekeeper</w:t>
            </w:r>
            <w:r w:rsidR="0081643C">
              <w:t>”</w:t>
            </w:r>
            <w:r w:rsidR="00302462" w:rsidRPr="00343D62">
              <w:t xml:space="preserve"> for funding</w:t>
            </w:r>
            <w:r w:rsidR="005B6286" w:rsidRPr="00343D62">
              <w:t xml:space="preserve">. </w:t>
            </w:r>
          </w:p>
          <w:p w14:paraId="1B655089" w14:textId="1590F64E" w:rsidR="0060326B" w:rsidRDefault="00C4011A" w:rsidP="00343D62">
            <w:pPr>
              <w:pStyle w:val="Longformcallout"/>
            </w:pPr>
            <w:r w:rsidRPr="6967B2CC">
              <w:t xml:space="preserve">Since the Review period, </w:t>
            </w:r>
            <w:r w:rsidR="009E1020" w:rsidRPr="6967B2CC">
              <w:t xml:space="preserve">FNLRS has re-evaluated how it approaches </w:t>
            </w:r>
            <w:proofErr w:type="gramStart"/>
            <w:r w:rsidR="009E1020" w:rsidRPr="6967B2CC">
              <w:t>providing assistance to</w:t>
            </w:r>
            <w:proofErr w:type="gramEnd"/>
            <w:r w:rsidR="009E1020" w:rsidRPr="6967B2CC">
              <w:t xml:space="preserve"> native title groups in line with </w:t>
            </w:r>
            <w:r w:rsidR="00290A6E" w:rsidRPr="6967B2CC">
              <w:t xml:space="preserve">the </w:t>
            </w:r>
            <w:r w:rsidR="009E1020" w:rsidRPr="6967B2CC">
              <w:t>recommendations of the Strategic Review. The previous approach relied solely on the CEO to make assessment decisions on funding</w:t>
            </w:r>
            <w:r w:rsidR="00345463" w:rsidRPr="6967B2CC">
              <w:t xml:space="preserve"> </w:t>
            </w:r>
            <w:r w:rsidR="009E1020" w:rsidRPr="6967B2CC">
              <w:t>and was only delegated to other executives (</w:t>
            </w:r>
            <w:r w:rsidR="003E0180" w:rsidRPr="6967B2CC">
              <w:t>for example,</w:t>
            </w:r>
            <w:r w:rsidR="00984C13" w:rsidRPr="6967B2CC">
              <w:t xml:space="preserve"> the</w:t>
            </w:r>
            <w:r w:rsidR="009E1020" w:rsidRPr="6967B2CC">
              <w:t xml:space="preserve"> PLO) to make decisions </w:t>
            </w:r>
            <w:r w:rsidR="00056D5B" w:rsidRPr="6967B2CC">
              <w:t>if</w:t>
            </w:r>
            <w:r w:rsidR="00953C89" w:rsidRPr="6967B2CC">
              <w:t xml:space="preserve"> </w:t>
            </w:r>
            <w:r w:rsidR="009E1020" w:rsidRPr="6967B2CC">
              <w:t>the CEO was personally conflicted. The new approach</w:t>
            </w:r>
            <w:r w:rsidRPr="6967B2CC">
              <w:t xml:space="preserve"> aims </w:t>
            </w:r>
            <w:r w:rsidR="009E1020" w:rsidRPr="6967B2CC">
              <w:t xml:space="preserve">to expand decision-making to address funding limitations and frequent incidence of conflicts of interest. It </w:t>
            </w:r>
            <w:r w:rsidR="00E466AA" w:rsidRPr="6967B2CC">
              <w:t>also supports</w:t>
            </w:r>
            <w:r w:rsidR="009E1020" w:rsidRPr="6967B2CC">
              <w:t xml:space="preserve"> FNLRS moving towards the role of facilitator rather than</w:t>
            </w:r>
            <w:r w:rsidR="00415E1D" w:rsidRPr="6967B2CC">
              <w:t xml:space="preserve"> as</w:t>
            </w:r>
            <w:r w:rsidR="009E1020" w:rsidRPr="6967B2CC">
              <w:t xml:space="preserve"> a </w:t>
            </w:r>
            <w:r w:rsidR="0023096D" w:rsidRPr="6967B2CC">
              <w:t xml:space="preserve">legal representative </w:t>
            </w:r>
            <w:r w:rsidR="009E1020" w:rsidRPr="6967B2CC">
              <w:t>for potential native title holders</w:t>
            </w:r>
            <w:r w:rsidR="00B37CDE" w:rsidRPr="6967B2CC">
              <w:t>.</w:t>
            </w:r>
          </w:p>
        </w:tc>
      </w:tr>
    </w:tbl>
    <w:p w14:paraId="30DC394C" w14:textId="77777777" w:rsidR="0022182B" w:rsidRDefault="005F4B71" w:rsidP="00C46E4F">
      <w:pPr>
        <w:pStyle w:val="Heading3"/>
      </w:pPr>
      <w:r>
        <w:t xml:space="preserve">TOR 2: </w:t>
      </w:r>
      <w:r w:rsidR="00010FE7">
        <w:t xml:space="preserve">Assessment of </w:t>
      </w:r>
      <w:r w:rsidR="0022182B">
        <w:t>performance</w:t>
      </w:r>
    </w:p>
    <w:p w14:paraId="204D8CDA" w14:textId="1BDE8E19" w:rsidR="00C46E4F" w:rsidRDefault="0022182B" w:rsidP="0022182B">
      <w:pPr>
        <w:rPr>
          <w:lang w:eastAsia="en-AU"/>
        </w:rPr>
      </w:pPr>
      <w:r w:rsidRPr="00010FE7">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_Ref164753157 \n \h </w:instrText>
      </w:r>
      <w:r>
        <w:rPr>
          <w:lang w:eastAsia="en-AU"/>
        </w:rPr>
      </w:r>
      <w:r>
        <w:rPr>
          <w:lang w:eastAsia="en-AU"/>
        </w:rPr>
        <w:fldChar w:fldCharType="separate"/>
      </w:r>
      <w:r w:rsidR="00AB7E95">
        <w:rPr>
          <w:lang w:eastAsia="en-AU"/>
        </w:rPr>
        <w:t>Appendix A</w:t>
      </w:r>
      <w:r>
        <w:rPr>
          <w:lang w:eastAsia="en-AU"/>
        </w:rPr>
        <w:fldChar w:fldCharType="end"/>
      </w:r>
      <w:r w:rsidRPr="00010FE7">
        <w:rPr>
          <w:lang w:eastAsia="en-AU"/>
        </w:rPr>
        <w:t>.</w:t>
      </w:r>
      <w:r w:rsidR="00C46E4F">
        <w:t xml:space="preserve"> </w:t>
      </w:r>
    </w:p>
    <w:p w14:paraId="1FE5C4A9" w14:textId="77777777" w:rsidR="005005BA" w:rsidRPr="005005BA" w:rsidRDefault="005005BA" w:rsidP="005005BA">
      <w:pPr>
        <w:keepNext/>
        <w:spacing w:before="240" w:after="60"/>
        <w:outlineLvl w:val="3"/>
        <w:rPr>
          <w:rFonts w:ascii="Segoe UI Semibold" w:eastAsia="Times New Roman" w:hAnsi="Segoe UI Semibold" w:cs="Times New Roman"/>
          <w:color w:val="00264D" w:themeColor="background2"/>
          <w:sz w:val="22"/>
          <w:szCs w:val="19"/>
          <w:lang w:eastAsia="en-AU"/>
        </w:rPr>
      </w:pPr>
      <w:r w:rsidRPr="005005BA">
        <w:rPr>
          <w:rFonts w:ascii="Segoe UI Semibold" w:eastAsia="Times New Roman" w:hAnsi="Segoe UI Semibold" w:cs="Times New Roman"/>
          <w:color w:val="00264D" w:themeColor="background2"/>
          <w:sz w:val="22"/>
          <w:szCs w:val="19"/>
          <w:lang w:eastAsia="en-AU"/>
        </w:rPr>
        <w:t>Equity, transparency and robustness of assessment and prioritisation process</w:t>
      </w:r>
    </w:p>
    <w:p w14:paraId="4CB63D6B" w14:textId="26AC1FA3" w:rsidR="005005BA" w:rsidRPr="005005BA" w:rsidRDefault="00B778A1" w:rsidP="005566FF">
      <w:pPr>
        <w:keepNext/>
        <w:numPr>
          <w:ilvl w:val="4"/>
          <w:numId w:val="2"/>
        </w:numPr>
        <w:tabs>
          <w:tab w:val="num" w:pos="360"/>
        </w:tabs>
        <w:spacing w:before="240"/>
        <w:outlineLvl w:val="4"/>
        <w:rPr>
          <w:rFonts w:eastAsia="Times New Roman" w:cs="Times New Roman"/>
          <w:b/>
          <w:color w:val="000000" w:themeColor="text1"/>
          <w:sz w:val="20"/>
          <w:szCs w:val="24"/>
          <w:lang w:eastAsia="en-AU"/>
        </w:rPr>
      </w:pPr>
      <w:r>
        <w:rPr>
          <w:rFonts w:eastAsia="Times New Roman" w:cs="Times New Roman"/>
          <w:b/>
          <w:color w:val="000000" w:themeColor="text1"/>
          <w:sz w:val="20"/>
          <w:szCs w:val="24"/>
          <w:lang w:eastAsia="en-AU"/>
        </w:rPr>
        <w:t>FNLRS’s</w:t>
      </w:r>
      <w:r w:rsidR="005005BA" w:rsidRPr="005005BA">
        <w:rPr>
          <w:rFonts w:eastAsia="Times New Roman" w:cs="Times New Roman"/>
          <w:b/>
          <w:color w:val="000000" w:themeColor="text1"/>
          <w:sz w:val="20"/>
          <w:szCs w:val="24"/>
          <w:lang w:eastAsia="en-AU"/>
        </w:rPr>
        <w:t xml:space="preserve"> assessment and prioritisation process </w:t>
      </w:r>
      <w:r w:rsidR="00FD725D">
        <w:rPr>
          <w:rFonts w:eastAsia="Times New Roman" w:cs="Times New Roman"/>
          <w:b/>
          <w:color w:val="000000" w:themeColor="text1"/>
          <w:sz w:val="20"/>
          <w:szCs w:val="24"/>
          <w:lang w:eastAsia="en-AU"/>
        </w:rPr>
        <w:t>took account</w:t>
      </w:r>
      <w:r w:rsidR="005005BA" w:rsidRPr="005005BA">
        <w:rPr>
          <w:rFonts w:eastAsia="Times New Roman" w:cs="Times New Roman"/>
          <w:b/>
          <w:color w:val="000000" w:themeColor="text1"/>
          <w:sz w:val="20"/>
          <w:szCs w:val="24"/>
          <w:lang w:eastAsia="en-AU"/>
        </w:rPr>
        <w:t xml:space="preserve"> of </w:t>
      </w:r>
      <w:r w:rsidR="00FD725D">
        <w:rPr>
          <w:rFonts w:eastAsia="Times New Roman" w:cs="Times New Roman"/>
          <w:b/>
          <w:color w:val="000000" w:themeColor="text1"/>
          <w:sz w:val="20"/>
          <w:szCs w:val="24"/>
          <w:lang w:eastAsia="en-AU"/>
        </w:rPr>
        <w:t>its</w:t>
      </w:r>
      <w:r w:rsidR="00FD725D" w:rsidRPr="005005BA">
        <w:rPr>
          <w:rFonts w:eastAsia="Times New Roman" w:cs="Times New Roman"/>
          <w:b/>
          <w:color w:val="000000" w:themeColor="text1"/>
          <w:sz w:val="20"/>
          <w:szCs w:val="24"/>
          <w:lang w:eastAsia="en-AU"/>
        </w:rPr>
        <w:t xml:space="preserve"> </w:t>
      </w:r>
      <w:r w:rsidR="005005BA" w:rsidRPr="005005BA">
        <w:rPr>
          <w:rFonts w:eastAsia="Times New Roman" w:cs="Times New Roman"/>
          <w:b/>
          <w:color w:val="000000" w:themeColor="text1"/>
          <w:sz w:val="20"/>
          <w:szCs w:val="24"/>
          <w:lang w:eastAsia="en-AU"/>
        </w:rPr>
        <w:t>unique operating environment</w:t>
      </w:r>
    </w:p>
    <w:p w14:paraId="2004CC98" w14:textId="225080C8" w:rsidR="006F05B0" w:rsidRDefault="00B778A1" w:rsidP="006F05B0">
      <w:pPr>
        <w:rPr>
          <w:lang w:eastAsia="en-AU"/>
        </w:rPr>
      </w:pPr>
      <w:r>
        <w:rPr>
          <w:lang w:eastAsia="en-AU"/>
        </w:rPr>
        <w:t>FNLRS’s</w:t>
      </w:r>
      <w:r w:rsidR="005005BA" w:rsidRPr="005005BA">
        <w:rPr>
          <w:lang w:eastAsia="en-AU"/>
        </w:rPr>
        <w:t xml:space="preserve"> Guidelines for First Nations Assistance to </w:t>
      </w:r>
      <w:r w:rsidR="00B02524">
        <w:rPr>
          <w:lang w:eastAsia="en-AU"/>
        </w:rPr>
        <w:t>N</w:t>
      </w:r>
      <w:r w:rsidR="00056D5B" w:rsidRPr="005005BA">
        <w:rPr>
          <w:lang w:eastAsia="en-AU"/>
        </w:rPr>
        <w:t xml:space="preserve">ative </w:t>
      </w:r>
      <w:r w:rsidR="00B02524">
        <w:rPr>
          <w:lang w:eastAsia="en-AU"/>
        </w:rPr>
        <w:t>T</w:t>
      </w:r>
      <w:r w:rsidR="00056D5B" w:rsidRPr="005005BA">
        <w:rPr>
          <w:lang w:eastAsia="en-AU"/>
        </w:rPr>
        <w:t xml:space="preserve">itle </w:t>
      </w:r>
      <w:r w:rsidR="00B02524">
        <w:rPr>
          <w:lang w:eastAsia="en-AU"/>
        </w:rPr>
        <w:t>G</w:t>
      </w:r>
      <w:r w:rsidR="00056D5B" w:rsidRPr="005005BA">
        <w:rPr>
          <w:lang w:eastAsia="en-AU"/>
        </w:rPr>
        <w:t xml:space="preserve">roups </w:t>
      </w:r>
      <w:r w:rsidR="006977C8">
        <w:rPr>
          <w:lang w:eastAsia="en-AU"/>
        </w:rPr>
        <w:t>outlined FNLRS’s</w:t>
      </w:r>
      <w:r w:rsidR="0022427F">
        <w:rPr>
          <w:lang w:eastAsia="en-AU"/>
        </w:rPr>
        <w:t xml:space="preserve"> </w:t>
      </w:r>
      <w:r w:rsidR="00ED3E1A">
        <w:rPr>
          <w:lang w:eastAsia="en-AU"/>
        </w:rPr>
        <w:t xml:space="preserve">policies and procedures in determining </w:t>
      </w:r>
      <w:r w:rsidR="00421C05">
        <w:rPr>
          <w:lang w:eastAsia="en-AU"/>
        </w:rPr>
        <w:t>whether</w:t>
      </w:r>
      <w:r w:rsidR="00ED3E1A">
        <w:rPr>
          <w:lang w:eastAsia="en-AU"/>
        </w:rPr>
        <w:t xml:space="preserve"> FNLRS would </w:t>
      </w:r>
      <w:proofErr w:type="gramStart"/>
      <w:r w:rsidR="00ED3E1A">
        <w:rPr>
          <w:lang w:eastAsia="en-AU"/>
        </w:rPr>
        <w:t>provide assistance to</w:t>
      </w:r>
      <w:proofErr w:type="gramEnd"/>
      <w:r w:rsidR="00ED3E1A">
        <w:rPr>
          <w:lang w:eastAsia="en-AU"/>
        </w:rPr>
        <w:t xml:space="preserve"> native title groups</w:t>
      </w:r>
      <w:r w:rsidR="005005BA" w:rsidRPr="005005BA">
        <w:rPr>
          <w:lang w:eastAsia="en-AU"/>
        </w:rPr>
        <w:t>.</w:t>
      </w:r>
      <w:r w:rsidR="007B070D">
        <w:rPr>
          <w:lang w:eastAsia="en-AU"/>
        </w:rPr>
        <w:t xml:space="preserve"> </w:t>
      </w:r>
      <w:r w:rsidR="005005BA" w:rsidRPr="005005BA">
        <w:rPr>
          <w:lang w:eastAsia="en-AU"/>
        </w:rPr>
        <w:t>The guidelines</w:t>
      </w:r>
      <w:r w:rsidR="009B4710">
        <w:rPr>
          <w:lang w:eastAsia="en-AU"/>
        </w:rPr>
        <w:t xml:space="preserve"> </w:t>
      </w:r>
      <w:r w:rsidR="000208CA">
        <w:rPr>
          <w:lang w:eastAsia="en-AU"/>
        </w:rPr>
        <w:t>covered</w:t>
      </w:r>
      <w:r w:rsidR="009B4710">
        <w:rPr>
          <w:lang w:eastAsia="en-AU"/>
        </w:rPr>
        <w:t xml:space="preserve"> the process for applying for assistance, including instructions as to how to </w:t>
      </w:r>
      <w:r w:rsidR="00371CCA">
        <w:rPr>
          <w:lang w:eastAsia="en-AU"/>
        </w:rPr>
        <w:t>make</w:t>
      </w:r>
      <w:r w:rsidR="009B4710">
        <w:rPr>
          <w:lang w:eastAsia="en-AU"/>
        </w:rPr>
        <w:t xml:space="preserve"> an application</w:t>
      </w:r>
      <w:r w:rsidR="00371CCA">
        <w:rPr>
          <w:lang w:eastAsia="en-AU"/>
        </w:rPr>
        <w:t xml:space="preserve"> and ascertain the facts surrounding an </w:t>
      </w:r>
      <w:r w:rsidR="00963C53">
        <w:rPr>
          <w:lang w:eastAsia="en-AU"/>
        </w:rPr>
        <w:t>application</w:t>
      </w:r>
      <w:r w:rsidR="00560919">
        <w:rPr>
          <w:lang w:eastAsia="en-AU"/>
        </w:rPr>
        <w:t>.</w:t>
      </w:r>
      <w:r w:rsidR="005005BA" w:rsidRPr="005005BA" w:rsidDel="00560919">
        <w:rPr>
          <w:lang w:eastAsia="en-AU"/>
        </w:rPr>
        <w:t xml:space="preserve"> </w:t>
      </w:r>
      <w:r w:rsidR="005005BA" w:rsidRPr="005005BA">
        <w:rPr>
          <w:lang w:eastAsia="en-AU"/>
        </w:rPr>
        <w:t xml:space="preserve">Explicit reference to </w:t>
      </w:r>
      <w:r>
        <w:rPr>
          <w:lang w:eastAsia="en-AU"/>
        </w:rPr>
        <w:t>FNLRS’s</w:t>
      </w:r>
      <w:r w:rsidR="005005BA" w:rsidRPr="005005BA">
        <w:rPr>
          <w:lang w:eastAsia="en-AU"/>
        </w:rPr>
        <w:t xml:space="preserve"> commitment to a fair assessment of applications is made in the documents, which FNLRS supported with a set of comprehensive general criteria. These general criteria </w:t>
      </w:r>
      <w:r w:rsidR="006F05B0">
        <w:rPr>
          <w:lang w:eastAsia="en-AU"/>
        </w:rPr>
        <w:t>included:</w:t>
      </w:r>
    </w:p>
    <w:p w14:paraId="071A7940" w14:textId="7668A1DE" w:rsidR="005005BA" w:rsidRPr="005005BA" w:rsidRDefault="004143D8" w:rsidP="006F05B0">
      <w:pPr>
        <w:pStyle w:val="Bullet"/>
      </w:pPr>
      <w:r>
        <w:t>c</w:t>
      </w:r>
      <w:r w:rsidR="005005BA" w:rsidRPr="005005BA">
        <w:t xml:space="preserve">ompatibility of the native title matter with the Operational Plan of </w:t>
      </w:r>
      <w:r w:rsidR="00F30631">
        <w:t>FNLRS</w:t>
      </w:r>
    </w:p>
    <w:p w14:paraId="1DAA40DA" w14:textId="436BA77B" w:rsidR="005005BA" w:rsidRPr="005005BA" w:rsidRDefault="004143D8" w:rsidP="006F05B0">
      <w:pPr>
        <w:pStyle w:val="Bullet"/>
      </w:pPr>
      <w:r>
        <w:t>p</w:t>
      </w:r>
      <w:r w:rsidR="005005BA" w:rsidRPr="005005BA">
        <w:t>otential strength of the claim</w:t>
      </w:r>
    </w:p>
    <w:p w14:paraId="2786B24E" w14:textId="5A72289F" w:rsidR="005005BA" w:rsidRPr="00D53A00" w:rsidRDefault="004143D8" w:rsidP="00D53A00">
      <w:pPr>
        <w:pStyle w:val="Bullet"/>
      </w:pPr>
      <w:r w:rsidRPr="6967B2CC">
        <w:t>c</w:t>
      </w:r>
      <w:r w:rsidR="005005BA" w:rsidRPr="6967B2CC">
        <w:t>oherence and capacity of the native title group</w:t>
      </w:r>
    </w:p>
    <w:p w14:paraId="75731C45" w14:textId="22529D13" w:rsidR="005005BA" w:rsidRPr="005005BA" w:rsidRDefault="004143D8" w:rsidP="006F05B0">
      <w:pPr>
        <w:pStyle w:val="Bullet"/>
      </w:pPr>
      <w:r>
        <w:t>e</w:t>
      </w:r>
      <w:r w:rsidR="005005BA" w:rsidRPr="005005BA">
        <w:t>xistence of overlapping claims</w:t>
      </w:r>
    </w:p>
    <w:p w14:paraId="5C107D46" w14:textId="52217DFB" w:rsidR="005005BA" w:rsidRPr="005005BA" w:rsidRDefault="004143D8" w:rsidP="006F05B0">
      <w:pPr>
        <w:pStyle w:val="Bullet"/>
      </w:pPr>
      <w:r>
        <w:t>c</w:t>
      </w:r>
      <w:r w:rsidR="005005BA" w:rsidRPr="005005BA">
        <w:t>ost</w:t>
      </w:r>
    </w:p>
    <w:p w14:paraId="7FA2CA28" w14:textId="70F1EB3F" w:rsidR="005005BA" w:rsidRPr="005005BA" w:rsidRDefault="004143D8" w:rsidP="006F05B0">
      <w:pPr>
        <w:pStyle w:val="Bullet"/>
      </w:pPr>
      <w:r>
        <w:lastRenderedPageBreak/>
        <w:t>b</w:t>
      </w:r>
      <w:r w:rsidR="005005BA" w:rsidRPr="005005BA">
        <w:t>enefits</w:t>
      </w:r>
    </w:p>
    <w:p w14:paraId="233257AB" w14:textId="4ABC4C1E" w:rsidR="005005BA" w:rsidRPr="005005BA" w:rsidRDefault="004143D8" w:rsidP="006F05B0">
      <w:pPr>
        <w:pStyle w:val="Bullet"/>
      </w:pPr>
      <w:r>
        <w:t>c</w:t>
      </w:r>
      <w:r w:rsidR="005005BA" w:rsidRPr="005005BA">
        <w:t>urrent state of preparation of the native title matter</w:t>
      </w:r>
      <w:r>
        <w:t>.</w:t>
      </w:r>
    </w:p>
    <w:p w14:paraId="5A9F287C" w14:textId="10851619" w:rsidR="00297E38" w:rsidRPr="005005BA" w:rsidRDefault="005005BA" w:rsidP="0057149D">
      <w:pPr>
        <w:autoSpaceDE w:val="0"/>
        <w:autoSpaceDN w:val="0"/>
        <w:adjustRightInd w:val="0"/>
        <w:spacing w:after="0" w:line="240" w:lineRule="auto"/>
        <w:rPr>
          <w:lang w:eastAsia="en-AU"/>
        </w:rPr>
      </w:pPr>
      <w:r w:rsidRPr="005005BA">
        <w:rPr>
          <w:lang w:eastAsia="en-AU"/>
        </w:rPr>
        <w:t>FNLRS</w:t>
      </w:r>
      <w:r w:rsidR="00953C89">
        <w:rPr>
          <w:lang w:eastAsia="en-AU"/>
        </w:rPr>
        <w:t>’s guidelines</w:t>
      </w:r>
      <w:r w:rsidR="00981031">
        <w:rPr>
          <w:lang w:eastAsia="en-AU"/>
        </w:rPr>
        <w:t xml:space="preserve"> </w:t>
      </w:r>
      <w:r w:rsidRPr="005005BA">
        <w:rPr>
          <w:lang w:eastAsia="en-AU"/>
        </w:rPr>
        <w:t xml:space="preserve">also openly acknowledged the influence of funding constraints and </w:t>
      </w:r>
      <w:r w:rsidR="00852A72">
        <w:rPr>
          <w:lang w:eastAsia="en-AU"/>
        </w:rPr>
        <w:t xml:space="preserve">the </w:t>
      </w:r>
      <w:r w:rsidRPr="005005BA">
        <w:rPr>
          <w:lang w:eastAsia="en-AU"/>
        </w:rPr>
        <w:t xml:space="preserve">potential </w:t>
      </w:r>
      <w:r w:rsidR="00385C7C">
        <w:rPr>
          <w:lang w:eastAsia="en-AU"/>
        </w:rPr>
        <w:t>for</w:t>
      </w:r>
      <w:r w:rsidRPr="005005BA">
        <w:rPr>
          <w:lang w:eastAsia="en-AU"/>
        </w:rPr>
        <w:t xml:space="preserve"> conflicts of </w:t>
      </w:r>
      <w:r w:rsidR="00A93E89" w:rsidRPr="005005BA">
        <w:rPr>
          <w:lang w:eastAsia="en-AU"/>
        </w:rPr>
        <w:t>interest</w:t>
      </w:r>
      <w:r w:rsidRPr="005005BA">
        <w:rPr>
          <w:lang w:eastAsia="en-AU"/>
        </w:rPr>
        <w:t>.</w:t>
      </w:r>
      <w:r w:rsidR="00455B18">
        <w:rPr>
          <w:lang w:eastAsia="en-AU"/>
        </w:rPr>
        <w:t xml:space="preserve"> </w:t>
      </w:r>
      <w:r w:rsidR="00001953">
        <w:rPr>
          <w:lang w:eastAsia="en-AU"/>
        </w:rPr>
        <w:t>Two iterations of these guidelines were</w:t>
      </w:r>
      <w:r w:rsidR="001E643A">
        <w:rPr>
          <w:lang w:eastAsia="en-AU"/>
        </w:rPr>
        <w:t xml:space="preserve"> </w:t>
      </w:r>
      <w:r w:rsidR="002D52E2">
        <w:rPr>
          <w:lang w:eastAsia="en-AU"/>
        </w:rPr>
        <w:t>used during the Review period</w:t>
      </w:r>
      <w:r w:rsidR="004E749B">
        <w:rPr>
          <w:lang w:eastAsia="en-AU"/>
        </w:rPr>
        <w:t>,</w:t>
      </w:r>
      <w:r w:rsidR="002D52E2">
        <w:rPr>
          <w:lang w:eastAsia="en-AU"/>
        </w:rPr>
        <w:t xml:space="preserve"> with </w:t>
      </w:r>
      <w:r w:rsidR="00963C53">
        <w:rPr>
          <w:lang w:eastAsia="en-AU"/>
        </w:rPr>
        <w:t>the guidelines being updated</w:t>
      </w:r>
      <w:r w:rsidR="00E751DF">
        <w:rPr>
          <w:lang w:eastAsia="en-AU"/>
        </w:rPr>
        <w:t xml:space="preserve"> in </w:t>
      </w:r>
      <w:r w:rsidR="002D52E2">
        <w:rPr>
          <w:lang w:eastAsia="en-AU"/>
        </w:rPr>
        <w:t>November 2021</w:t>
      </w:r>
      <w:r w:rsidR="00963C53">
        <w:rPr>
          <w:lang w:eastAsia="en-AU"/>
        </w:rPr>
        <w:t>.</w:t>
      </w:r>
      <w:r w:rsidR="00ED42C8">
        <w:rPr>
          <w:lang w:eastAsia="en-AU"/>
        </w:rPr>
        <w:t xml:space="preserve"> The </w:t>
      </w:r>
      <w:r w:rsidR="000C52F5">
        <w:rPr>
          <w:lang w:eastAsia="en-AU"/>
        </w:rPr>
        <w:t>latter iteration refine</w:t>
      </w:r>
      <w:r w:rsidR="00963C53">
        <w:rPr>
          <w:lang w:eastAsia="en-AU"/>
        </w:rPr>
        <w:t>d the</w:t>
      </w:r>
      <w:r w:rsidR="000C52F5">
        <w:rPr>
          <w:lang w:eastAsia="en-AU"/>
        </w:rPr>
        <w:t xml:space="preserve"> </w:t>
      </w:r>
      <w:r w:rsidR="00506AF6">
        <w:rPr>
          <w:lang w:eastAsia="en-AU"/>
        </w:rPr>
        <w:t>assessment practices</w:t>
      </w:r>
      <w:r w:rsidR="000C52F5">
        <w:rPr>
          <w:lang w:eastAsia="en-AU"/>
        </w:rPr>
        <w:t xml:space="preserve">, </w:t>
      </w:r>
      <w:r w:rsidR="003B5013">
        <w:rPr>
          <w:lang w:eastAsia="en-AU"/>
        </w:rPr>
        <w:t>expand</w:t>
      </w:r>
      <w:r w:rsidR="00963C53">
        <w:rPr>
          <w:lang w:eastAsia="en-AU"/>
        </w:rPr>
        <w:t>ed the</w:t>
      </w:r>
      <w:r w:rsidR="000C52F5">
        <w:rPr>
          <w:lang w:eastAsia="en-AU"/>
        </w:rPr>
        <w:t xml:space="preserve"> criteria for assistance and </w:t>
      </w:r>
      <w:r w:rsidR="003B5013">
        <w:rPr>
          <w:lang w:eastAsia="en-AU"/>
        </w:rPr>
        <w:t>provide</w:t>
      </w:r>
      <w:r w:rsidR="00963C53">
        <w:rPr>
          <w:lang w:eastAsia="en-AU"/>
        </w:rPr>
        <w:t>d</w:t>
      </w:r>
      <w:r w:rsidR="003B5013">
        <w:rPr>
          <w:lang w:eastAsia="en-AU"/>
        </w:rPr>
        <w:t xml:space="preserve"> further</w:t>
      </w:r>
      <w:r w:rsidR="000C52F5">
        <w:rPr>
          <w:lang w:eastAsia="en-AU"/>
        </w:rPr>
        <w:t xml:space="preserve"> detail </w:t>
      </w:r>
      <w:r w:rsidR="005D6B7C">
        <w:rPr>
          <w:lang w:eastAsia="en-AU"/>
        </w:rPr>
        <w:t xml:space="preserve">about </w:t>
      </w:r>
      <w:r w:rsidR="00B778A1">
        <w:rPr>
          <w:lang w:eastAsia="en-AU"/>
        </w:rPr>
        <w:t>FNLRS’s</w:t>
      </w:r>
      <w:r w:rsidR="000C52F5">
        <w:rPr>
          <w:lang w:eastAsia="en-AU"/>
        </w:rPr>
        <w:t xml:space="preserve"> approach</w:t>
      </w:r>
      <w:r w:rsidR="008C03C1">
        <w:rPr>
          <w:lang w:eastAsia="en-AU"/>
        </w:rPr>
        <w:t xml:space="preserve"> </w:t>
      </w:r>
      <w:r w:rsidR="00805130">
        <w:rPr>
          <w:lang w:eastAsia="en-AU"/>
        </w:rPr>
        <w:t xml:space="preserve">for assessing </w:t>
      </w:r>
      <w:r w:rsidR="00A96B0D">
        <w:rPr>
          <w:lang w:eastAsia="en-AU"/>
        </w:rPr>
        <w:t>assistance requests.</w:t>
      </w:r>
      <w:r w:rsidR="00574D57">
        <w:rPr>
          <w:lang w:eastAsia="en-AU"/>
        </w:rPr>
        <w:t xml:space="preserve"> </w:t>
      </w:r>
      <w:r w:rsidR="00574D57" w:rsidRPr="00574D57">
        <w:rPr>
          <w:lang w:eastAsia="en-AU"/>
        </w:rPr>
        <w:t>The</w:t>
      </w:r>
      <w:r w:rsidR="00035C7E">
        <w:rPr>
          <w:lang w:eastAsia="en-AU"/>
        </w:rPr>
        <w:t>se</w:t>
      </w:r>
      <w:r w:rsidR="00574D57" w:rsidRPr="00574D57">
        <w:rPr>
          <w:lang w:eastAsia="en-AU"/>
        </w:rPr>
        <w:t xml:space="preserve"> adjustments enhanc</w:t>
      </w:r>
      <w:r w:rsidR="00035C7E">
        <w:rPr>
          <w:lang w:eastAsia="en-AU"/>
        </w:rPr>
        <w:t>e</w:t>
      </w:r>
      <w:r w:rsidR="00A94BD0">
        <w:rPr>
          <w:lang w:eastAsia="en-AU"/>
        </w:rPr>
        <w:t>d</w:t>
      </w:r>
      <w:r w:rsidR="003169CF">
        <w:rPr>
          <w:lang w:eastAsia="en-AU"/>
        </w:rPr>
        <w:t xml:space="preserve"> the </w:t>
      </w:r>
      <w:r w:rsidR="00574D57" w:rsidRPr="00574D57">
        <w:rPr>
          <w:lang w:eastAsia="en-AU"/>
        </w:rPr>
        <w:t xml:space="preserve">transparency, accessibility and effectiveness </w:t>
      </w:r>
      <w:r w:rsidR="003169CF">
        <w:rPr>
          <w:lang w:eastAsia="en-AU"/>
        </w:rPr>
        <w:t>of the guidelines.</w:t>
      </w:r>
    </w:p>
    <w:p w14:paraId="62CEFF74" w14:textId="6A3C1BAF" w:rsidR="005005BA" w:rsidRPr="005005BA" w:rsidRDefault="005005BA" w:rsidP="005566FF">
      <w:pPr>
        <w:keepNext/>
        <w:numPr>
          <w:ilvl w:val="4"/>
          <w:numId w:val="2"/>
        </w:numPr>
        <w:tabs>
          <w:tab w:val="num" w:pos="360"/>
        </w:tabs>
        <w:spacing w:before="240"/>
        <w:outlineLvl w:val="4"/>
        <w:rPr>
          <w:rFonts w:eastAsia="Times New Roman" w:cs="Times New Roman"/>
          <w:b/>
          <w:color w:val="000000" w:themeColor="text1"/>
          <w:sz w:val="20"/>
          <w:szCs w:val="24"/>
          <w:lang w:eastAsia="en-AU"/>
        </w:rPr>
      </w:pPr>
      <w:r w:rsidRPr="005005BA">
        <w:rPr>
          <w:rFonts w:eastAsia="Times New Roman" w:cs="Times New Roman"/>
          <w:b/>
          <w:color w:val="000000" w:themeColor="text1"/>
          <w:sz w:val="20"/>
          <w:szCs w:val="24"/>
          <w:lang w:eastAsia="en-AU"/>
        </w:rPr>
        <w:t xml:space="preserve">FNLRS has </w:t>
      </w:r>
      <w:r w:rsidR="005C1E1F">
        <w:rPr>
          <w:rFonts w:eastAsia="Times New Roman" w:cs="Times New Roman"/>
          <w:b/>
          <w:color w:val="000000" w:themeColor="text1"/>
          <w:sz w:val="20"/>
          <w:szCs w:val="24"/>
          <w:lang w:eastAsia="en-AU"/>
        </w:rPr>
        <w:t>reconsidered</w:t>
      </w:r>
      <w:r w:rsidRPr="005005BA">
        <w:rPr>
          <w:rFonts w:eastAsia="Times New Roman" w:cs="Times New Roman"/>
          <w:b/>
          <w:color w:val="000000" w:themeColor="text1"/>
          <w:sz w:val="20"/>
          <w:szCs w:val="24"/>
          <w:lang w:eastAsia="en-AU"/>
        </w:rPr>
        <w:t xml:space="preserve"> how </w:t>
      </w:r>
      <w:r w:rsidR="00CC28E2">
        <w:rPr>
          <w:rFonts w:eastAsia="Times New Roman" w:cs="Times New Roman"/>
          <w:b/>
          <w:color w:val="000000" w:themeColor="text1"/>
          <w:sz w:val="20"/>
          <w:szCs w:val="24"/>
          <w:lang w:eastAsia="en-AU"/>
        </w:rPr>
        <w:t>it assesses</w:t>
      </w:r>
      <w:r w:rsidRPr="005005BA">
        <w:rPr>
          <w:rFonts w:eastAsia="Times New Roman" w:cs="Times New Roman"/>
          <w:b/>
          <w:color w:val="000000" w:themeColor="text1"/>
          <w:sz w:val="20"/>
          <w:szCs w:val="24"/>
          <w:lang w:eastAsia="en-AU"/>
        </w:rPr>
        <w:t xml:space="preserve"> and </w:t>
      </w:r>
      <w:proofErr w:type="gramStart"/>
      <w:r w:rsidRPr="005005BA">
        <w:rPr>
          <w:rFonts w:eastAsia="Times New Roman" w:cs="Times New Roman"/>
          <w:b/>
          <w:color w:val="000000" w:themeColor="text1"/>
          <w:sz w:val="20"/>
          <w:szCs w:val="24"/>
          <w:lang w:eastAsia="en-AU"/>
        </w:rPr>
        <w:t>provide</w:t>
      </w:r>
      <w:r w:rsidR="00CC28E2">
        <w:rPr>
          <w:rFonts w:eastAsia="Times New Roman" w:cs="Times New Roman"/>
          <w:b/>
          <w:color w:val="000000" w:themeColor="text1"/>
          <w:sz w:val="20"/>
          <w:szCs w:val="24"/>
          <w:lang w:eastAsia="en-AU"/>
        </w:rPr>
        <w:t>s</w:t>
      </w:r>
      <w:r w:rsidRPr="005005BA">
        <w:rPr>
          <w:rFonts w:eastAsia="Times New Roman" w:cs="Times New Roman"/>
          <w:b/>
          <w:color w:val="000000" w:themeColor="text1"/>
          <w:sz w:val="20"/>
          <w:szCs w:val="24"/>
          <w:lang w:eastAsia="en-AU"/>
        </w:rPr>
        <w:t xml:space="preserve"> assistance</w:t>
      </w:r>
      <w:proofErr w:type="gramEnd"/>
      <w:r w:rsidRPr="005005BA">
        <w:rPr>
          <w:rFonts w:eastAsia="Times New Roman" w:cs="Times New Roman"/>
          <w:b/>
          <w:color w:val="000000" w:themeColor="text1"/>
          <w:sz w:val="20"/>
          <w:szCs w:val="24"/>
          <w:lang w:eastAsia="en-AU"/>
        </w:rPr>
        <w:t>, post-Review period</w:t>
      </w:r>
    </w:p>
    <w:p w14:paraId="76189957" w14:textId="5CAD85D6" w:rsidR="00690926" w:rsidRDefault="005005BA" w:rsidP="005005BA">
      <w:pPr>
        <w:rPr>
          <w:lang w:eastAsia="en-AU"/>
        </w:rPr>
      </w:pPr>
      <w:r w:rsidRPr="005005BA">
        <w:rPr>
          <w:lang w:eastAsia="en-AU"/>
        </w:rPr>
        <w:t>FNLRS has re</w:t>
      </w:r>
      <w:r w:rsidR="00F445CB">
        <w:rPr>
          <w:lang w:eastAsia="en-AU"/>
        </w:rPr>
        <w:t>-</w:t>
      </w:r>
      <w:r w:rsidRPr="005005BA">
        <w:rPr>
          <w:lang w:eastAsia="en-AU"/>
        </w:rPr>
        <w:t>evaluated how it approache</w:t>
      </w:r>
      <w:r w:rsidR="005D6B7C">
        <w:rPr>
          <w:lang w:eastAsia="en-AU"/>
        </w:rPr>
        <w:t>d</w:t>
      </w:r>
      <w:r w:rsidR="00FE549A">
        <w:rPr>
          <w:lang w:eastAsia="en-AU"/>
        </w:rPr>
        <w:t xml:space="preserve"> </w:t>
      </w:r>
      <w:proofErr w:type="gramStart"/>
      <w:r w:rsidR="00FE549A">
        <w:rPr>
          <w:lang w:eastAsia="en-AU"/>
        </w:rPr>
        <w:t>providing</w:t>
      </w:r>
      <w:r w:rsidRPr="005005BA">
        <w:rPr>
          <w:lang w:eastAsia="en-AU"/>
        </w:rPr>
        <w:t xml:space="preserve"> assistance </w:t>
      </w:r>
      <w:r w:rsidR="00FE549A">
        <w:rPr>
          <w:lang w:eastAsia="en-AU"/>
        </w:rPr>
        <w:t>to</w:t>
      </w:r>
      <w:proofErr w:type="gramEnd"/>
      <w:r w:rsidR="00FE549A">
        <w:rPr>
          <w:lang w:eastAsia="en-AU"/>
        </w:rPr>
        <w:t xml:space="preserve"> native title groups </w:t>
      </w:r>
      <w:r w:rsidRPr="005005BA">
        <w:rPr>
          <w:lang w:eastAsia="en-AU"/>
        </w:rPr>
        <w:t xml:space="preserve">in line with </w:t>
      </w:r>
      <w:r w:rsidR="00466C99">
        <w:rPr>
          <w:lang w:eastAsia="en-AU"/>
        </w:rPr>
        <w:t xml:space="preserve">the </w:t>
      </w:r>
      <w:r w:rsidRPr="005005BA">
        <w:rPr>
          <w:lang w:eastAsia="en-AU"/>
        </w:rPr>
        <w:t xml:space="preserve">recommendations of the Strategic Review (see TOR 1). </w:t>
      </w:r>
      <w:r w:rsidR="005C7FDB">
        <w:rPr>
          <w:lang w:eastAsia="en-AU"/>
        </w:rPr>
        <w:t>The previous</w:t>
      </w:r>
      <w:r w:rsidR="002E453F">
        <w:rPr>
          <w:lang w:eastAsia="en-AU"/>
        </w:rPr>
        <w:t xml:space="preserve"> approach </w:t>
      </w:r>
      <w:r w:rsidR="00357FA3">
        <w:rPr>
          <w:lang w:eastAsia="en-AU"/>
        </w:rPr>
        <w:t>relied</w:t>
      </w:r>
      <w:r w:rsidR="003C0F3A">
        <w:rPr>
          <w:lang w:eastAsia="en-AU"/>
        </w:rPr>
        <w:t xml:space="preserve"> solely</w:t>
      </w:r>
      <w:r w:rsidR="00357FA3">
        <w:rPr>
          <w:lang w:eastAsia="en-AU"/>
        </w:rPr>
        <w:t xml:space="preserve"> on the CEO to make assessment </w:t>
      </w:r>
      <w:r w:rsidR="001B43A1">
        <w:rPr>
          <w:lang w:eastAsia="en-AU"/>
        </w:rPr>
        <w:t>decisions</w:t>
      </w:r>
      <w:r w:rsidR="00FF4A6E">
        <w:rPr>
          <w:lang w:eastAsia="en-AU"/>
        </w:rPr>
        <w:t xml:space="preserve"> on funding</w:t>
      </w:r>
      <w:r w:rsidR="001B43A1">
        <w:rPr>
          <w:lang w:eastAsia="en-AU"/>
        </w:rPr>
        <w:t xml:space="preserve"> </w:t>
      </w:r>
      <w:r w:rsidR="006A66F7">
        <w:rPr>
          <w:lang w:eastAsia="en-AU"/>
        </w:rPr>
        <w:t>and was only delegated to</w:t>
      </w:r>
      <w:r w:rsidR="003C0F3A">
        <w:rPr>
          <w:lang w:eastAsia="en-AU"/>
        </w:rPr>
        <w:t xml:space="preserve"> </w:t>
      </w:r>
      <w:r w:rsidR="00492339">
        <w:rPr>
          <w:lang w:eastAsia="en-AU"/>
        </w:rPr>
        <w:t>other executive</w:t>
      </w:r>
      <w:r w:rsidR="00FE549A">
        <w:rPr>
          <w:lang w:eastAsia="en-AU"/>
        </w:rPr>
        <w:t>s</w:t>
      </w:r>
      <w:r w:rsidR="00492339">
        <w:rPr>
          <w:lang w:eastAsia="en-AU"/>
        </w:rPr>
        <w:t xml:space="preserve"> (</w:t>
      </w:r>
      <w:r w:rsidR="003E0180">
        <w:rPr>
          <w:lang w:eastAsia="en-AU"/>
        </w:rPr>
        <w:t>for example,</w:t>
      </w:r>
      <w:r w:rsidR="00492339">
        <w:rPr>
          <w:lang w:eastAsia="en-AU"/>
        </w:rPr>
        <w:t xml:space="preserve"> </w:t>
      </w:r>
      <w:r w:rsidR="005D6B7C">
        <w:rPr>
          <w:lang w:eastAsia="en-AU"/>
        </w:rPr>
        <w:t xml:space="preserve">the </w:t>
      </w:r>
      <w:r w:rsidR="00492339">
        <w:rPr>
          <w:lang w:eastAsia="en-AU"/>
        </w:rPr>
        <w:t xml:space="preserve">PLO) to make </w:t>
      </w:r>
      <w:r w:rsidR="00AD0FA3">
        <w:rPr>
          <w:lang w:eastAsia="en-AU"/>
        </w:rPr>
        <w:t xml:space="preserve">decisions in the event the CEO </w:t>
      </w:r>
      <w:r w:rsidR="001645F3">
        <w:rPr>
          <w:lang w:eastAsia="en-AU"/>
        </w:rPr>
        <w:t xml:space="preserve">was personally </w:t>
      </w:r>
      <w:r w:rsidR="00AD0FA3">
        <w:rPr>
          <w:lang w:eastAsia="en-AU"/>
        </w:rPr>
        <w:t>conflicted.</w:t>
      </w:r>
      <w:r w:rsidR="003C0F3A">
        <w:rPr>
          <w:lang w:eastAsia="en-AU"/>
        </w:rPr>
        <w:t xml:space="preserve"> </w:t>
      </w:r>
    </w:p>
    <w:p w14:paraId="3A2AEA85" w14:textId="18C8358C" w:rsidR="005005BA" w:rsidRPr="005005BA" w:rsidRDefault="005005BA" w:rsidP="005005BA">
      <w:pPr>
        <w:rPr>
          <w:lang w:eastAsia="en-AU"/>
        </w:rPr>
      </w:pPr>
      <w:r w:rsidRPr="005005BA">
        <w:rPr>
          <w:lang w:eastAsia="en-AU"/>
        </w:rPr>
        <w:t>Th</w:t>
      </w:r>
      <w:r w:rsidR="00AD0FA3">
        <w:rPr>
          <w:lang w:eastAsia="en-AU"/>
        </w:rPr>
        <w:t>e</w:t>
      </w:r>
      <w:r w:rsidRPr="005005BA">
        <w:rPr>
          <w:lang w:eastAsia="en-AU"/>
        </w:rPr>
        <w:t xml:space="preserve"> </w:t>
      </w:r>
      <w:r w:rsidR="00AD0FA3">
        <w:rPr>
          <w:lang w:eastAsia="en-AU"/>
        </w:rPr>
        <w:t>new</w:t>
      </w:r>
      <w:r w:rsidR="005C1E1F">
        <w:rPr>
          <w:lang w:eastAsia="en-AU"/>
        </w:rPr>
        <w:t xml:space="preserve"> approach</w:t>
      </w:r>
      <w:r w:rsidR="006A66F7">
        <w:rPr>
          <w:lang w:eastAsia="en-AU"/>
        </w:rPr>
        <w:t>, implemented after the Review period,</w:t>
      </w:r>
      <w:r w:rsidR="005C1E1F">
        <w:rPr>
          <w:lang w:eastAsia="en-AU"/>
        </w:rPr>
        <w:t xml:space="preserve"> </w:t>
      </w:r>
      <w:r w:rsidRPr="005005BA">
        <w:rPr>
          <w:lang w:eastAsia="en-AU"/>
        </w:rPr>
        <w:t>aims to</w:t>
      </w:r>
      <w:r w:rsidR="0049145E">
        <w:rPr>
          <w:lang w:eastAsia="en-AU"/>
        </w:rPr>
        <w:t xml:space="preserve"> expand </w:t>
      </w:r>
      <w:r w:rsidR="000208CF">
        <w:rPr>
          <w:lang w:eastAsia="en-AU"/>
        </w:rPr>
        <w:t xml:space="preserve">decision-making to </w:t>
      </w:r>
      <w:r w:rsidR="00FA3707">
        <w:rPr>
          <w:lang w:eastAsia="en-AU"/>
        </w:rPr>
        <w:t>address</w:t>
      </w:r>
      <w:r w:rsidRPr="005005BA">
        <w:rPr>
          <w:lang w:eastAsia="en-AU"/>
        </w:rPr>
        <w:t xml:space="preserve"> funding limitations and </w:t>
      </w:r>
      <w:r w:rsidR="00120BAF">
        <w:rPr>
          <w:lang w:eastAsia="en-AU"/>
        </w:rPr>
        <w:t xml:space="preserve">frequent </w:t>
      </w:r>
      <w:r w:rsidRPr="005005BA">
        <w:rPr>
          <w:lang w:eastAsia="en-AU"/>
        </w:rPr>
        <w:t xml:space="preserve">incidence of conflicts of interest. It sees FNLRS moving towards </w:t>
      </w:r>
      <w:r w:rsidR="00FF1A7F">
        <w:rPr>
          <w:lang w:eastAsia="en-AU"/>
        </w:rPr>
        <w:t>the</w:t>
      </w:r>
      <w:r w:rsidRPr="005005BA">
        <w:rPr>
          <w:lang w:eastAsia="en-AU"/>
        </w:rPr>
        <w:t xml:space="preserve"> role </w:t>
      </w:r>
      <w:r w:rsidR="00FF1A7F">
        <w:rPr>
          <w:lang w:eastAsia="en-AU"/>
        </w:rPr>
        <w:t>of</w:t>
      </w:r>
      <w:r w:rsidRPr="005005BA">
        <w:rPr>
          <w:lang w:eastAsia="en-AU"/>
        </w:rPr>
        <w:t xml:space="preserve"> facilitator rather than a </w:t>
      </w:r>
      <w:r w:rsidR="002A2A2C">
        <w:rPr>
          <w:lang w:eastAsia="en-AU"/>
        </w:rPr>
        <w:t xml:space="preserve">legal </w:t>
      </w:r>
      <w:r w:rsidRPr="005005BA">
        <w:rPr>
          <w:lang w:eastAsia="en-AU"/>
        </w:rPr>
        <w:t>representative for potential native title holders. Key changes include:</w:t>
      </w:r>
    </w:p>
    <w:p w14:paraId="1B73C0F1" w14:textId="4771E31A" w:rsidR="005005BA" w:rsidRPr="005005BA" w:rsidRDefault="00434E15" w:rsidP="00EE4279">
      <w:pPr>
        <w:pStyle w:val="Bullet"/>
      </w:pPr>
      <w:r w:rsidRPr="6967B2CC">
        <w:t xml:space="preserve">Decision </w:t>
      </w:r>
      <w:r w:rsidR="005005BA" w:rsidRPr="6967B2CC">
        <w:t xml:space="preserve">making for applications </w:t>
      </w:r>
      <w:r w:rsidR="007E4BE8" w:rsidRPr="6967B2CC">
        <w:t>for</w:t>
      </w:r>
      <w:r w:rsidR="005005BA" w:rsidRPr="6967B2CC">
        <w:t xml:space="preserve"> assistance to be made by a dedicated sub-committee</w:t>
      </w:r>
      <w:r w:rsidR="009F41FE" w:rsidRPr="6967B2CC">
        <w:t xml:space="preserve"> (Facilitation and Assistance Requests Assessment Committee</w:t>
      </w:r>
      <w:r w:rsidR="00F44467" w:rsidRPr="6967B2CC">
        <w:t xml:space="preserve"> </w:t>
      </w:r>
      <w:r w:rsidRPr="6967B2CC">
        <w:t>(</w:t>
      </w:r>
      <w:r w:rsidR="00F44467" w:rsidRPr="6967B2CC">
        <w:t>FARAC</w:t>
      </w:r>
      <w:r w:rsidRPr="6967B2CC">
        <w:t>)</w:t>
      </w:r>
      <w:r w:rsidR="009F41FE" w:rsidRPr="6967B2CC">
        <w:t>)</w:t>
      </w:r>
      <w:r w:rsidR="00F44467" w:rsidRPr="6967B2CC">
        <w:t>. The FARAC’s role is to assess and decide on NTA requests for assistance made to FNLRS by Traditional Owners. The FARAC is made up of</w:t>
      </w:r>
      <w:r w:rsidR="005005BA" w:rsidRPr="6967B2CC">
        <w:t xml:space="preserve"> members </w:t>
      </w:r>
      <w:r w:rsidR="00F44467" w:rsidRPr="6967B2CC">
        <w:t xml:space="preserve">of the </w:t>
      </w:r>
      <w:r w:rsidR="00220D61" w:rsidRPr="6967B2CC">
        <w:t xml:space="preserve">ARC </w:t>
      </w:r>
      <w:r w:rsidR="00F44467" w:rsidRPr="6967B2CC">
        <w:t xml:space="preserve">plus </w:t>
      </w:r>
      <w:r w:rsidR="005005BA" w:rsidRPr="6967B2CC">
        <w:t xml:space="preserve">an independent expert member </w:t>
      </w:r>
      <w:r w:rsidR="00F44467" w:rsidRPr="6967B2CC">
        <w:t>selected by FARAC.</w:t>
      </w:r>
    </w:p>
    <w:p w14:paraId="67AF5DF2" w14:textId="48061FFB" w:rsidR="009F24D7" w:rsidRDefault="00434E15" w:rsidP="002F6E55">
      <w:pPr>
        <w:pStyle w:val="Bullet"/>
      </w:pPr>
      <w:r w:rsidRPr="6967B2CC">
        <w:t xml:space="preserve">A </w:t>
      </w:r>
      <w:r w:rsidR="006B5DC7" w:rsidRPr="6967B2CC">
        <w:t>Third</w:t>
      </w:r>
      <w:r w:rsidR="00F55108" w:rsidRPr="6967B2CC">
        <w:t>-</w:t>
      </w:r>
      <w:r w:rsidR="006B5DC7" w:rsidRPr="6967B2CC">
        <w:t>Party Provider Panel</w:t>
      </w:r>
      <w:r w:rsidR="005005BA" w:rsidRPr="6967B2CC">
        <w:t xml:space="preserve"> to be </w:t>
      </w:r>
      <w:r w:rsidR="006B5DC7" w:rsidRPr="6967B2CC">
        <w:t>established</w:t>
      </w:r>
      <w:r w:rsidR="005005BA" w:rsidRPr="6967B2CC">
        <w:t xml:space="preserve"> with </w:t>
      </w:r>
      <w:r w:rsidR="00923AA4" w:rsidRPr="6967B2CC">
        <w:t>an approved set of professionals that are endorsed to be able to work with</w:t>
      </w:r>
      <w:r w:rsidR="005005BA" w:rsidRPr="6967B2CC">
        <w:t xml:space="preserve"> native title </w:t>
      </w:r>
      <w:r w:rsidR="00923AA4" w:rsidRPr="6967B2CC">
        <w:t>claimants</w:t>
      </w:r>
      <w:r w:rsidR="00D33951" w:rsidRPr="6967B2CC">
        <w:t xml:space="preserve"> and respondents to native title claims</w:t>
      </w:r>
      <w:r w:rsidR="00923AA4" w:rsidRPr="6967B2CC">
        <w:t>.</w:t>
      </w:r>
      <w:r w:rsidR="00F44467" w:rsidRPr="6967B2CC">
        <w:t xml:space="preserve"> </w:t>
      </w:r>
    </w:p>
    <w:p w14:paraId="42BDA21C" w14:textId="36A5A1F1" w:rsidR="005005BA" w:rsidRPr="005005BA" w:rsidRDefault="009F24D7" w:rsidP="002F6E55">
      <w:pPr>
        <w:pStyle w:val="Bullet"/>
      </w:pPr>
      <w:r w:rsidRPr="6967B2CC">
        <w:t xml:space="preserve">A </w:t>
      </w:r>
      <w:r w:rsidR="00F44467" w:rsidRPr="6967B2CC">
        <w:t>Third-Party Provider Panels Assessment Committee</w:t>
      </w:r>
      <w:r w:rsidR="006F11E3" w:rsidRPr="6967B2CC">
        <w:t xml:space="preserve"> to be established </w:t>
      </w:r>
      <w:r w:rsidRPr="6967B2CC">
        <w:t xml:space="preserve">to </w:t>
      </w:r>
      <w:r w:rsidR="00F44467" w:rsidRPr="6967B2CC">
        <w:t xml:space="preserve">assess and decide on applications made by lawyers and other professionals to join FNLRS’s Third-Party Provider Panel. </w:t>
      </w:r>
    </w:p>
    <w:p w14:paraId="0000EDBC" w14:textId="6810C270" w:rsidR="005005BA" w:rsidRPr="005005BA" w:rsidRDefault="00434E15" w:rsidP="00FC7F92">
      <w:pPr>
        <w:pStyle w:val="Bullet"/>
      </w:pPr>
      <w:r w:rsidRPr="005005BA">
        <w:t xml:space="preserve">Adjusting </w:t>
      </w:r>
      <w:r w:rsidR="005005BA" w:rsidRPr="005005BA">
        <w:t xml:space="preserve">guidelines in use during the Review period to recognise </w:t>
      </w:r>
      <w:r w:rsidR="00B778A1">
        <w:t>FNLRS’s</w:t>
      </w:r>
      <w:r w:rsidR="005005BA" w:rsidRPr="005005BA">
        <w:t xml:space="preserve"> shift in role.</w:t>
      </w:r>
    </w:p>
    <w:p w14:paraId="6F17FEE1" w14:textId="30A00CC8" w:rsidR="004D45A4" w:rsidRPr="00FC7F92" w:rsidRDefault="005F1E44" w:rsidP="00FC7F92">
      <w:pPr>
        <w:suppressAutoHyphens/>
        <w:rPr>
          <w:rFonts w:eastAsia="Times New Roman" w:cs="Times New Roman"/>
          <w:szCs w:val="19"/>
          <w:lang w:eastAsia="en-AU"/>
        </w:rPr>
      </w:pPr>
      <w:r>
        <w:rPr>
          <w:rFonts w:eastAsia="Times New Roman" w:cs="Times New Roman"/>
          <w:szCs w:val="19"/>
          <w:lang w:eastAsia="en-AU"/>
        </w:rPr>
        <w:t xml:space="preserve">The Review </w:t>
      </w:r>
      <w:r w:rsidR="00182173">
        <w:rPr>
          <w:rFonts w:eastAsia="Times New Roman" w:cs="Times New Roman"/>
          <w:szCs w:val="19"/>
          <w:lang w:eastAsia="en-AU"/>
        </w:rPr>
        <w:t>believes</w:t>
      </w:r>
      <w:r>
        <w:rPr>
          <w:rFonts w:eastAsia="Times New Roman" w:cs="Times New Roman"/>
          <w:szCs w:val="19"/>
          <w:lang w:eastAsia="en-AU"/>
        </w:rPr>
        <w:t xml:space="preserve"> this </w:t>
      </w:r>
      <w:r w:rsidR="00182173">
        <w:rPr>
          <w:rFonts w:eastAsia="Times New Roman" w:cs="Times New Roman"/>
          <w:szCs w:val="19"/>
          <w:lang w:eastAsia="en-AU"/>
        </w:rPr>
        <w:t>is a positive development</w:t>
      </w:r>
      <w:r w:rsidR="000208CF">
        <w:rPr>
          <w:rFonts w:eastAsia="Times New Roman" w:cs="Times New Roman"/>
          <w:szCs w:val="19"/>
          <w:lang w:eastAsia="en-AU"/>
        </w:rPr>
        <w:t xml:space="preserve"> </w:t>
      </w:r>
      <w:r w:rsidR="00AF36A8">
        <w:rPr>
          <w:rFonts w:eastAsia="Times New Roman" w:cs="Times New Roman"/>
          <w:szCs w:val="19"/>
          <w:lang w:eastAsia="en-AU"/>
        </w:rPr>
        <w:t xml:space="preserve">and agrees with the </w:t>
      </w:r>
      <w:r w:rsidR="007E4BE8">
        <w:rPr>
          <w:rFonts w:eastAsia="Times New Roman" w:cs="Times New Roman"/>
          <w:szCs w:val="19"/>
          <w:lang w:eastAsia="en-AU"/>
        </w:rPr>
        <w:t xml:space="preserve">relevant </w:t>
      </w:r>
      <w:r w:rsidR="00AF36A8">
        <w:rPr>
          <w:rFonts w:eastAsia="Times New Roman" w:cs="Times New Roman"/>
          <w:szCs w:val="19"/>
          <w:lang w:eastAsia="en-AU"/>
        </w:rPr>
        <w:t>recommendations from the Strategic Review. These changes</w:t>
      </w:r>
      <w:r w:rsidR="000C6788">
        <w:rPr>
          <w:rFonts w:eastAsia="Times New Roman" w:cs="Times New Roman"/>
          <w:szCs w:val="19"/>
          <w:lang w:eastAsia="en-AU"/>
        </w:rPr>
        <w:t xml:space="preserve"> </w:t>
      </w:r>
      <w:r w:rsidR="00182173">
        <w:rPr>
          <w:rFonts w:eastAsia="Times New Roman" w:cs="Times New Roman"/>
          <w:szCs w:val="19"/>
          <w:lang w:eastAsia="en-AU"/>
        </w:rPr>
        <w:t>should</w:t>
      </w:r>
      <w:r w:rsidR="00FC0918">
        <w:rPr>
          <w:rFonts w:eastAsia="Times New Roman" w:cs="Times New Roman"/>
          <w:szCs w:val="19"/>
          <w:lang w:eastAsia="en-AU"/>
        </w:rPr>
        <w:t xml:space="preserve"> </w:t>
      </w:r>
      <w:r w:rsidR="00376580">
        <w:rPr>
          <w:rFonts w:eastAsia="Times New Roman" w:cs="Times New Roman"/>
          <w:szCs w:val="19"/>
          <w:lang w:eastAsia="en-AU"/>
        </w:rPr>
        <w:t xml:space="preserve">provide </w:t>
      </w:r>
      <w:r w:rsidR="00FC0918">
        <w:rPr>
          <w:rFonts w:eastAsia="Times New Roman" w:cs="Times New Roman"/>
          <w:szCs w:val="19"/>
          <w:lang w:eastAsia="en-AU"/>
        </w:rPr>
        <w:t xml:space="preserve">more equitable </w:t>
      </w:r>
      <w:r w:rsidR="0026596B">
        <w:rPr>
          <w:rFonts w:eastAsia="Times New Roman" w:cs="Times New Roman"/>
          <w:szCs w:val="19"/>
          <w:lang w:eastAsia="en-AU"/>
        </w:rPr>
        <w:t>assistance</w:t>
      </w:r>
      <w:r w:rsidR="00FC0918">
        <w:rPr>
          <w:rFonts w:eastAsia="Times New Roman" w:cs="Times New Roman"/>
          <w:szCs w:val="19"/>
          <w:lang w:eastAsia="en-AU"/>
        </w:rPr>
        <w:t xml:space="preserve"> </w:t>
      </w:r>
      <w:r w:rsidR="00376580">
        <w:rPr>
          <w:rFonts w:eastAsia="Times New Roman" w:cs="Times New Roman"/>
          <w:szCs w:val="19"/>
          <w:lang w:eastAsia="en-AU"/>
        </w:rPr>
        <w:t xml:space="preserve">through </w:t>
      </w:r>
      <w:r w:rsidR="000A3665">
        <w:rPr>
          <w:rFonts w:eastAsia="Times New Roman" w:cs="Times New Roman"/>
          <w:szCs w:val="19"/>
          <w:lang w:eastAsia="en-AU"/>
        </w:rPr>
        <w:t xml:space="preserve">the </w:t>
      </w:r>
      <w:r w:rsidR="00376580">
        <w:rPr>
          <w:rFonts w:eastAsia="Times New Roman" w:cs="Times New Roman"/>
          <w:szCs w:val="19"/>
          <w:lang w:eastAsia="en-AU"/>
        </w:rPr>
        <w:t>increase</w:t>
      </w:r>
      <w:r w:rsidR="008B6222">
        <w:rPr>
          <w:rFonts w:eastAsia="Times New Roman" w:cs="Times New Roman"/>
          <w:szCs w:val="19"/>
          <w:lang w:eastAsia="en-AU"/>
        </w:rPr>
        <w:t>d</w:t>
      </w:r>
      <w:r w:rsidR="00376580">
        <w:rPr>
          <w:rFonts w:eastAsia="Times New Roman" w:cs="Times New Roman"/>
          <w:szCs w:val="19"/>
          <w:lang w:eastAsia="en-AU"/>
        </w:rPr>
        <w:t xml:space="preserve"> number of decision-makers</w:t>
      </w:r>
      <w:r w:rsidR="00185F46">
        <w:rPr>
          <w:rFonts w:eastAsia="Times New Roman" w:cs="Times New Roman"/>
          <w:szCs w:val="19"/>
          <w:lang w:eastAsia="en-AU"/>
        </w:rPr>
        <w:t xml:space="preserve">, greater </w:t>
      </w:r>
      <w:r w:rsidR="00376580">
        <w:rPr>
          <w:rFonts w:eastAsia="Times New Roman" w:cs="Times New Roman"/>
          <w:szCs w:val="19"/>
          <w:lang w:eastAsia="en-AU"/>
        </w:rPr>
        <w:t>independence through the expert member</w:t>
      </w:r>
      <w:r w:rsidR="00185F46">
        <w:rPr>
          <w:rFonts w:eastAsia="Times New Roman" w:cs="Times New Roman"/>
          <w:szCs w:val="19"/>
          <w:lang w:eastAsia="en-AU"/>
        </w:rPr>
        <w:t xml:space="preserve"> </w:t>
      </w:r>
      <w:r w:rsidR="00FF1A7F">
        <w:rPr>
          <w:rFonts w:eastAsia="Times New Roman" w:cs="Times New Roman"/>
          <w:szCs w:val="19"/>
          <w:lang w:eastAsia="en-AU"/>
        </w:rPr>
        <w:t xml:space="preserve">and </w:t>
      </w:r>
      <w:r w:rsidR="00185F46">
        <w:rPr>
          <w:rFonts w:eastAsia="Times New Roman" w:cs="Times New Roman"/>
          <w:szCs w:val="19"/>
          <w:lang w:eastAsia="en-AU"/>
        </w:rPr>
        <w:t>enhanced</w:t>
      </w:r>
      <w:r w:rsidR="00FF1A7F">
        <w:rPr>
          <w:rFonts w:eastAsia="Times New Roman" w:cs="Times New Roman"/>
          <w:szCs w:val="19"/>
          <w:lang w:eastAsia="en-AU"/>
        </w:rPr>
        <w:t xml:space="preserve"> quality </w:t>
      </w:r>
      <w:r w:rsidR="00185F46">
        <w:rPr>
          <w:rFonts w:eastAsia="Times New Roman" w:cs="Times New Roman"/>
          <w:szCs w:val="19"/>
          <w:lang w:eastAsia="en-AU"/>
        </w:rPr>
        <w:t xml:space="preserve">of </w:t>
      </w:r>
      <w:r w:rsidR="00761065">
        <w:rPr>
          <w:rFonts w:eastAsia="Times New Roman" w:cs="Times New Roman"/>
          <w:szCs w:val="19"/>
          <w:lang w:eastAsia="en-AU"/>
        </w:rPr>
        <w:t xml:space="preserve">external </w:t>
      </w:r>
      <w:r w:rsidR="00FF1A7F">
        <w:rPr>
          <w:rFonts w:eastAsia="Times New Roman" w:cs="Times New Roman"/>
          <w:szCs w:val="19"/>
          <w:lang w:eastAsia="en-AU"/>
        </w:rPr>
        <w:t>representation</w:t>
      </w:r>
      <w:r w:rsidR="00376580">
        <w:rPr>
          <w:rFonts w:eastAsia="Times New Roman" w:cs="Times New Roman"/>
          <w:szCs w:val="19"/>
          <w:lang w:eastAsia="en-AU"/>
        </w:rPr>
        <w:t xml:space="preserve">. </w:t>
      </w:r>
      <w:r w:rsidR="00560919">
        <w:rPr>
          <w:rFonts w:eastAsia="Times New Roman" w:cs="Times New Roman"/>
          <w:szCs w:val="19"/>
          <w:lang w:eastAsia="en-AU"/>
        </w:rPr>
        <w:t>FNLRS has since implemented the</w:t>
      </w:r>
      <w:r w:rsidR="00072DD4">
        <w:rPr>
          <w:rFonts w:eastAsia="Times New Roman" w:cs="Times New Roman"/>
          <w:szCs w:val="19"/>
          <w:lang w:eastAsia="en-AU"/>
        </w:rPr>
        <w:t>se key changes post-Review period.</w:t>
      </w:r>
    </w:p>
    <w:p w14:paraId="3EACE571" w14:textId="77777777" w:rsidR="005005BA" w:rsidRPr="005005BA" w:rsidRDefault="005005BA" w:rsidP="005005BA">
      <w:pPr>
        <w:keepNext/>
        <w:spacing w:before="240" w:after="60"/>
        <w:outlineLvl w:val="3"/>
        <w:rPr>
          <w:rFonts w:ascii="Segoe UI Semibold" w:eastAsia="Times New Roman" w:hAnsi="Segoe UI Semibold" w:cs="Times New Roman"/>
          <w:color w:val="00264D" w:themeColor="background2"/>
          <w:sz w:val="22"/>
          <w:szCs w:val="19"/>
          <w:lang w:eastAsia="en-AU"/>
        </w:rPr>
      </w:pPr>
      <w:r w:rsidRPr="005005BA">
        <w:rPr>
          <w:rFonts w:ascii="Segoe UI Semibold" w:eastAsia="Times New Roman" w:hAnsi="Segoe UI Semibold" w:cs="Times New Roman"/>
          <w:color w:val="00264D" w:themeColor="background2"/>
          <w:sz w:val="22"/>
          <w:szCs w:val="19"/>
          <w:lang w:eastAsia="en-AU"/>
        </w:rPr>
        <w:t>Client and potential client awareness of the process</w:t>
      </w:r>
    </w:p>
    <w:p w14:paraId="09EAF6F9" w14:textId="07DD24F2" w:rsidR="005005BA" w:rsidRPr="005005BA" w:rsidRDefault="005005BA" w:rsidP="005566FF">
      <w:pPr>
        <w:keepNext/>
        <w:numPr>
          <w:ilvl w:val="4"/>
          <w:numId w:val="2"/>
        </w:numPr>
        <w:tabs>
          <w:tab w:val="num" w:pos="360"/>
        </w:tabs>
        <w:spacing w:before="240"/>
        <w:outlineLvl w:val="4"/>
        <w:rPr>
          <w:rFonts w:eastAsia="Times New Roman" w:cs="Times New Roman"/>
          <w:b/>
          <w:color w:val="000000" w:themeColor="text1"/>
          <w:sz w:val="20"/>
          <w:szCs w:val="24"/>
          <w:lang w:eastAsia="en-AU"/>
        </w:rPr>
      </w:pPr>
      <w:r w:rsidRPr="005005BA">
        <w:rPr>
          <w:rFonts w:eastAsia="Times New Roman" w:cs="Times New Roman"/>
          <w:b/>
          <w:color w:val="000000" w:themeColor="text1"/>
          <w:sz w:val="20"/>
          <w:szCs w:val="24"/>
          <w:lang w:eastAsia="en-AU"/>
        </w:rPr>
        <w:t>Overall awareness of assessment and prioritisation processes was varied and could be communicated more effectively</w:t>
      </w:r>
    </w:p>
    <w:p w14:paraId="03E62108" w14:textId="4754A4B7" w:rsidR="005005BA" w:rsidRPr="005005BA" w:rsidRDefault="005005BA" w:rsidP="005005BA">
      <w:pPr>
        <w:rPr>
          <w:lang w:eastAsia="en-AU"/>
        </w:rPr>
      </w:pPr>
      <w:r w:rsidRPr="005005BA">
        <w:rPr>
          <w:lang w:eastAsia="en-AU"/>
        </w:rPr>
        <w:t xml:space="preserve">Traditional Owners who spoke to the Review expressed mixed awareness of the </w:t>
      </w:r>
      <w:r w:rsidR="00B778A1">
        <w:rPr>
          <w:lang w:eastAsia="en-AU"/>
        </w:rPr>
        <w:t>FNLRS’s</w:t>
      </w:r>
      <w:r w:rsidRPr="005005BA">
        <w:rPr>
          <w:lang w:eastAsia="en-AU"/>
        </w:rPr>
        <w:t xml:space="preserve"> prioritisation process during the Review period. </w:t>
      </w:r>
      <w:r w:rsidR="005A55AE">
        <w:rPr>
          <w:lang w:eastAsia="en-AU"/>
        </w:rPr>
        <w:t>Some were aware of FNLRS’s policy, while others could</w:t>
      </w:r>
      <w:r w:rsidR="00037E92">
        <w:rPr>
          <w:lang w:eastAsia="en-AU"/>
        </w:rPr>
        <w:t xml:space="preserve"> no</w:t>
      </w:r>
      <w:r w:rsidR="005A55AE">
        <w:rPr>
          <w:lang w:eastAsia="en-AU"/>
        </w:rPr>
        <w:t xml:space="preserve">t remember seeing a policy, despite going through the process. While </w:t>
      </w:r>
      <w:r w:rsidRPr="005005BA">
        <w:rPr>
          <w:lang w:eastAsia="en-AU"/>
        </w:rPr>
        <w:t xml:space="preserve">FNLRS </w:t>
      </w:r>
      <w:r w:rsidR="00F249F1">
        <w:rPr>
          <w:lang w:eastAsia="en-AU"/>
        </w:rPr>
        <w:t>included</w:t>
      </w:r>
      <w:r w:rsidRPr="005005BA">
        <w:rPr>
          <w:lang w:eastAsia="en-AU"/>
        </w:rPr>
        <w:t xml:space="preserve"> </w:t>
      </w:r>
      <w:r w:rsidR="005C3271">
        <w:rPr>
          <w:lang w:eastAsia="en-AU"/>
        </w:rPr>
        <w:t>its</w:t>
      </w:r>
      <w:r w:rsidRPr="005005BA">
        <w:rPr>
          <w:lang w:eastAsia="en-AU"/>
        </w:rPr>
        <w:t xml:space="preserve"> guidelines on </w:t>
      </w:r>
      <w:r w:rsidR="005C3271">
        <w:rPr>
          <w:lang w:eastAsia="en-AU"/>
        </w:rPr>
        <w:t>its</w:t>
      </w:r>
      <w:r w:rsidRPr="005005BA">
        <w:rPr>
          <w:lang w:eastAsia="en-AU"/>
        </w:rPr>
        <w:t xml:space="preserve"> website</w:t>
      </w:r>
      <w:r w:rsidR="005A55AE">
        <w:rPr>
          <w:lang w:eastAsia="en-AU"/>
        </w:rPr>
        <w:t xml:space="preserve">, the </w:t>
      </w:r>
      <w:r w:rsidRPr="005005BA">
        <w:rPr>
          <w:lang w:eastAsia="en-AU"/>
        </w:rPr>
        <w:t xml:space="preserve">Review believes that FNLRS could </w:t>
      </w:r>
      <w:r w:rsidR="00BA3BBE">
        <w:rPr>
          <w:lang w:eastAsia="en-AU"/>
        </w:rPr>
        <w:t>improve</w:t>
      </w:r>
      <w:r>
        <w:rPr>
          <w:lang w:eastAsia="en-AU"/>
        </w:rPr>
        <w:t xml:space="preserve"> </w:t>
      </w:r>
      <w:r w:rsidR="00F249F1">
        <w:rPr>
          <w:lang w:eastAsia="en-AU"/>
        </w:rPr>
        <w:t xml:space="preserve">the </w:t>
      </w:r>
      <w:r w:rsidR="00552A1F" w:rsidRPr="00552A1F">
        <w:rPr>
          <w:lang w:eastAsia="en-AU"/>
        </w:rPr>
        <w:t xml:space="preserve">navigation </w:t>
      </w:r>
      <w:r w:rsidR="005C3271">
        <w:rPr>
          <w:lang w:eastAsia="en-AU"/>
        </w:rPr>
        <w:t>to access</w:t>
      </w:r>
      <w:r w:rsidR="00552A1F" w:rsidRPr="00552A1F">
        <w:rPr>
          <w:lang w:eastAsia="en-AU"/>
        </w:rPr>
        <w:t xml:space="preserve"> the </w:t>
      </w:r>
      <w:r w:rsidR="005C3271">
        <w:rPr>
          <w:lang w:eastAsia="en-AU"/>
        </w:rPr>
        <w:t>policies</w:t>
      </w:r>
      <w:r w:rsidR="007F5893">
        <w:rPr>
          <w:lang w:eastAsia="en-AU"/>
        </w:rPr>
        <w:t>.</w:t>
      </w:r>
    </w:p>
    <w:p w14:paraId="077CA713" w14:textId="3F011DEE" w:rsidR="005B13BE" w:rsidRDefault="005B13BE" w:rsidP="005B13BE">
      <w:pPr>
        <w:pStyle w:val="Heading4"/>
      </w:pPr>
      <w:r w:rsidRPr="005B13BE">
        <w:lastRenderedPageBreak/>
        <w:t xml:space="preserve">Traditional Owner satisfaction with the assessment and prioritisation process and its outcome </w:t>
      </w:r>
    </w:p>
    <w:p w14:paraId="470E9949" w14:textId="41B99457" w:rsidR="003F4885" w:rsidRDefault="005005BA" w:rsidP="00343D62">
      <w:pPr>
        <w:pStyle w:val="Heading5"/>
      </w:pPr>
      <w:r w:rsidRPr="6967B2CC">
        <w:t xml:space="preserve">Client and potential client sentiment was varied </w:t>
      </w:r>
      <w:r w:rsidR="003F4885" w:rsidRPr="6967B2CC">
        <w:t>regarding</w:t>
      </w:r>
      <w:r w:rsidRPr="6967B2CC">
        <w:t xml:space="preserve"> the assessment processes</w:t>
      </w:r>
    </w:p>
    <w:p w14:paraId="10FE0E7B" w14:textId="43BBAEC9" w:rsidR="00CB523A" w:rsidRDefault="0013425A" w:rsidP="005005BA">
      <w:pPr>
        <w:rPr>
          <w:lang w:eastAsia="en-AU"/>
        </w:rPr>
      </w:pPr>
      <w:r w:rsidRPr="0013425A">
        <w:rPr>
          <w:lang w:eastAsia="en-AU"/>
        </w:rPr>
        <w:t>The Review did not receive extensive feedback from Traditional Owners around the assessment and prioritisation process</w:t>
      </w:r>
      <w:r>
        <w:rPr>
          <w:lang w:eastAsia="en-AU"/>
        </w:rPr>
        <w:t>.</w:t>
      </w:r>
      <w:r w:rsidR="005005BA" w:rsidRPr="005005BA">
        <w:rPr>
          <w:lang w:eastAsia="en-AU"/>
        </w:rPr>
        <w:t xml:space="preserve"> Traditional Owners who received assistance for various matters reported that they were generally pleased with the assistance process and </w:t>
      </w:r>
      <w:r w:rsidR="005D6B7C">
        <w:rPr>
          <w:lang w:eastAsia="en-AU"/>
        </w:rPr>
        <w:t>the</w:t>
      </w:r>
      <w:r w:rsidR="005005BA" w:rsidRPr="005005BA">
        <w:rPr>
          <w:lang w:eastAsia="en-AU"/>
        </w:rPr>
        <w:t xml:space="preserve"> associated outcome. </w:t>
      </w:r>
    </w:p>
    <w:p w14:paraId="6DE4CA23" w14:textId="0DF05E33" w:rsidR="00EE2EC6" w:rsidRDefault="005005BA" w:rsidP="00CB523A">
      <w:pPr>
        <w:rPr>
          <w:rFonts w:eastAsia="Times New Roman" w:cs="Times New Roman"/>
          <w:szCs w:val="19"/>
          <w:lang w:eastAsia="en-AU"/>
        </w:rPr>
      </w:pPr>
      <w:r w:rsidRPr="005005BA">
        <w:rPr>
          <w:lang w:eastAsia="en-AU"/>
        </w:rPr>
        <w:t>Traditional Owners who were dissatisfied with the assistance process and related outcome identified this was a result of slow or non-response to funding requests for external legal representation.</w:t>
      </w:r>
      <w:r w:rsidR="001F1B4A">
        <w:rPr>
          <w:lang w:eastAsia="en-AU"/>
        </w:rPr>
        <w:t xml:space="preserve"> </w:t>
      </w:r>
      <w:r w:rsidR="00BE79BF" w:rsidRPr="00C4487A">
        <w:rPr>
          <w:rFonts w:eastAsia="Times New Roman" w:cs="Times New Roman"/>
          <w:szCs w:val="19"/>
          <w:lang w:eastAsia="en-AU"/>
        </w:rPr>
        <w:t>They raised issues around FNLRS</w:t>
      </w:r>
      <w:r w:rsidR="00DF729F" w:rsidRPr="00C4487A">
        <w:rPr>
          <w:rFonts w:eastAsia="Times New Roman" w:cs="Times New Roman"/>
          <w:szCs w:val="19"/>
          <w:lang w:eastAsia="en-AU"/>
        </w:rPr>
        <w:t>’s</w:t>
      </w:r>
      <w:r w:rsidR="00BE79BF" w:rsidRPr="00C4487A">
        <w:rPr>
          <w:rFonts w:eastAsia="Times New Roman" w:cs="Times New Roman"/>
          <w:szCs w:val="19"/>
          <w:lang w:eastAsia="en-AU"/>
        </w:rPr>
        <w:t xml:space="preserve"> apparent opposition to the registration of some claims and its decision not to assist some clients to proceed with their claims. </w:t>
      </w:r>
    </w:p>
    <w:p w14:paraId="51F86A04" w14:textId="4B5FDD3F" w:rsidR="00BE79BF" w:rsidRPr="00CB523A" w:rsidRDefault="00BE79BF" w:rsidP="00CB523A">
      <w:pPr>
        <w:rPr>
          <w:lang w:eastAsia="en-AU"/>
        </w:rPr>
      </w:pPr>
      <w:r w:rsidRPr="00C4487A">
        <w:rPr>
          <w:rFonts w:eastAsia="Times New Roman" w:cs="Times New Roman"/>
          <w:szCs w:val="19"/>
          <w:lang w:eastAsia="en-AU"/>
        </w:rPr>
        <w:t xml:space="preserve">Stakeholders reported this primarily occurred in instances where FNLRS </w:t>
      </w:r>
      <w:r w:rsidR="00A13E49" w:rsidRPr="00C4487A">
        <w:rPr>
          <w:rFonts w:eastAsia="Times New Roman" w:cs="Times New Roman"/>
          <w:szCs w:val="19"/>
          <w:lang w:eastAsia="en-AU"/>
        </w:rPr>
        <w:t xml:space="preserve">was conflicted, or </w:t>
      </w:r>
      <w:r w:rsidRPr="00C4487A">
        <w:rPr>
          <w:rFonts w:eastAsia="Times New Roman" w:cs="Times New Roman"/>
          <w:szCs w:val="19"/>
          <w:lang w:eastAsia="en-AU"/>
        </w:rPr>
        <w:t xml:space="preserve">believed </w:t>
      </w:r>
      <w:r w:rsidR="005C095D" w:rsidRPr="00C4487A">
        <w:rPr>
          <w:rFonts w:eastAsia="Times New Roman" w:cs="Times New Roman"/>
          <w:szCs w:val="19"/>
          <w:lang w:eastAsia="en-AU"/>
        </w:rPr>
        <w:t>more work was needed to undertake research and demonstrate</w:t>
      </w:r>
      <w:r w:rsidRPr="00C4487A">
        <w:rPr>
          <w:rFonts w:eastAsia="Times New Roman" w:cs="Times New Roman"/>
          <w:szCs w:val="19"/>
          <w:lang w:eastAsia="en-AU"/>
        </w:rPr>
        <w:t xml:space="preserve"> evidence of connection to Country. Traditional Owners in these instances believed that FNLRS communication and rationale around not assisting some clients was poor. Interviews revealed that these groups were frustrated by the perceived bias of what they saw as FNLRS’s role as the gatekeeper for funding and the provider of legal services to clients and sought external counsel with or without support from FNLRS.</w:t>
      </w:r>
      <w:r w:rsidRPr="00EB0C07">
        <w:rPr>
          <w:rFonts w:eastAsia="Times New Roman" w:cs="Times New Roman"/>
          <w:szCs w:val="19"/>
          <w:lang w:eastAsia="en-AU"/>
        </w:rPr>
        <w:t xml:space="preserve"> </w:t>
      </w:r>
    </w:p>
    <w:p w14:paraId="662BAC42" w14:textId="0928F8A0" w:rsidR="00FC7F92" w:rsidRPr="005005BA" w:rsidRDefault="00B778A1" w:rsidP="005005BA">
      <w:pPr>
        <w:rPr>
          <w:lang w:eastAsia="en-AU"/>
        </w:rPr>
      </w:pPr>
      <w:r>
        <w:rPr>
          <w:lang w:eastAsia="en-AU"/>
        </w:rPr>
        <w:t>FNLRS’s</w:t>
      </w:r>
      <w:r w:rsidR="00F922B7">
        <w:rPr>
          <w:lang w:eastAsia="en-AU"/>
        </w:rPr>
        <w:t xml:space="preserve"> increased facilitation role and</w:t>
      </w:r>
      <w:r w:rsidR="00217724">
        <w:rPr>
          <w:lang w:eastAsia="en-AU"/>
        </w:rPr>
        <w:t xml:space="preserve"> </w:t>
      </w:r>
      <w:r w:rsidR="002E3F4F">
        <w:rPr>
          <w:lang w:eastAsia="en-AU"/>
        </w:rPr>
        <w:t>introduction of the Third-Party Provider Panel</w:t>
      </w:r>
      <w:r w:rsidR="00C274CD">
        <w:rPr>
          <w:lang w:eastAsia="en-AU"/>
        </w:rPr>
        <w:t xml:space="preserve"> </w:t>
      </w:r>
      <w:proofErr w:type="gramStart"/>
      <w:r w:rsidR="00C274CD">
        <w:rPr>
          <w:lang w:eastAsia="en-AU"/>
        </w:rPr>
        <w:t>post-</w:t>
      </w:r>
      <w:proofErr w:type="gramEnd"/>
      <w:r w:rsidR="00C274CD">
        <w:rPr>
          <w:lang w:eastAsia="en-AU"/>
        </w:rPr>
        <w:t>Review period</w:t>
      </w:r>
      <w:r w:rsidR="009F257A">
        <w:rPr>
          <w:lang w:eastAsia="en-AU"/>
        </w:rPr>
        <w:t xml:space="preserve"> aims, in part, to </w:t>
      </w:r>
      <w:r w:rsidR="00551550">
        <w:rPr>
          <w:lang w:eastAsia="en-AU"/>
        </w:rPr>
        <w:t xml:space="preserve">address </w:t>
      </w:r>
      <w:r w:rsidR="00217724">
        <w:rPr>
          <w:lang w:eastAsia="en-AU"/>
        </w:rPr>
        <w:t xml:space="preserve">this </w:t>
      </w:r>
      <w:r w:rsidR="001E7608">
        <w:rPr>
          <w:lang w:eastAsia="en-AU"/>
        </w:rPr>
        <w:t xml:space="preserve">issue. </w:t>
      </w:r>
      <w:r w:rsidR="00ED519B">
        <w:rPr>
          <w:lang w:eastAsia="en-AU"/>
        </w:rPr>
        <w:t xml:space="preserve">Specifically, FNLRS will be able to provide potential </w:t>
      </w:r>
      <w:r w:rsidR="00B2246B">
        <w:rPr>
          <w:lang w:eastAsia="en-AU"/>
        </w:rPr>
        <w:t>claimants</w:t>
      </w:r>
      <w:r w:rsidR="00ED519B">
        <w:rPr>
          <w:lang w:eastAsia="en-AU"/>
        </w:rPr>
        <w:t xml:space="preserve"> access to external legal representation </w:t>
      </w:r>
      <w:r w:rsidR="00662B2C">
        <w:rPr>
          <w:lang w:eastAsia="en-AU"/>
        </w:rPr>
        <w:t>who</w:t>
      </w:r>
      <w:r w:rsidR="001E66C5">
        <w:rPr>
          <w:lang w:eastAsia="en-AU"/>
        </w:rPr>
        <w:t xml:space="preserve"> </w:t>
      </w:r>
      <w:r w:rsidR="001D0F91">
        <w:rPr>
          <w:lang w:eastAsia="en-AU"/>
        </w:rPr>
        <w:t xml:space="preserve">they </w:t>
      </w:r>
      <w:r w:rsidR="00FD6DB0">
        <w:rPr>
          <w:lang w:eastAsia="en-AU"/>
        </w:rPr>
        <w:t>consider</w:t>
      </w:r>
      <w:r w:rsidR="009C157E">
        <w:rPr>
          <w:lang w:eastAsia="en-AU"/>
        </w:rPr>
        <w:t xml:space="preserve"> </w:t>
      </w:r>
      <w:r w:rsidR="001D0F91">
        <w:rPr>
          <w:lang w:eastAsia="en-AU"/>
        </w:rPr>
        <w:t xml:space="preserve">well-equipped and </w:t>
      </w:r>
      <w:r w:rsidR="009C157E">
        <w:rPr>
          <w:lang w:eastAsia="en-AU"/>
        </w:rPr>
        <w:t xml:space="preserve">readily available to assist </w:t>
      </w:r>
      <w:r w:rsidR="001D0F91">
        <w:rPr>
          <w:lang w:eastAsia="en-AU"/>
        </w:rPr>
        <w:t>claimants</w:t>
      </w:r>
      <w:r w:rsidR="009C157E">
        <w:rPr>
          <w:lang w:eastAsia="en-AU"/>
        </w:rPr>
        <w:t>.</w:t>
      </w:r>
      <w:r w:rsidR="00FD6DB0">
        <w:rPr>
          <w:lang w:eastAsia="en-AU"/>
        </w:rPr>
        <w:t xml:space="preserve"> </w:t>
      </w:r>
    </w:p>
    <w:p w14:paraId="5B998045" w14:textId="77777777" w:rsidR="005005BA" w:rsidRPr="005005BA" w:rsidRDefault="005005BA" w:rsidP="005566FF">
      <w:pPr>
        <w:keepNext/>
        <w:numPr>
          <w:ilvl w:val="2"/>
          <w:numId w:val="2"/>
        </w:numPr>
        <w:tabs>
          <w:tab w:val="num" w:pos="360"/>
        </w:tabs>
        <w:spacing w:before="480" w:after="60"/>
        <w:ind w:left="0" w:firstLine="0"/>
        <w:outlineLvl w:val="2"/>
        <w:rPr>
          <w:rFonts w:ascii="Segoe UI Semibold" w:eastAsia="Times New Roman" w:hAnsi="Segoe UI Semibold" w:cs="Times New Roman"/>
          <w:color w:val="00264D"/>
          <w:sz w:val="26"/>
          <w:szCs w:val="19"/>
          <w:lang w:eastAsia="en-AU"/>
        </w:rPr>
      </w:pPr>
      <w:r w:rsidRPr="005005BA">
        <w:rPr>
          <w:rFonts w:ascii="Segoe UI Semibold" w:eastAsia="Times New Roman" w:hAnsi="Segoe UI Semibold" w:cs="Times New Roman"/>
          <w:color w:val="00264D"/>
          <w:sz w:val="26"/>
          <w:szCs w:val="19"/>
          <w:lang w:eastAsia="en-AU"/>
        </w:rPr>
        <w:t>TOR 2: External factors</w:t>
      </w:r>
    </w:p>
    <w:p w14:paraId="61355341" w14:textId="77777777" w:rsidR="004F36A3" w:rsidRPr="004F36A3" w:rsidRDefault="004F36A3" w:rsidP="004F36A3">
      <w:pPr>
        <w:rPr>
          <w:lang w:eastAsia="en-AU"/>
        </w:rPr>
      </w:pPr>
      <w:r w:rsidRPr="004F36A3">
        <w:rPr>
          <w:lang w:eastAsia="en-AU"/>
        </w:rPr>
        <w:t xml:space="preserve">This section presents an analysis of factors that impacted on performance that were beyond </w:t>
      </w:r>
      <w:r>
        <w:rPr>
          <w:lang w:eastAsia="en-AU"/>
        </w:rPr>
        <w:t>FNLRS</w:t>
      </w:r>
      <w:r w:rsidRPr="004F36A3">
        <w:rPr>
          <w:lang w:eastAsia="en-AU"/>
        </w:rPr>
        <w:t>'s control.</w:t>
      </w:r>
    </w:p>
    <w:p w14:paraId="024EBD44" w14:textId="38348CBA" w:rsidR="005005BA" w:rsidRPr="005005BA" w:rsidRDefault="005005BA" w:rsidP="005005BA">
      <w:pPr>
        <w:keepNext/>
        <w:spacing w:before="240" w:after="60"/>
        <w:outlineLvl w:val="3"/>
        <w:rPr>
          <w:rFonts w:ascii="Segoe UI Semibold" w:eastAsia="Times New Roman" w:hAnsi="Segoe UI Semibold" w:cs="Times New Roman"/>
          <w:color w:val="00264D" w:themeColor="background2"/>
          <w:sz w:val="22"/>
          <w:szCs w:val="19"/>
          <w:lang w:eastAsia="en-AU"/>
        </w:rPr>
      </w:pPr>
      <w:r w:rsidRPr="005005BA">
        <w:rPr>
          <w:rFonts w:ascii="Segoe UI Semibold" w:eastAsia="Times New Roman" w:hAnsi="Segoe UI Semibold" w:cs="Times New Roman"/>
          <w:color w:val="00264D" w:themeColor="background2"/>
          <w:sz w:val="22"/>
          <w:szCs w:val="19"/>
          <w:lang w:eastAsia="en-AU"/>
        </w:rPr>
        <w:t xml:space="preserve">Number of claims relative to NTRB-SP size and resourcing </w:t>
      </w:r>
    </w:p>
    <w:p w14:paraId="21BF9D97" w14:textId="78582788" w:rsidR="005005BA" w:rsidRPr="005005BA" w:rsidRDefault="00B778A1" w:rsidP="005566FF">
      <w:pPr>
        <w:keepNext/>
        <w:numPr>
          <w:ilvl w:val="4"/>
          <w:numId w:val="2"/>
        </w:numPr>
        <w:tabs>
          <w:tab w:val="num" w:pos="360"/>
        </w:tabs>
        <w:spacing w:before="240"/>
        <w:outlineLvl w:val="4"/>
        <w:rPr>
          <w:rFonts w:eastAsia="Times New Roman" w:cs="Times New Roman"/>
          <w:b/>
          <w:color w:val="000000" w:themeColor="text1"/>
          <w:sz w:val="20"/>
          <w:szCs w:val="24"/>
          <w:lang w:eastAsia="en-AU"/>
        </w:rPr>
      </w:pPr>
      <w:r>
        <w:rPr>
          <w:rFonts w:eastAsia="Times New Roman" w:cs="Times New Roman"/>
          <w:b/>
          <w:color w:val="000000" w:themeColor="text1"/>
          <w:sz w:val="20"/>
          <w:szCs w:val="24"/>
          <w:lang w:eastAsia="en-AU"/>
        </w:rPr>
        <w:t>FNLRS’s</w:t>
      </w:r>
      <w:r w:rsidR="005005BA" w:rsidRPr="005005BA">
        <w:rPr>
          <w:rFonts w:eastAsia="Times New Roman" w:cs="Times New Roman"/>
          <w:b/>
          <w:color w:val="000000" w:themeColor="text1"/>
          <w:sz w:val="20"/>
          <w:szCs w:val="24"/>
          <w:lang w:eastAsia="en-AU"/>
        </w:rPr>
        <w:t xml:space="preserve"> assessment and prioritisation was influenced by resourcing constraints</w:t>
      </w:r>
    </w:p>
    <w:p w14:paraId="26E29252" w14:textId="2C69A182" w:rsidR="00BC29DA" w:rsidRDefault="00891499" w:rsidP="001F1B4A">
      <w:r>
        <w:t xml:space="preserve">While </w:t>
      </w:r>
      <w:r w:rsidR="00BC29DA">
        <w:t>FNLRS</w:t>
      </w:r>
      <w:r>
        <w:t xml:space="preserve"> had only </w:t>
      </w:r>
      <w:r w:rsidR="00BC29DA">
        <w:t xml:space="preserve">two active claims </w:t>
      </w:r>
      <w:r w:rsidR="00E27828">
        <w:t xml:space="preserve">during the </w:t>
      </w:r>
      <w:r w:rsidR="00DB1287">
        <w:t xml:space="preserve">Review </w:t>
      </w:r>
      <w:r w:rsidR="00E27828">
        <w:t xml:space="preserve">period, each claim </w:t>
      </w:r>
      <w:r w:rsidR="00CF3C82">
        <w:t xml:space="preserve">had </w:t>
      </w:r>
      <w:r w:rsidR="00F83DA2">
        <w:t xml:space="preserve">significant </w:t>
      </w:r>
      <w:r w:rsidR="009E45D2">
        <w:t>workloads</w:t>
      </w:r>
      <w:r w:rsidR="00380541">
        <w:t>,</w:t>
      </w:r>
      <w:r w:rsidR="00F83DA2" w:rsidDel="009E45D2">
        <w:t xml:space="preserve"> </w:t>
      </w:r>
      <w:r w:rsidR="00F83DA2">
        <w:t xml:space="preserve">as noted earlier </w:t>
      </w:r>
      <w:r w:rsidR="0061688D">
        <w:t xml:space="preserve">under </w:t>
      </w:r>
      <w:r w:rsidR="00F83DA2">
        <w:t>TOR 1.</w:t>
      </w:r>
      <w:r w:rsidR="0015042F">
        <w:t xml:space="preserve"> </w:t>
      </w:r>
    </w:p>
    <w:p w14:paraId="39CEBB9C" w14:textId="77777777" w:rsidR="00343D62" w:rsidRDefault="00343D62">
      <w:pPr>
        <w:spacing w:after="165"/>
        <w:rPr>
          <w:rFonts w:ascii="Segoe UI Semibold" w:eastAsia="Times New Roman" w:hAnsi="Segoe UI Semibold" w:cs="Times New Roman"/>
          <w:color w:val="00264D"/>
          <w:sz w:val="30"/>
          <w:szCs w:val="19"/>
          <w:lang w:eastAsia="en-AU"/>
        </w:rPr>
      </w:pPr>
      <w:r>
        <w:br w:type="page"/>
      </w:r>
    </w:p>
    <w:p w14:paraId="609EF050" w14:textId="3B6C037E" w:rsidR="00AE4165" w:rsidRDefault="00AE4165" w:rsidP="005D1D93">
      <w:pPr>
        <w:pStyle w:val="Heading2"/>
      </w:pPr>
      <w:bookmarkStart w:id="29" w:name="_Toc170469985"/>
      <w:r w:rsidRPr="6967B2CC">
        <w:lastRenderedPageBreak/>
        <w:t>TOR 3 | Extent to which each organisation deals respectfully, equitably, transparently and in a culturally appropriate manner with persons who hold or may hold native title in its region, including by adequately investigating and resolving complaints.</w:t>
      </w:r>
      <w:bookmarkEnd w:id="29"/>
    </w:p>
    <w:tbl>
      <w:tblPr>
        <w:tblStyle w:val="TableGrid"/>
        <w:tblpPr w:leftFromText="180" w:rightFromText="180" w:vertAnchor="text" w:tblpY="1"/>
        <w:tblOverlap w:val="never"/>
        <w:tblW w:w="0" w:type="auto"/>
        <w:tblLook w:val="04A0" w:firstRow="1" w:lastRow="0" w:firstColumn="1" w:lastColumn="0" w:noHBand="0" w:noVBand="1"/>
      </w:tblPr>
      <w:tblGrid>
        <w:gridCol w:w="8930"/>
      </w:tblGrid>
      <w:tr w:rsidR="00270C14" w14:paraId="46167091" w14:textId="77777777" w:rsidTr="6967B2CC">
        <w:trPr>
          <w:cnfStyle w:val="100000000000" w:firstRow="1" w:lastRow="0" w:firstColumn="0" w:lastColumn="0" w:oddVBand="0" w:evenVBand="0" w:oddHBand="0" w:evenHBand="0" w:firstRowFirstColumn="0" w:firstRowLastColumn="0" w:lastRowFirstColumn="0" w:lastRowLastColumn="0"/>
          <w:cantSplit w:val="0"/>
          <w:tblHeader w:val="0"/>
        </w:trPr>
        <w:tc>
          <w:tcPr>
            <w:tcW w:w="8930" w:type="dxa"/>
          </w:tcPr>
          <w:p w14:paraId="4DC5436C" w14:textId="77777777" w:rsidR="008F3100" w:rsidRPr="00343D62" w:rsidRDefault="008F3100" w:rsidP="00343D62">
            <w:pPr>
              <w:pStyle w:val="Longformcallout"/>
              <w:rPr>
                <w:rFonts w:asciiTheme="majorHAnsi" w:hAnsiTheme="majorHAnsi" w:cstheme="majorHAnsi"/>
              </w:rPr>
            </w:pPr>
            <w:r w:rsidRPr="00343D62">
              <w:rPr>
                <w:rFonts w:asciiTheme="majorHAnsi" w:hAnsiTheme="majorHAnsi" w:cstheme="majorHAnsi"/>
              </w:rPr>
              <w:t>Summary</w:t>
            </w:r>
          </w:p>
          <w:p w14:paraId="3DC4C77F" w14:textId="2D626FDC" w:rsidR="000A31A7" w:rsidRPr="00343D62" w:rsidRDefault="00FF75E9" w:rsidP="00343D62">
            <w:pPr>
              <w:pStyle w:val="Longformcallout"/>
            </w:pPr>
            <w:r w:rsidRPr="00343D62">
              <w:t xml:space="preserve">FNLRS’s engagement with </w:t>
            </w:r>
            <w:r w:rsidR="000A31A7" w:rsidRPr="00343D62">
              <w:t xml:space="preserve">Traditional Owners was broadly reported to be respectful and transparent. </w:t>
            </w:r>
            <w:r w:rsidR="00F70D08" w:rsidRPr="00343D62">
              <w:t xml:space="preserve">During the Review period, </w:t>
            </w:r>
            <w:r w:rsidR="000A31A7" w:rsidRPr="00343D62">
              <w:t xml:space="preserve">FNLRS </w:t>
            </w:r>
            <w:r w:rsidR="00F70D08" w:rsidRPr="00343D62">
              <w:t>did</w:t>
            </w:r>
            <w:r w:rsidR="00462690" w:rsidRPr="00343D62">
              <w:t xml:space="preserve"> not </w:t>
            </w:r>
            <w:r w:rsidR="00072CD3" w:rsidRPr="00343D62">
              <w:t>widely or proactively advertise its s</w:t>
            </w:r>
            <w:r w:rsidR="00462690" w:rsidRPr="00343D62">
              <w:t xml:space="preserve">uccesses and </w:t>
            </w:r>
            <w:r w:rsidR="00072CD3" w:rsidRPr="00343D62">
              <w:t xml:space="preserve">key </w:t>
            </w:r>
            <w:r w:rsidR="00462690" w:rsidRPr="00343D62">
              <w:t>milestones to the community</w:t>
            </w:r>
            <w:r w:rsidR="00B51C26" w:rsidRPr="00343D62">
              <w:t xml:space="preserve"> through newsletters or other publications. </w:t>
            </w:r>
            <w:r w:rsidR="00462690" w:rsidRPr="00343D62">
              <w:t xml:space="preserve">Staff and external stakeholders saw this as </w:t>
            </w:r>
            <w:r w:rsidR="00CE4E04" w:rsidRPr="00343D62">
              <w:t>a</w:t>
            </w:r>
            <w:r w:rsidR="00462690" w:rsidRPr="00343D62">
              <w:t xml:space="preserve"> key </w:t>
            </w:r>
            <w:r w:rsidR="003C55B0" w:rsidRPr="00343D62">
              <w:t xml:space="preserve">future </w:t>
            </w:r>
            <w:r w:rsidR="00462690" w:rsidRPr="00343D62">
              <w:t xml:space="preserve">opportunity for FNLRS, to </w:t>
            </w:r>
            <w:r w:rsidR="00F70D08" w:rsidRPr="00343D62">
              <w:t xml:space="preserve">help </w:t>
            </w:r>
            <w:r w:rsidR="00462690" w:rsidRPr="00343D62">
              <w:t xml:space="preserve">raise its profile more generally in the community and to help attract the best talent to the organisation. </w:t>
            </w:r>
          </w:p>
          <w:p w14:paraId="0B4A8AC4" w14:textId="0C7FD01B" w:rsidR="0068232C" w:rsidRPr="00343D62" w:rsidRDefault="00F11949" w:rsidP="00343D62">
            <w:pPr>
              <w:pStyle w:val="Longformcallout"/>
            </w:pPr>
            <w:r w:rsidRPr="6967B2CC">
              <w:t xml:space="preserve">There was </w:t>
            </w:r>
            <w:r w:rsidR="00A32F85" w:rsidRPr="6967B2CC">
              <w:t>a consensus</w:t>
            </w:r>
            <w:r w:rsidRPr="6967B2CC">
              <w:t xml:space="preserve"> that FNLRS </w:t>
            </w:r>
            <w:r w:rsidR="005122A5" w:rsidRPr="6967B2CC">
              <w:t>undertook</w:t>
            </w:r>
            <w:r w:rsidRPr="6967B2CC">
              <w:t xml:space="preserve"> its work in a culturally appropriate manner</w:t>
            </w:r>
            <w:r w:rsidR="005122A5" w:rsidRPr="6967B2CC">
              <w:t xml:space="preserve"> </w:t>
            </w:r>
            <w:r w:rsidR="00A32F85" w:rsidRPr="6967B2CC">
              <w:t>and</w:t>
            </w:r>
            <w:r w:rsidRPr="6967B2CC">
              <w:t xml:space="preserve"> support</w:t>
            </w:r>
            <w:r w:rsidR="005122A5" w:rsidRPr="6967B2CC">
              <w:t>ed</w:t>
            </w:r>
            <w:r w:rsidRPr="6967B2CC">
              <w:t xml:space="preserve"> its staff to undertake cultural awareness training to build skills in this area.</w:t>
            </w:r>
            <w:r w:rsidR="006D333F" w:rsidRPr="6967B2CC">
              <w:t xml:space="preserve"> </w:t>
            </w:r>
            <w:r w:rsidR="00761F69" w:rsidRPr="6967B2CC">
              <w:t xml:space="preserve">Staff acknowledged that FNLRS could be doing more to expand the role of the CLOs to better leverage their skills and deep cultural expertise. During the Review period, the CLO role was relatively </w:t>
            </w:r>
            <w:proofErr w:type="gramStart"/>
            <w:r w:rsidR="00761F69" w:rsidRPr="6967B2CC">
              <w:t>administrative;</w:t>
            </w:r>
            <w:proofErr w:type="gramEnd"/>
            <w:r w:rsidR="00761F69" w:rsidRPr="6967B2CC">
              <w:t xml:space="preserve"> help</w:t>
            </w:r>
            <w:r w:rsidR="00C67E2F" w:rsidRPr="6967B2CC">
              <w:t>ing</w:t>
            </w:r>
            <w:r w:rsidR="00761F69" w:rsidRPr="6967B2CC">
              <w:t xml:space="preserve"> to organise claim group meetings and travel arrangements for Traditional Owners, as well as helping to facilitate these meetings in a culturally appropriate way. Staff reflected on the fact that in the future the CLO role could play a much bigger part in helping to work with the community to build trusting relationships, achieve outcomes and to raise the profile of FNLRS in the community.</w:t>
            </w:r>
          </w:p>
          <w:p w14:paraId="234EE4EE" w14:textId="1E5F6504" w:rsidR="00F11949" w:rsidRPr="00343D62" w:rsidRDefault="0068232C" w:rsidP="00343D62">
            <w:pPr>
              <w:pStyle w:val="Longformcallout"/>
            </w:pPr>
            <w:r w:rsidRPr="6967B2CC">
              <w:t xml:space="preserve">FNLRS’s use of cultural materials was appropriate during the Review period. One Traditional Owner </w:t>
            </w:r>
            <w:r w:rsidR="0071318B" w:rsidRPr="6967B2CC">
              <w:t xml:space="preserve">group however reported concerns around the ongoing use of cultural materials and submissions made more generally to FNLRS as part of historical native title </w:t>
            </w:r>
            <w:r w:rsidR="00C553E5" w:rsidRPr="6967B2CC">
              <w:t>claims</w:t>
            </w:r>
            <w:r w:rsidRPr="6967B2CC">
              <w:t xml:space="preserve">. </w:t>
            </w:r>
            <w:r w:rsidR="00620E1C" w:rsidRPr="6967B2CC">
              <w:t xml:space="preserve">FNLRS staff also acknowledged that this issue was top of mind and that during the Review period they received </w:t>
            </w:r>
            <w:r w:rsidR="00D344A1" w:rsidRPr="6967B2CC">
              <w:t>many</w:t>
            </w:r>
            <w:r w:rsidR="00620E1C" w:rsidRPr="6967B2CC">
              <w:t xml:space="preserve"> requests for data and information that was held in their database. Post</w:t>
            </w:r>
            <w:r w:rsidR="00882495" w:rsidRPr="6967B2CC">
              <w:t>-</w:t>
            </w:r>
            <w:r w:rsidR="00620E1C" w:rsidRPr="6967B2CC">
              <w:t xml:space="preserve">Review period, </w:t>
            </w:r>
            <w:r w:rsidRPr="6967B2CC">
              <w:t>FNLRS is currently undergoing a process to develop processes and policies around the return of cultural materials.</w:t>
            </w:r>
          </w:p>
          <w:p w14:paraId="29CD5A85" w14:textId="6598AAD4" w:rsidR="0060326B" w:rsidRDefault="00A32F85" w:rsidP="00343D62">
            <w:pPr>
              <w:pStyle w:val="Longformcallout"/>
            </w:pPr>
            <w:r w:rsidRPr="6967B2CC">
              <w:t xml:space="preserve">FNLRS received no </w:t>
            </w:r>
            <w:r w:rsidR="00987C65" w:rsidRPr="6967B2CC">
              <w:t xml:space="preserve">formal </w:t>
            </w:r>
            <w:r w:rsidRPr="6967B2CC">
              <w:t xml:space="preserve">complaints </w:t>
            </w:r>
            <w:r w:rsidR="006C5A0C" w:rsidRPr="6967B2CC">
              <w:t xml:space="preserve">and </w:t>
            </w:r>
            <w:r w:rsidR="00A72B06" w:rsidRPr="6967B2CC">
              <w:t>received one internal review request, which upheld the CEO’s decision</w:t>
            </w:r>
            <w:r w:rsidR="00123CB5" w:rsidRPr="6967B2CC">
              <w:t xml:space="preserve"> to not grant assistance.</w:t>
            </w:r>
          </w:p>
        </w:tc>
      </w:tr>
    </w:tbl>
    <w:p w14:paraId="60437488" w14:textId="1B5F3316" w:rsidR="00922A92" w:rsidRDefault="00683699" w:rsidP="000B2E53">
      <w:pPr>
        <w:pStyle w:val="Heading3"/>
        <w:numPr>
          <w:ilvl w:val="2"/>
          <w:numId w:val="18"/>
        </w:numPr>
      </w:pPr>
      <w:r>
        <w:t xml:space="preserve">TOR 3: </w:t>
      </w:r>
      <w:r w:rsidR="00922A92" w:rsidRPr="002D4BCE">
        <w:t>Assessment of performance</w:t>
      </w:r>
    </w:p>
    <w:p w14:paraId="4DF64BAB" w14:textId="073E7DB9" w:rsidR="0022182B" w:rsidRPr="00010FE7" w:rsidRDefault="0022182B" w:rsidP="0022182B">
      <w:pPr>
        <w:rPr>
          <w:lang w:eastAsia="en-AU"/>
        </w:rPr>
      </w:pPr>
      <w:r w:rsidRPr="00010FE7">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_Ref164753157 \n \h </w:instrText>
      </w:r>
      <w:r>
        <w:rPr>
          <w:lang w:eastAsia="en-AU"/>
        </w:rPr>
      </w:r>
      <w:r>
        <w:rPr>
          <w:lang w:eastAsia="en-AU"/>
        </w:rPr>
        <w:fldChar w:fldCharType="separate"/>
      </w:r>
      <w:r w:rsidR="00AB7E95">
        <w:rPr>
          <w:lang w:eastAsia="en-AU"/>
        </w:rPr>
        <w:t>Appendix A</w:t>
      </w:r>
      <w:r>
        <w:rPr>
          <w:lang w:eastAsia="en-AU"/>
        </w:rPr>
        <w:fldChar w:fldCharType="end"/>
      </w:r>
      <w:r w:rsidRPr="00010FE7">
        <w:rPr>
          <w:lang w:eastAsia="en-AU"/>
        </w:rPr>
        <w:t>.</w:t>
      </w:r>
    </w:p>
    <w:p w14:paraId="3A079409" w14:textId="0B298EE8" w:rsidR="00046737" w:rsidRDefault="00046737" w:rsidP="00046737">
      <w:pPr>
        <w:pStyle w:val="Heading4"/>
      </w:pPr>
      <w:r w:rsidRPr="00046737">
        <w:t xml:space="preserve">Respectful and transparent engagement </w:t>
      </w:r>
    </w:p>
    <w:p w14:paraId="63D74D77" w14:textId="2EF7FE97" w:rsidR="00923084" w:rsidRDefault="00FD7CAB" w:rsidP="3F43E8F7">
      <w:pPr>
        <w:pStyle w:val="Heading5"/>
        <w:numPr>
          <w:ilvl w:val="4"/>
          <w:numId w:val="0"/>
        </w:numPr>
      </w:pPr>
      <w:r w:rsidRPr="6967B2CC">
        <w:t>FNLRS’</w:t>
      </w:r>
      <w:r w:rsidR="00FF75E9" w:rsidRPr="6967B2CC">
        <w:t>s</w:t>
      </w:r>
      <w:r w:rsidRPr="6967B2CC">
        <w:t xml:space="preserve"> engagement </w:t>
      </w:r>
      <w:r w:rsidR="00923084" w:rsidRPr="6967B2CC">
        <w:t xml:space="preserve">was </w:t>
      </w:r>
      <w:r w:rsidR="00146919" w:rsidRPr="6967B2CC">
        <w:t xml:space="preserve">broadly </w:t>
      </w:r>
      <w:r w:rsidR="00923084" w:rsidRPr="6967B2CC">
        <w:t>seen as respectful</w:t>
      </w:r>
      <w:r w:rsidR="00BB4525" w:rsidRPr="6967B2CC">
        <w:t xml:space="preserve"> </w:t>
      </w:r>
      <w:r w:rsidR="007663DC" w:rsidRPr="6967B2CC">
        <w:t xml:space="preserve">with </w:t>
      </w:r>
      <w:r w:rsidR="001D6A55" w:rsidRPr="6967B2CC">
        <w:t>some areas of improvement</w:t>
      </w:r>
      <w:r w:rsidR="00923084" w:rsidRPr="6967B2CC">
        <w:t xml:space="preserve"> </w:t>
      </w:r>
      <w:r w:rsidR="00BB4525" w:rsidRPr="6967B2CC">
        <w:t xml:space="preserve">regarding </w:t>
      </w:r>
      <w:r w:rsidR="007663DC" w:rsidRPr="6967B2CC">
        <w:t>complex cases</w:t>
      </w:r>
      <w:r w:rsidR="00BB4525" w:rsidRPr="6967B2CC">
        <w:t xml:space="preserve"> </w:t>
      </w:r>
    </w:p>
    <w:p w14:paraId="644FA5C8" w14:textId="77777777" w:rsidR="00CB2D87" w:rsidRDefault="00841F6E" w:rsidP="00CB2D87">
      <w:pPr>
        <w:rPr>
          <w:lang w:eastAsia="en-AU"/>
        </w:rPr>
      </w:pPr>
      <w:r>
        <w:rPr>
          <w:noProof/>
          <w:lang w:eastAsia="en-AU"/>
        </w:rPr>
        <mc:AlternateContent>
          <mc:Choice Requires="wps">
            <w:drawing>
              <wp:anchor distT="0" distB="0" distL="114300" distR="114300" simplePos="0" relativeHeight="251658242" behindDoc="0" locked="0" layoutInCell="1" allowOverlap="1" wp14:anchorId="75EF1B27" wp14:editId="6D76DB64">
                <wp:simplePos x="0" y="0"/>
                <wp:positionH relativeFrom="margin">
                  <wp:align>right</wp:align>
                </wp:positionH>
                <wp:positionV relativeFrom="paragraph">
                  <wp:posOffset>130810</wp:posOffset>
                </wp:positionV>
                <wp:extent cx="1935480" cy="2066925"/>
                <wp:effectExtent l="0" t="0" r="7620" b="4445"/>
                <wp:wrapSquare wrapText="bothSides"/>
                <wp:docPr id="801845899" name="Text Box 801845899"/>
                <wp:cNvGraphicFramePr/>
                <a:graphic xmlns:a="http://schemas.openxmlformats.org/drawingml/2006/main">
                  <a:graphicData uri="http://schemas.microsoft.com/office/word/2010/wordprocessingShape">
                    <wps:wsp>
                      <wps:cNvSpPr txBox="1"/>
                      <wps:spPr>
                        <a:xfrm>
                          <a:off x="0" y="0"/>
                          <a:ext cx="193548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99492" w14:textId="00C8E2E4" w:rsidR="005120D5" w:rsidRPr="00CA17C8" w:rsidRDefault="005120D5" w:rsidP="0069101B">
                            <w:pPr>
                              <w:pStyle w:val="Callout"/>
                              <w:rPr>
                                <w:color w:val="C2400B" w:themeColor="accent2" w:themeShade="BF"/>
                                <w:sz w:val="19"/>
                                <w:szCs w:val="19"/>
                              </w:rPr>
                            </w:pPr>
                            <w:r w:rsidRPr="00CA17C8">
                              <w:rPr>
                                <w:color w:val="C2400B" w:themeColor="accent2" w:themeShade="BF"/>
                                <w:sz w:val="19"/>
                                <w:szCs w:val="19"/>
                              </w:rPr>
                              <w:t xml:space="preserve">“All the lawyers we have on board have been really good – they are understanding and accommodating to how the community operates.” </w:t>
                            </w:r>
                          </w:p>
                          <w:p w14:paraId="7A457DD3" w14:textId="13807090" w:rsidR="005120D5" w:rsidRPr="004F799A" w:rsidRDefault="005120D5" w:rsidP="0069101B">
                            <w:pPr>
                              <w:pStyle w:val="Callout"/>
                              <w:jc w:val="right"/>
                              <w:rPr>
                                <w:color w:val="00264D" w:themeColor="background2"/>
                                <w:sz w:val="19"/>
                                <w:szCs w:val="19"/>
                              </w:rPr>
                            </w:pPr>
                            <w:r>
                              <w:rPr>
                                <w:color w:val="00264D" w:themeColor="background2"/>
                                <w:sz w:val="19"/>
                                <w:szCs w:val="19"/>
                              </w:rPr>
                              <w:t>Traditional Owner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EF1B27" id="Text Box 801845899" o:spid="_x0000_s1028" type="#_x0000_t202" style="position:absolute;margin-left:101.2pt;margin-top:10.3pt;width:152.4pt;height:162.75pt;z-index:25165824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" fillcolor="white [3201]" stroked="f" strokeweight=".5pt">
                <v:textbox style="mso-fit-shape-to-text:t" inset="0,,1mm">
                  <w:txbxContent>
                    <w:p w14:paraId="53799492" w14:textId="00C8E2E4" w:rsidR="005120D5" w:rsidRPr="00CA17C8" w:rsidRDefault="005120D5" w:rsidP="0069101B">
                      <w:pPr>
                        <w:pStyle w:val="Callout"/>
                        <w:rPr>
                          <w:color w:val="C2400B" w:themeColor="accent2" w:themeShade="BF"/>
                          <w:sz w:val="19"/>
                          <w:szCs w:val="19"/>
                        </w:rPr>
                      </w:pPr>
                      <w:r w:rsidRPr="00CA17C8">
                        <w:rPr>
                          <w:color w:val="C2400B" w:themeColor="accent2" w:themeShade="BF"/>
                          <w:sz w:val="19"/>
                          <w:szCs w:val="19"/>
                        </w:rPr>
                        <w:t xml:space="preserve">“All the lawyers we have on board have been really good – they are understanding and accommodating to how the community operates.” </w:t>
                      </w:r>
                    </w:p>
                    <w:p w14:paraId="7A457DD3" w14:textId="13807090" w:rsidR="005120D5" w:rsidRPr="004F799A" w:rsidRDefault="005120D5" w:rsidP="0069101B">
                      <w:pPr>
                        <w:pStyle w:val="Callout"/>
                        <w:jc w:val="right"/>
                        <w:rPr>
                          <w:color w:val="00264D" w:themeColor="background2"/>
                          <w:sz w:val="19"/>
                          <w:szCs w:val="19"/>
                        </w:rPr>
                      </w:pPr>
                      <w:r>
                        <w:rPr>
                          <w:color w:val="00264D" w:themeColor="background2"/>
                          <w:sz w:val="19"/>
                          <w:szCs w:val="19"/>
                        </w:rPr>
                        <w:t>Traditional Owner</w:t>
                      </w:r>
                    </w:p>
                  </w:txbxContent>
                </v:textbox>
                <w10:wrap type="square" anchorx="margin"/>
              </v:shape>
            </w:pict>
          </mc:Fallback>
        </mc:AlternateContent>
      </w:r>
      <w:r w:rsidR="006F1450">
        <w:rPr>
          <w:lang w:eastAsia="en-AU"/>
        </w:rPr>
        <w:t>Generally,</w:t>
      </w:r>
      <w:r w:rsidR="004A3FB3">
        <w:rPr>
          <w:lang w:eastAsia="en-AU"/>
        </w:rPr>
        <w:t xml:space="preserve"> stakeholders consulted as part of the Review </w:t>
      </w:r>
      <w:r w:rsidR="00A90D32">
        <w:rPr>
          <w:lang w:eastAsia="en-AU"/>
        </w:rPr>
        <w:t xml:space="preserve">agreed that FNLRS had a good reputation and undertook its work in a respectful way. </w:t>
      </w:r>
      <w:r w:rsidR="00CB2D87">
        <w:rPr>
          <w:lang w:eastAsia="en-AU"/>
        </w:rPr>
        <w:t xml:space="preserve">Most Traditional Owners engaged through the Review period reported that FNLRS was professional and communicated respectfully with them and their communities. Many Traditional Owner groups reported that they had open lines of communication with FNLRS staff and always felt comfortable directly contacting the CEO to raise and resolve any issues together. </w:t>
      </w:r>
    </w:p>
    <w:p w14:paraId="43C92BE1" w14:textId="30827262" w:rsidR="00A11E78" w:rsidRDefault="00984DB4" w:rsidP="00E74755">
      <w:pPr>
        <w:rPr>
          <w:lang w:eastAsia="en-AU"/>
        </w:rPr>
      </w:pPr>
      <w:r>
        <w:rPr>
          <w:lang w:eastAsia="en-AU"/>
        </w:rPr>
        <w:lastRenderedPageBreak/>
        <w:t>Several s</w:t>
      </w:r>
      <w:r w:rsidR="00A90D32">
        <w:rPr>
          <w:lang w:eastAsia="en-AU"/>
        </w:rPr>
        <w:t>takeholders</w:t>
      </w:r>
      <w:r>
        <w:rPr>
          <w:lang w:eastAsia="en-AU"/>
        </w:rPr>
        <w:t xml:space="preserve"> did note</w:t>
      </w:r>
      <w:r w:rsidR="00A90D32">
        <w:rPr>
          <w:lang w:eastAsia="en-AU"/>
        </w:rPr>
        <w:t xml:space="preserve"> the difficult position FNLRS was in to effectively carry out its functions while navigating complex community </w:t>
      </w:r>
      <w:r w:rsidR="006F6F4D">
        <w:rPr>
          <w:lang w:eastAsia="en-AU"/>
        </w:rPr>
        <w:t>dynamics</w:t>
      </w:r>
      <w:r w:rsidR="00D24E79">
        <w:rPr>
          <w:lang w:eastAsia="en-AU"/>
        </w:rPr>
        <w:t xml:space="preserve">. </w:t>
      </w:r>
      <w:r w:rsidR="006F6F4D">
        <w:rPr>
          <w:lang w:eastAsia="en-AU"/>
        </w:rPr>
        <w:t xml:space="preserve">For example, in Victoria there are several long-running group composition disputes such as that between the </w:t>
      </w:r>
      <w:r w:rsidR="00103645">
        <w:rPr>
          <w:lang w:eastAsia="en-AU"/>
        </w:rPr>
        <w:t>Wamba</w:t>
      </w:r>
      <w:r w:rsidR="000E29D0">
        <w:rPr>
          <w:lang w:eastAsia="en-AU"/>
        </w:rPr>
        <w:t xml:space="preserve"> Wemba, </w:t>
      </w:r>
      <w:proofErr w:type="spellStart"/>
      <w:r w:rsidR="000E29D0">
        <w:rPr>
          <w:lang w:eastAsia="en-AU"/>
        </w:rPr>
        <w:t>Barapa</w:t>
      </w:r>
      <w:proofErr w:type="spellEnd"/>
      <w:r w:rsidR="000E29D0">
        <w:rPr>
          <w:lang w:eastAsia="en-AU"/>
        </w:rPr>
        <w:t xml:space="preserve"> </w:t>
      </w:r>
      <w:proofErr w:type="spellStart"/>
      <w:r w:rsidR="000E29D0">
        <w:rPr>
          <w:lang w:eastAsia="en-AU"/>
        </w:rPr>
        <w:t>Barapa</w:t>
      </w:r>
      <w:proofErr w:type="spellEnd"/>
      <w:r w:rsidR="000E29D0">
        <w:rPr>
          <w:lang w:eastAsia="en-AU"/>
        </w:rPr>
        <w:t xml:space="preserve"> and Wadi </w:t>
      </w:r>
      <w:proofErr w:type="spellStart"/>
      <w:r w:rsidR="000E29D0">
        <w:rPr>
          <w:lang w:eastAsia="en-AU"/>
        </w:rPr>
        <w:t>Wadi</w:t>
      </w:r>
      <w:proofErr w:type="spellEnd"/>
      <w:r w:rsidR="000E29D0">
        <w:rPr>
          <w:lang w:eastAsia="en-AU"/>
        </w:rPr>
        <w:t xml:space="preserve"> Peoples</w:t>
      </w:r>
      <w:r w:rsidR="00F50F12">
        <w:rPr>
          <w:lang w:eastAsia="en-AU"/>
        </w:rPr>
        <w:t xml:space="preserve"> in the Central North</w:t>
      </w:r>
      <w:r w:rsidR="005375EC">
        <w:rPr>
          <w:lang w:eastAsia="en-AU"/>
        </w:rPr>
        <w:t>.</w:t>
      </w:r>
      <w:r w:rsidR="00A90D32">
        <w:rPr>
          <w:lang w:eastAsia="en-AU"/>
        </w:rPr>
        <w:t xml:space="preserve"> </w:t>
      </w:r>
    </w:p>
    <w:p w14:paraId="58AFCA0B" w14:textId="42CFA141" w:rsidR="00693AFC" w:rsidRDefault="0066402C" w:rsidP="00E74755">
      <w:pPr>
        <w:rPr>
          <w:lang w:eastAsia="en-AU"/>
        </w:rPr>
      </w:pPr>
      <w:r>
        <w:rPr>
          <w:lang w:eastAsia="en-AU"/>
        </w:rPr>
        <w:t xml:space="preserve">This </w:t>
      </w:r>
      <w:r w:rsidR="00B758B0">
        <w:rPr>
          <w:lang w:eastAsia="en-AU"/>
        </w:rPr>
        <w:t>was raised</w:t>
      </w:r>
      <w:r>
        <w:rPr>
          <w:lang w:eastAsia="en-AU"/>
        </w:rPr>
        <w:t xml:space="preserve"> in interviews with Traditional Owner groups where </w:t>
      </w:r>
      <w:r w:rsidR="001C4537">
        <w:rPr>
          <w:lang w:eastAsia="en-AU"/>
        </w:rPr>
        <w:t>the Review heard</w:t>
      </w:r>
      <w:r w:rsidR="00233AEF">
        <w:rPr>
          <w:lang w:eastAsia="en-AU"/>
        </w:rPr>
        <w:t xml:space="preserve"> feedback that some community members were concerned </w:t>
      </w:r>
      <w:r w:rsidR="005775AF">
        <w:rPr>
          <w:lang w:eastAsia="en-AU"/>
        </w:rPr>
        <w:t>about</w:t>
      </w:r>
      <w:r w:rsidR="00233AEF">
        <w:rPr>
          <w:lang w:eastAsia="en-AU"/>
        </w:rPr>
        <w:t xml:space="preserve"> the way </w:t>
      </w:r>
      <w:r w:rsidR="00693AFC">
        <w:rPr>
          <w:lang w:eastAsia="en-AU"/>
        </w:rPr>
        <w:t xml:space="preserve">FNLRS </w:t>
      </w:r>
      <w:r w:rsidR="00921478">
        <w:rPr>
          <w:lang w:eastAsia="en-AU"/>
        </w:rPr>
        <w:t>responded</w:t>
      </w:r>
      <w:r w:rsidR="00693AFC">
        <w:rPr>
          <w:lang w:eastAsia="en-AU"/>
        </w:rPr>
        <w:t xml:space="preserve"> </w:t>
      </w:r>
      <w:r w:rsidR="00833B89">
        <w:rPr>
          <w:lang w:eastAsia="en-AU"/>
        </w:rPr>
        <w:t xml:space="preserve">to </w:t>
      </w:r>
      <w:r w:rsidR="00693AFC">
        <w:rPr>
          <w:lang w:eastAsia="en-AU"/>
        </w:rPr>
        <w:t xml:space="preserve">their claims regarding where </w:t>
      </w:r>
      <w:r w:rsidR="008F6E15">
        <w:rPr>
          <w:lang w:eastAsia="en-AU"/>
        </w:rPr>
        <w:t>they believed their</w:t>
      </w:r>
      <w:r w:rsidR="00693AFC">
        <w:rPr>
          <w:lang w:eastAsia="en-AU"/>
        </w:rPr>
        <w:t xml:space="preserve"> family was from. Although</w:t>
      </w:r>
      <w:r w:rsidR="00287DDE">
        <w:rPr>
          <w:lang w:eastAsia="en-AU"/>
        </w:rPr>
        <w:t xml:space="preserve"> these stakeholders</w:t>
      </w:r>
      <w:r w:rsidR="00693AFC">
        <w:rPr>
          <w:lang w:eastAsia="en-AU"/>
        </w:rPr>
        <w:t xml:space="preserve"> recognised that FNLRS had a difficult task undertaking research</w:t>
      </w:r>
      <w:r w:rsidR="00777D68">
        <w:rPr>
          <w:lang w:eastAsia="en-AU"/>
        </w:rPr>
        <w:t xml:space="preserve"> particularly in areas with high levels of dispossession</w:t>
      </w:r>
      <w:r w:rsidR="00693AFC">
        <w:rPr>
          <w:lang w:eastAsia="en-AU"/>
        </w:rPr>
        <w:t>, they believed FNLRS could be more respectful of Traditional Owners</w:t>
      </w:r>
      <w:r w:rsidR="008603C0">
        <w:rPr>
          <w:lang w:eastAsia="en-AU"/>
        </w:rPr>
        <w:t>’</w:t>
      </w:r>
      <w:r w:rsidR="00693AFC">
        <w:rPr>
          <w:lang w:eastAsia="en-AU"/>
        </w:rPr>
        <w:t xml:space="preserve"> stories when investigating where families were historically located.</w:t>
      </w:r>
      <w:r w:rsidR="00B35BFF">
        <w:rPr>
          <w:lang w:eastAsia="en-AU"/>
        </w:rPr>
        <w:t xml:space="preserve"> </w:t>
      </w:r>
      <w:r w:rsidR="00925E39">
        <w:rPr>
          <w:lang w:eastAsia="en-AU"/>
        </w:rPr>
        <w:t xml:space="preserve">Some </w:t>
      </w:r>
      <w:r w:rsidR="004C7B12">
        <w:rPr>
          <w:lang w:eastAsia="en-AU"/>
        </w:rPr>
        <w:t xml:space="preserve">Traditional Owners </w:t>
      </w:r>
      <w:r w:rsidR="00946C6F">
        <w:rPr>
          <w:lang w:eastAsia="en-AU"/>
        </w:rPr>
        <w:t>reported</w:t>
      </w:r>
      <w:r w:rsidR="004C7B12">
        <w:rPr>
          <w:lang w:eastAsia="en-AU"/>
        </w:rPr>
        <w:t xml:space="preserve"> that FNLRS could </w:t>
      </w:r>
      <w:r w:rsidR="00E93E10">
        <w:rPr>
          <w:lang w:eastAsia="en-AU"/>
        </w:rPr>
        <w:t>place</w:t>
      </w:r>
      <w:r w:rsidR="00946C6F">
        <w:rPr>
          <w:lang w:eastAsia="en-AU"/>
        </w:rPr>
        <w:t xml:space="preserve"> </w:t>
      </w:r>
      <w:r w:rsidR="004C7B12">
        <w:rPr>
          <w:lang w:eastAsia="en-AU"/>
        </w:rPr>
        <w:t>more emphasis on explaining what story the</w:t>
      </w:r>
      <w:r w:rsidR="001F3D38">
        <w:rPr>
          <w:lang w:eastAsia="en-AU"/>
        </w:rPr>
        <w:t xml:space="preserve"> available research and artefacts </w:t>
      </w:r>
      <w:r w:rsidR="00946C6F">
        <w:rPr>
          <w:lang w:eastAsia="en-AU"/>
        </w:rPr>
        <w:t>were</w:t>
      </w:r>
      <w:r w:rsidR="001F3D38">
        <w:rPr>
          <w:lang w:eastAsia="en-AU"/>
        </w:rPr>
        <w:t xml:space="preserve"> </w:t>
      </w:r>
      <w:r w:rsidR="00DF6252">
        <w:rPr>
          <w:lang w:eastAsia="en-AU"/>
        </w:rPr>
        <w:t xml:space="preserve">telling, rather than implying that Traditional Owners’ beliefs about their own family stories </w:t>
      </w:r>
      <w:r w:rsidR="00CC1FA5">
        <w:rPr>
          <w:lang w:eastAsia="en-AU"/>
        </w:rPr>
        <w:t>were</w:t>
      </w:r>
      <w:r w:rsidR="00DF6252">
        <w:rPr>
          <w:lang w:eastAsia="en-AU"/>
        </w:rPr>
        <w:t xml:space="preserve"> wrong</w:t>
      </w:r>
      <w:r w:rsidR="00946C6F">
        <w:rPr>
          <w:lang w:eastAsia="en-AU"/>
        </w:rPr>
        <w:t xml:space="preserve"> </w:t>
      </w:r>
      <w:r w:rsidR="00960631">
        <w:rPr>
          <w:lang w:eastAsia="en-AU"/>
        </w:rPr>
        <w:t>when</w:t>
      </w:r>
      <w:r w:rsidR="00946C6F">
        <w:rPr>
          <w:lang w:eastAsia="en-AU"/>
        </w:rPr>
        <w:t xml:space="preserve"> the </w:t>
      </w:r>
      <w:r w:rsidR="00960631">
        <w:rPr>
          <w:lang w:eastAsia="en-AU"/>
        </w:rPr>
        <w:t xml:space="preserve">available </w:t>
      </w:r>
      <w:r w:rsidR="00946C6F">
        <w:rPr>
          <w:lang w:eastAsia="en-AU"/>
        </w:rPr>
        <w:t xml:space="preserve">research </w:t>
      </w:r>
      <w:r w:rsidR="00960631">
        <w:rPr>
          <w:lang w:eastAsia="en-AU"/>
        </w:rPr>
        <w:t>did not</w:t>
      </w:r>
      <w:r w:rsidR="00946C6F">
        <w:rPr>
          <w:lang w:eastAsia="en-AU"/>
        </w:rPr>
        <w:t xml:space="preserve"> align with their stories</w:t>
      </w:r>
      <w:r w:rsidR="00DF6252">
        <w:rPr>
          <w:lang w:eastAsia="en-AU"/>
        </w:rPr>
        <w:t xml:space="preserve">. </w:t>
      </w:r>
    </w:p>
    <w:p w14:paraId="648BECFF" w14:textId="77B1136C" w:rsidR="00F80A7C" w:rsidRPr="00761F69" w:rsidRDefault="00F80A7C" w:rsidP="00BF3085">
      <w:pPr>
        <w:pStyle w:val="Heading5"/>
      </w:pPr>
      <w:r>
        <w:t xml:space="preserve">FNLRS </w:t>
      </w:r>
      <w:r w:rsidR="00BB2BE5" w:rsidRPr="00761F69">
        <w:t>should seek ways</w:t>
      </w:r>
      <w:r w:rsidRPr="00761F69">
        <w:t xml:space="preserve"> to </w:t>
      </w:r>
      <w:r w:rsidR="00BF3085" w:rsidRPr="00761F69">
        <w:t xml:space="preserve">raise the profile of the organisation with the community and </w:t>
      </w:r>
      <w:r w:rsidRPr="00761F69">
        <w:t xml:space="preserve">communicate </w:t>
      </w:r>
      <w:r w:rsidR="00BF3085" w:rsidRPr="00761F69">
        <w:t>its</w:t>
      </w:r>
      <w:r w:rsidRPr="00761F69">
        <w:t xml:space="preserve"> </w:t>
      </w:r>
      <w:r w:rsidR="00BF3085" w:rsidRPr="00761F69">
        <w:t>services</w:t>
      </w:r>
      <w:r w:rsidRPr="00761F69">
        <w:t xml:space="preserve"> </w:t>
      </w:r>
      <w:r w:rsidR="00945480" w:rsidRPr="00761F69">
        <w:t xml:space="preserve">and successes </w:t>
      </w:r>
    </w:p>
    <w:p w14:paraId="2F5B2E22" w14:textId="2CDE614E" w:rsidR="00E84E6F" w:rsidRDefault="00F16056" w:rsidP="009E0D95">
      <w:pPr>
        <w:rPr>
          <w:lang w:eastAsia="en-AU"/>
        </w:rPr>
      </w:pPr>
      <w:r>
        <w:rPr>
          <w:lang w:eastAsia="en-AU"/>
        </w:rPr>
        <w:t>Several stakeholders</w:t>
      </w:r>
      <w:r w:rsidR="00D5620B">
        <w:rPr>
          <w:lang w:eastAsia="en-AU"/>
        </w:rPr>
        <w:t>,</w:t>
      </w:r>
      <w:r>
        <w:rPr>
          <w:lang w:eastAsia="en-AU"/>
        </w:rPr>
        <w:t xml:space="preserve"> including</w:t>
      </w:r>
      <w:r w:rsidR="0028103F">
        <w:rPr>
          <w:lang w:eastAsia="en-AU"/>
        </w:rPr>
        <w:t xml:space="preserve"> both</w:t>
      </w:r>
      <w:r>
        <w:rPr>
          <w:lang w:eastAsia="en-AU"/>
        </w:rPr>
        <w:t xml:space="preserve"> FNLRS staff and external stakeholders</w:t>
      </w:r>
      <w:r w:rsidR="00D5620B">
        <w:rPr>
          <w:lang w:eastAsia="en-AU"/>
        </w:rPr>
        <w:t>,</w:t>
      </w:r>
      <w:r>
        <w:rPr>
          <w:lang w:eastAsia="en-AU"/>
        </w:rPr>
        <w:t xml:space="preserve"> </w:t>
      </w:r>
      <w:r w:rsidR="00925E39">
        <w:rPr>
          <w:lang w:eastAsia="en-AU"/>
        </w:rPr>
        <w:t>felt</w:t>
      </w:r>
      <w:r>
        <w:rPr>
          <w:lang w:eastAsia="en-AU"/>
        </w:rPr>
        <w:t xml:space="preserve"> that FNLRS </w:t>
      </w:r>
      <w:r w:rsidR="00EF4EAB">
        <w:rPr>
          <w:lang w:eastAsia="en-AU"/>
        </w:rPr>
        <w:t>did not</w:t>
      </w:r>
      <w:r>
        <w:rPr>
          <w:lang w:eastAsia="en-AU"/>
        </w:rPr>
        <w:t xml:space="preserve"> </w:t>
      </w:r>
      <w:r w:rsidR="0028103F">
        <w:rPr>
          <w:lang w:eastAsia="en-AU"/>
        </w:rPr>
        <w:t xml:space="preserve">clearly </w:t>
      </w:r>
      <w:r>
        <w:rPr>
          <w:lang w:eastAsia="en-AU"/>
        </w:rPr>
        <w:t xml:space="preserve">communicate </w:t>
      </w:r>
      <w:r w:rsidR="00D5620B">
        <w:rPr>
          <w:lang w:eastAsia="en-AU"/>
        </w:rPr>
        <w:t xml:space="preserve">what </w:t>
      </w:r>
      <w:r w:rsidR="00406FCA">
        <w:rPr>
          <w:lang w:eastAsia="en-AU"/>
        </w:rPr>
        <w:t xml:space="preserve">services </w:t>
      </w:r>
      <w:r w:rsidR="00D5620B">
        <w:rPr>
          <w:lang w:eastAsia="en-AU"/>
        </w:rPr>
        <w:t xml:space="preserve">it </w:t>
      </w:r>
      <w:r w:rsidR="00406FCA">
        <w:rPr>
          <w:lang w:eastAsia="en-AU"/>
        </w:rPr>
        <w:t xml:space="preserve">provided to </w:t>
      </w:r>
      <w:r w:rsidR="00143AF0">
        <w:rPr>
          <w:lang w:eastAsia="en-AU"/>
        </w:rPr>
        <w:t>the</w:t>
      </w:r>
      <w:r w:rsidR="00406FCA">
        <w:rPr>
          <w:lang w:eastAsia="en-AU"/>
        </w:rPr>
        <w:t xml:space="preserve"> community</w:t>
      </w:r>
      <w:r w:rsidR="00D5620B">
        <w:rPr>
          <w:lang w:eastAsia="en-AU"/>
        </w:rPr>
        <w:t xml:space="preserve"> </w:t>
      </w:r>
      <w:r w:rsidR="00FF649C">
        <w:rPr>
          <w:lang w:eastAsia="en-AU"/>
        </w:rPr>
        <w:t xml:space="preserve">and </w:t>
      </w:r>
      <w:r w:rsidR="00925E39">
        <w:rPr>
          <w:lang w:eastAsia="en-AU"/>
        </w:rPr>
        <w:t>its</w:t>
      </w:r>
      <w:r w:rsidR="00FF649C">
        <w:rPr>
          <w:lang w:eastAsia="en-AU"/>
        </w:rPr>
        <w:t xml:space="preserve"> key successes</w:t>
      </w:r>
      <w:r w:rsidR="00442114">
        <w:rPr>
          <w:lang w:eastAsia="en-AU"/>
        </w:rPr>
        <w:t>.</w:t>
      </w:r>
      <w:r w:rsidR="00FC4F5F">
        <w:rPr>
          <w:lang w:eastAsia="en-AU"/>
        </w:rPr>
        <w:t xml:space="preserve"> </w:t>
      </w:r>
      <w:r w:rsidR="002B346D">
        <w:rPr>
          <w:lang w:eastAsia="en-AU"/>
        </w:rPr>
        <w:t>P</w:t>
      </w:r>
      <w:r w:rsidR="007C4F1F">
        <w:rPr>
          <w:lang w:eastAsia="en-AU"/>
        </w:rPr>
        <w:t>reviously</w:t>
      </w:r>
      <w:r w:rsidR="001767E1">
        <w:rPr>
          <w:lang w:eastAsia="en-AU"/>
        </w:rPr>
        <w:t>,</w:t>
      </w:r>
      <w:r w:rsidR="007C4F1F">
        <w:rPr>
          <w:lang w:eastAsia="en-AU"/>
        </w:rPr>
        <w:t xml:space="preserve"> FNLRS </w:t>
      </w:r>
      <w:r w:rsidR="00322FEA">
        <w:rPr>
          <w:lang w:eastAsia="en-AU"/>
        </w:rPr>
        <w:t>had</w:t>
      </w:r>
      <w:r w:rsidR="007C4F1F">
        <w:rPr>
          <w:lang w:eastAsia="en-AU"/>
        </w:rPr>
        <w:t xml:space="preserve"> sent </w:t>
      </w:r>
      <w:r w:rsidR="00FC4F5F">
        <w:rPr>
          <w:lang w:eastAsia="en-AU"/>
        </w:rPr>
        <w:t>communications and a newsletter</w:t>
      </w:r>
      <w:r w:rsidR="007C4F1F">
        <w:rPr>
          <w:lang w:eastAsia="en-AU"/>
        </w:rPr>
        <w:t xml:space="preserve"> to its clients and the community, however </w:t>
      </w:r>
      <w:r w:rsidR="00B92404">
        <w:rPr>
          <w:lang w:eastAsia="en-AU"/>
        </w:rPr>
        <w:t xml:space="preserve">this communication did not occur during the </w:t>
      </w:r>
      <w:r w:rsidR="00BC31C1">
        <w:rPr>
          <w:lang w:eastAsia="en-AU"/>
        </w:rPr>
        <w:t>R</w:t>
      </w:r>
      <w:r w:rsidR="00B92404">
        <w:rPr>
          <w:lang w:eastAsia="en-AU"/>
        </w:rPr>
        <w:t xml:space="preserve">eview period and </w:t>
      </w:r>
      <w:r w:rsidR="00DE47D6">
        <w:rPr>
          <w:lang w:eastAsia="en-AU"/>
        </w:rPr>
        <w:t xml:space="preserve">reportedly </w:t>
      </w:r>
      <w:r w:rsidR="00B92404">
        <w:rPr>
          <w:lang w:eastAsia="en-AU"/>
        </w:rPr>
        <w:t xml:space="preserve">had </w:t>
      </w:r>
      <w:r w:rsidR="001735FE">
        <w:rPr>
          <w:lang w:eastAsia="en-AU"/>
        </w:rPr>
        <w:t>ceased</w:t>
      </w:r>
      <w:r w:rsidR="007C4F1F">
        <w:rPr>
          <w:lang w:eastAsia="en-AU"/>
        </w:rPr>
        <w:t xml:space="preserve"> in recent years.</w:t>
      </w:r>
      <w:r w:rsidR="004A6152">
        <w:rPr>
          <w:lang w:eastAsia="en-AU"/>
        </w:rPr>
        <w:t xml:space="preserve"> </w:t>
      </w:r>
    </w:p>
    <w:p w14:paraId="33644580" w14:textId="02258DE3" w:rsidR="002475A3" w:rsidRDefault="002475A3" w:rsidP="009E0D95">
      <w:pPr>
        <w:rPr>
          <w:lang w:eastAsia="en-AU"/>
        </w:rPr>
      </w:pPr>
      <w:r>
        <w:rPr>
          <w:lang w:eastAsia="en-AU"/>
        </w:rPr>
        <w:t xml:space="preserve">One staff member </w:t>
      </w:r>
      <w:r w:rsidR="00322FEA">
        <w:rPr>
          <w:lang w:eastAsia="en-AU"/>
        </w:rPr>
        <w:t xml:space="preserve">said that </w:t>
      </w:r>
      <w:r>
        <w:rPr>
          <w:lang w:eastAsia="en-AU"/>
        </w:rPr>
        <w:t>better use of social media</w:t>
      </w:r>
      <w:r w:rsidR="00C60CA8">
        <w:rPr>
          <w:lang w:eastAsia="en-AU"/>
        </w:rPr>
        <w:t xml:space="preserve"> </w:t>
      </w:r>
      <w:r w:rsidR="00506F3D">
        <w:rPr>
          <w:lang w:eastAsia="en-AU"/>
        </w:rPr>
        <w:t xml:space="preserve">and communications </w:t>
      </w:r>
      <w:r>
        <w:rPr>
          <w:lang w:eastAsia="en-AU"/>
        </w:rPr>
        <w:t xml:space="preserve">highlighting the work </w:t>
      </w:r>
      <w:r w:rsidR="00C60CA8">
        <w:rPr>
          <w:lang w:eastAsia="en-AU"/>
        </w:rPr>
        <w:t xml:space="preserve">of </w:t>
      </w:r>
      <w:r>
        <w:rPr>
          <w:lang w:eastAsia="en-AU"/>
        </w:rPr>
        <w:t xml:space="preserve">FNLRS would be beneficial. </w:t>
      </w:r>
      <w:r w:rsidR="00A00469">
        <w:rPr>
          <w:lang w:eastAsia="en-AU"/>
        </w:rPr>
        <w:t>St</w:t>
      </w:r>
      <w:r w:rsidR="00EA292D">
        <w:rPr>
          <w:lang w:eastAsia="en-AU"/>
        </w:rPr>
        <w:t>aff acknowledged that more proactive communication and engagement would have positive flow-on effects for staff in terms of being proud to work with FNLRS.</w:t>
      </w:r>
      <w:r w:rsidR="00A00469">
        <w:rPr>
          <w:lang w:eastAsia="en-AU"/>
        </w:rPr>
        <w:t xml:space="preserve"> </w:t>
      </w:r>
    </w:p>
    <w:p w14:paraId="624DE427" w14:textId="007EAC4F" w:rsidR="008D00CC" w:rsidRDefault="00FC311E" w:rsidP="009E0D95">
      <w:pPr>
        <w:rPr>
          <w:lang w:eastAsia="en-AU"/>
        </w:rPr>
      </w:pPr>
      <w:r>
        <w:rPr>
          <w:lang w:eastAsia="en-AU"/>
        </w:rPr>
        <w:t>Several s</w:t>
      </w:r>
      <w:r w:rsidR="00650D36">
        <w:rPr>
          <w:lang w:eastAsia="en-AU"/>
        </w:rPr>
        <w:t>takeholders</w:t>
      </w:r>
      <w:r>
        <w:rPr>
          <w:lang w:eastAsia="en-AU"/>
        </w:rPr>
        <w:t xml:space="preserve"> also</w:t>
      </w:r>
      <w:r w:rsidR="00650D36">
        <w:rPr>
          <w:lang w:eastAsia="en-AU"/>
        </w:rPr>
        <w:t xml:space="preserve"> reported </w:t>
      </w:r>
      <w:r>
        <w:rPr>
          <w:lang w:eastAsia="en-AU"/>
        </w:rPr>
        <w:t>they believed there was</w:t>
      </w:r>
      <w:r w:rsidR="00650D36">
        <w:rPr>
          <w:lang w:eastAsia="en-AU"/>
        </w:rPr>
        <w:t xml:space="preserve"> low visibility of </w:t>
      </w:r>
      <w:r w:rsidR="00B778A1">
        <w:rPr>
          <w:lang w:eastAsia="en-AU"/>
        </w:rPr>
        <w:t>FNLRS’s</w:t>
      </w:r>
      <w:r w:rsidR="00650D36">
        <w:rPr>
          <w:lang w:eastAsia="en-AU"/>
        </w:rPr>
        <w:t xml:space="preserve"> </w:t>
      </w:r>
      <w:r>
        <w:rPr>
          <w:lang w:eastAsia="en-AU"/>
        </w:rPr>
        <w:t xml:space="preserve">leadership and </w:t>
      </w:r>
      <w:r w:rsidR="00650D36">
        <w:rPr>
          <w:lang w:eastAsia="en-AU"/>
        </w:rPr>
        <w:t xml:space="preserve">management team </w:t>
      </w:r>
      <w:r w:rsidR="002649FB">
        <w:rPr>
          <w:lang w:eastAsia="en-AU"/>
        </w:rPr>
        <w:t>amongst the community</w:t>
      </w:r>
      <w:r w:rsidR="00650D36">
        <w:rPr>
          <w:lang w:eastAsia="en-AU"/>
        </w:rPr>
        <w:t xml:space="preserve">. </w:t>
      </w:r>
      <w:r w:rsidR="00010FA7">
        <w:rPr>
          <w:lang w:eastAsia="en-AU"/>
        </w:rPr>
        <w:t xml:space="preserve">One </w:t>
      </w:r>
      <w:r w:rsidR="00812CBB">
        <w:rPr>
          <w:lang w:eastAsia="en-AU"/>
        </w:rPr>
        <w:t>T</w:t>
      </w:r>
      <w:r w:rsidR="00010FA7">
        <w:rPr>
          <w:lang w:eastAsia="en-AU"/>
        </w:rPr>
        <w:t xml:space="preserve">raditional </w:t>
      </w:r>
      <w:r w:rsidR="00812CBB">
        <w:rPr>
          <w:lang w:eastAsia="en-AU"/>
        </w:rPr>
        <w:t>O</w:t>
      </w:r>
      <w:r w:rsidR="00010FA7">
        <w:rPr>
          <w:lang w:eastAsia="en-AU"/>
        </w:rPr>
        <w:t>wner group raised the fact that they were surprised that they did</w:t>
      </w:r>
      <w:r w:rsidR="00CC46DE">
        <w:rPr>
          <w:lang w:eastAsia="en-AU"/>
        </w:rPr>
        <w:t xml:space="preserve"> not</w:t>
      </w:r>
      <w:r w:rsidR="00010FA7">
        <w:rPr>
          <w:lang w:eastAsia="en-AU"/>
        </w:rPr>
        <w:t xml:space="preserve"> know who was on the Board or who the Chair was and thought that the leadership of the organisation </w:t>
      </w:r>
      <w:r w:rsidR="002475A3">
        <w:rPr>
          <w:lang w:eastAsia="en-AU"/>
        </w:rPr>
        <w:t>should be more visible</w:t>
      </w:r>
      <w:r w:rsidR="00EA292D">
        <w:rPr>
          <w:lang w:eastAsia="en-AU"/>
        </w:rPr>
        <w:t xml:space="preserve">. </w:t>
      </w:r>
      <w:r w:rsidR="00582C1D">
        <w:rPr>
          <w:lang w:eastAsia="en-AU"/>
        </w:rPr>
        <w:t>This sentiment was echoed by some staff who believed that there was low visibility of the CEO</w:t>
      </w:r>
      <w:r w:rsidR="00D160FB">
        <w:rPr>
          <w:lang w:eastAsia="en-AU"/>
        </w:rPr>
        <w:t>,</w:t>
      </w:r>
      <w:r w:rsidR="00582C1D">
        <w:rPr>
          <w:lang w:eastAsia="en-AU"/>
        </w:rPr>
        <w:t xml:space="preserve"> the senior management team </w:t>
      </w:r>
      <w:r w:rsidR="00D160FB">
        <w:rPr>
          <w:lang w:eastAsia="en-AU"/>
        </w:rPr>
        <w:t xml:space="preserve">and the Board </w:t>
      </w:r>
      <w:r w:rsidR="00582C1D">
        <w:rPr>
          <w:lang w:eastAsia="en-AU"/>
        </w:rPr>
        <w:t>within the community</w:t>
      </w:r>
      <w:r w:rsidR="002C6849">
        <w:rPr>
          <w:lang w:eastAsia="en-AU"/>
        </w:rPr>
        <w:t xml:space="preserve">, </w:t>
      </w:r>
      <w:r w:rsidR="00582C1D">
        <w:rPr>
          <w:lang w:eastAsia="en-AU"/>
        </w:rPr>
        <w:t>and tha</w:t>
      </w:r>
      <w:r w:rsidR="006F2190">
        <w:rPr>
          <w:lang w:eastAsia="en-AU"/>
        </w:rPr>
        <w:t>t raising the</w:t>
      </w:r>
      <w:r w:rsidR="00910489">
        <w:rPr>
          <w:lang w:eastAsia="en-AU"/>
        </w:rPr>
        <w:t>ir</w:t>
      </w:r>
      <w:r w:rsidR="006F2190">
        <w:rPr>
          <w:lang w:eastAsia="en-AU"/>
        </w:rPr>
        <w:t xml:space="preserve"> profile</w:t>
      </w:r>
      <w:r w:rsidR="00D160FB">
        <w:rPr>
          <w:lang w:eastAsia="en-AU"/>
        </w:rPr>
        <w:t>, particularly of the Board,</w:t>
      </w:r>
      <w:r w:rsidR="006F2190">
        <w:rPr>
          <w:lang w:eastAsia="en-AU"/>
        </w:rPr>
        <w:t xml:space="preserve"> would help with </w:t>
      </w:r>
      <w:r w:rsidR="0042063C">
        <w:rPr>
          <w:lang w:eastAsia="en-AU"/>
        </w:rPr>
        <w:t>transparency and</w:t>
      </w:r>
      <w:r w:rsidR="006F2190">
        <w:rPr>
          <w:lang w:eastAsia="en-AU"/>
        </w:rPr>
        <w:t xml:space="preserve"> community engagement more generally</w:t>
      </w:r>
      <w:r w:rsidR="00D56EDB">
        <w:rPr>
          <w:lang w:eastAsia="en-AU"/>
        </w:rPr>
        <w:t xml:space="preserve">. </w:t>
      </w:r>
    </w:p>
    <w:p w14:paraId="14BC9452" w14:textId="326A095D" w:rsidR="002B6055" w:rsidRDefault="0043446B" w:rsidP="00E74755">
      <w:pPr>
        <w:rPr>
          <w:lang w:eastAsia="en-AU"/>
        </w:rPr>
      </w:pPr>
      <w:r>
        <w:rPr>
          <w:lang w:eastAsia="en-AU"/>
        </w:rPr>
        <w:t xml:space="preserve">It is the </w:t>
      </w:r>
      <w:r w:rsidR="00975590">
        <w:rPr>
          <w:lang w:eastAsia="en-AU"/>
        </w:rPr>
        <w:t>view</w:t>
      </w:r>
      <w:r>
        <w:rPr>
          <w:lang w:eastAsia="en-AU"/>
        </w:rPr>
        <w:t xml:space="preserve"> of the Review that</w:t>
      </w:r>
      <w:r w:rsidR="002F26C0">
        <w:rPr>
          <w:lang w:eastAsia="en-AU"/>
        </w:rPr>
        <w:t xml:space="preserve"> raising</w:t>
      </w:r>
      <w:r w:rsidR="002B6055">
        <w:rPr>
          <w:lang w:eastAsia="en-AU"/>
        </w:rPr>
        <w:t xml:space="preserve"> the profile of </w:t>
      </w:r>
      <w:r>
        <w:rPr>
          <w:lang w:eastAsia="en-AU"/>
        </w:rPr>
        <w:t>FNLRS</w:t>
      </w:r>
      <w:r w:rsidR="002B6055">
        <w:rPr>
          <w:lang w:eastAsia="en-AU"/>
        </w:rPr>
        <w:t xml:space="preserve"> will help </w:t>
      </w:r>
      <w:r w:rsidR="0020244F">
        <w:rPr>
          <w:lang w:eastAsia="en-AU"/>
        </w:rPr>
        <w:t xml:space="preserve">other organisations </w:t>
      </w:r>
      <w:r w:rsidR="007F2EF8">
        <w:rPr>
          <w:lang w:eastAsia="en-AU"/>
        </w:rPr>
        <w:t xml:space="preserve">to </w:t>
      </w:r>
      <w:r w:rsidR="0020244F">
        <w:rPr>
          <w:lang w:eastAsia="en-AU"/>
        </w:rPr>
        <w:t xml:space="preserve">understand </w:t>
      </w:r>
      <w:r w:rsidR="00B778A1">
        <w:rPr>
          <w:lang w:eastAsia="en-AU"/>
        </w:rPr>
        <w:t>FNLRS’s</w:t>
      </w:r>
      <w:r w:rsidR="0020244F">
        <w:rPr>
          <w:lang w:eastAsia="en-AU"/>
        </w:rPr>
        <w:t xml:space="preserve"> </w:t>
      </w:r>
      <w:r w:rsidR="005D0C03">
        <w:rPr>
          <w:lang w:eastAsia="en-AU"/>
        </w:rPr>
        <w:t>role</w:t>
      </w:r>
      <w:r w:rsidR="0020244F">
        <w:rPr>
          <w:lang w:eastAsia="en-AU"/>
        </w:rPr>
        <w:t xml:space="preserve"> </w:t>
      </w:r>
      <w:r w:rsidR="0005320A">
        <w:rPr>
          <w:lang w:eastAsia="en-AU"/>
        </w:rPr>
        <w:t>(</w:t>
      </w:r>
      <w:r w:rsidR="0020244F">
        <w:rPr>
          <w:lang w:eastAsia="en-AU"/>
        </w:rPr>
        <w:t>as it exists in a complex system</w:t>
      </w:r>
      <w:r>
        <w:rPr>
          <w:lang w:eastAsia="en-AU"/>
        </w:rPr>
        <w:t xml:space="preserve"> with </w:t>
      </w:r>
      <w:r w:rsidR="0005320A">
        <w:rPr>
          <w:lang w:eastAsia="en-AU"/>
        </w:rPr>
        <w:t>a multitude of other organisations progressing Traditional Owner rights in Victoria)</w:t>
      </w:r>
      <w:r w:rsidR="0020244F">
        <w:rPr>
          <w:lang w:eastAsia="en-AU"/>
        </w:rPr>
        <w:t xml:space="preserve">, </w:t>
      </w:r>
      <w:r w:rsidR="00CD22E2">
        <w:rPr>
          <w:lang w:eastAsia="en-AU"/>
        </w:rPr>
        <w:t>understand the role of native title</w:t>
      </w:r>
      <w:r w:rsidR="0005320A">
        <w:rPr>
          <w:lang w:eastAsia="en-AU"/>
        </w:rPr>
        <w:t xml:space="preserve"> more generally</w:t>
      </w:r>
      <w:r w:rsidR="00CD22E2">
        <w:rPr>
          <w:lang w:eastAsia="en-AU"/>
        </w:rPr>
        <w:t xml:space="preserve"> and </w:t>
      </w:r>
      <w:r w:rsidR="0005320A">
        <w:rPr>
          <w:lang w:eastAsia="en-AU"/>
        </w:rPr>
        <w:t xml:space="preserve">educate </w:t>
      </w:r>
      <w:r w:rsidR="00F5091A">
        <w:rPr>
          <w:lang w:eastAsia="en-AU"/>
        </w:rPr>
        <w:t>stakeholders</w:t>
      </w:r>
      <w:r w:rsidR="009D2FB4">
        <w:rPr>
          <w:lang w:eastAsia="en-AU"/>
        </w:rPr>
        <w:t xml:space="preserve"> </w:t>
      </w:r>
      <w:r w:rsidR="0005320A">
        <w:rPr>
          <w:lang w:eastAsia="en-AU"/>
        </w:rPr>
        <w:t xml:space="preserve">on </w:t>
      </w:r>
      <w:r w:rsidR="00F5091A">
        <w:rPr>
          <w:lang w:eastAsia="en-AU"/>
        </w:rPr>
        <w:t>what F</w:t>
      </w:r>
      <w:r w:rsidR="00C93F85">
        <w:rPr>
          <w:lang w:eastAsia="en-AU"/>
        </w:rPr>
        <w:t xml:space="preserve">NLRS can and cannot provide to its clients. </w:t>
      </w:r>
    </w:p>
    <w:p w14:paraId="4FC6FC21" w14:textId="77777777" w:rsidR="00046737" w:rsidRDefault="00046737" w:rsidP="6967B2CC">
      <w:pPr>
        <w:pStyle w:val="Heading4"/>
      </w:pPr>
      <w:r w:rsidRPr="6967B2CC">
        <w:t>Culturally appropriate engagement</w:t>
      </w:r>
    </w:p>
    <w:p w14:paraId="5104973F" w14:textId="6662FB80" w:rsidR="000940DB" w:rsidRPr="001D2B4D" w:rsidRDefault="000940DB" w:rsidP="3F43E8F7">
      <w:pPr>
        <w:pStyle w:val="Heading5"/>
        <w:numPr>
          <w:ilvl w:val="4"/>
          <w:numId w:val="0"/>
        </w:numPr>
      </w:pPr>
      <w:r w:rsidRPr="6967B2CC">
        <w:t xml:space="preserve">FNLRS undertook its work in a culturally appropriate manner </w:t>
      </w:r>
      <w:r w:rsidR="00873C61" w:rsidRPr="6967B2CC">
        <w:t>but</w:t>
      </w:r>
      <w:r w:rsidR="007B1530" w:rsidRPr="6967B2CC">
        <w:t xml:space="preserve"> could</w:t>
      </w:r>
      <w:r w:rsidR="003D6FFE" w:rsidRPr="6967B2CC">
        <w:t xml:space="preserve"> </w:t>
      </w:r>
      <w:r w:rsidR="001D2B4D" w:rsidRPr="6967B2CC">
        <w:t>be doing more</w:t>
      </w:r>
      <w:r w:rsidR="00A156E5" w:rsidRPr="6967B2CC">
        <w:t xml:space="preserve"> </w:t>
      </w:r>
      <w:r w:rsidR="004F0A0C" w:rsidRPr="6967B2CC">
        <w:t>to</w:t>
      </w:r>
      <w:r w:rsidR="00873C61" w:rsidRPr="6967B2CC">
        <w:t xml:space="preserve"> </w:t>
      </w:r>
      <w:r w:rsidR="00DD2D7D" w:rsidRPr="6967B2CC">
        <w:t xml:space="preserve">draw on </w:t>
      </w:r>
      <w:r w:rsidR="001D2B4D" w:rsidRPr="6967B2CC">
        <w:t xml:space="preserve">the expertise of the CLO role </w:t>
      </w:r>
    </w:p>
    <w:p w14:paraId="4C0205B4" w14:textId="6B69262A" w:rsidR="00FD6D99" w:rsidRDefault="005460B0" w:rsidP="0090226E">
      <w:pPr>
        <w:rPr>
          <w:lang w:eastAsia="en-AU"/>
        </w:rPr>
      </w:pPr>
      <w:r>
        <w:rPr>
          <w:lang w:eastAsia="en-AU"/>
        </w:rPr>
        <w:t xml:space="preserve">There was </w:t>
      </w:r>
      <w:r w:rsidR="00E36D0C">
        <w:rPr>
          <w:lang w:eastAsia="en-AU"/>
        </w:rPr>
        <w:t>a consensus</w:t>
      </w:r>
      <w:r>
        <w:rPr>
          <w:lang w:eastAsia="en-AU"/>
        </w:rPr>
        <w:t xml:space="preserve"> </w:t>
      </w:r>
      <w:r w:rsidR="00321CB8">
        <w:rPr>
          <w:lang w:eastAsia="en-AU"/>
        </w:rPr>
        <w:t xml:space="preserve">among </w:t>
      </w:r>
      <w:r w:rsidR="00322FEA">
        <w:rPr>
          <w:lang w:eastAsia="en-AU"/>
        </w:rPr>
        <w:t>the</w:t>
      </w:r>
      <w:r w:rsidR="00321CB8">
        <w:rPr>
          <w:lang w:eastAsia="en-AU"/>
        </w:rPr>
        <w:t xml:space="preserve"> stakeholders consulted </w:t>
      </w:r>
      <w:r>
        <w:rPr>
          <w:lang w:eastAsia="en-AU"/>
        </w:rPr>
        <w:t xml:space="preserve">that </w:t>
      </w:r>
      <w:r w:rsidR="003F0C85">
        <w:rPr>
          <w:lang w:eastAsia="en-AU"/>
        </w:rPr>
        <w:t xml:space="preserve">FNLRS undertook its work in a culturally appropriate way during the Review period. </w:t>
      </w:r>
      <w:r w:rsidR="00352340">
        <w:rPr>
          <w:lang w:eastAsia="en-AU"/>
        </w:rPr>
        <w:t xml:space="preserve">Staff undertook cultural </w:t>
      </w:r>
      <w:r w:rsidR="009B01E0">
        <w:rPr>
          <w:lang w:eastAsia="en-AU"/>
        </w:rPr>
        <w:t>awareness</w:t>
      </w:r>
      <w:r w:rsidR="00352340">
        <w:rPr>
          <w:lang w:eastAsia="en-AU"/>
        </w:rPr>
        <w:t xml:space="preserve"> training when onboarding</w:t>
      </w:r>
      <w:r w:rsidR="005E49A0">
        <w:rPr>
          <w:lang w:eastAsia="en-AU"/>
        </w:rPr>
        <w:t xml:space="preserve"> and </w:t>
      </w:r>
      <w:r w:rsidR="001D6979">
        <w:rPr>
          <w:lang w:eastAsia="en-AU"/>
        </w:rPr>
        <w:t>participat</w:t>
      </w:r>
      <w:r w:rsidR="005E49A0">
        <w:rPr>
          <w:lang w:eastAsia="en-AU"/>
        </w:rPr>
        <w:t>ed</w:t>
      </w:r>
      <w:r w:rsidR="00512424">
        <w:rPr>
          <w:lang w:eastAsia="en-AU"/>
        </w:rPr>
        <w:t xml:space="preserve"> in cultural awareness activities and </w:t>
      </w:r>
      <w:r w:rsidR="001D6979">
        <w:rPr>
          <w:lang w:eastAsia="en-AU"/>
        </w:rPr>
        <w:t>workshops</w:t>
      </w:r>
      <w:r w:rsidR="00512424">
        <w:rPr>
          <w:lang w:eastAsia="en-AU"/>
        </w:rPr>
        <w:t xml:space="preserve"> during </w:t>
      </w:r>
      <w:r w:rsidR="00B778A1">
        <w:rPr>
          <w:lang w:eastAsia="en-AU"/>
        </w:rPr>
        <w:t>FNLRS’s</w:t>
      </w:r>
      <w:r w:rsidR="00512424">
        <w:rPr>
          <w:lang w:eastAsia="en-AU"/>
        </w:rPr>
        <w:t xml:space="preserve"> annual organisational training retreat. </w:t>
      </w:r>
      <w:r w:rsidR="00FC3D3D">
        <w:rPr>
          <w:lang w:eastAsia="en-AU"/>
        </w:rPr>
        <w:t xml:space="preserve">Several Traditional Owners interviewed as part of the Review commented that they had respect for FNLRS and that they believed that FNLRS really understood the native title landscape and worked well with their community. Most Traditional Owners who had participated in group meetings broadly reported that these were undertaken respectfully. </w:t>
      </w:r>
    </w:p>
    <w:p w14:paraId="2A763095" w14:textId="72C9590A" w:rsidR="00732BC3" w:rsidRDefault="00DA0FCA" w:rsidP="0090226E">
      <w:pPr>
        <w:rPr>
          <w:lang w:eastAsia="en-AU"/>
        </w:rPr>
      </w:pPr>
      <w:r>
        <w:rPr>
          <w:lang w:eastAsia="en-AU"/>
        </w:rPr>
        <w:t xml:space="preserve">FNLRS’s </w:t>
      </w:r>
      <w:r w:rsidR="00CD7E53">
        <w:rPr>
          <w:lang w:eastAsia="en-AU"/>
        </w:rPr>
        <w:t xml:space="preserve">two Aboriginal </w:t>
      </w:r>
      <w:r>
        <w:rPr>
          <w:lang w:eastAsia="en-AU"/>
        </w:rPr>
        <w:t xml:space="preserve">CLOs </w:t>
      </w:r>
      <w:r w:rsidR="001069BF">
        <w:rPr>
          <w:lang w:eastAsia="en-AU"/>
        </w:rPr>
        <w:t>were</w:t>
      </w:r>
      <w:r>
        <w:rPr>
          <w:lang w:eastAsia="en-AU"/>
        </w:rPr>
        <w:t xml:space="preserve"> </w:t>
      </w:r>
      <w:r w:rsidR="00DD31B6">
        <w:rPr>
          <w:lang w:eastAsia="en-AU"/>
        </w:rPr>
        <w:t xml:space="preserve">an important </w:t>
      </w:r>
      <w:r w:rsidR="00C24C34">
        <w:rPr>
          <w:lang w:eastAsia="en-AU"/>
        </w:rPr>
        <w:t>part of FNLRS</w:t>
      </w:r>
      <w:r w:rsidR="00CD7E53">
        <w:rPr>
          <w:lang w:eastAsia="en-AU"/>
        </w:rPr>
        <w:t xml:space="preserve">’s approach to ensuring they are working with community groups in a culturally appropriate and supportive way. </w:t>
      </w:r>
      <w:r w:rsidR="00C35478">
        <w:rPr>
          <w:lang w:eastAsia="en-AU"/>
        </w:rPr>
        <w:t>The</w:t>
      </w:r>
      <w:r w:rsidR="00CD7E53">
        <w:rPr>
          <w:lang w:eastAsia="en-AU"/>
        </w:rPr>
        <w:t xml:space="preserve"> CLO role </w:t>
      </w:r>
      <w:r w:rsidR="00C35478">
        <w:rPr>
          <w:lang w:eastAsia="en-AU"/>
        </w:rPr>
        <w:t>was</w:t>
      </w:r>
      <w:r w:rsidR="00C245A2">
        <w:rPr>
          <w:lang w:eastAsia="en-AU"/>
        </w:rPr>
        <w:t xml:space="preserve"> viewed as</w:t>
      </w:r>
      <w:r w:rsidR="00C35478">
        <w:rPr>
          <w:lang w:eastAsia="en-AU"/>
        </w:rPr>
        <w:t xml:space="preserve"> </w:t>
      </w:r>
      <w:r w:rsidR="008F2DAE">
        <w:rPr>
          <w:lang w:eastAsia="en-AU"/>
        </w:rPr>
        <w:t xml:space="preserve">critical </w:t>
      </w:r>
      <w:r w:rsidR="008F2DAE">
        <w:rPr>
          <w:lang w:eastAsia="en-AU"/>
        </w:rPr>
        <w:lastRenderedPageBreak/>
        <w:t>in</w:t>
      </w:r>
      <w:r w:rsidR="00077F6B">
        <w:rPr>
          <w:lang w:eastAsia="en-AU"/>
        </w:rPr>
        <w:t xml:space="preserve"> </w:t>
      </w:r>
      <w:r w:rsidR="00A733AA">
        <w:rPr>
          <w:lang w:eastAsia="en-AU"/>
        </w:rPr>
        <w:t xml:space="preserve">making warm introductions between family groups and other FNLRS staff including lawyers and </w:t>
      </w:r>
      <w:r w:rsidR="00783B34">
        <w:rPr>
          <w:lang w:eastAsia="en-AU"/>
        </w:rPr>
        <w:t>anthropologists</w:t>
      </w:r>
      <w:r w:rsidR="008F2DAE">
        <w:rPr>
          <w:lang w:eastAsia="en-AU"/>
        </w:rPr>
        <w:t xml:space="preserve">. </w:t>
      </w:r>
    </w:p>
    <w:p w14:paraId="5FDD3BA6" w14:textId="65EED713" w:rsidR="00D90B64" w:rsidRDefault="007D5708" w:rsidP="0090226E">
      <w:pPr>
        <w:rPr>
          <w:lang w:eastAsia="en-AU"/>
        </w:rPr>
      </w:pPr>
      <w:r>
        <w:rPr>
          <w:lang w:eastAsia="en-AU"/>
        </w:rPr>
        <w:t xml:space="preserve">Staff acknowledged that </w:t>
      </w:r>
      <w:r w:rsidR="00077498">
        <w:rPr>
          <w:lang w:eastAsia="en-AU"/>
        </w:rPr>
        <w:t xml:space="preserve">FNLRS </w:t>
      </w:r>
      <w:r w:rsidR="009617C4">
        <w:rPr>
          <w:lang w:eastAsia="en-AU"/>
        </w:rPr>
        <w:t>could be doing more to</w:t>
      </w:r>
      <w:r w:rsidR="001277D4">
        <w:rPr>
          <w:lang w:eastAsia="en-AU"/>
        </w:rPr>
        <w:t xml:space="preserve"> </w:t>
      </w:r>
      <w:r w:rsidR="009617C4">
        <w:rPr>
          <w:lang w:eastAsia="en-AU"/>
        </w:rPr>
        <w:t xml:space="preserve">expand the role of </w:t>
      </w:r>
      <w:r w:rsidR="005C7A7F">
        <w:rPr>
          <w:lang w:eastAsia="en-AU"/>
        </w:rPr>
        <w:t xml:space="preserve">the </w:t>
      </w:r>
      <w:r w:rsidR="00BE0CF0">
        <w:rPr>
          <w:lang w:eastAsia="en-AU"/>
        </w:rPr>
        <w:t>two</w:t>
      </w:r>
      <w:r w:rsidR="005C7A7F">
        <w:rPr>
          <w:lang w:eastAsia="en-AU"/>
        </w:rPr>
        <w:t xml:space="preserve"> CLOs to </w:t>
      </w:r>
      <w:r w:rsidR="0092390C">
        <w:rPr>
          <w:lang w:eastAsia="en-AU"/>
        </w:rPr>
        <w:t xml:space="preserve">better </w:t>
      </w:r>
      <w:r w:rsidR="00077498">
        <w:rPr>
          <w:lang w:eastAsia="en-AU"/>
        </w:rPr>
        <w:t>leverage their skills</w:t>
      </w:r>
      <w:r w:rsidR="0092390C">
        <w:rPr>
          <w:lang w:eastAsia="en-AU"/>
        </w:rPr>
        <w:t xml:space="preserve"> and deep cultural expertise</w:t>
      </w:r>
      <w:r w:rsidR="001B1251">
        <w:rPr>
          <w:lang w:eastAsia="en-AU"/>
        </w:rPr>
        <w:t xml:space="preserve">. </w:t>
      </w:r>
      <w:r w:rsidR="008820E1">
        <w:rPr>
          <w:lang w:eastAsia="en-AU"/>
        </w:rPr>
        <w:t>During the Review period,</w:t>
      </w:r>
      <w:r w:rsidR="001B1251">
        <w:rPr>
          <w:lang w:eastAsia="en-AU"/>
        </w:rPr>
        <w:t xml:space="preserve"> the CLO role </w:t>
      </w:r>
      <w:r w:rsidR="008820E1">
        <w:rPr>
          <w:lang w:eastAsia="en-AU"/>
        </w:rPr>
        <w:t>was</w:t>
      </w:r>
      <w:r w:rsidR="0092390C">
        <w:rPr>
          <w:lang w:eastAsia="en-AU"/>
        </w:rPr>
        <w:t xml:space="preserve"> relatively administrative</w:t>
      </w:r>
      <w:r w:rsidR="0019125B">
        <w:rPr>
          <w:lang w:eastAsia="en-AU"/>
        </w:rPr>
        <w:t>;</w:t>
      </w:r>
      <w:r w:rsidR="004B04C9">
        <w:rPr>
          <w:lang w:eastAsia="en-AU"/>
        </w:rPr>
        <w:t xml:space="preserve"> for example,</w:t>
      </w:r>
      <w:r w:rsidR="00C30D82">
        <w:rPr>
          <w:lang w:eastAsia="en-AU"/>
        </w:rPr>
        <w:t xml:space="preserve"> </w:t>
      </w:r>
      <w:r w:rsidR="003F55F9">
        <w:rPr>
          <w:lang w:eastAsia="en-AU"/>
        </w:rPr>
        <w:t>helping</w:t>
      </w:r>
      <w:r w:rsidR="00E93B6E">
        <w:rPr>
          <w:lang w:eastAsia="en-AU"/>
        </w:rPr>
        <w:t xml:space="preserve"> to organise claim group meetings and travel arrangements for Traditional Owners. </w:t>
      </w:r>
      <w:r w:rsidR="00C30D82">
        <w:rPr>
          <w:lang w:eastAsia="en-AU"/>
        </w:rPr>
        <w:t xml:space="preserve">Staff </w:t>
      </w:r>
      <w:r w:rsidR="00322FEA">
        <w:rPr>
          <w:lang w:eastAsia="en-AU"/>
        </w:rPr>
        <w:t>suggested</w:t>
      </w:r>
      <w:r w:rsidR="00C30D82">
        <w:rPr>
          <w:lang w:eastAsia="en-AU"/>
        </w:rPr>
        <w:t xml:space="preserve"> that</w:t>
      </w:r>
      <w:r w:rsidR="00FC3D3D">
        <w:rPr>
          <w:lang w:eastAsia="en-AU"/>
        </w:rPr>
        <w:t xml:space="preserve"> in the future the CLO role could play a much bigger part in </w:t>
      </w:r>
      <w:r w:rsidR="00C30D82">
        <w:rPr>
          <w:lang w:eastAsia="en-AU"/>
        </w:rPr>
        <w:t>helping</w:t>
      </w:r>
      <w:r w:rsidR="00FC3D3D">
        <w:rPr>
          <w:lang w:eastAsia="en-AU"/>
        </w:rPr>
        <w:t xml:space="preserve"> to work with the community to </w:t>
      </w:r>
      <w:r w:rsidR="00487881">
        <w:rPr>
          <w:lang w:eastAsia="en-AU"/>
        </w:rPr>
        <w:t>build trusting relationships</w:t>
      </w:r>
      <w:r w:rsidR="004D67FD">
        <w:rPr>
          <w:lang w:eastAsia="en-AU"/>
        </w:rPr>
        <w:t>,</w:t>
      </w:r>
      <w:r w:rsidR="00487881">
        <w:rPr>
          <w:lang w:eastAsia="en-AU"/>
        </w:rPr>
        <w:t xml:space="preserve"> </w:t>
      </w:r>
      <w:r w:rsidR="00FC3D3D">
        <w:rPr>
          <w:lang w:eastAsia="en-AU"/>
        </w:rPr>
        <w:t>achieve outcomes and to raise the profile of FNLRS in the community.</w:t>
      </w:r>
    </w:p>
    <w:p w14:paraId="4B0D1705" w14:textId="589C0530" w:rsidR="00783B34" w:rsidRDefault="00123421" w:rsidP="0090226E">
      <w:pPr>
        <w:rPr>
          <w:lang w:eastAsia="en-AU"/>
        </w:rPr>
      </w:pPr>
      <w:r>
        <w:rPr>
          <w:lang w:eastAsia="en-AU"/>
        </w:rPr>
        <w:t>The Review</w:t>
      </w:r>
      <w:r w:rsidDel="0019125B">
        <w:rPr>
          <w:lang w:eastAsia="en-AU"/>
        </w:rPr>
        <w:t xml:space="preserve"> </w:t>
      </w:r>
      <w:r w:rsidR="0019125B">
        <w:rPr>
          <w:lang w:eastAsia="en-AU"/>
        </w:rPr>
        <w:t xml:space="preserve">encourages FNLRS </w:t>
      </w:r>
      <w:r>
        <w:rPr>
          <w:lang w:eastAsia="en-AU"/>
        </w:rPr>
        <w:t>to</w:t>
      </w:r>
      <w:r w:rsidR="0019125B">
        <w:rPr>
          <w:lang w:eastAsia="en-AU"/>
        </w:rPr>
        <w:t xml:space="preserve"> </w:t>
      </w:r>
      <w:r w:rsidR="00543525">
        <w:rPr>
          <w:lang w:eastAsia="en-AU"/>
        </w:rPr>
        <w:t>expand</w:t>
      </w:r>
      <w:r w:rsidR="00654297">
        <w:rPr>
          <w:lang w:eastAsia="en-AU"/>
        </w:rPr>
        <w:t xml:space="preserve"> current </w:t>
      </w:r>
      <w:r w:rsidR="006D2BA6">
        <w:rPr>
          <w:lang w:eastAsia="en-AU"/>
        </w:rPr>
        <w:t>efforts</w:t>
      </w:r>
      <w:r w:rsidR="00654297">
        <w:rPr>
          <w:lang w:eastAsia="en-AU"/>
        </w:rPr>
        <w:t xml:space="preserve"> to reshape the role</w:t>
      </w:r>
      <w:r w:rsidR="00E41166">
        <w:rPr>
          <w:lang w:eastAsia="en-AU"/>
        </w:rPr>
        <w:t xml:space="preserve"> to</w:t>
      </w:r>
      <w:r w:rsidDel="008C16C3">
        <w:rPr>
          <w:lang w:eastAsia="en-AU"/>
        </w:rPr>
        <w:t xml:space="preserve"> </w:t>
      </w:r>
      <w:r w:rsidR="0021082E">
        <w:rPr>
          <w:lang w:eastAsia="en-AU"/>
        </w:rPr>
        <w:t xml:space="preserve">better </w:t>
      </w:r>
      <w:r w:rsidR="00E16912">
        <w:rPr>
          <w:lang w:eastAsia="en-AU"/>
        </w:rPr>
        <w:t xml:space="preserve">use the expertise of the CLO </w:t>
      </w:r>
      <w:r w:rsidR="0021082E">
        <w:rPr>
          <w:lang w:eastAsia="en-AU"/>
        </w:rPr>
        <w:t>in community building activities</w:t>
      </w:r>
      <w:r w:rsidR="00392103">
        <w:rPr>
          <w:lang w:eastAsia="en-AU"/>
        </w:rPr>
        <w:t>.</w:t>
      </w:r>
      <w:r w:rsidR="00FB3542">
        <w:rPr>
          <w:lang w:eastAsia="en-AU"/>
        </w:rPr>
        <w:t xml:space="preserve"> </w:t>
      </w:r>
      <w:r w:rsidR="00392103">
        <w:rPr>
          <w:lang w:eastAsia="en-AU"/>
        </w:rPr>
        <w:t>T</w:t>
      </w:r>
      <w:r w:rsidR="00FB3542">
        <w:rPr>
          <w:lang w:eastAsia="en-AU"/>
        </w:rPr>
        <w:t xml:space="preserve">his seems to be one of the </w:t>
      </w:r>
      <w:r w:rsidR="00FD1734">
        <w:rPr>
          <w:lang w:eastAsia="en-AU"/>
        </w:rPr>
        <w:t xml:space="preserve">primary </w:t>
      </w:r>
      <w:r w:rsidR="005D0308">
        <w:rPr>
          <w:lang w:eastAsia="en-AU"/>
        </w:rPr>
        <w:t xml:space="preserve">efforts needed in the remaining areas that have </w:t>
      </w:r>
      <w:r w:rsidR="00A74574">
        <w:rPr>
          <w:lang w:eastAsia="en-AU"/>
        </w:rPr>
        <w:t xml:space="preserve">complex family dynamics and have </w:t>
      </w:r>
      <w:r w:rsidR="005D0308">
        <w:rPr>
          <w:lang w:eastAsia="en-AU"/>
        </w:rPr>
        <w:t xml:space="preserve">not </w:t>
      </w:r>
      <w:r w:rsidR="00ED6EC4">
        <w:rPr>
          <w:lang w:eastAsia="en-AU"/>
        </w:rPr>
        <w:t>y</w:t>
      </w:r>
      <w:r w:rsidR="005D0308">
        <w:rPr>
          <w:lang w:eastAsia="en-AU"/>
        </w:rPr>
        <w:t>et achieved a native title determination</w:t>
      </w:r>
      <w:r w:rsidR="0021082E">
        <w:rPr>
          <w:lang w:eastAsia="en-AU"/>
        </w:rPr>
        <w:t>.</w:t>
      </w:r>
      <w:r w:rsidR="00DA780B">
        <w:rPr>
          <w:lang w:eastAsia="en-AU"/>
        </w:rPr>
        <w:t xml:space="preserve"> </w:t>
      </w:r>
      <w:r w:rsidR="00BA6AC0">
        <w:rPr>
          <w:lang w:eastAsia="en-AU"/>
        </w:rPr>
        <w:t xml:space="preserve">Staff </w:t>
      </w:r>
      <w:r w:rsidR="00322FEA">
        <w:rPr>
          <w:lang w:eastAsia="en-AU"/>
        </w:rPr>
        <w:t>supported</w:t>
      </w:r>
      <w:r w:rsidR="00BA6AC0">
        <w:rPr>
          <w:lang w:eastAsia="en-AU"/>
        </w:rPr>
        <w:t xml:space="preserve"> CLOs </w:t>
      </w:r>
      <w:r w:rsidR="00D937C1">
        <w:rPr>
          <w:lang w:eastAsia="en-AU"/>
        </w:rPr>
        <w:t>playing</w:t>
      </w:r>
      <w:r w:rsidR="00322FEA">
        <w:rPr>
          <w:lang w:eastAsia="en-AU"/>
        </w:rPr>
        <w:t xml:space="preserve"> more</w:t>
      </w:r>
      <w:r w:rsidR="005D4AF3">
        <w:rPr>
          <w:lang w:eastAsia="en-AU"/>
        </w:rPr>
        <w:t xml:space="preserve"> of a role to educate family groups as to what types of formal recognition are and the processes to achieve these </w:t>
      </w:r>
      <w:r w:rsidR="00AC3025">
        <w:rPr>
          <w:lang w:eastAsia="en-AU"/>
        </w:rPr>
        <w:t>forms of recognition.</w:t>
      </w:r>
      <w:r w:rsidR="0021082E">
        <w:rPr>
          <w:lang w:eastAsia="en-AU"/>
        </w:rPr>
        <w:t xml:space="preserve"> The Review understands that FNLRS is currently exploring how it can </w:t>
      </w:r>
      <w:r w:rsidR="005D4281">
        <w:rPr>
          <w:lang w:eastAsia="en-AU"/>
        </w:rPr>
        <w:t>evolve</w:t>
      </w:r>
      <w:r w:rsidR="0021082E">
        <w:rPr>
          <w:lang w:eastAsia="en-AU"/>
        </w:rPr>
        <w:t xml:space="preserve"> the role of the CLO</w:t>
      </w:r>
      <w:r w:rsidR="00C023D4">
        <w:rPr>
          <w:lang w:eastAsia="en-AU"/>
        </w:rPr>
        <w:t xml:space="preserve"> </w:t>
      </w:r>
      <w:r w:rsidR="00A74574">
        <w:rPr>
          <w:lang w:eastAsia="en-AU"/>
        </w:rPr>
        <w:t>in the future</w:t>
      </w:r>
      <w:r w:rsidR="00547CF2">
        <w:rPr>
          <w:lang w:eastAsia="en-AU"/>
        </w:rPr>
        <w:t xml:space="preserve"> to </w:t>
      </w:r>
      <w:r w:rsidR="008D4F43">
        <w:rPr>
          <w:lang w:eastAsia="en-AU"/>
        </w:rPr>
        <w:t xml:space="preserve">have more responsibilities and </w:t>
      </w:r>
      <w:r w:rsidR="00547CF2">
        <w:rPr>
          <w:lang w:eastAsia="en-AU"/>
        </w:rPr>
        <w:t xml:space="preserve">work more closely with communities. </w:t>
      </w:r>
    </w:p>
    <w:p w14:paraId="1FC3562E" w14:textId="77777777" w:rsidR="00046737" w:rsidRDefault="00046737" w:rsidP="00046737">
      <w:pPr>
        <w:pStyle w:val="Heading4"/>
      </w:pPr>
      <w:r w:rsidRPr="00046737">
        <w:t>Complaints</w:t>
      </w:r>
    </w:p>
    <w:p w14:paraId="3C73FB57" w14:textId="135557A4" w:rsidR="00E7548F" w:rsidRPr="001B619E" w:rsidRDefault="00D909BC" w:rsidP="00ED6EC4">
      <w:pPr>
        <w:pStyle w:val="Heading5"/>
      </w:pPr>
      <w:r w:rsidRPr="001B619E">
        <w:t xml:space="preserve">FNLRS received no complaints during the </w:t>
      </w:r>
      <w:r w:rsidR="00442AF7">
        <w:t>R</w:t>
      </w:r>
      <w:r w:rsidRPr="001B619E">
        <w:t xml:space="preserve">eview period </w:t>
      </w:r>
    </w:p>
    <w:p w14:paraId="182D572D" w14:textId="7C8F4540" w:rsidR="00986C72" w:rsidRDefault="00524DA3" w:rsidP="001E1D2D">
      <w:pPr>
        <w:rPr>
          <w:lang w:eastAsia="en-AU"/>
        </w:rPr>
      </w:pPr>
      <w:r>
        <w:rPr>
          <w:lang w:eastAsia="en-AU"/>
        </w:rPr>
        <w:t>FNLRS has a clear</w:t>
      </w:r>
      <w:r w:rsidR="0097542E">
        <w:rPr>
          <w:lang w:eastAsia="en-AU"/>
        </w:rPr>
        <w:t xml:space="preserve"> Handling of Complaints Policy in its Policies and Procedures Manual. This policy is available on </w:t>
      </w:r>
      <w:r w:rsidR="00B778A1">
        <w:rPr>
          <w:lang w:eastAsia="en-AU"/>
        </w:rPr>
        <w:t>FNLRS’s</w:t>
      </w:r>
      <w:r w:rsidR="0097542E">
        <w:rPr>
          <w:lang w:eastAsia="en-AU"/>
        </w:rPr>
        <w:t xml:space="preserve"> website. The policy </w:t>
      </w:r>
      <w:r w:rsidR="008D2BD4">
        <w:rPr>
          <w:lang w:eastAsia="en-AU"/>
        </w:rPr>
        <w:t xml:space="preserve">outlines the process </w:t>
      </w:r>
      <w:r w:rsidR="00E7548F">
        <w:rPr>
          <w:lang w:eastAsia="en-AU"/>
        </w:rPr>
        <w:t>undertaken</w:t>
      </w:r>
      <w:r w:rsidR="00B72477">
        <w:rPr>
          <w:lang w:eastAsia="en-AU"/>
        </w:rPr>
        <w:t xml:space="preserve"> by FNLRS</w:t>
      </w:r>
      <w:r w:rsidR="00E7548F">
        <w:rPr>
          <w:lang w:eastAsia="en-AU"/>
        </w:rPr>
        <w:t xml:space="preserve"> to receive and respond to complaints. There were no formal complaints made during the Review period. </w:t>
      </w:r>
      <w:r w:rsidR="00697B9A">
        <w:rPr>
          <w:lang w:eastAsia="en-AU"/>
        </w:rPr>
        <w:t xml:space="preserve">FNLRS did not </w:t>
      </w:r>
      <w:r w:rsidR="00E3685D">
        <w:rPr>
          <w:lang w:eastAsia="en-AU"/>
        </w:rPr>
        <w:t>provide any documentation or record of</w:t>
      </w:r>
      <w:r w:rsidR="00697B9A">
        <w:rPr>
          <w:lang w:eastAsia="en-AU"/>
        </w:rPr>
        <w:t xml:space="preserve"> any informal complaints made </w:t>
      </w:r>
      <w:r w:rsidR="00E3685D">
        <w:rPr>
          <w:lang w:eastAsia="en-AU"/>
        </w:rPr>
        <w:t>to the Review</w:t>
      </w:r>
      <w:r w:rsidR="00697B9A">
        <w:rPr>
          <w:lang w:eastAsia="en-AU"/>
        </w:rPr>
        <w:t>.</w:t>
      </w:r>
      <w:r w:rsidR="00C1569A">
        <w:rPr>
          <w:lang w:eastAsia="en-AU"/>
        </w:rPr>
        <w:t xml:space="preserve"> When asked whether any recording of this information existed, FNLRS reported that they did not capture</w:t>
      </w:r>
      <w:r w:rsidR="002E3C32">
        <w:rPr>
          <w:lang w:eastAsia="en-AU"/>
        </w:rPr>
        <w:t xml:space="preserve"> and </w:t>
      </w:r>
      <w:r w:rsidR="00C1569A">
        <w:rPr>
          <w:lang w:eastAsia="en-AU"/>
        </w:rPr>
        <w:t>monitor this feedback in a systematic way.</w:t>
      </w:r>
      <w:r w:rsidR="00697B9A">
        <w:rPr>
          <w:lang w:eastAsia="en-AU"/>
        </w:rPr>
        <w:t xml:space="preserve"> </w:t>
      </w:r>
      <w:r w:rsidR="007E55FF">
        <w:rPr>
          <w:lang w:eastAsia="en-AU"/>
        </w:rPr>
        <w:t xml:space="preserve">The Review therefore believes that </w:t>
      </w:r>
      <w:r w:rsidR="00C7464C">
        <w:rPr>
          <w:lang w:eastAsia="en-AU"/>
        </w:rPr>
        <w:t>FNLRS could improve the way it collects</w:t>
      </w:r>
      <w:r w:rsidR="00CD7C43">
        <w:rPr>
          <w:lang w:eastAsia="en-AU"/>
        </w:rPr>
        <w:t>,</w:t>
      </w:r>
      <w:r w:rsidR="00C7464C">
        <w:rPr>
          <w:lang w:eastAsia="en-AU"/>
        </w:rPr>
        <w:t xml:space="preserve"> </w:t>
      </w:r>
      <w:r w:rsidR="00662E95">
        <w:rPr>
          <w:lang w:eastAsia="en-AU"/>
        </w:rPr>
        <w:t>monitors</w:t>
      </w:r>
      <w:r w:rsidR="00C7464C">
        <w:rPr>
          <w:lang w:eastAsia="en-AU"/>
        </w:rPr>
        <w:t xml:space="preserve"> and </w:t>
      </w:r>
      <w:r w:rsidR="00D029F8">
        <w:rPr>
          <w:lang w:eastAsia="en-AU"/>
        </w:rPr>
        <w:t>responds to</w:t>
      </w:r>
      <w:r w:rsidR="00C7464C">
        <w:rPr>
          <w:lang w:eastAsia="en-AU"/>
        </w:rPr>
        <w:t xml:space="preserve"> this information. </w:t>
      </w:r>
    </w:p>
    <w:p w14:paraId="0FC64784" w14:textId="756291C8" w:rsidR="00E7548F" w:rsidRPr="001E1D2D" w:rsidRDefault="00C7464C" w:rsidP="001E1D2D">
      <w:pPr>
        <w:rPr>
          <w:lang w:eastAsia="en-AU"/>
        </w:rPr>
      </w:pPr>
      <w:r>
        <w:rPr>
          <w:lang w:eastAsia="en-AU"/>
        </w:rPr>
        <w:t>Throughout</w:t>
      </w:r>
      <w:r w:rsidR="00CA2438">
        <w:rPr>
          <w:lang w:eastAsia="en-AU"/>
        </w:rPr>
        <w:t xml:space="preserve"> the interviews, the Review heard </w:t>
      </w:r>
      <w:r w:rsidR="00A85FEE">
        <w:rPr>
          <w:lang w:eastAsia="en-AU"/>
        </w:rPr>
        <w:t>several</w:t>
      </w:r>
      <w:r w:rsidR="00CA2438">
        <w:rPr>
          <w:lang w:eastAsia="en-AU"/>
        </w:rPr>
        <w:t xml:space="preserve"> instances where Traditional Owners </w:t>
      </w:r>
      <w:r w:rsidR="008157B1">
        <w:rPr>
          <w:lang w:eastAsia="en-AU"/>
        </w:rPr>
        <w:t xml:space="preserve">and the lawyers </w:t>
      </w:r>
      <w:r w:rsidR="00087A54">
        <w:rPr>
          <w:lang w:eastAsia="en-AU"/>
        </w:rPr>
        <w:t>who</w:t>
      </w:r>
      <w:r w:rsidR="008157B1">
        <w:rPr>
          <w:lang w:eastAsia="en-AU"/>
        </w:rPr>
        <w:t xml:space="preserve"> represent</w:t>
      </w:r>
      <w:r w:rsidR="001E596B">
        <w:rPr>
          <w:lang w:eastAsia="en-AU"/>
        </w:rPr>
        <w:t>ed</w:t>
      </w:r>
      <w:r w:rsidR="008157B1">
        <w:rPr>
          <w:lang w:eastAsia="en-AU"/>
        </w:rPr>
        <w:t xml:space="preserve"> them</w:t>
      </w:r>
      <w:r w:rsidR="00CA2438">
        <w:rPr>
          <w:lang w:eastAsia="en-AU"/>
        </w:rPr>
        <w:t xml:space="preserve"> were not happy with the </w:t>
      </w:r>
      <w:r w:rsidR="00E3525C">
        <w:rPr>
          <w:lang w:eastAsia="en-AU"/>
        </w:rPr>
        <w:t>approach</w:t>
      </w:r>
      <w:r w:rsidR="00CA2438">
        <w:rPr>
          <w:lang w:eastAsia="en-AU"/>
        </w:rPr>
        <w:t xml:space="preserve"> of FNLRS. </w:t>
      </w:r>
      <w:r w:rsidR="00224128">
        <w:rPr>
          <w:lang w:eastAsia="en-AU"/>
        </w:rPr>
        <w:t xml:space="preserve">As the Strategic Review </w:t>
      </w:r>
      <w:r w:rsidR="00927089">
        <w:rPr>
          <w:lang w:eastAsia="en-AU"/>
        </w:rPr>
        <w:t>found</w:t>
      </w:r>
      <w:r w:rsidR="00224128">
        <w:rPr>
          <w:lang w:eastAsia="en-AU"/>
        </w:rPr>
        <w:t xml:space="preserve">, there </w:t>
      </w:r>
      <w:r w:rsidR="001E596B">
        <w:rPr>
          <w:lang w:eastAsia="en-AU"/>
        </w:rPr>
        <w:t xml:space="preserve">were </w:t>
      </w:r>
      <w:r w:rsidR="00224128">
        <w:rPr>
          <w:lang w:eastAsia="en-AU"/>
        </w:rPr>
        <w:t xml:space="preserve">several Traditional Owner groups who have </w:t>
      </w:r>
      <w:r w:rsidR="008157B1">
        <w:rPr>
          <w:lang w:eastAsia="en-AU"/>
        </w:rPr>
        <w:t>“</w:t>
      </w:r>
      <w:r w:rsidR="00224128">
        <w:rPr>
          <w:lang w:eastAsia="en-AU"/>
        </w:rPr>
        <w:t xml:space="preserve">high levels of institutional </w:t>
      </w:r>
      <w:r w:rsidR="00053ADE">
        <w:rPr>
          <w:lang w:eastAsia="en-AU"/>
        </w:rPr>
        <w:t>distrust</w:t>
      </w:r>
      <w:r w:rsidR="00224128">
        <w:rPr>
          <w:lang w:eastAsia="en-AU"/>
        </w:rPr>
        <w:t xml:space="preserve"> and reputational issues</w:t>
      </w:r>
      <w:r w:rsidR="008157B1">
        <w:rPr>
          <w:lang w:eastAsia="en-AU"/>
        </w:rPr>
        <w:t>”</w:t>
      </w:r>
      <w:r w:rsidR="008157B1">
        <w:rPr>
          <w:rStyle w:val="FootnoteReference"/>
          <w:lang w:eastAsia="en-AU"/>
        </w:rPr>
        <w:footnoteReference w:id="22"/>
      </w:r>
      <w:r w:rsidR="00224128">
        <w:rPr>
          <w:lang w:eastAsia="en-AU"/>
        </w:rPr>
        <w:t xml:space="preserve"> with FNLRS, who </w:t>
      </w:r>
      <w:r w:rsidR="00FF1853">
        <w:rPr>
          <w:lang w:eastAsia="en-AU"/>
        </w:rPr>
        <w:t xml:space="preserve">were </w:t>
      </w:r>
      <w:r w:rsidR="00224128">
        <w:rPr>
          <w:lang w:eastAsia="en-AU"/>
        </w:rPr>
        <w:t>in active legal disp</w:t>
      </w:r>
      <w:r w:rsidR="00986C72">
        <w:rPr>
          <w:lang w:eastAsia="en-AU"/>
        </w:rPr>
        <w:t xml:space="preserve">utes about the </w:t>
      </w:r>
      <w:r w:rsidR="00053ADE">
        <w:rPr>
          <w:lang w:eastAsia="en-AU"/>
        </w:rPr>
        <w:t>findings</w:t>
      </w:r>
      <w:r w:rsidR="00986C72">
        <w:rPr>
          <w:lang w:eastAsia="en-AU"/>
        </w:rPr>
        <w:t xml:space="preserve"> of </w:t>
      </w:r>
      <w:r w:rsidR="00B778A1">
        <w:rPr>
          <w:lang w:eastAsia="en-AU"/>
        </w:rPr>
        <w:t>FNLRS’s</w:t>
      </w:r>
      <w:r w:rsidR="00986C72">
        <w:rPr>
          <w:lang w:eastAsia="en-AU"/>
        </w:rPr>
        <w:t xml:space="preserve"> research. </w:t>
      </w:r>
      <w:r w:rsidR="00053ADE">
        <w:rPr>
          <w:lang w:eastAsia="en-AU"/>
        </w:rPr>
        <w:t xml:space="preserve">While these groups </w:t>
      </w:r>
      <w:r w:rsidR="00FF1853">
        <w:rPr>
          <w:lang w:eastAsia="en-AU"/>
        </w:rPr>
        <w:t xml:space="preserve">did </w:t>
      </w:r>
      <w:r w:rsidR="00053ADE">
        <w:rPr>
          <w:lang w:eastAsia="en-AU"/>
        </w:rPr>
        <w:t>not ma</w:t>
      </w:r>
      <w:r w:rsidR="00FF1853">
        <w:rPr>
          <w:lang w:eastAsia="en-AU"/>
        </w:rPr>
        <w:t>k</w:t>
      </w:r>
      <w:r w:rsidR="00053ADE">
        <w:rPr>
          <w:lang w:eastAsia="en-AU"/>
        </w:rPr>
        <w:t>e formal complaints per s</w:t>
      </w:r>
      <w:r w:rsidR="00AC35DC">
        <w:rPr>
          <w:lang w:eastAsia="en-AU"/>
        </w:rPr>
        <w:t>e</w:t>
      </w:r>
      <w:r w:rsidR="00053ADE">
        <w:rPr>
          <w:lang w:eastAsia="en-AU"/>
        </w:rPr>
        <w:t xml:space="preserve">, </w:t>
      </w:r>
      <w:r w:rsidR="00FF1111">
        <w:rPr>
          <w:lang w:eastAsia="en-AU"/>
        </w:rPr>
        <w:t xml:space="preserve">there </w:t>
      </w:r>
      <w:r w:rsidR="00FF1853">
        <w:rPr>
          <w:lang w:eastAsia="en-AU"/>
        </w:rPr>
        <w:t xml:space="preserve">were </w:t>
      </w:r>
      <w:r w:rsidR="00FF1111">
        <w:rPr>
          <w:lang w:eastAsia="en-AU"/>
        </w:rPr>
        <w:t xml:space="preserve">some groups who </w:t>
      </w:r>
      <w:r w:rsidR="00FF1853">
        <w:rPr>
          <w:lang w:eastAsia="en-AU"/>
        </w:rPr>
        <w:t>d</w:t>
      </w:r>
      <w:r w:rsidR="00072710">
        <w:rPr>
          <w:lang w:eastAsia="en-AU"/>
        </w:rPr>
        <w:t>id</w:t>
      </w:r>
      <w:r w:rsidR="00FF1853">
        <w:rPr>
          <w:lang w:eastAsia="en-AU"/>
        </w:rPr>
        <w:t xml:space="preserve"> </w:t>
      </w:r>
      <w:r w:rsidR="00FF1111">
        <w:rPr>
          <w:lang w:eastAsia="en-AU"/>
        </w:rPr>
        <w:t xml:space="preserve">not engage with FNLRS. </w:t>
      </w:r>
      <w:r w:rsidR="00BE464D">
        <w:rPr>
          <w:lang w:eastAsia="en-AU"/>
        </w:rPr>
        <w:t>FNLRS reported that many of these</w:t>
      </w:r>
      <w:r w:rsidR="00CA2438">
        <w:rPr>
          <w:lang w:eastAsia="en-AU"/>
        </w:rPr>
        <w:t xml:space="preserve"> cases </w:t>
      </w:r>
      <w:r w:rsidR="0067632D">
        <w:rPr>
          <w:lang w:eastAsia="en-AU"/>
        </w:rPr>
        <w:t>had been</w:t>
      </w:r>
      <w:r w:rsidR="00CA2438">
        <w:rPr>
          <w:lang w:eastAsia="en-AU"/>
        </w:rPr>
        <w:t xml:space="preserve"> directly raised with the CEO and responded to. </w:t>
      </w:r>
      <w:r w:rsidR="00543525">
        <w:rPr>
          <w:lang w:eastAsia="en-AU"/>
        </w:rPr>
        <w:t xml:space="preserve">FNLRS also </w:t>
      </w:r>
      <w:r w:rsidR="00DA1803">
        <w:rPr>
          <w:lang w:eastAsia="en-AU"/>
        </w:rPr>
        <w:t>noted</w:t>
      </w:r>
      <w:r w:rsidR="005A7173">
        <w:rPr>
          <w:lang w:eastAsia="en-AU"/>
        </w:rPr>
        <w:t xml:space="preserve"> that </w:t>
      </w:r>
      <w:r w:rsidR="00DA1803">
        <w:rPr>
          <w:lang w:eastAsia="en-AU"/>
        </w:rPr>
        <w:t>it</w:t>
      </w:r>
      <w:r w:rsidR="005A7173">
        <w:rPr>
          <w:lang w:eastAsia="en-AU"/>
        </w:rPr>
        <w:t xml:space="preserve"> continue</w:t>
      </w:r>
      <w:r w:rsidR="00B4280D">
        <w:rPr>
          <w:lang w:eastAsia="en-AU"/>
        </w:rPr>
        <w:t>d</w:t>
      </w:r>
      <w:r w:rsidR="005A7173">
        <w:rPr>
          <w:lang w:eastAsia="en-AU"/>
        </w:rPr>
        <w:t xml:space="preserve"> to offer dispute resolution services</w:t>
      </w:r>
      <w:r w:rsidR="00B4280D">
        <w:rPr>
          <w:lang w:eastAsia="en-AU"/>
        </w:rPr>
        <w:t xml:space="preserve"> (</w:t>
      </w:r>
      <w:r w:rsidR="003E0180">
        <w:rPr>
          <w:lang w:eastAsia="en-AU"/>
        </w:rPr>
        <w:t>for example,</w:t>
      </w:r>
      <w:r w:rsidR="00B4280D">
        <w:rPr>
          <w:lang w:eastAsia="en-AU"/>
        </w:rPr>
        <w:t xml:space="preserve"> </w:t>
      </w:r>
      <w:r w:rsidR="005A7173">
        <w:rPr>
          <w:lang w:eastAsia="en-AU"/>
        </w:rPr>
        <w:t xml:space="preserve">funding for </w:t>
      </w:r>
      <w:r w:rsidR="00B4280D">
        <w:rPr>
          <w:lang w:eastAsia="en-AU"/>
        </w:rPr>
        <w:t xml:space="preserve">independent mediation and facilitation) despite distrust and reluctance to engage with </w:t>
      </w:r>
      <w:r w:rsidR="00D9641B">
        <w:rPr>
          <w:lang w:eastAsia="en-AU"/>
        </w:rPr>
        <w:t>FNLRS.</w:t>
      </w:r>
    </w:p>
    <w:p w14:paraId="23CDF489" w14:textId="77777777" w:rsidR="00046737" w:rsidRDefault="00046737" w:rsidP="00046737">
      <w:pPr>
        <w:pStyle w:val="Heading4"/>
      </w:pPr>
      <w:r w:rsidRPr="00046737">
        <w:t>Internal review</w:t>
      </w:r>
    </w:p>
    <w:p w14:paraId="08F64546" w14:textId="6AEFC1E8" w:rsidR="006622D7" w:rsidRPr="006622D7" w:rsidRDefault="006622D7" w:rsidP="006622D7">
      <w:pPr>
        <w:rPr>
          <w:lang w:eastAsia="en-AU"/>
        </w:rPr>
      </w:pPr>
      <w:r>
        <w:rPr>
          <w:lang w:eastAsia="en-AU"/>
        </w:rPr>
        <w:t>FNLRS received</w:t>
      </w:r>
      <w:r w:rsidRPr="006622D7">
        <w:rPr>
          <w:lang w:eastAsia="en-AU"/>
        </w:rPr>
        <w:t xml:space="preserve"> one internal review request </w:t>
      </w:r>
      <w:r w:rsidR="00237660">
        <w:rPr>
          <w:lang w:eastAsia="en-AU"/>
        </w:rPr>
        <w:t xml:space="preserve">– </w:t>
      </w:r>
      <w:proofErr w:type="spellStart"/>
      <w:r w:rsidRPr="006622D7">
        <w:rPr>
          <w:lang w:eastAsia="en-AU"/>
        </w:rPr>
        <w:t>Gundijtmara</w:t>
      </w:r>
      <w:proofErr w:type="spellEnd"/>
      <w:r w:rsidRPr="006622D7">
        <w:rPr>
          <w:lang w:eastAsia="en-AU"/>
        </w:rPr>
        <w:t xml:space="preserve"> as respondents to the Eastern Maar claim. The internal review upheld </w:t>
      </w:r>
      <w:r w:rsidR="00A72B06">
        <w:rPr>
          <w:lang w:eastAsia="en-AU"/>
        </w:rPr>
        <w:t>the CEO’s</w:t>
      </w:r>
      <w:r w:rsidRPr="006622D7">
        <w:rPr>
          <w:lang w:eastAsia="en-AU"/>
        </w:rPr>
        <w:t xml:space="preserve"> decision to not grant assistance. No further review rights were pursued.</w:t>
      </w:r>
    </w:p>
    <w:p w14:paraId="2F2AECBC" w14:textId="77777777" w:rsidR="00046737" w:rsidRDefault="00046737" w:rsidP="00046737">
      <w:pPr>
        <w:pStyle w:val="Heading4"/>
      </w:pPr>
      <w:r w:rsidRPr="00046737">
        <w:t>Use of cultural materials</w:t>
      </w:r>
    </w:p>
    <w:p w14:paraId="492C4BD2" w14:textId="0B60618B" w:rsidR="008D7858" w:rsidRPr="001B619E" w:rsidRDefault="008D7858" w:rsidP="00447C8A">
      <w:pPr>
        <w:pStyle w:val="Heading5"/>
      </w:pPr>
      <w:r w:rsidRPr="001B619E">
        <w:t xml:space="preserve">Consent was adequately obtained for cultural </w:t>
      </w:r>
      <w:r w:rsidRPr="005B19A9">
        <w:t>materials</w:t>
      </w:r>
      <w:r w:rsidR="00212F40">
        <w:t>;</w:t>
      </w:r>
      <w:r w:rsidRPr="001B619E">
        <w:t xml:space="preserve"> </w:t>
      </w:r>
      <w:r w:rsidR="00212F40">
        <w:t xml:space="preserve">however, </w:t>
      </w:r>
      <w:r w:rsidR="00934AFB">
        <w:t xml:space="preserve">FNLRS is still </w:t>
      </w:r>
      <w:r w:rsidR="0075642D">
        <w:t>developing</w:t>
      </w:r>
      <w:r w:rsidR="00934AFB">
        <w:t xml:space="preserve"> a policy for</w:t>
      </w:r>
      <w:r w:rsidR="009B290C">
        <w:t xml:space="preserve"> ongoing access </w:t>
      </w:r>
      <w:r w:rsidR="00934AFB">
        <w:t>to</w:t>
      </w:r>
      <w:r w:rsidR="009B290C">
        <w:t xml:space="preserve"> these materials </w:t>
      </w:r>
    </w:p>
    <w:p w14:paraId="0BF2DB6D" w14:textId="681149F1" w:rsidR="00397C68" w:rsidRPr="0059383F" w:rsidRDefault="00E058BB" w:rsidP="0059383F">
      <w:pPr>
        <w:rPr>
          <w:lang w:eastAsia="en-AU"/>
        </w:rPr>
      </w:pPr>
      <w:r>
        <w:rPr>
          <w:lang w:eastAsia="en-AU"/>
        </w:rPr>
        <w:t>FNLRS’</w:t>
      </w:r>
      <w:r w:rsidR="00724D44">
        <w:rPr>
          <w:lang w:eastAsia="en-AU"/>
        </w:rPr>
        <w:t>s</w:t>
      </w:r>
      <w:r>
        <w:rPr>
          <w:lang w:eastAsia="en-AU"/>
        </w:rPr>
        <w:t xml:space="preserve"> Research Information Policy </w:t>
      </w:r>
      <w:r w:rsidR="002A6781">
        <w:rPr>
          <w:lang w:eastAsia="en-AU"/>
        </w:rPr>
        <w:t xml:space="preserve">outlines </w:t>
      </w:r>
      <w:r w:rsidR="00724D44">
        <w:rPr>
          <w:lang w:eastAsia="en-AU"/>
        </w:rPr>
        <w:t>FNRLS’s</w:t>
      </w:r>
      <w:r w:rsidR="00E02061">
        <w:rPr>
          <w:lang w:eastAsia="en-AU"/>
        </w:rPr>
        <w:t xml:space="preserve"> </w:t>
      </w:r>
      <w:r w:rsidR="00724D44">
        <w:rPr>
          <w:lang w:eastAsia="en-AU"/>
        </w:rPr>
        <w:t xml:space="preserve">obligations </w:t>
      </w:r>
      <w:r w:rsidR="006D0B97">
        <w:rPr>
          <w:lang w:eastAsia="en-AU"/>
        </w:rPr>
        <w:t>around</w:t>
      </w:r>
      <w:r w:rsidR="00F6298A">
        <w:rPr>
          <w:lang w:eastAsia="en-AU"/>
        </w:rPr>
        <w:t xml:space="preserve"> information </w:t>
      </w:r>
      <w:r w:rsidR="006E3EC1">
        <w:rPr>
          <w:lang w:eastAsia="en-AU"/>
        </w:rPr>
        <w:t>management</w:t>
      </w:r>
      <w:r w:rsidR="00F6298A">
        <w:rPr>
          <w:lang w:eastAsia="en-AU"/>
        </w:rPr>
        <w:t xml:space="preserve"> including ensuring FNLRS has </w:t>
      </w:r>
      <w:r w:rsidR="0092111F">
        <w:rPr>
          <w:lang w:eastAsia="en-AU"/>
        </w:rPr>
        <w:t>the</w:t>
      </w:r>
      <w:r w:rsidR="00F6298A">
        <w:rPr>
          <w:lang w:eastAsia="en-AU"/>
        </w:rPr>
        <w:t xml:space="preserve"> </w:t>
      </w:r>
      <w:r w:rsidR="00E02061">
        <w:rPr>
          <w:lang w:eastAsia="en-AU"/>
        </w:rPr>
        <w:t xml:space="preserve">free, prior and informed consent </w:t>
      </w:r>
      <w:r w:rsidR="00F6298A">
        <w:rPr>
          <w:lang w:eastAsia="en-AU"/>
        </w:rPr>
        <w:t xml:space="preserve">from Traditional Owners for </w:t>
      </w:r>
      <w:r w:rsidR="006E3EC1">
        <w:rPr>
          <w:lang w:eastAsia="en-AU"/>
        </w:rPr>
        <w:lastRenderedPageBreak/>
        <w:t>information collected for research purposes</w:t>
      </w:r>
      <w:r w:rsidR="00212F40">
        <w:rPr>
          <w:lang w:eastAsia="en-AU"/>
        </w:rPr>
        <w:t>,</w:t>
      </w:r>
      <w:r w:rsidR="006E3EC1">
        <w:rPr>
          <w:lang w:eastAsia="en-AU"/>
        </w:rPr>
        <w:t xml:space="preserve"> and that </w:t>
      </w:r>
      <w:r w:rsidR="00E02061">
        <w:rPr>
          <w:lang w:eastAsia="en-AU"/>
        </w:rPr>
        <w:t>FNLRS properly manag</w:t>
      </w:r>
      <w:r w:rsidR="00397C68">
        <w:rPr>
          <w:lang w:eastAsia="en-AU"/>
        </w:rPr>
        <w:t xml:space="preserve">es and protects </w:t>
      </w:r>
      <w:r w:rsidR="006E3EC1">
        <w:rPr>
          <w:lang w:eastAsia="en-AU"/>
        </w:rPr>
        <w:t xml:space="preserve">all </w:t>
      </w:r>
      <w:r w:rsidR="00397C68">
        <w:rPr>
          <w:lang w:eastAsia="en-AU"/>
        </w:rPr>
        <w:t xml:space="preserve">the information it receives. </w:t>
      </w:r>
    </w:p>
    <w:p w14:paraId="5FDEE3AF" w14:textId="75DA5F65" w:rsidR="00961CA7" w:rsidRDefault="00AE4F1B" w:rsidP="0090226E">
      <w:pPr>
        <w:rPr>
          <w:lang w:eastAsia="en-AU"/>
        </w:rPr>
      </w:pPr>
      <w:r>
        <w:rPr>
          <w:lang w:eastAsia="en-AU"/>
        </w:rPr>
        <w:t xml:space="preserve">Several </w:t>
      </w:r>
      <w:r w:rsidR="002E5495">
        <w:rPr>
          <w:lang w:eastAsia="en-AU"/>
        </w:rPr>
        <w:t xml:space="preserve">Traditional </w:t>
      </w:r>
      <w:r w:rsidR="00831DCB">
        <w:rPr>
          <w:lang w:eastAsia="en-AU"/>
        </w:rPr>
        <w:t>O</w:t>
      </w:r>
      <w:r w:rsidR="002E5495">
        <w:rPr>
          <w:lang w:eastAsia="en-AU"/>
        </w:rPr>
        <w:t xml:space="preserve">wners </w:t>
      </w:r>
      <w:r w:rsidR="0098588D">
        <w:rPr>
          <w:lang w:eastAsia="en-AU"/>
        </w:rPr>
        <w:t>reported that FNLRS deal</w:t>
      </w:r>
      <w:r w:rsidR="0097634A">
        <w:rPr>
          <w:lang w:eastAsia="en-AU"/>
        </w:rPr>
        <w:t>t</w:t>
      </w:r>
      <w:r w:rsidR="0098588D">
        <w:rPr>
          <w:lang w:eastAsia="en-AU"/>
        </w:rPr>
        <w:t xml:space="preserve"> respectfully with </w:t>
      </w:r>
      <w:r w:rsidR="0097634A">
        <w:rPr>
          <w:lang w:eastAsia="en-AU"/>
        </w:rPr>
        <w:t xml:space="preserve">their </w:t>
      </w:r>
      <w:r w:rsidR="0098588D">
        <w:rPr>
          <w:lang w:eastAsia="en-AU"/>
        </w:rPr>
        <w:t xml:space="preserve">cultural materials and </w:t>
      </w:r>
      <w:r w:rsidR="00DE618A">
        <w:rPr>
          <w:lang w:eastAsia="en-AU"/>
        </w:rPr>
        <w:t xml:space="preserve">followed proper procedure to obtain </w:t>
      </w:r>
      <w:r w:rsidR="0098588D">
        <w:rPr>
          <w:lang w:eastAsia="en-AU"/>
        </w:rPr>
        <w:t xml:space="preserve">consent for the use of cultural materials. </w:t>
      </w:r>
      <w:r w:rsidR="008E5CA5">
        <w:rPr>
          <w:lang w:eastAsia="en-AU"/>
        </w:rPr>
        <w:t xml:space="preserve">Some </w:t>
      </w:r>
      <w:r>
        <w:rPr>
          <w:lang w:eastAsia="en-AU"/>
        </w:rPr>
        <w:t>Traditional Owner group</w:t>
      </w:r>
      <w:r w:rsidR="002F1D0C">
        <w:rPr>
          <w:lang w:eastAsia="en-AU"/>
        </w:rPr>
        <w:t>s</w:t>
      </w:r>
      <w:r w:rsidR="00366E3E">
        <w:rPr>
          <w:lang w:eastAsia="en-AU"/>
        </w:rPr>
        <w:t xml:space="preserve"> however</w:t>
      </w:r>
      <w:r w:rsidR="00B10499">
        <w:rPr>
          <w:lang w:eastAsia="en-AU"/>
        </w:rPr>
        <w:t xml:space="preserve"> </w:t>
      </w:r>
      <w:r w:rsidR="008E5CA5">
        <w:rPr>
          <w:lang w:eastAsia="en-AU"/>
        </w:rPr>
        <w:t xml:space="preserve">expressed </w:t>
      </w:r>
      <w:r>
        <w:rPr>
          <w:lang w:eastAsia="en-AU"/>
        </w:rPr>
        <w:t>concerns around the ongoing use of cultural materials</w:t>
      </w:r>
      <w:r w:rsidR="00100556">
        <w:rPr>
          <w:lang w:eastAsia="en-AU"/>
        </w:rPr>
        <w:t xml:space="preserve"> and submissions made more generally to FNLRS as part of historical native title </w:t>
      </w:r>
      <w:r w:rsidR="008E5CA5">
        <w:rPr>
          <w:lang w:eastAsia="en-AU"/>
        </w:rPr>
        <w:t>claims</w:t>
      </w:r>
      <w:r w:rsidR="00100556">
        <w:rPr>
          <w:lang w:eastAsia="en-AU"/>
        </w:rPr>
        <w:t xml:space="preserve">. </w:t>
      </w:r>
      <w:r w:rsidR="002F1D0C">
        <w:rPr>
          <w:lang w:eastAsia="en-AU"/>
        </w:rPr>
        <w:t>One</w:t>
      </w:r>
      <w:r w:rsidR="005F5FBF">
        <w:rPr>
          <w:lang w:eastAsia="en-AU"/>
        </w:rPr>
        <w:t xml:space="preserve"> grou</w:t>
      </w:r>
      <w:r w:rsidR="00C47E5B">
        <w:rPr>
          <w:lang w:eastAsia="en-AU"/>
        </w:rPr>
        <w:t>p was</w:t>
      </w:r>
      <w:r w:rsidR="005F5FBF">
        <w:rPr>
          <w:lang w:eastAsia="en-AU"/>
        </w:rPr>
        <w:t xml:space="preserve"> unhappy that once information </w:t>
      </w:r>
      <w:r w:rsidR="009378A6">
        <w:rPr>
          <w:lang w:eastAsia="en-AU"/>
        </w:rPr>
        <w:t>was</w:t>
      </w:r>
      <w:r w:rsidR="005F5FBF">
        <w:rPr>
          <w:lang w:eastAsia="en-AU"/>
        </w:rPr>
        <w:t xml:space="preserve"> obtained as part of a </w:t>
      </w:r>
      <w:r w:rsidR="000D6B13">
        <w:rPr>
          <w:lang w:eastAsia="en-AU"/>
        </w:rPr>
        <w:t xml:space="preserve">claim </w:t>
      </w:r>
      <w:r w:rsidR="005F5FBF">
        <w:rPr>
          <w:lang w:eastAsia="en-AU"/>
        </w:rPr>
        <w:t xml:space="preserve">process, that information </w:t>
      </w:r>
      <w:r w:rsidR="009378A6">
        <w:rPr>
          <w:lang w:eastAsia="en-AU"/>
        </w:rPr>
        <w:t xml:space="preserve">was </w:t>
      </w:r>
      <w:r w:rsidR="00CB6B1E">
        <w:rPr>
          <w:lang w:eastAsia="en-AU"/>
        </w:rPr>
        <w:t xml:space="preserve">often </w:t>
      </w:r>
      <w:r w:rsidR="005F5FBF">
        <w:rPr>
          <w:lang w:eastAsia="en-AU"/>
        </w:rPr>
        <w:t xml:space="preserve">not able to be accessed </w:t>
      </w:r>
      <w:r w:rsidR="00525652">
        <w:rPr>
          <w:lang w:eastAsia="en-AU"/>
        </w:rPr>
        <w:t xml:space="preserve">for other uses </w:t>
      </w:r>
      <w:r w:rsidR="005F5FBF">
        <w:rPr>
          <w:lang w:eastAsia="en-AU"/>
        </w:rPr>
        <w:t xml:space="preserve">by other family members </w:t>
      </w:r>
      <w:r w:rsidR="00832663">
        <w:rPr>
          <w:lang w:eastAsia="en-AU"/>
        </w:rPr>
        <w:t>for</w:t>
      </w:r>
      <w:r w:rsidR="005F5FBF">
        <w:rPr>
          <w:lang w:eastAsia="en-AU"/>
        </w:rPr>
        <w:t xml:space="preserve"> legal privilege and privacy reasons. </w:t>
      </w:r>
      <w:r w:rsidR="00212F40">
        <w:rPr>
          <w:lang w:eastAsia="en-AU"/>
        </w:rPr>
        <w:t>For example, t</w:t>
      </w:r>
      <w:r w:rsidR="005F5FBF">
        <w:rPr>
          <w:lang w:eastAsia="en-AU"/>
        </w:rPr>
        <w:t>h</w:t>
      </w:r>
      <w:r w:rsidR="0096670B">
        <w:rPr>
          <w:lang w:eastAsia="en-AU"/>
        </w:rPr>
        <w:t xml:space="preserve">is was </w:t>
      </w:r>
      <w:r w:rsidR="009154C7">
        <w:rPr>
          <w:lang w:eastAsia="en-AU"/>
        </w:rPr>
        <w:t>cited</w:t>
      </w:r>
      <w:r w:rsidR="0096670B">
        <w:rPr>
          <w:lang w:eastAsia="en-AU"/>
        </w:rPr>
        <w:t xml:space="preserve"> as a major impediment </w:t>
      </w:r>
      <w:r w:rsidR="00236D7E">
        <w:rPr>
          <w:lang w:eastAsia="en-AU"/>
        </w:rPr>
        <w:t>for</w:t>
      </w:r>
      <w:r w:rsidR="00AD0A45">
        <w:rPr>
          <w:lang w:eastAsia="en-AU"/>
        </w:rPr>
        <w:t xml:space="preserve"> those</w:t>
      </w:r>
      <w:r w:rsidR="0096670B">
        <w:rPr>
          <w:lang w:eastAsia="en-AU"/>
        </w:rPr>
        <w:t xml:space="preserve"> </w:t>
      </w:r>
      <w:r w:rsidR="00126414">
        <w:rPr>
          <w:lang w:eastAsia="en-AU"/>
        </w:rPr>
        <w:t xml:space="preserve">families who </w:t>
      </w:r>
      <w:r w:rsidR="00CB6999">
        <w:rPr>
          <w:lang w:eastAsia="en-AU"/>
        </w:rPr>
        <w:t xml:space="preserve">wished </w:t>
      </w:r>
      <w:r w:rsidR="00126414">
        <w:rPr>
          <w:lang w:eastAsia="en-AU"/>
        </w:rPr>
        <w:t>to access</w:t>
      </w:r>
      <w:r w:rsidR="00C47E5B">
        <w:rPr>
          <w:lang w:eastAsia="en-AU"/>
        </w:rPr>
        <w:t xml:space="preserve"> </w:t>
      </w:r>
      <w:r w:rsidR="00126414">
        <w:rPr>
          <w:lang w:eastAsia="en-AU"/>
        </w:rPr>
        <w:t xml:space="preserve">their </w:t>
      </w:r>
      <w:r w:rsidR="00253A93">
        <w:rPr>
          <w:lang w:eastAsia="en-AU"/>
        </w:rPr>
        <w:t xml:space="preserve">recorded </w:t>
      </w:r>
      <w:r w:rsidR="00126414">
        <w:rPr>
          <w:lang w:eastAsia="en-AU"/>
        </w:rPr>
        <w:t>genealogy and family history</w:t>
      </w:r>
      <w:r w:rsidR="00C47E5B">
        <w:rPr>
          <w:lang w:eastAsia="en-AU"/>
        </w:rPr>
        <w:t xml:space="preserve">. </w:t>
      </w:r>
      <w:r w:rsidR="00C911FF">
        <w:rPr>
          <w:lang w:eastAsia="en-AU"/>
        </w:rPr>
        <w:t>FNLRS staff acknowledged that this issue was top of mind</w:t>
      </w:r>
      <w:r w:rsidR="00BF6373">
        <w:rPr>
          <w:lang w:eastAsia="en-AU"/>
        </w:rPr>
        <w:t>.</w:t>
      </w:r>
      <w:r w:rsidR="00C911FF">
        <w:rPr>
          <w:lang w:eastAsia="en-AU"/>
        </w:rPr>
        <w:t xml:space="preserve"> </w:t>
      </w:r>
      <w:r w:rsidR="00527CC1">
        <w:rPr>
          <w:lang w:eastAsia="en-AU"/>
        </w:rPr>
        <w:t>Information on return of cultural materials is discussed further in TOR 6.</w:t>
      </w:r>
    </w:p>
    <w:p w14:paraId="5B8B508D" w14:textId="59A02774" w:rsidR="00FF1D41" w:rsidRPr="002D4BCE" w:rsidRDefault="00C84B12" w:rsidP="002D4BCE">
      <w:pPr>
        <w:pStyle w:val="Heading3"/>
      </w:pPr>
      <w:r>
        <w:t>TOR 3</w:t>
      </w:r>
      <w:r w:rsidR="00256318">
        <w:t xml:space="preserve">: </w:t>
      </w:r>
      <w:r w:rsidR="00FF1D41" w:rsidRPr="002D4BCE">
        <w:t>External factors</w:t>
      </w:r>
    </w:p>
    <w:p w14:paraId="435B22F1" w14:textId="69F1F9D1" w:rsidR="00AE4165" w:rsidRDefault="00FF1D41" w:rsidP="00FF1D41">
      <w:pPr>
        <w:rPr>
          <w:lang w:eastAsia="en-AU"/>
        </w:rPr>
      </w:pPr>
      <w:r>
        <w:rPr>
          <w:lang w:eastAsia="en-AU"/>
        </w:rPr>
        <w:t>No external factors have been identified for TOR 3.</w:t>
      </w:r>
    </w:p>
    <w:p w14:paraId="05D634D9" w14:textId="0A6B3D0D" w:rsidR="00BA3BCB" w:rsidRDefault="002342A7" w:rsidP="00BA3BCB">
      <w:pPr>
        <w:pStyle w:val="Heading3"/>
      </w:pPr>
      <w:r>
        <w:t>TOR 3</w:t>
      </w:r>
      <w:r w:rsidR="0060326B">
        <w:t>:</w:t>
      </w:r>
      <w:r>
        <w:t xml:space="preserve"> </w:t>
      </w:r>
      <w:r w:rsidR="00BA3BCB">
        <w:t>Recommendations</w:t>
      </w:r>
    </w:p>
    <w:tbl>
      <w:tblPr>
        <w:tblW w:w="0" w:type="auto"/>
        <w:tblLook w:val="04A0" w:firstRow="1" w:lastRow="0" w:firstColumn="1" w:lastColumn="0" w:noHBand="0" w:noVBand="1"/>
      </w:tblPr>
      <w:tblGrid>
        <w:gridCol w:w="8269"/>
        <w:gridCol w:w="661"/>
      </w:tblGrid>
      <w:tr w:rsidR="00E85100" w14:paraId="6C388FA3" w14:textId="77777777" w:rsidTr="00CA17C8">
        <w:trPr>
          <w:trHeight w:val="360"/>
        </w:trPr>
        <w:tc>
          <w:tcPr>
            <w:tcW w:w="8223" w:type="dxa"/>
          </w:tcPr>
          <w:p w14:paraId="458FECCE" w14:textId="77777777" w:rsidR="00E85100" w:rsidRDefault="00E85100" w:rsidP="00665DC6">
            <w:pPr>
              <w:rPr>
                <w:lang w:eastAsia="en-AU"/>
              </w:rPr>
            </w:pPr>
            <w:r w:rsidRPr="00F97AB5">
              <w:rPr>
                <w:noProof/>
                <w:lang w:eastAsia="en-AU"/>
              </w:rPr>
              <w:drawing>
                <wp:inline distT="0" distB="0" distL="0" distR="0" wp14:anchorId="51BEDEAE" wp14:editId="49F7A8B5">
                  <wp:extent cx="5114199" cy="28765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D7C7F9D" w14:textId="1C158CC8" w:rsidR="00E85100" w:rsidRPr="00F97AB5" w:rsidRDefault="00144FC7" w:rsidP="00665DC6">
            <w:pPr>
              <w:spacing w:after="100" w:afterAutospacing="1"/>
              <w:jc w:val="center"/>
              <w:rPr>
                <w:sz w:val="30"/>
                <w:szCs w:val="30"/>
                <w:lang w:eastAsia="en-AU"/>
              </w:rPr>
            </w:pPr>
            <w:r w:rsidRPr="00CA17C8">
              <w:rPr>
                <w:color w:val="404040" w:themeColor="text1" w:themeTint="BF"/>
                <w:sz w:val="30"/>
                <w:szCs w:val="30"/>
                <w:lang w:eastAsia="en-AU"/>
              </w:rPr>
              <w:t>3</w:t>
            </w:r>
          </w:p>
        </w:tc>
      </w:tr>
      <w:tr w:rsidR="00E85100" w14:paraId="6CDF68A8" w14:textId="77777777" w:rsidTr="00CA17C8">
        <w:tc>
          <w:tcPr>
            <w:tcW w:w="8930" w:type="dxa"/>
            <w:gridSpan w:val="2"/>
          </w:tcPr>
          <w:p w14:paraId="50F9C3DB" w14:textId="64EB7B5A" w:rsidR="00D84EB9" w:rsidRDefault="00D84EB9" w:rsidP="00665DC6">
            <w:r>
              <w:t>This Review endorses the</w:t>
            </w:r>
            <w:r w:rsidR="00FB627C">
              <w:t xml:space="preserve"> following</w:t>
            </w:r>
            <w:r>
              <w:t xml:space="preserve"> recommendation of the Strategic Review:</w:t>
            </w:r>
          </w:p>
          <w:p w14:paraId="50EB45BE" w14:textId="565C8A07" w:rsidR="00E85100" w:rsidRPr="00BD37ED" w:rsidRDefault="00D84EB9" w:rsidP="00D84EB9">
            <w:pPr>
              <w:pStyle w:val="Bullet"/>
            </w:pPr>
            <w:r w:rsidRPr="00D84EB9">
              <w:t>FNLRS should increase communication with the Victorian Traditional Owner communities and celebrate its work and success more openly.</w:t>
            </w:r>
          </w:p>
        </w:tc>
      </w:tr>
      <w:tr w:rsidR="00D84EB9" w14:paraId="5859413D" w14:textId="77777777" w:rsidTr="00CA17C8">
        <w:trPr>
          <w:trHeight w:val="360"/>
        </w:trPr>
        <w:tc>
          <w:tcPr>
            <w:tcW w:w="8223" w:type="dxa"/>
          </w:tcPr>
          <w:p w14:paraId="74A9216B" w14:textId="77777777" w:rsidR="00D84EB9" w:rsidRDefault="00D84EB9">
            <w:pPr>
              <w:rPr>
                <w:lang w:eastAsia="en-AU"/>
              </w:rPr>
            </w:pPr>
            <w:r w:rsidRPr="00F97AB5">
              <w:rPr>
                <w:noProof/>
                <w:lang w:eastAsia="en-AU"/>
              </w:rPr>
              <w:drawing>
                <wp:inline distT="0" distB="0" distL="0" distR="0" wp14:anchorId="4C468B90" wp14:editId="3D0FF8D4">
                  <wp:extent cx="5114199" cy="287655"/>
                  <wp:effectExtent l="0" t="0" r="0" b="0"/>
                  <wp:docPr id="2126412142" name="Picture 2126412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12142" name="Picture 212641214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774010E" w14:textId="3AD115F6" w:rsidR="00D84EB9" w:rsidRPr="00F97AB5" w:rsidRDefault="00144FC7">
            <w:pPr>
              <w:spacing w:after="100" w:afterAutospacing="1"/>
              <w:jc w:val="center"/>
              <w:rPr>
                <w:sz w:val="30"/>
                <w:szCs w:val="30"/>
                <w:lang w:eastAsia="en-AU"/>
              </w:rPr>
            </w:pPr>
            <w:r w:rsidRPr="00CA17C8">
              <w:rPr>
                <w:color w:val="404040" w:themeColor="text1" w:themeTint="BF"/>
                <w:sz w:val="30"/>
                <w:szCs w:val="30"/>
                <w:lang w:eastAsia="en-AU"/>
              </w:rPr>
              <w:t>4</w:t>
            </w:r>
          </w:p>
        </w:tc>
      </w:tr>
      <w:tr w:rsidR="00D84EB9" w14:paraId="78E03462" w14:textId="77777777" w:rsidTr="00CA17C8">
        <w:tc>
          <w:tcPr>
            <w:tcW w:w="8930" w:type="dxa"/>
            <w:gridSpan w:val="2"/>
          </w:tcPr>
          <w:p w14:paraId="7328A21D" w14:textId="2FA5123E" w:rsidR="00D84EB9" w:rsidRPr="00BD37ED" w:rsidRDefault="00D84EB9">
            <w:r w:rsidRPr="000048A3">
              <w:t>Review the CLO role</w:t>
            </w:r>
            <w:r>
              <w:t xml:space="preserve"> position description</w:t>
            </w:r>
            <w:r w:rsidRPr="000048A3">
              <w:t xml:space="preserve"> and explore how it can be </w:t>
            </w:r>
            <w:r>
              <w:t>evolved</w:t>
            </w:r>
            <w:r w:rsidRPr="000048A3">
              <w:t xml:space="preserve"> to </w:t>
            </w:r>
            <w:r w:rsidR="004F75FD" w:rsidRPr="004F75FD">
              <w:t>go beyond administrative tasks to focus more on building relationships with</w:t>
            </w:r>
            <w:r w:rsidRPr="000048A3">
              <w:t xml:space="preserve"> community and education activities.</w:t>
            </w:r>
          </w:p>
        </w:tc>
      </w:tr>
    </w:tbl>
    <w:p w14:paraId="703D267A" w14:textId="77777777" w:rsidR="00343D62" w:rsidRDefault="00343D62" w:rsidP="00343D62"/>
    <w:p w14:paraId="349E99B6" w14:textId="77777777" w:rsidR="00343D62" w:rsidRDefault="00343D62">
      <w:pPr>
        <w:spacing w:after="165"/>
        <w:rPr>
          <w:rFonts w:ascii="Segoe UI Semibold" w:eastAsia="Times New Roman" w:hAnsi="Segoe UI Semibold" w:cs="Times New Roman"/>
          <w:color w:val="00264D"/>
          <w:sz w:val="30"/>
          <w:szCs w:val="19"/>
          <w:lang w:eastAsia="en-AU"/>
        </w:rPr>
      </w:pPr>
      <w:r>
        <w:br w:type="page"/>
      </w:r>
    </w:p>
    <w:p w14:paraId="57881388" w14:textId="74F9F7A6" w:rsidR="00C51C32" w:rsidRDefault="00C51C32" w:rsidP="005D1D93">
      <w:pPr>
        <w:pStyle w:val="Heading2"/>
      </w:pPr>
      <w:bookmarkStart w:id="30" w:name="_Toc170469986"/>
      <w:r w:rsidRPr="6967B2CC">
        <w:lastRenderedPageBreak/>
        <w:t>TOR 4 | Extent to which each organisation performs its functions in a cost-effective manner, including by identifying the key cost drivers for the organisation.</w:t>
      </w:r>
      <w:bookmarkEnd w:id="30"/>
    </w:p>
    <w:tbl>
      <w:tblPr>
        <w:tblStyle w:val="TableGrid"/>
        <w:tblW w:w="0" w:type="auto"/>
        <w:tblLook w:val="04A0" w:firstRow="1" w:lastRow="0" w:firstColumn="1" w:lastColumn="0" w:noHBand="0" w:noVBand="1"/>
      </w:tblPr>
      <w:tblGrid>
        <w:gridCol w:w="8930"/>
      </w:tblGrid>
      <w:tr w:rsidR="0000360B" w14:paraId="695AB786" w14:textId="77777777" w:rsidTr="6967B2CC">
        <w:trPr>
          <w:cnfStyle w:val="100000000000" w:firstRow="1" w:lastRow="0" w:firstColumn="0" w:lastColumn="0" w:oddVBand="0" w:evenVBand="0" w:oddHBand="0" w:evenHBand="0" w:firstRowFirstColumn="0" w:firstRowLastColumn="0" w:lastRowFirstColumn="0" w:lastRowLastColumn="0"/>
        </w:trPr>
        <w:tc>
          <w:tcPr>
            <w:tcW w:w="8930" w:type="dxa"/>
          </w:tcPr>
          <w:p w14:paraId="3A548A47" w14:textId="77777777" w:rsidR="00BC06EA" w:rsidRPr="00343D62" w:rsidRDefault="00BC06EA" w:rsidP="00343D62">
            <w:pPr>
              <w:pStyle w:val="Longformcallout"/>
              <w:rPr>
                <w:rFonts w:ascii="Segoe UI Semibold" w:hAnsi="Segoe UI Semibold" w:cs="Segoe UI Semibold"/>
              </w:rPr>
            </w:pPr>
            <w:r w:rsidRPr="00343D62">
              <w:rPr>
                <w:rFonts w:ascii="Segoe UI Semibold" w:hAnsi="Segoe UI Semibold" w:cs="Segoe UI Semibold"/>
              </w:rPr>
              <w:t>Summary</w:t>
            </w:r>
          </w:p>
          <w:p w14:paraId="146BDB0F" w14:textId="119EDDE1" w:rsidR="000A6FDD" w:rsidRPr="00343D62" w:rsidRDefault="00E4684B" w:rsidP="00343D62">
            <w:pPr>
              <w:pStyle w:val="Longformcallout"/>
            </w:pPr>
            <w:r w:rsidRPr="00343D62">
              <w:t xml:space="preserve">Native title </w:t>
            </w:r>
            <w:r w:rsidR="00016F7A" w:rsidRPr="00343D62">
              <w:t xml:space="preserve">funding </w:t>
            </w:r>
            <w:r w:rsidRPr="00343D62">
              <w:t xml:space="preserve">from NIAA </w:t>
            </w:r>
            <w:r w:rsidR="004E7BE8" w:rsidRPr="00343D62">
              <w:t xml:space="preserve">increased </w:t>
            </w:r>
            <w:r w:rsidR="00016F7A" w:rsidRPr="00343D62">
              <w:t>throughout the Review period</w:t>
            </w:r>
            <w:r w:rsidR="006A1281" w:rsidRPr="00343D62">
              <w:t>,</w:t>
            </w:r>
            <w:r w:rsidR="00CC031D" w:rsidRPr="00343D62">
              <w:t xml:space="preserve"> from </w:t>
            </w:r>
            <w:r w:rsidR="00DA6C0C" w:rsidRPr="00343D62">
              <w:t>$</w:t>
            </w:r>
            <w:r w:rsidR="00CC031D" w:rsidRPr="00343D62">
              <w:t xml:space="preserve">3.7 million at the start of the period to </w:t>
            </w:r>
            <w:r w:rsidR="00DA6C0C" w:rsidRPr="00343D62">
              <w:t>$</w:t>
            </w:r>
            <w:r w:rsidR="00CC031D" w:rsidRPr="00343D62">
              <w:t>4.7 million at the end of period</w:t>
            </w:r>
            <w:r w:rsidR="00932686" w:rsidRPr="00343D62">
              <w:t xml:space="preserve"> (an increase of 22 per cent)</w:t>
            </w:r>
            <w:r w:rsidR="00CC031D" w:rsidRPr="00343D62">
              <w:t>.</w:t>
            </w:r>
            <w:r w:rsidR="00780BA9" w:rsidRPr="00343D62">
              <w:t xml:space="preserve"> This increase was mostly due to demand-driven funding for</w:t>
            </w:r>
            <w:r w:rsidR="00E15557" w:rsidRPr="00343D62">
              <w:t xml:space="preserve"> </w:t>
            </w:r>
            <w:r w:rsidR="009B79AD" w:rsidRPr="00343D62">
              <w:t>litigation,</w:t>
            </w:r>
            <w:r w:rsidR="00E15557" w:rsidRPr="00343D62">
              <w:t xml:space="preserve"> </w:t>
            </w:r>
            <w:r w:rsidR="00125AB4" w:rsidRPr="00343D62">
              <w:t>and, to a lesser degree, in-house staff salary increases.</w:t>
            </w:r>
            <w:r w:rsidR="000A6FDD" w:rsidRPr="00343D62">
              <w:t xml:space="preserve"> </w:t>
            </w:r>
          </w:p>
          <w:p w14:paraId="576C7AC5" w14:textId="0BCE251D" w:rsidR="00125AB4" w:rsidRPr="00343D62" w:rsidRDefault="00E15557" w:rsidP="00343D62">
            <w:pPr>
              <w:pStyle w:val="Longformcallout"/>
            </w:pPr>
            <w:r w:rsidRPr="00343D62">
              <w:t xml:space="preserve">The Review believes that NIAA funding was used </w:t>
            </w:r>
            <w:r w:rsidR="00BE56EE" w:rsidRPr="00343D62">
              <w:t xml:space="preserve">carefully </w:t>
            </w:r>
            <w:r w:rsidR="00B42EC0" w:rsidRPr="00343D62">
              <w:t>by FNLRS</w:t>
            </w:r>
            <w:r w:rsidRPr="00343D62">
              <w:t xml:space="preserve"> throughout the Review period, </w:t>
            </w:r>
            <w:r w:rsidR="00A532D6" w:rsidRPr="00343D62">
              <w:t>with a strong focus on limiting expenditure where possible</w:t>
            </w:r>
            <w:r w:rsidR="00284B28" w:rsidRPr="00343D62">
              <w:t>.</w:t>
            </w:r>
          </w:p>
          <w:p w14:paraId="52E30B77" w14:textId="378655E6" w:rsidR="0073790F" w:rsidRPr="00343D62" w:rsidRDefault="008B564F" w:rsidP="00343D62">
            <w:pPr>
              <w:pStyle w:val="Longformcallout"/>
            </w:pPr>
            <w:r w:rsidRPr="6967B2CC">
              <w:t>This was</w:t>
            </w:r>
            <w:r w:rsidR="0073790F" w:rsidRPr="6967B2CC">
              <w:t xml:space="preserve"> </w:t>
            </w:r>
            <w:r w:rsidR="009267D4" w:rsidRPr="6967B2CC">
              <w:t>achieved by</w:t>
            </w:r>
            <w:r w:rsidR="00446704" w:rsidRPr="6967B2CC">
              <w:t xml:space="preserve"> their </w:t>
            </w:r>
            <w:r w:rsidR="00CB1FFF" w:rsidRPr="6967B2CC">
              <w:t>efficient facilitation of</w:t>
            </w:r>
            <w:r w:rsidR="00446704" w:rsidRPr="6967B2CC">
              <w:t xml:space="preserve"> meetings</w:t>
            </w:r>
            <w:r w:rsidR="009267D4" w:rsidRPr="6967B2CC">
              <w:t xml:space="preserve"> </w:t>
            </w:r>
            <w:proofErr w:type="gramStart"/>
            <w:r w:rsidR="009267D4" w:rsidRPr="6967B2CC">
              <w:t>as a result of</w:t>
            </w:r>
            <w:proofErr w:type="gramEnd"/>
            <w:r w:rsidR="009267D4" w:rsidRPr="6967B2CC">
              <w:t xml:space="preserve"> </w:t>
            </w:r>
            <w:r w:rsidR="008661E0" w:rsidRPr="6967B2CC">
              <w:t xml:space="preserve">adhering to </w:t>
            </w:r>
            <w:r w:rsidR="00846B02" w:rsidRPr="6967B2CC">
              <w:t xml:space="preserve">robust meeting facilitation guidelines and </w:t>
            </w:r>
            <w:r w:rsidR="003109FA" w:rsidRPr="6967B2CC">
              <w:t xml:space="preserve">seeking to </w:t>
            </w:r>
            <w:r w:rsidR="00A56931" w:rsidRPr="6967B2CC">
              <w:t>addres</w:t>
            </w:r>
            <w:r w:rsidR="003109FA" w:rsidRPr="6967B2CC">
              <w:t>s</w:t>
            </w:r>
            <w:r w:rsidR="00A56931" w:rsidRPr="6967B2CC">
              <w:t xml:space="preserve"> </w:t>
            </w:r>
            <w:r w:rsidR="00846B02" w:rsidRPr="6967B2CC">
              <w:t>concerns that may detract from claim group meetings prior to the meeting itself</w:t>
            </w:r>
            <w:r w:rsidR="00A56931" w:rsidRPr="6967B2CC">
              <w:t xml:space="preserve">. It was also achieved through </w:t>
            </w:r>
            <w:r w:rsidR="00CB1FFF" w:rsidRPr="6967B2CC">
              <w:t xml:space="preserve">their </w:t>
            </w:r>
            <w:r w:rsidR="00A56931" w:rsidRPr="6967B2CC">
              <w:t>travel assistance</w:t>
            </w:r>
            <w:r w:rsidR="00CB1FFF" w:rsidRPr="6967B2CC">
              <w:t xml:space="preserve"> policy for claim group meeting</w:t>
            </w:r>
            <w:r w:rsidR="00DB5E9B" w:rsidRPr="6967B2CC">
              <w:t>s</w:t>
            </w:r>
            <w:r w:rsidR="00CB1FFF" w:rsidRPr="6967B2CC">
              <w:t>.</w:t>
            </w:r>
            <w:r w:rsidRPr="6967B2CC">
              <w:t xml:space="preserve"> </w:t>
            </w:r>
          </w:p>
          <w:p w14:paraId="3F52DFA6" w14:textId="21D61DBB" w:rsidR="00DF4AC5" w:rsidRDefault="00F27014" w:rsidP="00343D62">
            <w:pPr>
              <w:pStyle w:val="Longformcallout"/>
            </w:pPr>
            <w:r w:rsidRPr="6967B2CC">
              <w:t>Outside</w:t>
            </w:r>
            <w:r w:rsidR="00DF4AC5" w:rsidRPr="6967B2CC">
              <w:t xml:space="preserve"> the </w:t>
            </w:r>
            <w:r w:rsidR="00363048" w:rsidRPr="6967B2CC">
              <w:t>R</w:t>
            </w:r>
            <w:r w:rsidRPr="6967B2CC">
              <w:t xml:space="preserve">eview </w:t>
            </w:r>
            <w:r w:rsidR="00F17282" w:rsidRPr="6967B2CC">
              <w:t>period,</w:t>
            </w:r>
            <w:r w:rsidR="00DF4AC5" w:rsidRPr="6967B2CC">
              <w:t xml:space="preserve"> in November 2023, FNLRS was in the process of relocating from their current North Melbourne office to a co-working space in Fitzroy. </w:t>
            </w:r>
            <w:r w:rsidR="008661E0" w:rsidRPr="6967B2CC">
              <w:t>FNLRS expected</w:t>
            </w:r>
            <w:r w:rsidR="00F257E5" w:rsidRPr="6967B2CC">
              <w:t xml:space="preserve"> </w:t>
            </w:r>
            <w:r w:rsidR="00DF4AC5" w:rsidRPr="6967B2CC">
              <w:t xml:space="preserve">that the office move </w:t>
            </w:r>
            <w:r w:rsidR="00FD1F4C" w:rsidRPr="6967B2CC">
              <w:t>will</w:t>
            </w:r>
            <w:r w:rsidR="00DF4AC5" w:rsidRPr="6967B2CC">
              <w:t xml:space="preserve"> result in a reduction in rent</w:t>
            </w:r>
            <w:r w:rsidR="00B86167" w:rsidRPr="6967B2CC">
              <w:t>al</w:t>
            </w:r>
            <w:r w:rsidR="00DF4AC5" w:rsidRPr="6967B2CC">
              <w:t xml:space="preserve"> expenses</w:t>
            </w:r>
            <w:r w:rsidR="00B86167" w:rsidRPr="6967B2CC">
              <w:t>.</w:t>
            </w:r>
          </w:p>
        </w:tc>
      </w:tr>
    </w:tbl>
    <w:p w14:paraId="392B0298" w14:textId="3A152CA4" w:rsidR="0022182B" w:rsidRDefault="0022182B" w:rsidP="00627E20">
      <w:pPr>
        <w:pStyle w:val="Heading3"/>
      </w:pPr>
      <w:r>
        <w:t>TOR 4: Assessment of performance</w:t>
      </w:r>
    </w:p>
    <w:p w14:paraId="6C8C4D5F" w14:textId="0F45A018" w:rsidR="0022182B" w:rsidRPr="00010FE7" w:rsidRDefault="0022182B" w:rsidP="0022182B">
      <w:pPr>
        <w:rPr>
          <w:lang w:eastAsia="en-AU"/>
        </w:rPr>
      </w:pPr>
      <w:r w:rsidRPr="00010FE7">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_Ref164753157 \n \h </w:instrText>
      </w:r>
      <w:r>
        <w:rPr>
          <w:lang w:eastAsia="en-AU"/>
        </w:rPr>
      </w:r>
      <w:r>
        <w:rPr>
          <w:lang w:eastAsia="en-AU"/>
        </w:rPr>
        <w:fldChar w:fldCharType="separate"/>
      </w:r>
      <w:r w:rsidR="00AB7E95">
        <w:rPr>
          <w:lang w:eastAsia="en-AU"/>
        </w:rPr>
        <w:t>Appendix A</w:t>
      </w:r>
      <w:r>
        <w:rPr>
          <w:lang w:eastAsia="en-AU"/>
        </w:rPr>
        <w:fldChar w:fldCharType="end"/>
      </w:r>
      <w:r w:rsidRPr="00010FE7">
        <w:rPr>
          <w:lang w:eastAsia="en-AU"/>
        </w:rPr>
        <w:t>.</w:t>
      </w:r>
    </w:p>
    <w:p w14:paraId="53993F2B" w14:textId="3C8443D4" w:rsidR="00CF2378" w:rsidRPr="00CF2378" w:rsidRDefault="00CF2378" w:rsidP="0022182B">
      <w:pPr>
        <w:pStyle w:val="Heading4"/>
      </w:pPr>
      <w:r w:rsidRPr="00CF2378">
        <w:t xml:space="preserve">Expenditure on salaries (legal, anthropological, </w:t>
      </w:r>
      <w:r w:rsidR="0029682B">
        <w:t>B</w:t>
      </w:r>
      <w:r w:rsidRPr="00CF2378">
        <w:t>oard, CEO, HR, etc.), operations (travel, legal, offices, etc.) or other relevant items</w:t>
      </w:r>
    </w:p>
    <w:p w14:paraId="32A3DF76" w14:textId="77777777" w:rsidR="00176836" w:rsidRPr="00176836" w:rsidRDefault="00CF2378">
      <w:pPr>
        <w:keepNext/>
        <w:numPr>
          <w:ilvl w:val="4"/>
          <w:numId w:val="1"/>
        </w:numPr>
        <w:tabs>
          <w:tab w:val="num" w:pos="360"/>
        </w:tabs>
        <w:spacing w:before="240"/>
        <w:outlineLvl w:val="4"/>
      </w:pPr>
      <w:r w:rsidRPr="00CF2378">
        <w:rPr>
          <w:rFonts w:eastAsia="Times New Roman" w:cs="Times New Roman"/>
          <w:b/>
          <w:color w:val="000000" w:themeColor="text1"/>
          <w:sz w:val="20"/>
          <w:szCs w:val="24"/>
          <w:lang w:eastAsia="en-AU"/>
        </w:rPr>
        <w:t xml:space="preserve">NIAA funding for FNLRS varied across the Review </w:t>
      </w:r>
      <w:r w:rsidR="001A7D33">
        <w:rPr>
          <w:rFonts w:eastAsia="Times New Roman" w:cs="Times New Roman"/>
          <w:b/>
          <w:color w:val="000000" w:themeColor="text1"/>
          <w:sz w:val="20"/>
          <w:szCs w:val="24"/>
          <w:lang w:eastAsia="en-AU"/>
        </w:rPr>
        <w:t>period</w:t>
      </w:r>
      <w:r w:rsidR="00E67028">
        <w:rPr>
          <w:rFonts w:eastAsia="Times New Roman" w:cs="Times New Roman"/>
          <w:b/>
          <w:color w:val="000000" w:themeColor="text1"/>
          <w:sz w:val="20"/>
          <w:szCs w:val="24"/>
          <w:lang w:eastAsia="en-AU"/>
        </w:rPr>
        <w:t xml:space="preserve"> </w:t>
      </w:r>
    </w:p>
    <w:p w14:paraId="0834D401" w14:textId="2522390F" w:rsidR="00CF2378" w:rsidRPr="00CF2378" w:rsidRDefault="00CF2378" w:rsidP="00176836">
      <w:pPr>
        <w:keepNext/>
        <w:numPr>
          <w:ilvl w:val="4"/>
          <w:numId w:val="1"/>
        </w:numPr>
        <w:tabs>
          <w:tab w:val="num" w:pos="360"/>
        </w:tabs>
        <w:spacing w:before="240"/>
        <w:outlineLvl w:val="4"/>
      </w:pPr>
      <w:r w:rsidRPr="00CF2378">
        <w:rPr>
          <w:lang w:eastAsia="en-AU"/>
        </w:rPr>
        <w:t>Funding provided to FNLRS by the NIAA declined by $264,</w:t>
      </w:r>
      <w:r w:rsidR="00915AE9">
        <w:rPr>
          <w:lang w:eastAsia="en-AU"/>
        </w:rPr>
        <w:t>2</w:t>
      </w:r>
      <w:r w:rsidRPr="00CF2378">
        <w:rPr>
          <w:lang w:eastAsia="en-AU"/>
        </w:rPr>
        <w:t xml:space="preserve">00 from FY2019-20 to FY2020-21 </w:t>
      </w:r>
      <w:r w:rsidR="00F31F2C">
        <w:rPr>
          <w:lang w:eastAsia="en-AU"/>
        </w:rPr>
        <w:t>and</w:t>
      </w:r>
      <w:r w:rsidRPr="00CF2378">
        <w:rPr>
          <w:lang w:eastAsia="en-AU"/>
        </w:rPr>
        <w:t xml:space="preserve"> increased</w:t>
      </w:r>
      <w:r w:rsidR="006376B4">
        <w:rPr>
          <w:lang w:eastAsia="en-AU"/>
        </w:rPr>
        <w:t xml:space="preserve"> significantly</w:t>
      </w:r>
      <w:r w:rsidRPr="00CF2378">
        <w:rPr>
          <w:lang w:eastAsia="en-AU"/>
        </w:rPr>
        <w:t xml:space="preserve"> by </w:t>
      </w:r>
      <w:r w:rsidR="00E81BE4">
        <w:rPr>
          <w:lang w:eastAsia="en-AU"/>
        </w:rPr>
        <w:t>$</w:t>
      </w:r>
      <w:r w:rsidR="00D0467A" w:rsidRPr="00D0467A">
        <w:rPr>
          <w:lang w:eastAsia="en-AU"/>
        </w:rPr>
        <w:t>1,264,686</w:t>
      </w:r>
      <w:r w:rsidR="00AE3A4C">
        <w:rPr>
          <w:lang w:eastAsia="en-AU"/>
        </w:rPr>
        <w:t xml:space="preserve"> </w:t>
      </w:r>
      <w:r w:rsidRPr="00CF2378">
        <w:rPr>
          <w:lang w:eastAsia="en-AU"/>
        </w:rPr>
        <w:t xml:space="preserve">in FY2021-22, as </w:t>
      </w:r>
      <w:r w:rsidR="00C96855">
        <w:rPr>
          <w:lang w:eastAsia="en-AU"/>
        </w:rPr>
        <w:t>shown in</w:t>
      </w:r>
      <w:r w:rsidR="00C96855">
        <w:rPr>
          <w:rStyle w:val="CommentReference"/>
        </w:rPr>
        <w:t xml:space="preserve"> </w:t>
      </w:r>
      <w:r w:rsidR="000177B5">
        <w:rPr>
          <w:lang w:eastAsia="en-AU"/>
        </w:rPr>
        <w:fldChar w:fldCharType="begin"/>
      </w:r>
      <w:r w:rsidR="000177B5">
        <w:rPr>
          <w:rStyle w:val="CommentReference"/>
        </w:rPr>
        <w:instrText xml:space="preserve"> REF _Ref158384979 \h </w:instrText>
      </w:r>
      <w:r w:rsidR="000177B5">
        <w:rPr>
          <w:lang w:eastAsia="en-AU"/>
        </w:rPr>
      </w:r>
      <w:r w:rsidR="000177B5">
        <w:rPr>
          <w:lang w:eastAsia="en-AU"/>
        </w:rPr>
        <w:fldChar w:fldCharType="separate"/>
      </w:r>
      <w:r w:rsidR="00AB7E95">
        <w:t xml:space="preserve">Table </w:t>
      </w:r>
      <w:r w:rsidR="00AB7E95">
        <w:rPr>
          <w:noProof/>
        </w:rPr>
        <w:t>6</w:t>
      </w:r>
      <w:r w:rsidR="000177B5">
        <w:rPr>
          <w:lang w:eastAsia="en-AU"/>
        </w:rPr>
        <w:fldChar w:fldCharType="end"/>
      </w:r>
      <w:r w:rsidRPr="00CF2378">
        <w:rPr>
          <w:lang w:eastAsia="en-AU"/>
        </w:rPr>
        <w:t>.</w:t>
      </w:r>
      <w:r w:rsidR="000A1406" w:rsidRPr="000A1406">
        <w:t xml:space="preserve"> </w:t>
      </w:r>
      <w:r w:rsidR="000A1406" w:rsidRPr="00CF2378">
        <w:t>NIAA base funding (</w:t>
      </w:r>
      <w:r w:rsidR="009E4A70" w:rsidRPr="009E4A70">
        <w:t>$3,249,800</w:t>
      </w:r>
      <w:r w:rsidR="000A1406" w:rsidRPr="00CF2378">
        <w:t xml:space="preserve"> per annum) and PBC funding ($100,000 per annum; $50,000 each for the two client PBCs receiving the funding) received by FNLRS was consistent across the Review period. Additional NIAA funding was </w:t>
      </w:r>
      <w:r w:rsidR="000D37F3">
        <w:t>provided</w:t>
      </w:r>
      <w:r w:rsidR="000A1406" w:rsidRPr="00CF2378">
        <w:t xml:space="preserve"> for unforeseen litigation (demand-driven funding).</w:t>
      </w:r>
    </w:p>
    <w:p w14:paraId="6DB5EAA6" w14:textId="00C79CF8" w:rsidR="00CF2378" w:rsidRPr="00CF2378" w:rsidRDefault="000177B5" w:rsidP="000177B5">
      <w:pPr>
        <w:pStyle w:val="Caption"/>
        <w:rPr>
          <w:bCs w:val="0"/>
        </w:rPr>
      </w:pPr>
      <w:bookmarkStart w:id="31" w:name="_Ref158384979"/>
      <w:r>
        <w:t xml:space="preserve">Table </w:t>
      </w:r>
      <w:r>
        <w:fldChar w:fldCharType="begin"/>
      </w:r>
      <w:r>
        <w:instrText xml:space="preserve"> SEQ Table \* ARABIC </w:instrText>
      </w:r>
      <w:r>
        <w:fldChar w:fldCharType="separate"/>
      </w:r>
      <w:r w:rsidR="00AB7E95">
        <w:rPr>
          <w:noProof/>
        </w:rPr>
        <w:t>6</w:t>
      </w:r>
      <w:r>
        <w:fldChar w:fldCharType="end"/>
      </w:r>
      <w:bookmarkEnd w:id="31"/>
      <w:r>
        <w:t xml:space="preserve"> </w:t>
      </w:r>
      <w:r w:rsidR="00CF2378" w:rsidRPr="00CF2378">
        <w:t xml:space="preserve">| </w:t>
      </w:r>
      <w:r w:rsidR="00B778A1">
        <w:t>FNLRS’s</w:t>
      </w:r>
      <w:r w:rsidR="00CF2378" w:rsidRPr="00CF2378">
        <w:t xml:space="preserve"> </w:t>
      </w:r>
      <w:r w:rsidR="00A172CC">
        <w:t>NIAA funding</w:t>
      </w:r>
      <w:r w:rsidR="00CF2378" w:rsidRPr="00CF2378">
        <w:t xml:space="preserve"> </w:t>
      </w:r>
      <w:r w:rsidR="008841F9">
        <w:t>FY</w:t>
      </w:r>
      <w:r w:rsidR="00CF2378" w:rsidRPr="00CF2378">
        <w:t xml:space="preserve">2019-20 to </w:t>
      </w:r>
      <w:r w:rsidR="008841F9">
        <w:t>FY</w:t>
      </w:r>
      <w:r w:rsidR="00CF2378" w:rsidRPr="00CF2378">
        <w:t>2021-22</w:t>
      </w:r>
      <w:r w:rsidR="00CF2378" w:rsidRPr="00CF2378">
        <w:rPr>
          <w:vertAlign w:val="superscript"/>
        </w:rPr>
        <w:footnoteReference w:id="23"/>
      </w:r>
    </w:p>
    <w:tbl>
      <w:tblPr>
        <w:tblStyle w:val="AEMO2"/>
        <w:tblW w:w="5000" w:type="pct"/>
        <w:tblLook w:val="04A0" w:firstRow="1" w:lastRow="0" w:firstColumn="1" w:lastColumn="0" w:noHBand="0" w:noVBand="1"/>
      </w:tblPr>
      <w:tblGrid>
        <w:gridCol w:w="2225"/>
        <w:gridCol w:w="7"/>
        <w:gridCol w:w="2220"/>
        <w:gridCol w:w="13"/>
        <w:gridCol w:w="2215"/>
        <w:gridCol w:w="18"/>
        <w:gridCol w:w="2209"/>
        <w:gridCol w:w="23"/>
      </w:tblGrid>
      <w:tr w:rsidR="00A817AE" w:rsidRPr="00CF2378" w14:paraId="2AA7A425" w14:textId="77777777" w:rsidTr="006770B0">
        <w:trPr>
          <w:gridAfter w:val="1"/>
          <w:cnfStyle w:val="100000000000" w:firstRow="1" w:lastRow="0" w:firstColumn="0" w:lastColumn="0" w:oddVBand="0" w:evenVBand="0" w:oddHBand="0" w:evenHBand="0" w:firstRowFirstColumn="0" w:firstRowLastColumn="0" w:lastRowFirstColumn="0" w:lastRowLastColumn="0"/>
          <w:wAfter w:w="13" w:type="pct"/>
        </w:trPr>
        <w:tc>
          <w:tcPr>
            <w:tcW w:w="1246" w:type="pct"/>
          </w:tcPr>
          <w:p w14:paraId="76F7DCA9" w14:textId="77777777" w:rsidR="00CF2378" w:rsidRPr="00CF2378" w:rsidRDefault="00CF2378" w:rsidP="00D937C1">
            <w:pPr>
              <w:pStyle w:val="TableNheader"/>
            </w:pPr>
            <w:r w:rsidRPr="00CF2378">
              <w:t>Funding</w:t>
            </w:r>
          </w:p>
        </w:tc>
        <w:tc>
          <w:tcPr>
            <w:tcW w:w="1247" w:type="pct"/>
            <w:gridSpan w:val="2"/>
          </w:tcPr>
          <w:p w14:paraId="1DD93110" w14:textId="59C12F60" w:rsidR="00CF2378" w:rsidRPr="00CF2378" w:rsidRDefault="008841F9" w:rsidP="00D937C1">
            <w:pPr>
              <w:pStyle w:val="TableNheader"/>
            </w:pPr>
            <w:r>
              <w:t>FY</w:t>
            </w:r>
            <w:r w:rsidR="00CF2378" w:rsidRPr="00CF2378">
              <w:t>2019-20</w:t>
            </w:r>
          </w:p>
        </w:tc>
        <w:tc>
          <w:tcPr>
            <w:tcW w:w="1247" w:type="pct"/>
            <w:gridSpan w:val="2"/>
          </w:tcPr>
          <w:p w14:paraId="303BFB6B" w14:textId="56268543" w:rsidR="00CF2378" w:rsidRPr="00CF2378" w:rsidRDefault="008841F9" w:rsidP="00D937C1">
            <w:pPr>
              <w:pStyle w:val="TableNheader"/>
            </w:pPr>
            <w:r>
              <w:t>FY</w:t>
            </w:r>
            <w:r w:rsidR="00CF2378" w:rsidRPr="00CF2378">
              <w:t>2020-21</w:t>
            </w:r>
          </w:p>
        </w:tc>
        <w:tc>
          <w:tcPr>
            <w:tcW w:w="1247" w:type="pct"/>
            <w:gridSpan w:val="2"/>
          </w:tcPr>
          <w:p w14:paraId="08291217" w14:textId="2F066DC1" w:rsidR="00CF2378" w:rsidRPr="00CF2378" w:rsidRDefault="008841F9" w:rsidP="00D937C1">
            <w:pPr>
              <w:pStyle w:val="TableNheader"/>
            </w:pPr>
            <w:r>
              <w:t>FY</w:t>
            </w:r>
            <w:r w:rsidR="00CF2378" w:rsidRPr="00CF2378">
              <w:t>2021-22</w:t>
            </w:r>
          </w:p>
        </w:tc>
      </w:tr>
      <w:tr w:rsidR="00CF2378" w:rsidRPr="00CF2378" w14:paraId="6775CDAE" w14:textId="77777777" w:rsidTr="006770B0">
        <w:trPr>
          <w:cnfStyle w:val="000000100000" w:firstRow="0" w:lastRow="0" w:firstColumn="0" w:lastColumn="0" w:oddVBand="0" w:evenVBand="0" w:oddHBand="1" w:evenHBand="0" w:firstRowFirstColumn="0" w:firstRowLastColumn="0" w:lastRowFirstColumn="0" w:lastRowLastColumn="0"/>
        </w:trPr>
        <w:tc>
          <w:tcPr>
            <w:tcW w:w="1250" w:type="pct"/>
            <w:gridSpan w:val="2"/>
          </w:tcPr>
          <w:p w14:paraId="7C50E439" w14:textId="403A7E72" w:rsidR="00CF2378" w:rsidRPr="00CF2378" w:rsidRDefault="00235281" w:rsidP="00D937C1">
            <w:pPr>
              <w:pStyle w:val="TableNText"/>
            </w:pPr>
            <w:r w:rsidRPr="005120D5">
              <w:t>Base</w:t>
            </w:r>
            <w:r w:rsidR="008841F9" w:rsidRPr="005120D5">
              <w:t xml:space="preserve"> </w:t>
            </w:r>
            <w:r w:rsidR="00BD3FCC" w:rsidRPr="005120D5">
              <w:t>a</w:t>
            </w:r>
            <w:r w:rsidR="008841F9" w:rsidRPr="005120D5">
              <w:t>greement</w:t>
            </w:r>
            <w:r w:rsidR="00CF2378" w:rsidRPr="00CF2378">
              <w:rPr>
                <w:vertAlign w:val="superscript"/>
              </w:rPr>
              <w:footnoteReference w:id="24"/>
            </w:r>
          </w:p>
        </w:tc>
        <w:tc>
          <w:tcPr>
            <w:tcW w:w="1250" w:type="pct"/>
            <w:gridSpan w:val="2"/>
          </w:tcPr>
          <w:p w14:paraId="4650552B" w14:textId="7F4F4136" w:rsidR="00CF2378" w:rsidRPr="00CF2378" w:rsidRDefault="00235281" w:rsidP="00D937C1">
            <w:pPr>
              <w:pStyle w:val="TableNText"/>
            </w:pPr>
            <w:r w:rsidRPr="00235281">
              <w:t>$3,249,800</w:t>
            </w:r>
          </w:p>
        </w:tc>
        <w:tc>
          <w:tcPr>
            <w:tcW w:w="1250" w:type="pct"/>
            <w:gridSpan w:val="2"/>
          </w:tcPr>
          <w:p w14:paraId="12E03335" w14:textId="36A741D7" w:rsidR="00CF2378" w:rsidRPr="00CF2378" w:rsidRDefault="00257828" w:rsidP="00D937C1">
            <w:pPr>
              <w:pStyle w:val="TableNText"/>
            </w:pPr>
            <w:r w:rsidRPr="00257828">
              <w:t>$3,249,800</w:t>
            </w:r>
          </w:p>
        </w:tc>
        <w:tc>
          <w:tcPr>
            <w:tcW w:w="1250" w:type="pct"/>
            <w:gridSpan w:val="2"/>
          </w:tcPr>
          <w:p w14:paraId="3E1930E6" w14:textId="7EC65362" w:rsidR="00CF2378" w:rsidRPr="00CF2378" w:rsidRDefault="005B678A" w:rsidP="00D937C1">
            <w:pPr>
              <w:pStyle w:val="TableNText"/>
            </w:pPr>
            <w:r w:rsidRPr="005B678A">
              <w:t>$3,249,800</w:t>
            </w:r>
          </w:p>
        </w:tc>
      </w:tr>
      <w:tr w:rsidR="00CF2378" w:rsidRPr="00CF2378" w14:paraId="188F082B" w14:textId="77777777" w:rsidTr="006770B0">
        <w:trPr>
          <w:cnfStyle w:val="000000010000" w:firstRow="0" w:lastRow="0" w:firstColumn="0" w:lastColumn="0" w:oddVBand="0" w:evenVBand="0" w:oddHBand="0" w:evenHBand="1" w:firstRowFirstColumn="0" w:firstRowLastColumn="0" w:lastRowFirstColumn="0" w:lastRowLastColumn="0"/>
        </w:trPr>
        <w:tc>
          <w:tcPr>
            <w:tcW w:w="1250" w:type="pct"/>
            <w:gridSpan w:val="2"/>
          </w:tcPr>
          <w:p w14:paraId="2D607C28" w14:textId="1F11A66B" w:rsidR="00CF2378" w:rsidRPr="00CF2378" w:rsidRDefault="008841F9" w:rsidP="00D937C1">
            <w:pPr>
              <w:pStyle w:val="TableNText"/>
            </w:pPr>
            <w:r>
              <w:t xml:space="preserve">PBC </w:t>
            </w:r>
            <w:r w:rsidR="00BD3FCC">
              <w:t>s</w:t>
            </w:r>
            <w:r>
              <w:t>upport</w:t>
            </w:r>
          </w:p>
        </w:tc>
        <w:tc>
          <w:tcPr>
            <w:tcW w:w="1250" w:type="pct"/>
            <w:gridSpan w:val="2"/>
          </w:tcPr>
          <w:p w14:paraId="6987CC3E" w14:textId="6B03E349" w:rsidR="00CF2378" w:rsidRPr="00CF2378" w:rsidRDefault="008841F9" w:rsidP="00D937C1">
            <w:pPr>
              <w:pStyle w:val="TableNText"/>
            </w:pPr>
            <w:r w:rsidRPr="008841F9">
              <w:t>$100,000</w:t>
            </w:r>
          </w:p>
        </w:tc>
        <w:tc>
          <w:tcPr>
            <w:tcW w:w="1250" w:type="pct"/>
            <w:gridSpan w:val="2"/>
          </w:tcPr>
          <w:p w14:paraId="19B34BD4" w14:textId="2788C1C6" w:rsidR="00CF2378" w:rsidRPr="00CF2378" w:rsidRDefault="00257828" w:rsidP="00D937C1">
            <w:pPr>
              <w:pStyle w:val="TableNText"/>
            </w:pPr>
            <w:r w:rsidRPr="00257828">
              <w:t>$100,000</w:t>
            </w:r>
          </w:p>
        </w:tc>
        <w:tc>
          <w:tcPr>
            <w:tcW w:w="1250" w:type="pct"/>
            <w:gridSpan w:val="2"/>
          </w:tcPr>
          <w:p w14:paraId="0E70CDAC" w14:textId="619F910C" w:rsidR="00CF2378" w:rsidRPr="00CF2378" w:rsidRDefault="00257828" w:rsidP="00D937C1">
            <w:pPr>
              <w:pStyle w:val="TableNText"/>
            </w:pPr>
            <w:r w:rsidRPr="00257828">
              <w:t>$100,000</w:t>
            </w:r>
          </w:p>
        </w:tc>
      </w:tr>
      <w:tr w:rsidR="00CF2378" w:rsidRPr="00CF2378" w14:paraId="365F816C" w14:textId="77777777" w:rsidTr="006770B0">
        <w:trPr>
          <w:cnfStyle w:val="000000100000" w:firstRow="0" w:lastRow="0" w:firstColumn="0" w:lastColumn="0" w:oddVBand="0" w:evenVBand="0" w:oddHBand="1" w:evenHBand="0" w:firstRowFirstColumn="0" w:firstRowLastColumn="0" w:lastRowFirstColumn="0" w:lastRowLastColumn="0"/>
        </w:trPr>
        <w:tc>
          <w:tcPr>
            <w:tcW w:w="1250" w:type="pct"/>
            <w:gridSpan w:val="2"/>
          </w:tcPr>
          <w:p w14:paraId="42391471" w14:textId="0F1804FE" w:rsidR="00CF2378" w:rsidRPr="00CF2378" w:rsidRDefault="008841F9" w:rsidP="00D937C1">
            <w:pPr>
              <w:pStyle w:val="TableNText"/>
            </w:pPr>
            <w:r>
              <w:t>Mid-year</w:t>
            </w:r>
          </w:p>
        </w:tc>
        <w:tc>
          <w:tcPr>
            <w:tcW w:w="1250" w:type="pct"/>
            <w:gridSpan w:val="2"/>
          </w:tcPr>
          <w:p w14:paraId="22D1FD15" w14:textId="5B97CB9B" w:rsidR="00CF2378" w:rsidRPr="00CF2378" w:rsidRDefault="008841F9" w:rsidP="00D937C1">
            <w:pPr>
              <w:pStyle w:val="TableNText"/>
            </w:pPr>
            <w:r w:rsidRPr="008841F9">
              <w:t>$375,000</w:t>
            </w:r>
          </w:p>
        </w:tc>
        <w:tc>
          <w:tcPr>
            <w:tcW w:w="1250" w:type="pct"/>
            <w:gridSpan w:val="2"/>
          </w:tcPr>
          <w:p w14:paraId="6CE6D3C9" w14:textId="7EEC27E6" w:rsidR="00CF2378" w:rsidRPr="00CF2378" w:rsidRDefault="00980B36" w:rsidP="00D937C1">
            <w:pPr>
              <w:pStyle w:val="TableNText"/>
            </w:pPr>
            <w:r w:rsidRPr="00980B36">
              <w:t>$</w:t>
            </w:r>
            <w:r w:rsidR="00257828">
              <w:t>0</w:t>
            </w:r>
          </w:p>
        </w:tc>
        <w:tc>
          <w:tcPr>
            <w:tcW w:w="1250" w:type="pct"/>
            <w:gridSpan w:val="2"/>
          </w:tcPr>
          <w:p w14:paraId="6E57B8F5" w14:textId="50B0C84D" w:rsidR="00CF2378" w:rsidRPr="00CF2378" w:rsidRDefault="005B678A" w:rsidP="00D937C1">
            <w:pPr>
              <w:pStyle w:val="TableNText"/>
            </w:pPr>
            <w:r w:rsidRPr="005B678A">
              <w:t>$95,875</w:t>
            </w:r>
          </w:p>
        </w:tc>
      </w:tr>
      <w:tr w:rsidR="008841F9" w:rsidRPr="00CF2378" w14:paraId="4E835507" w14:textId="77777777" w:rsidTr="006770B0">
        <w:trPr>
          <w:cnfStyle w:val="000000010000" w:firstRow="0" w:lastRow="0" w:firstColumn="0" w:lastColumn="0" w:oddVBand="0" w:evenVBand="0" w:oddHBand="0" w:evenHBand="1" w:firstRowFirstColumn="0" w:firstRowLastColumn="0" w:lastRowFirstColumn="0" w:lastRowLastColumn="0"/>
        </w:trPr>
        <w:tc>
          <w:tcPr>
            <w:tcW w:w="1250" w:type="pct"/>
            <w:gridSpan w:val="2"/>
          </w:tcPr>
          <w:p w14:paraId="1906EB40" w14:textId="0D5FCAD4" w:rsidR="008841F9" w:rsidRDefault="008841F9" w:rsidP="00D937C1">
            <w:pPr>
              <w:pStyle w:val="TableNText"/>
            </w:pPr>
            <w:r>
              <w:t>Demand</w:t>
            </w:r>
            <w:r w:rsidR="00A172CC">
              <w:t>-d</w:t>
            </w:r>
            <w:r>
              <w:t>riven</w:t>
            </w:r>
          </w:p>
        </w:tc>
        <w:tc>
          <w:tcPr>
            <w:tcW w:w="1250" w:type="pct"/>
            <w:gridSpan w:val="2"/>
          </w:tcPr>
          <w:p w14:paraId="397BC4A0" w14:textId="5EE3E1E5" w:rsidR="008841F9" w:rsidRPr="008841F9" w:rsidRDefault="00A172CC" w:rsidP="00D937C1">
            <w:pPr>
              <w:pStyle w:val="TableNText"/>
            </w:pPr>
            <w:r>
              <w:t>$0</w:t>
            </w:r>
          </w:p>
        </w:tc>
        <w:tc>
          <w:tcPr>
            <w:tcW w:w="1250" w:type="pct"/>
            <w:gridSpan w:val="2"/>
          </w:tcPr>
          <w:p w14:paraId="5C3307D0" w14:textId="33CC172A" w:rsidR="008841F9" w:rsidRPr="00CF2378" w:rsidRDefault="00980B36" w:rsidP="00D937C1">
            <w:pPr>
              <w:pStyle w:val="TableNText"/>
            </w:pPr>
            <w:r w:rsidRPr="00980B36">
              <w:t>$110,800</w:t>
            </w:r>
          </w:p>
        </w:tc>
        <w:tc>
          <w:tcPr>
            <w:tcW w:w="1250" w:type="pct"/>
            <w:gridSpan w:val="2"/>
          </w:tcPr>
          <w:p w14:paraId="2CBFA0AA" w14:textId="124D70F8" w:rsidR="008841F9" w:rsidRPr="00CF2378" w:rsidRDefault="005B678A" w:rsidP="00D937C1">
            <w:pPr>
              <w:pStyle w:val="TableNText"/>
            </w:pPr>
            <w:r w:rsidRPr="005B678A">
              <w:t>$905,995</w:t>
            </w:r>
          </w:p>
        </w:tc>
      </w:tr>
      <w:tr w:rsidR="00CF2378" w:rsidRPr="00CF2378" w14:paraId="292535A8" w14:textId="77777777" w:rsidTr="006770B0">
        <w:trPr>
          <w:cnfStyle w:val="000000100000" w:firstRow="0" w:lastRow="0" w:firstColumn="0" w:lastColumn="0" w:oddVBand="0" w:evenVBand="0" w:oddHBand="1" w:evenHBand="0" w:firstRowFirstColumn="0" w:firstRowLastColumn="0" w:lastRowFirstColumn="0" w:lastRowLastColumn="0"/>
        </w:trPr>
        <w:tc>
          <w:tcPr>
            <w:tcW w:w="1250" w:type="pct"/>
            <w:gridSpan w:val="2"/>
          </w:tcPr>
          <w:p w14:paraId="08F4CDCD" w14:textId="77777777" w:rsidR="00CF2378" w:rsidRPr="00CF2378" w:rsidRDefault="00CF2378" w:rsidP="00D937C1">
            <w:pPr>
              <w:pStyle w:val="TableNText"/>
            </w:pPr>
            <w:r w:rsidRPr="00D937C1">
              <w:rPr>
                <w:rFonts w:asciiTheme="majorHAnsi" w:hAnsiTheme="majorHAnsi" w:cstheme="majorHAnsi"/>
              </w:rPr>
              <w:lastRenderedPageBreak/>
              <w:t xml:space="preserve">Total </w:t>
            </w:r>
          </w:p>
        </w:tc>
        <w:tc>
          <w:tcPr>
            <w:tcW w:w="1250" w:type="pct"/>
            <w:gridSpan w:val="2"/>
            <w:tcBorders>
              <w:top w:val="nil"/>
              <w:left w:val="nil"/>
              <w:bottom w:val="single" w:sz="8" w:space="0" w:color="E6E6E1"/>
              <w:right w:val="nil"/>
            </w:tcBorders>
          </w:tcPr>
          <w:p w14:paraId="3287E27A" w14:textId="3295D309" w:rsidR="00CF2378" w:rsidRPr="00CF2378" w:rsidRDefault="00A172CC" w:rsidP="00D937C1">
            <w:pPr>
              <w:pStyle w:val="TableNText"/>
            </w:pPr>
            <w:r w:rsidRPr="00D937C1">
              <w:rPr>
                <w:rFonts w:asciiTheme="majorHAnsi" w:hAnsiTheme="majorHAnsi" w:cstheme="majorHAnsi"/>
                <w:color w:val="000000"/>
              </w:rPr>
              <w:t>$3,724,800</w:t>
            </w:r>
          </w:p>
        </w:tc>
        <w:tc>
          <w:tcPr>
            <w:tcW w:w="1250" w:type="pct"/>
            <w:gridSpan w:val="2"/>
            <w:tcBorders>
              <w:top w:val="nil"/>
              <w:left w:val="nil"/>
              <w:bottom w:val="single" w:sz="8" w:space="0" w:color="E6E6E1"/>
              <w:right w:val="nil"/>
            </w:tcBorders>
          </w:tcPr>
          <w:p w14:paraId="22083438" w14:textId="54F68E4A" w:rsidR="00CF2378" w:rsidRPr="00CF2378" w:rsidRDefault="00980B36" w:rsidP="00D937C1">
            <w:pPr>
              <w:pStyle w:val="TableNText"/>
            </w:pPr>
            <w:r w:rsidRPr="00D937C1">
              <w:rPr>
                <w:rFonts w:asciiTheme="majorHAnsi" w:hAnsiTheme="majorHAnsi" w:cstheme="majorHAnsi"/>
                <w:color w:val="000000"/>
              </w:rPr>
              <w:t>$3,460,600</w:t>
            </w:r>
          </w:p>
        </w:tc>
        <w:tc>
          <w:tcPr>
            <w:tcW w:w="1250" w:type="pct"/>
            <w:gridSpan w:val="2"/>
            <w:tcBorders>
              <w:top w:val="single" w:sz="8" w:space="0" w:color="E6E6E1"/>
              <w:left w:val="nil"/>
              <w:bottom w:val="single" w:sz="8" w:space="0" w:color="E6E6E1"/>
              <w:right w:val="nil"/>
            </w:tcBorders>
          </w:tcPr>
          <w:p w14:paraId="2FC81047" w14:textId="0646FA20" w:rsidR="00CF2378" w:rsidRPr="00CF2378" w:rsidRDefault="004241B4" w:rsidP="00D937C1">
            <w:pPr>
              <w:pStyle w:val="TableNText"/>
            </w:pPr>
            <w:r>
              <w:rPr>
                <w:rFonts w:asciiTheme="majorHAnsi" w:hAnsiTheme="majorHAnsi" w:cstheme="majorHAnsi"/>
                <w:color w:val="000000"/>
              </w:rPr>
              <w:t>$4,351,670</w:t>
            </w:r>
          </w:p>
        </w:tc>
      </w:tr>
    </w:tbl>
    <w:p w14:paraId="2637A7E1" w14:textId="07938198" w:rsidR="00CF2378" w:rsidRDefault="00D937C1" w:rsidP="00CF2378">
      <w:r>
        <w:br/>
      </w:r>
      <w:r w:rsidR="00CF2378" w:rsidRPr="00CF2378">
        <w:t>Demand-driven funding provided was variable across each year of the Review, with none provided in FY</w:t>
      </w:r>
      <w:r w:rsidR="008B4CA9">
        <w:t>20</w:t>
      </w:r>
      <w:r w:rsidR="00CF2378" w:rsidRPr="00CF2378">
        <w:t>19-20, $110,800 provided in FY20</w:t>
      </w:r>
      <w:r w:rsidR="008B4CA9">
        <w:t>20</w:t>
      </w:r>
      <w:r w:rsidR="00CF2378" w:rsidRPr="00CF2378">
        <w:t>-21 and $905,995 provided in FY</w:t>
      </w:r>
      <w:r w:rsidR="008B4CA9">
        <w:t>20</w:t>
      </w:r>
      <w:r w:rsidR="00CF2378" w:rsidRPr="00CF2378">
        <w:t xml:space="preserve">21-22. This increase between FY2020-21 to FY2021-22 is largely a result of </w:t>
      </w:r>
      <w:r w:rsidR="00CF2378" w:rsidRPr="000B0FCD">
        <w:t xml:space="preserve">the Boonwurrung </w:t>
      </w:r>
      <w:r w:rsidR="0059718F" w:rsidRPr="000B0FCD">
        <w:t>(</w:t>
      </w:r>
      <w:r w:rsidR="0059718F">
        <w:t xml:space="preserve">approximately </w:t>
      </w:r>
      <w:r w:rsidR="0059718F" w:rsidRPr="000B0FCD">
        <w:t>$</w:t>
      </w:r>
      <w:r w:rsidR="00CF2378" w:rsidRPr="000B0FCD">
        <w:t xml:space="preserve">659,000) and </w:t>
      </w:r>
      <w:proofErr w:type="spellStart"/>
      <w:r w:rsidR="00CF2378" w:rsidRPr="000B0FCD">
        <w:t>Taungurung</w:t>
      </w:r>
      <w:proofErr w:type="spellEnd"/>
      <w:r w:rsidR="00CF2378" w:rsidRPr="000B0FCD">
        <w:t xml:space="preserve"> (</w:t>
      </w:r>
      <w:r w:rsidR="0059718F">
        <w:t xml:space="preserve">approximately </w:t>
      </w:r>
      <w:r w:rsidR="00CF2378" w:rsidRPr="000B0FCD">
        <w:t>$246,675)</w:t>
      </w:r>
      <w:r w:rsidR="00CF2378" w:rsidRPr="00CF2378">
        <w:t xml:space="preserve"> contested litigation proceedings. </w:t>
      </w:r>
    </w:p>
    <w:p w14:paraId="403029EC" w14:textId="65C61C8F" w:rsidR="00CF2378" w:rsidRPr="00CF2378" w:rsidRDefault="007E2E48" w:rsidP="005566FF">
      <w:pPr>
        <w:keepNext/>
        <w:numPr>
          <w:ilvl w:val="4"/>
          <w:numId w:val="1"/>
        </w:numPr>
        <w:spacing w:before="240"/>
        <w:outlineLvl w:val="4"/>
        <w:rPr>
          <w:rFonts w:eastAsia="Times New Roman" w:cs="Times New Roman"/>
          <w:b/>
          <w:i/>
          <w:color w:val="000000" w:themeColor="text1"/>
          <w:sz w:val="20"/>
          <w:szCs w:val="24"/>
          <w:lang w:eastAsia="en-AU"/>
        </w:rPr>
      </w:pPr>
      <w:r>
        <w:rPr>
          <w:rFonts w:eastAsia="Times New Roman" w:cs="Times New Roman"/>
          <w:b/>
          <w:color w:val="000000" w:themeColor="text1"/>
          <w:sz w:val="20"/>
          <w:szCs w:val="24"/>
          <w:lang w:eastAsia="en-AU"/>
        </w:rPr>
        <w:t>Overall, t</w:t>
      </w:r>
      <w:r w:rsidR="00CF2378" w:rsidRPr="00CF2378">
        <w:rPr>
          <w:rFonts w:eastAsia="Times New Roman" w:cs="Times New Roman"/>
          <w:b/>
          <w:color w:val="000000" w:themeColor="text1"/>
          <w:sz w:val="20"/>
          <w:szCs w:val="24"/>
          <w:lang w:eastAsia="en-AU"/>
        </w:rPr>
        <w:t>otal expenditure increased year on year</w:t>
      </w:r>
      <w:r w:rsidR="001E385A">
        <w:rPr>
          <w:rFonts w:eastAsia="Times New Roman" w:cs="Times New Roman"/>
          <w:b/>
          <w:color w:val="000000" w:themeColor="text1"/>
          <w:sz w:val="20"/>
          <w:szCs w:val="24"/>
          <w:lang w:eastAsia="en-AU"/>
        </w:rPr>
        <w:t xml:space="preserve"> </w:t>
      </w:r>
      <w:r w:rsidR="00CF2378" w:rsidRPr="00CF2378">
        <w:rPr>
          <w:rFonts w:eastAsia="Times New Roman" w:cs="Times New Roman"/>
          <w:b/>
          <w:color w:val="000000" w:themeColor="text1"/>
          <w:sz w:val="20"/>
          <w:szCs w:val="24"/>
          <w:lang w:eastAsia="en-AU"/>
        </w:rPr>
        <w:t xml:space="preserve">by </w:t>
      </w:r>
      <w:r w:rsidR="001E385A">
        <w:rPr>
          <w:rFonts w:eastAsia="Times New Roman" w:cs="Times New Roman"/>
          <w:b/>
          <w:color w:val="000000" w:themeColor="text1"/>
          <w:sz w:val="20"/>
          <w:szCs w:val="24"/>
          <w:lang w:eastAsia="en-AU"/>
        </w:rPr>
        <w:t>approximately</w:t>
      </w:r>
      <w:r w:rsidR="00CF2378" w:rsidRPr="00CF2378">
        <w:rPr>
          <w:rFonts w:eastAsia="Times New Roman" w:cs="Times New Roman"/>
          <w:b/>
          <w:color w:val="000000" w:themeColor="text1"/>
          <w:sz w:val="20"/>
          <w:szCs w:val="24"/>
          <w:lang w:eastAsia="en-AU"/>
        </w:rPr>
        <w:t xml:space="preserve"> 22 per cent from FY2019-20 to FY2021-22</w:t>
      </w:r>
    </w:p>
    <w:p w14:paraId="12C50BA5" w14:textId="6702B3A2" w:rsidR="00CF2378" w:rsidRPr="00CF2378" w:rsidRDefault="007A45ED" w:rsidP="00CF2378">
      <w:r>
        <w:fldChar w:fldCharType="begin"/>
      </w:r>
      <w:r>
        <w:instrText xml:space="preserve"> REF _Ref158385347 \h </w:instrText>
      </w:r>
      <w:r>
        <w:fldChar w:fldCharType="separate"/>
      </w:r>
      <w:r w:rsidR="00AB7E95">
        <w:t xml:space="preserve">Figure </w:t>
      </w:r>
      <w:r w:rsidR="00AB7E95">
        <w:rPr>
          <w:noProof/>
        </w:rPr>
        <w:t>2</w:t>
      </w:r>
      <w:r>
        <w:fldChar w:fldCharType="end"/>
      </w:r>
      <w:r w:rsidR="00BA190F">
        <w:t xml:space="preserve"> shows</w:t>
      </w:r>
      <w:r w:rsidR="00CF2378" w:rsidRPr="00CF2378">
        <w:t xml:space="preserve"> the breakdown of key line items throughout the period</w:t>
      </w:r>
      <w:r w:rsidR="00BA190F">
        <w:t>.</w:t>
      </w:r>
    </w:p>
    <w:p w14:paraId="2C5C624E" w14:textId="57688A69" w:rsidR="00CF2378" w:rsidRPr="00CF2378" w:rsidRDefault="00BF14FA" w:rsidP="00BF14FA">
      <w:pPr>
        <w:pStyle w:val="Caption"/>
        <w:rPr>
          <w:b/>
          <w:i/>
          <w:iCs/>
        </w:rPr>
      </w:pPr>
      <w:bookmarkStart w:id="32" w:name="_Ref158385347"/>
      <w:r>
        <w:t xml:space="preserve">Figure </w:t>
      </w:r>
      <w:r>
        <w:fldChar w:fldCharType="begin"/>
      </w:r>
      <w:r>
        <w:instrText xml:space="preserve"> SEQ Figure \* ARABIC </w:instrText>
      </w:r>
      <w:r>
        <w:fldChar w:fldCharType="separate"/>
      </w:r>
      <w:r w:rsidR="00AB7E95">
        <w:rPr>
          <w:noProof/>
        </w:rPr>
        <w:t>2</w:t>
      </w:r>
      <w:r>
        <w:fldChar w:fldCharType="end"/>
      </w:r>
      <w:bookmarkEnd w:id="32"/>
      <w:r>
        <w:t xml:space="preserve"> </w:t>
      </w:r>
      <w:r w:rsidR="00CF2378" w:rsidRPr="002E05C9">
        <w:t xml:space="preserve">| </w:t>
      </w:r>
      <w:r w:rsidR="00DF540D">
        <w:t xml:space="preserve">FNLRS expenditure </w:t>
      </w:r>
      <w:r w:rsidR="00CF2378" w:rsidRPr="002E05C9">
        <w:t>FY2019</w:t>
      </w:r>
      <w:r w:rsidR="003C07B0">
        <w:rPr>
          <w:bCs w:val="0"/>
        </w:rPr>
        <w:t>-</w:t>
      </w:r>
      <w:r w:rsidR="00CF2378" w:rsidRPr="002E05C9">
        <w:t>20 to FY2021</w:t>
      </w:r>
      <w:r w:rsidR="003C07B0">
        <w:rPr>
          <w:bCs w:val="0"/>
        </w:rPr>
        <w:t>-</w:t>
      </w:r>
      <w:r w:rsidR="00CF2378" w:rsidRPr="002E05C9">
        <w:t>22</w:t>
      </w:r>
      <w:r w:rsidR="00CF2378" w:rsidRPr="00CF2378">
        <w:rPr>
          <w:vertAlign w:val="superscript"/>
        </w:rPr>
        <w:footnoteReference w:id="25"/>
      </w:r>
    </w:p>
    <w:tbl>
      <w:tblPr>
        <w:tblStyle w:val="NOUSSideHeader111"/>
        <w:tblW w:w="5000" w:type="pct"/>
        <w:tblLook w:val="04A0" w:firstRow="1" w:lastRow="0" w:firstColumn="1" w:lastColumn="0" w:noHBand="0" w:noVBand="1"/>
      </w:tblPr>
      <w:tblGrid>
        <w:gridCol w:w="4110"/>
        <w:gridCol w:w="1606"/>
        <w:gridCol w:w="1607"/>
        <w:gridCol w:w="1607"/>
      </w:tblGrid>
      <w:tr w:rsidR="00B70605" w:rsidRPr="00B70605" w14:paraId="4122E49F" w14:textId="77777777" w:rsidTr="006770B0">
        <w:trPr>
          <w:cnfStyle w:val="100000000000" w:firstRow="1" w:lastRow="0" w:firstColumn="0" w:lastColumn="0" w:oddVBand="0" w:evenVBand="0" w:oddHBand="0" w:evenHBand="0" w:firstRowFirstColumn="0" w:firstRowLastColumn="0" w:lastRowFirstColumn="0" w:lastRowLastColumn="0"/>
        </w:trPr>
        <w:tc>
          <w:tcPr>
            <w:tcW w:w="2301" w:type="pct"/>
          </w:tcPr>
          <w:p w14:paraId="56CC9566" w14:textId="59C25639" w:rsidR="00B70605" w:rsidRPr="00B70605" w:rsidRDefault="00B70605" w:rsidP="00D937C1">
            <w:pPr>
              <w:pStyle w:val="TableNheader"/>
            </w:pPr>
            <w:r w:rsidRPr="00D937C1">
              <w:t>Expense categor</w:t>
            </w:r>
            <w:r w:rsidR="0073148A">
              <w:t>y</w:t>
            </w:r>
          </w:p>
        </w:tc>
        <w:tc>
          <w:tcPr>
            <w:tcW w:w="899" w:type="pct"/>
          </w:tcPr>
          <w:p w14:paraId="018C3EBA" w14:textId="0F16A38F" w:rsidR="00B70605" w:rsidRPr="00B70605" w:rsidRDefault="00B70605" w:rsidP="00D937C1">
            <w:pPr>
              <w:pStyle w:val="TableNheader"/>
            </w:pPr>
            <w:r w:rsidRPr="00D937C1">
              <w:t>FY2019</w:t>
            </w:r>
            <w:r>
              <w:t>-</w:t>
            </w:r>
            <w:r w:rsidRPr="00B70605">
              <w:t>20</w:t>
            </w:r>
          </w:p>
        </w:tc>
        <w:tc>
          <w:tcPr>
            <w:tcW w:w="900" w:type="pct"/>
          </w:tcPr>
          <w:p w14:paraId="7C4F22C9" w14:textId="4EBF7473" w:rsidR="00B70605" w:rsidRPr="00B70605" w:rsidRDefault="00B70605" w:rsidP="00D937C1">
            <w:pPr>
              <w:pStyle w:val="TableNheader"/>
            </w:pPr>
            <w:r w:rsidRPr="00D937C1">
              <w:t>FY2020</w:t>
            </w:r>
            <w:r>
              <w:t>-</w:t>
            </w:r>
            <w:r w:rsidRPr="00B70605">
              <w:t>21</w:t>
            </w:r>
          </w:p>
        </w:tc>
        <w:tc>
          <w:tcPr>
            <w:tcW w:w="900" w:type="pct"/>
          </w:tcPr>
          <w:p w14:paraId="02F66239" w14:textId="3085884C" w:rsidR="00B70605" w:rsidRPr="00B70605" w:rsidRDefault="00B70605" w:rsidP="00D937C1">
            <w:pPr>
              <w:pStyle w:val="TableNheader"/>
            </w:pPr>
            <w:r w:rsidRPr="00D937C1">
              <w:t>FY2021</w:t>
            </w:r>
            <w:r>
              <w:t>-</w:t>
            </w:r>
            <w:r w:rsidRPr="00B70605">
              <w:t>22</w:t>
            </w:r>
          </w:p>
        </w:tc>
      </w:tr>
      <w:tr w:rsidR="00B70605" w:rsidRPr="00B70605" w14:paraId="53813F0D" w14:textId="77777777" w:rsidTr="006770B0">
        <w:trPr>
          <w:cnfStyle w:val="000000100000" w:firstRow="0" w:lastRow="0" w:firstColumn="0" w:lastColumn="0" w:oddVBand="0" w:evenVBand="0" w:oddHBand="1" w:evenHBand="0" w:firstRowFirstColumn="0" w:firstRowLastColumn="0" w:lastRowFirstColumn="0" w:lastRowLastColumn="0"/>
        </w:trPr>
        <w:tc>
          <w:tcPr>
            <w:tcW w:w="2301" w:type="pct"/>
          </w:tcPr>
          <w:p w14:paraId="72A97F47" w14:textId="032A29E5" w:rsidR="00B70605" w:rsidRPr="00B70605" w:rsidRDefault="00B70605" w:rsidP="0073148A">
            <w:pPr>
              <w:pStyle w:val="TableNText"/>
            </w:pPr>
            <w:r w:rsidRPr="00B70605">
              <w:t xml:space="preserve">Salaries and </w:t>
            </w:r>
            <w:r w:rsidR="00CA302D" w:rsidRPr="00B70605">
              <w:t>wages –</w:t>
            </w:r>
            <w:r w:rsidRPr="00B70605">
              <w:t xml:space="preserve"> </w:t>
            </w:r>
            <w:r w:rsidR="00CA302D" w:rsidRPr="00B70605">
              <w:t>attributable</w:t>
            </w:r>
          </w:p>
        </w:tc>
        <w:tc>
          <w:tcPr>
            <w:tcW w:w="899" w:type="pct"/>
          </w:tcPr>
          <w:p w14:paraId="6B84BDA0" w14:textId="77777777" w:rsidR="00B70605" w:rsidRPr="00B70605" w:rsidRDefault="00B70605" w:rsidP="0073148A">
            <w:pPr>
              <w:pStyle w:val="TableNText"/>
            </w:pPr>
            <w:r w:rsidRPr="00B70605">
              <w:t>$1,423,843</w:t>
            </w:r>
          </w:p>
        </w:tc>
        <w:tc>
          <w:tcPr>
            <w:tcW w:w="900" w:type="pct"/>
          </w:tcPr>
          <w:p w14:paraId="5E6BA69F" w14:textId="77777777" w:rsidR="00B70605" w:rsidRPr="00B70605" w:rsidRDefault="00B70605" w:rsidP="0073148A">
            <w:pPr>
              <w:pStyle w:val="TableNText"/>
            </w:pPr>
            <w:r w:rsidRPr="00B70605">
              <w:t xml:space="preserve">$1,513,084 </w:t>
            </w:r>
          </w:p>
        </w:tc>
        <w:tc>
          <w:tcPr>
            <w:tcW w:w="900" w:type="pct"/>
          </w:tcPr>
          <w:p w14:paraId="63B5E0E3" w14:textId="0255118B" w:rsidR="00B70605" w:rsidRPr="00D937C1" w:rsidRDefault="00B70605" w:rsidP="0073148A">
            <w:pPr>
              <w:pStyle w:val="TableNText"/>
            </w:pPr>
            <w:r w:rsidRPr="00B70605">
              <w:rPr>
                <w:szCs w:val="19"/>
              </w:rPr>
              <w:t>$1,525,823</w:t>
            </w:r>
          </w:p>
        </w:tc>
      </w:tr>
      <w:tr w:rsidR="00B70605" w:rsidRPr="00B70605" w14:paraId="0DA3BD76" w14:textId="77777777" w:rsidTr="006770B0">
        <w:trPr>
          <w:cnfStyle w:val="000000010000" w:firstRow="0" w:lastRow="0" w:firstColumn="0" w:lastColumn="0" w:oddVBand="0" w:evenVBand="0" w:oddHBand="0" w:evenHBand="1" w:firstRowFirstColumn="0" w:firstRowLastColumn="0" w:lastRowFirstColumn="0" w:lastRowLastColumn="0"/>
        </w:trPr>
        <w:tc>
          <w:tcPr>
            <w:tcW w:w="2301" w:type="pct"/>
          </w:tcPr>
          <w:p w14:paraId="205CC6B7" w14:textId="0395F390" w:rsidR="00B70605" w:rsidRPr="00B70605" w:rsidRDefault="00B70605" w:rsidP="0073148A">
            <w:pPr>
              <w:pStyle w:val="TableNText"/>
            </w:pPr>
            <w:r w:rsidRPr="00B70605">
              <w:t xml:space="preserve">Consultants </w:t>
            </w:r>
            <w:r w:rsidR="00CA302D" w:rsidRPr="00B70605">
              <w:t>–</w:t>
            </w:r>
            <w:r w:rsidRPr="00B70605">
              <w:t xml:space="preserve"> </w:t>
            </w:r>
            <w:r w:rsidR="00CA302D" w:rsidRPr="00B70605">
              <w:t>attributable</w:t>
            </w:r>
          </w:p>
        </w:tc>
        <w:tc>
          <w:tcPr>
            <w:tcW w:w="899" w:type="pct"/>
          </w:tcPr>
          <w:p w14:paraId="13A58527" w14:textId="0A686AE0" w:rsidR="00B70605" w:rsidRPr="00B70605" w:rsidRDefault="00B70605" w:rsidP="0073148A">
            <w:pPr>
              <w:pStyle w:val="TableNText"/>
            </w:pPr>
            <w:r w:rsidRPr="00B70605">
              <w:t>$266,670</w:t>
            </w:r>
          </w:p>
        </w:tc>
        <w:tc>
          <w:tcPr>
            <w:tcW w:w="900" w:type="pct"/>
          </w:tcPr>
          <w:p w14:paraId="10C68848" w14:textId="2DBC4FEA" w:rsidR="00B70605" w:rsidRPr="00B70605" w:rsidRDefault="00B70605" w:rsidP="0073148A">
            <w:pPr>
              <w:pStyle w:val="TableNText"/>
            </w:pPr>
            <w:r w:rsidRPr="00B70605">
              <w:t>$286,924</w:t>
            </w:r>
          </w:p>
        </w:tc>
        <w:tc>
          <w:tcPr>
            <w:tcW w:w="900" w:type="pct"/>
          </w:tcPr>
          <w:p w14:paraId="29611D09" w14:textId="2A4DD369" w:rsidR="00B70605" w:rsidRPr="00B70605" w:rsidRDefault="00B70605" w:rsidP="0073148A">
            <w:pPr>
              <w:pStyle w:val="TableNText"/>
            </w:pPr>
            <w:r w:rsidRPr="00B70605">
              <w:t>$</w:t>
            </w:r>
            <w:r w:rsidRPr="00B70605">
              <w:rPr>
                <w:szCs w:val="19"/>
              </w:rPr>
              <w:t>663,925</w:t>
            </w:r>
          </w:p>
        </w:tc>
      </w:tr>
      <w:tr w:rsidR="00B70605" w:rsidRPr="00B70605" w14:paraId="50856851" w14:textId="77777777" w:rsidTr="006770B0">
        <w:trPr>
          <w:cnfStyle w:val="000000100000" w:firstRow="0" w:lastRow="0" w:firstColumn="0" w:lastColumn="0" w:oddVBand="0" w:evenVBand="0" w:oddHBand="1" w:evenHBand="0" w:firstRowFirstColumn="0" w:firstRowLastColumn="0" w:lastRowFirstColumn="0" w:lastRowLastColumn="0"/>
        </w:trPr>
        <w:tc>
          <w:tcPr>
            <w:tcW w:w="2301" w:type="pct"/>
          </w:tcPr>
          <w:p w14:paraId="5DA80D84" w14:textId="2AAD85BA" w:rsidR="00B70605" w:rsidRPr="00B70605" w:rsidRDefault="00B70605" w:rsidP="0073148A">
            <w:pPr>
              <w:pStyle w:val="TableNText"/>
            </w:pPr>
            <w:r w:rsidRPr="00B70605">
              <w:t xml:space="preserve">Meetings </w:t>
            </w:r>
            <w:r w:rsidR="00CA302D" w:rsidRPr="00B70605">
              <w:t>–</w:t>
            </w:r>
            <w:r w:rsidRPr="00B70605">
              <w:t xml:space="preserve"> </w:t>
            </w:r>
            <w:r w:rsidR="00CA302D" w:rsidRPr="00B70605">
              <w:t>attributable</w:t>
            </w:r>
          </w:p>
        </w:tc>
        <w:tc>
          <w:tcPr>
            <w:tcW w:w="899" w:type="pct"/>
          </w:tcPr>
          <w:p w14:paraId="131B5CE5" w14:textId="061468E0" w:rsidR="00B70605" w:rsidRPr="00B70605" w:rsidRDefault="0073148A" w:rsidP="0073148A">
            <w:pPr>
              <w:pStyle w:val="TableNText"/>
            </w:pPr>
            <w:r>
              <w:t>$</w:t>
            </w:r>
            <w:r w:rsidR="00B70605" w:rsidRPr="00B70605">
              <w:t>115,247</w:t>
            </w:r>
          </w:p>
        </w:tc>
        <w:tc>
          <w:tcPr>
            <w:tcW w:w="900" w:type="pct"/>
          </w:tcPr>
          <w:p w14:paraId="4C7F4A33" w14:textId="71B2BB0B" w:rsidR="00B70605" w:rsidRPr="00B70605" w:rsidRDefault="00B70605" w:rsidP="0073148A">
            <w:pPr>
              <w:pStyle w:val="TableNText"/>
            </w:pPr>
            <w:r w:rsidRPr="00B70605">
              <w:t>$36,654</w:t>
            </w:r>
          </w:p>
        </w:tc>
        <w:tc>
          <w:tcPr>
            <w:tcW w:w="900" w:type="pct"/>
          </w:tcPr>
          <w:p w14:paraId="3BA8A9C3" w14:textId="3EAD8F17" w:rsidR="00B70605" w:rsidRPr="00B70605" w:rsidRDefault="00B70605" w:rsidP="0073148A">
            <w:pPr>
              <w:pStyle w:val="TableNText"/>
            </w:pPr>
            <w:r w:rsidRPr="00B70605">
              <w:t>$4</w:t>
            </w:r>
            <w:r w:rsidRPr="00B70605">
              <w:rPr>
                <w:szCs w:val="19"/>
              </w:rPr>
              <w:t>6,264</w:t>
            </w:r>
          </w:p>
        </w:tc>
      </w:tr>
      <w:tr w:rsidR="00B70605" w:rsidRPr="00B70605" w14:paraId="419087B9" w14:textId="77777777" w:rsidTr="006770B0">
        <w:trPr>
          <w:cnfStyle w:val="000000010000" w:firstRow="0" w:lastRow="0" w:firstColumn="0" w:lastColumn="0" w:oddVBand="0" w:evenVBand="0" w:oddHBand="0" w:evenHBand="1" w:firstRowFirstColumn="0" w:firstRowLastColumn="0" w:lastRowFirstColumn="0" w:lastRowLastColumn="0"/>
        </w:trPr>
        <w:tc>
          <w:tcPr>
            <w:tcW w:w="2301" w:type="pct"/>
          </w:tcPr>
          <w:p w14:paraId="28FFDA65" w14:textId="5DEFF3B2" w:rsidR="00B70605" w:rsidRPr="00B70605" w:rsidRDefault="00B70605" w:rsidP="0073148A">
            <w:pPr>
              <w:pStyle w:val="TableNText"/>
            </w:pPr>
            <w:r w:rsidRPr="00B70605">
              <w:t xml:space="preserve">Claimant </w:t>
            </w:r>
            <w:r w:rsidR="00CA302D" w:rsidRPr="00B70605">
              <w:t>travel –</w:t>
            </w:r>
            <w:r w:rsidRPr="00B70605">
              <w:t xml:space="preserve"> </w:t>
            </w:r>
            <w:r w:rsidR="00CA302D" w:rsidRPr="00B70605">
              <w:t>attributable</w:t>
            </w:r>
          </w:p>
        </w:tc>
        <w:tc>
          <w:tcPr>
            <w:tcW w:w="899" w:type="pct"/>
          </w:tcPr>
          <w:p w14:paraId="5696486E" w14:textId="0ACCACDF" w:rsidR="00B70605" w:rsidRPr="00B70605" w:rsidRDefault="00B70605" w:rsidP="0073148A">
            <w:pPr>
              <w:pStyle w:val="TableNText"/>
            </w:pPr>
            <w:r w:rsidRPr="00B70605">
              <w:t>$52,185</w:t>
            </w:r>
          </w:p>
        </w:tc>
        <w:tc>
          <w:tcPr>
            <w:tcW w:w="900" w:type="pct"/>
          </w:tcPr>
          <w:p w14:paraId="7932D523" w14:textId="43896466" w:rsidR="00B70605" w:rsidRPr="00B70605" w:rsidRDefault="00B70605" w:rsidP="0073148A">
            <w:pPr>
              <w:pStyle w:val="TableNText"/>
            </w:pPr>
            <w:r w:rsidRPr="00B70605">
              <w:t>$16,712</w:t>
            </w:r>
          </w:p>
        </w:tc>
        <w:tc>
          <w:tcPr>
            <w:tcW w:w="900" w:type="pct"/>
          </w:tcPr>
          <w:p w14:paraId="2E27A277" w14:textId="77777777" w:rsidR="00B70605" w:rsidRPr="00D937C1" w:rsidRDefault="00B70605" w:rsidP="0073148A">
            <w:pPr>
              <w:pStyle w:val="TableNText"/>
            </w:pPr>
            <w:r w:rsidRPr="00B70605">
              <w:rPr>
                <w:szCs w:val="19"/>
              </w:rPr>
              <w:t>$11,111</w:t>
            </w:r>
          </w:p>
        </w:tc>
      </w:tr>
      <w:tr w:rsidR="00B70605" w:rsidRPr="00B70605" w14:paraId="3C520062" w14:textId="77777777" w:rsidTr="006770B0">
        <w:trPr>
          <w:cnfStyle w:val="000000100000" w:firstRow="0" w:lastRow="0" w:firstColumn="0" w:lastColumn="0" w:oddVBand="0" w:evenVBand="0" w:oddHBand="1" w:evenHBand="0" w:firstRowFirstColumn="0" w:firstRowLastColumn="0" w:lastRowFirstColumn="0" w:lastRowLastColumn="0"/>
        </w:trPr>
        <w:tc>
          <w:tcPr>
            <w:tcW w:w="2301" w:type="pct"/>
          </w:tcPr>
          <w:p w14:paraId="62FD03F9" w14:textId="6E62506B" w:rsidR="00B70605" w:rsidRPr="00B70605" w:rsidRDefault="00B70605" w:rsidP="0073148A">
            <w:pPr>
              <w:pStyle w:val="TableNText"/>
            </w:pPr>
            <w:r w:rsidRPr="00B70605">
              <w:t xml:space="preserve">Staff </w:t>
            </w:r>
            <w:r w:rsidR="00CA302D" w:rsidRPr="00B70605">
              <w:t xml:space="preserve">travel </w:t>
            </w:r>
            <w:r w:rsidRPr="00B70605">
              <w:t xml:space="preserve">– </w:t>
            </w:r>
            <w:r w:rsidR="00CA302D" w:rsidRPr="00D937C1">
              <w:t>attributable</w:t>
            </w:r>
          </w:p>
        </w:tc>
        <w:tc>
          <w:tcPr>
            <w:tcW w:w="899" w:type="pct"/>
          </w:tcPr>
          <w:p w14:paraId="326B4FC1" w14:textId="5A20318F" w:rsidR="00B70605" w:rsidRPr="0073148A" w:rsidRDefault="00B70605" w:rsidP="0073148A">
            <w:pPr>
              <w:pStyle w:val="TableNText"/>
            </w:pPr>
            <w:r w:rsidRPr="00B70605">
              <w:t>$45,051</w:t>
            </w:r>
          </w:p>
        </w:tc>
        <w:tc>
          <w:tcPr>
            <w:tcW w:w="900" w:type="pct"/>
          </w:tcPr>
          <w:p w14:paraId="69338839" w14:textId="1722E052" w:rsidR="00B70605" w:rsidRPr="00B70605" w:rsidRDefault="00B70605" w:rsidP="0073148A">
            <w:pPr>
              <w:pStyle w:val="TableNText"/>
            </w:pPr>
            <w:r w:rsidRPr="00B70605">
              <w:t>$34,257</w:t>
            </w:r>
          </w:p>
        </w:tc>
        <w:tc>
          <w:tcPr>
            <w:tcW w:w="900" w:type="pct"/>
          </w:tcPr>
          <w:p w14:paraId="78FDD143" w14:textId="77777777" w:rsidR="00B70605" w:rsidRPr="00D937C1" w:rsidRDefault="00B70605" w:rsidP="0073148A">
            <w:pPr>
              <w:pStyle w:val="TableNText"/>
            </w:pPr>
            <w:r w:rsidRPr="00B70605">
              <w:rPr>
                <w:szCs w:val="19"/>
              </w:rPr>
              <w:t>$43,435</w:t>
            </w:r>
          </w:p>
        </w:tc>
      </w:tr>
      <w:tr w:rsidR="00B70605" w:rsidRPr="00B70605" w14:paraId="5848C2E3" w14:textId="77777777" w:rsidTr="006770B0">
        <w:trPr>
          <w:cnfStyle w:val="000000010000" w:firstRow="0" w:lastRow="0" w:firstColumn="0" w:lastColumn="0" w:oddVBand="0" w:evenVBand="0" w:oddHBand="0" w:evenHBand="1" w:firstRowFirstColumn="0" w:firstRowLastColumn="0" w:lastRowFirstColumn="0" w:lastRowLastColumn="0"/>
        </w:trPr>
        <w:tc>
          <w:tcPr>
            <w:tcW w:w="2301" w:type="pct"/>
          </w:tcPr>
          <w:p w14:paraId="30E591FC" w14:textId="77777777" w:rsidR="00B70605" w:rsidRPr="00B70605" w:rsidRDefault="00B70605" w:rsidP="0073148A">
            <w:pPr>
              <w:pStyle w:val="TableNText"/>
            </w:pPr>
            <w:r w:rsidRPr="00B70605">
              <w:t>PBC support</w:t>
            </w:r>
          </w:p>
        </w:tc>
        <w:tc>
          <w:tcPr>
            <w:tcW w:w="899" w:type="pct"/>
          </w:tcPr>
          <w:p w14:paraId="721E36FA" w14:textId="77777777" w:rsidR="00B70605" w:rsidRPr="00B70605" w:rsidRDefault="00B70605" w:rsidP="0073148A">
            <w:pPr>
              <w:pStyle w:val="TableNText"/>
            </w:pPr>
            <w:r w:rsidRPr="00B70605">
              <w:t>$100,000</w:t>
            </w:r>
          </w:p>
        </w:tc>
        <w:tc>
          <w:tcPr>
            <w:tcW w:w="900" w:type="pct"/>
          </w:tcPr>
          <w:p w14:paraId="0C300B23" w14:textId="77777777" w:rsidR="00B70605" w:rsidRPr="00B70605" w:rsidRDefault="00B70605" w:rsidP="0073148A">
            <w:pPr>
              <w:pStyle w:val="TableNText"/>
            </w:pPr>
            <w:r w:rsidRPr="00B70605">
              <w:t>$100,000</w:t>
            </w:r>
          </w:p>
        </w:tc>
        <w:tc>
          <w:tcPr>
            <w:tcW w:w="900" w:type="pct"/>
          </w:tcPr>
          <w:p w14:paraId="2A27EA00" w14:textId="77777777" w:rsidR="00B70605" w:rsidRPr="00B70605" w:rsidRDefault="00B70605" w:rsidP="0073148A">
            <w:pPr>
              <w:pStyle w:val="TableNText"/>
            </w:pPr>
            <w:r w:rsidRPr="00B70605">
              <w:t>$100,000</w:t>
            </w:r>
          </w:p>
        </w:tc>
      </w:tr>
      <w:tr w:rsidR="00B70605" w:rsidRPr="00B70605" w14:paraId="705E575A" w14:textId="77777777" w:rsidTr="006770B0">
        <w:trPr>
          <w:cnfStyle w:val="000000100000" w:firstRow="0" w:lastRow="0" w:firstColumn="0" w:lastColumn="0" w:oddVBand="0" w:evenVBand="0" w:oddHBand="1" w:evenHBand="0" w:firstRowFirstColumn="0" w:firstRowLastColumn="0" w:lastRowFirstColumn="0" w:lastRowLastColumn="0"/>
        </w:trPr>
        <w:tc>
          <w:tcPr>
            <w:tcW w:w="2301" w:type="pct"/>
          </w:tcPr>
          <w:p w14:paraId="7A6963D7" w14:textId="77777777" w:rsidR="00B70605" w:rsidRPr="00B70605" w:rsidRDefault="00B70605" w:rsidP="0073148A">
            <w:pPr>
              <w:pStyle w:val="TableNText"/>
            </w:pPr>
            <w:r w:rsidRPr="00B70605">
              <w:t>Contested litigation</w:t>
            </w:r>
          </w:p>
        </w:tc>
        <w:tc>
          <w:tcPr>
            <w:tcW w:w="899" w:type="pct"/>
          </w:tcPr>
          <w:p w14:paraId="38282618" w14:textId="77777777" w:rsidR="00B70605" w:rsidRPr="00B70605" w:rsidRDefault="00B70605" w:rsidP="0073148A">
            <w:pPr>
              <w:pStyle w:val="TableNText"/>
            </w:pPr>
            <w:r w:rsidRPr="00B70605">
              <w:t>$0</w:t>
            </w:r>
          </w:p>
        </w:tc>
        <w:tc>
          <w:tcPr>
            <w:tcW w:w="900" w:type="pct"/>
          </w:tcPr>
          <w:p w14:paraId="774A2B46" w14:textId="1DC70BE4" w:rsidR="00B70605" w:rsidRPr="00B70605" w:rsidRDefault="00B70605" w:rsidP="0073148A">
            <w:pPr>
              <w:pStyle w:val="TableNText"/>
              <w:rPr>
                <w:szCs w:val="24"/>
              </w:rPr>
            </w:pPr>
            <w:r w:rsidRPr="00B70605">
              <w:rPr>
                <w:szCs w:val="24"/>
              </w:rPr>
              <w:t>$95</w:t>
            </w:r>
            <w:r>
              <w:rPr>
                <w:szCs w:val="24"/>
              </w:rPr>
              <w:t>,</w:t>
            </w:r>
            <w:r w:rsidRPr="00B70605">
              <w:rPr>
                <w:szCs w:val="24"/>
              </w:rPr>
              <w:t>800</w:t>
            </w:r>
          </w:p>
        </w:tc>
        <w:tc>
          <w:tcPr>
            <w:tcW w:w="900" w:type="pct"/>
          </w:tcPr>
          <w:p w14:paraId="736B2459" w14:textId="13018EAC" w:rsidR="00B70605" w:rsidRPr="00B70605" w:rsidRDefault="00B70605" w:rsidP="0073148A">
            <w:pPr>
              <w:pStyle w:val="TableNText"/>
            </w:pPr>
            <w:r w:rsidRPr="00B70605">
              <w:t>$390</w:t>
            </w:r>
            <w:r>
              <w:t>,</w:t>
            </w:r>
            <w:r w:rsidRPr="00B70605">
              <w:t>441</w:t>
            </w:r>
          </w:p>
        </w:tc>
      </w:tr>
      <w:tr w:rsidR="00B70605" w:rsidRPr="00B70605" w14:paraId="15954054" w14:textId="77777777" w:rsidTr="006770B0">
        <w:trPr>
          <w:cnfStyle w:val="000000010000" w:firstRow="0" w:lastRow="0" w:firstColumn="0" w:lastColumn="0" w:oddVBand="0" w:evenVBand="0" w:oddHBand="0" w:evenHBand="1" w:firstRowFirstColumn="0" w:firstRowLastColumn="0" w:lastRowFirstColumn="0" w:lastRowLastColumn="0"/>
        </w:trPr>
        <w:tc>
          <w:tcPr>
            <w:tcW w:w="2301" w:type="pct"/>
          </w:tcPr>
          <w:p w14:paraId="6E49FC9F" w14:textId="77777777" w:rsidR="00B70605" w:rsidRPr="0073148A" w:rsidRDefault="00B70605" w:rsidP="0073148A">
            <w:pPr>
              <w:pStyle w:val="TableNText"/>
              <w:rPr>
                <w:rFonts w:asciiTheme="majorHAnsi" w:hAnsiTheme="majorHAnsi" w:cstheme="majorHAnsi"/>
              </w:rPr>
            </w:pPr>
            <w:r w:rsidRPr="0073148A">
              <w:rPr>
                <w:rFonts w:asciiTheme="majorHAnsi" w:hAnsiTheme="majorHAnsi" w:cstheme="majorHAnsi"/>
              </w:rPr>
              <w:t>Total attributable</w:t>
            </w:r>
          </w:p>
        </w:tc>
        <w:tc>
          <w:tcPr>
            <w:tcW w:w="899" w:type="pct"/>
          </w:tcPr>
          <w:p w14:paraId="28246E35" w14:textId="7CB928AE" w:rsidR="00B70605" w:rsidRPr="00D937C1" w:rsidRDefault="00B70605" w:rsidP="0073148A">
            <w:pPr>
              <w:pStyle w:val="TableNText"/>
              <w:rPr>
                <w:rFonts w:asciiTheme="majorHAnsi" w:hAnsiTheme="majorHAnsi" w:cstheme="majorHAnsi"/>
              </w:rPr>
            </w:pPr>
            <w:r w:rsidRPr="00D937C1">
              <w:rPr>
                <w:rFonts w:asciiTheme="majorHAnsi" w:hAnsiTheme="majorHAnsi" w:cstheme="majorHAnsi"/>
              </w:rPr>
              <w:t>$2,002,996</w:t>
            </w:r>
          </w:p>
        </w:tc>
        <w:tc>
          <w:tcPr>
            <w:tcW w:w="900" w:type="pct"/>
          </w:tcPr>
          <w:p w14:paraId="7F0FDB3F" w14:textId="595BC885" w:rsidR="00B70605" w:rsidRPr="00D937C1" w:rsidRDefault="00B70605" w:rsidP="0073148A">
            <w:pPr>
              <w:pStyle w:val="TableNText"/>
              <w:rPr>
                <w:rFonts w:asciiTheme="majorHAnsi" w:hAnsiTheme="majorHAnsi" w:cstheme="majorHAnsi"/>
              </w:rPr>
            </w:pPr>
            <w:r w:rsidRPr="00D937C1">
              <w:rPr>
                <w:rFonts w:asciiTheme="majorHAnsi" w:hAnsiTheme="majorHAnsi" w:cstheme="majorHAnsi"/>
              </w:rPr>
              <w:t>$2,083,431</w:t>
            </w:r>
          </w:p>
        </w:tc>
        <w:tc>
          <w:tcPr>
            <w:tcW w:w="900" w:type="pct"/>
          </w:tcPr>
          <w:p w14:paraId="247E1FC3" w14:textId="3A00AF75" w:rsidR="00B70605" w:rsidRPr="00D937C1" w:rsidRDefault="00B70605" w:rsidP="0073148A">
            <w:pPr>
              <w:pStyle w:val="TableNText"/>
              <w:rPr>
                <w:rFonts w:asciiTheme="majorHAnsi" w:hAnsiTheme="majorHAnsi" w:cstheme="majorHAnsi"/>
              </w:rPr>
            </w:pPr>
            <w:r w:rsidRPr="00D937C1">
              <w:rPr>
                <w:rFonts w:asciiTheme="majorHAnsi" w:hAnsiTheme="majorHAnsi" w:cstheme="majorHAnsi"/>
              </w:rPr>
              <w:t>$2,780,999</w:t>
            </w:r>
          </w:p>
        </w:tc>
      </w:tr>
      <w:tr w:rsidR="00B70605" w:rsidRPr="00B70605" w14:paraId="592D6398" w14:textId="77777777" w:rsidTr="006770B0">
        <w:trPr>
          <w:cnfStyle w:val="000000100000" w:firstRow="0" w:lastRow="0" w:firstColumn="0" w:lastColumn="0" w:oddVBand="0" w:evenVBand="0" w:oddHBand="1" w:evenHBand="0" w:firstRowFirstColumn="0" w:firstRowLastColumn="0" w:lastRowFirstColumn="0" w:lastRowLastColumn="0"/>
        </w:trPr>
        <w:tc>
          <w:tcPr>
            <w:tcW w:w="2301" w:type="pct"/>
          </w:tcPr>
          <w:p w14:paraId="19D18ABE" w14:textId="39824605" w:rsidR="00B70605" w:rsidRPr="0073148A" w:rsidRDefault="00B70605" w:rsidP="0073148A">
            <w:pPr>
              <w:pStyle w:val="TableNText"/>
              <w:rPr>
                <w:rFonts w:asciiTheme="majorHAnsi" w:hAnsiTheme="majorHAnsi" w:cstheme="majorHAnsi"/>
              </w:rPr>
            </w:pPr>
            <w:r w:rsidRPr="0073148A">
              <w:rPr>
                <w:rFonts w:asciiTheme="majorHAnsi" w:hAnsiTheme="majorHAnsi" w:cstheme="majorHAnsi"/>
              </w:rPr>
              <w:t>Total corporate (</w:t>
            </w:r>
            <w:r w:rsidR="003E0180" w:rsidRPr="003E0180">
              <w:rPr>
                <w:rFonts w:asciiTheme="majorHAnsi" w:hAnsiTheme="majorHAnsi" w:cstheme="majorHAnsi"/>
              </w:rPr>
              <w:t>for example,</w:t>
            </w:r>
            <w:r w:rsidRPr="0073148A">
              <w:rPr>
                <w:rFonts w:asciiTheme="majorHAnsi" w:hAnsiTheme="majorHAnsi" w:cstheme="majorHAnsi"/>
              </w:rPr>
              <w:t xml:space="preserve"> corporate salaries, communications, etc.) </w:t>
            </w:r>
          </w:p>
        </w:tc>
        <w:tc>
          <w:tcPr>
            <w:tcW w:w="899" w:type="pct"/>
          </w:tcPr>
          <w:p w14:paraId="077C8E37" w14:textId="71AB17FD" w:rsidR="00B70605" w:rsidRPr="00D937C1" w:rsidRDefault="00B70605" w:rsidP="0073148A">
            <w:pPr>
              <w:pStyle w:val="TableNText"/>
              <w:rPr>
                <w:rFonts w:asciiTheme="majorHAnsi" w:hAnsiTheme="majorHAnsi" w:cstheme="majorHAnsi"/>
              </w:rPr>
            </w:pPr>
            <w:r w:rsidRPr="00D937C1">
              <w:rPr>
                <w:rFonts w:asciiTheme="majorHAnsi" w:hAnsiTheme="majorHAnsi" w:cstheme="majorHAnsi"/>
              </w:rPr>
              <w:t>$1,568,187</w:t>
            </w:r>
          </w:p>
        </w:tc>
        <w:tc>
          <w:tcPr>
            <w:tcW w:w="900" w:type="pct"/>
          </w:tcPr>
          <w:p w14:paraId="53F392C1" w14:textId="18F8F992" w:rsidR="00B70605" w:rsidRPr="00D937C1" w:rsidRDefault="00B70605" w:rsidP="0073148A">
            <w:pPr>
              <w:pStyle w:val="TableNText"/>
              <w:rPr>
                <w:rFonts w:asciiTheme="majorHAnsi" w:hAnsiTheme="majorHAnsi" w:cstheme="majorHAnsi"/>
              </w:rPr>
            </w:pPr>
            <w:r w:rsidRPr="00D937C1">
              <w:rPr>
                <w:rFonts w:asciiTheme="majorHAnsi" w:hAnsiTheme="majorHAnsi" w:cstheme="majorHAnsi"/>
              </w:rPr>
              <w:t>$1,760,377</w:t>
            </w:r>
          </w:p>
        </w:tc>
        <w:tc>
          <w:tcPr>
            <w:tcW w:w="900" w:type="pct"/>
          </w:tcPr>
          <w:p w14:paraId="4251DA38" w14:textId="475BF9E4" w:rsidR="00B70605" w:rsidRPr="00D937C1" w:rsidRDefault="0073148A" w:rsidP="0073148A">
            <w:pPr>
              <w:pStyle w:val="TableNText"/>
              <w:rPr>
                <w:rFonts w:asciiTheme="majorHAnsi" w:hAnsiTheme="majorHAnsi" w:cstheme="majorHAnsi"/>
              </w:rPr>
            </w:pPr>
            <w:r w:rsidRPr="00D937C1">
              <w:rPr>
                <w:rFonts w:asciiTheme="majorHAnsi" w:hAnsiTheme="majorHAnsi" w:cstheme="majorHAnsi"/>
              </w:rPr>
              <w:t>$1,746,890</w:t>
            </w:r>
          </w:p>
        </w:tc>
      </w:tr>
      <w:tr w:rsidR="00B70605" w:rsidRPr="00B70605" w14:paraId="433612E3" w14:textId="77777777" w:rsidTr="006770B0">
        <w:trPr>
          <w:cnfStyle w:val="000000010000" w:firstRow="0" w:lastRow="0" w:firstColumn="0" w:lastColumn="0" w:oddVBand="0" w:evenVBand="0" w:oddHBand="0" w:evenHBand="1" w:firstRowFirstColumn="0" w:firstRowLastColumn="0" w:lastRowFirstColumn="0" w:lastRowLastColumn="0"/>
        </w:trPr>
        <w:tc>
          <w:tcPr>
            <w:tcW w:w="2301" w:type="pct"/>
          </w:tcPr>
          <w:p w14:paraId="3D52A279" w14:textId="77777777" w:rsidR="00B70605" w:rsidRPr="0073148A" w:rsidRDefault="00B70605" w:rsidP="0073148A">
            <w:pPr>
              <w:pStyle w:val="TableNText"/>
              <w:rPr>
                <w:rFonts w:asciiTheme="majorHAnsi" w:hAnsiTheme="majorHAnsi" w:cstheme="majorHAnsi"/>
              </w:rPr>
            </w:pPr>
            <w:r w:rsidRPr="0073148A">
              <w:rPr>
                <w:rFonts w:asciiTheme="majorHAnsi" w:hAnsiTheme="majorHAnsi" w:cstheme="majorHAnsi"/>
              </w:rPr>
              <w:t>Total expenditure (inc. GST and capital costs)</w:t>
            </w:r>
          </w:p>
        </w:tc>
        <w:tc>
          <w:tcPr>
            <w:tcW w:w="899" w:type="pct"/>
          </w:tcPr>
          <w:p w14:paraId="262FD726" w14:textId="1F8AD943" w:rsidR="00B70605" w:rsidRPr="00D937C1" w:rsidRDefault="00B70605" w:rsidP="0073148A">
            <w:pPr>
              <w:pStyle w:val="TableNText"/>
              <w:rPr>
                <w:rFonts w:asciiTheme="majorHAnsi" w:hAnsiTheme="majorHAnsi" w:cstheme="majorHAnsi"/>
              </w:rPr>
            </w:pPr>
            <w:r w:rsidRPr="00D937C1">
              <w:rPr>
                <w:rFonts w:asciiTheme="majorHAnsi" w:hAnsiTheme="majorHAnsi" w:cstheme="majorHAnsi"/>
              </w:rPr>
              <w:t>$</w:t>
            </w:r>
            <w:r w:rsidR="00042CFD" w:rsidRPr="00D937C1">
              <w:rPr>
                <w:rFonts w:asciiTheme="majorHAnsi" w:hAnsiTheme="majorHAnsi" w:cstheme="majorHAnsi"/>
              </w:rPr>
              <w:t>3,973,663</w:t>
            </w:r>
          </w:p>
        </w:tc>
        <w:tc>
          <w:tcPr>
            <w:tcW w:w="900" w:type="pct"/>
          </w:tcPr>
          <w:p w14:paraId="145D8275" w14:textId="29DE6AB0" w:rsidR="00B70605" w:rsidRPr="00D937C1" w:rsidRDefault="00B70605" w:rsidP="0073148A">
            <w:pPr>
              <w:pStyle w:val="TableNText"/>
              <w:rPr>
                <w:rFonts w:asciiTheme="majorHAnsi" w:hAnsiTheme="majorHAnsi" w:cstheme="majorHAnsi"/>
              </w:rPr>
            </w:pPr>
            <w:r w:rsidRPr="00D937C1">
              <w:rPr>
                <w:rFonts w:asciiTheme="majorHAnsi" w:hAnsiTheme="majorHAnsi" w:cstheme="majorHAnsi"/>
              </w:rPr>
              <w:t xml:space="preserve">$4,224,635 </w:t>
            </w:r>
          </w:p>
        </w:tc>
        <w:tc>
          <w:tcPr>
            <w:tcW w:w="900" w:type="pct"/>
          </w:tcPr>
          <w:p w14:paraId="76A56C3B" w14:textId="66CCB576" w:rsidR="00B70605" w:rsidRPr="00D937C1" w:rsidRDefault="00B70605" w:rsidP="0073148A">
            <w:pPr>
              <w:pStyle w:val="TableNText"/>
              <w:rPr>
                <w:rFonts w:asciiTheme="majorHAnsi" w:hAnsiTheme="majorHAnsi" w:cstheme="majorHAnsi"/>
              </w:rPr>
            </w:pPr>
            <w:r w:rsidRPr="00D937C1">
              <w:rPr>
                <w:rFonts w:asciiTheme="majorHAnsi" w:hAnsiTheme="majorHAnsi" w:cstheme="majorHAnsi"/>
              </w:rPr>
              <w:t>$4,967,881</w:t>
            </w:r>
          </w:p>
        </w:tc>
      </w:tr>
    </w:tbl>
    <w:p w14:paraId="3A23D4A6" w14:textId="77777777" w:rsidR="00CF2378" w:rsidRPr="00CF2378" w:rsidRDefault="00CF2378" w:rsidP="00CF2378">
      <w:pPr>
        <w:spacing w:before="40" w:after="40" w:line="240" w:lineRule="auto"/>
        <w:rPr>
          <w:rFonts w:ascii="Segoe UI Semibold" w:hAnsi="Segoe UI Semibold"/>
          <w:color w:val="00264D" w:themeColor="background2"/>
          <w:sz w:val="18"/>
        </w:rPr>
      </w:pPr>
    </w:p>
    <w:p w14:paraId="4B766662" w14:textId="196DDE5A" w:rsidR="007B56EF" w:rsidRDefault="00E662F7" w:rsidP="001864DE">
      <w:r>
        <w:t>S</w:t>
      </w:r>
      <w:r w:rsidR="00CF2378" w:rsidRPr="00CF2378">
        <w:t xml:space="preserve">taff salaries were </w:t>
      </w:r>
      <w:r w:rsidR="00B778A1">
        <w:t>FNLRS’s</w:t>
      </w:r>
      <w:r w:rsidR="00CF2378" w:rsidRPr="00CF2378">
        <w:t xml:space="preserve"> greatest expenditure</w:t>
      </w:r>
      <w:r>
        <w:t xml:space="preserve"> in each financial year</w:t>
      </w:r>
      <w:r w:rsidR="00CF2378" w:rsidRPr="00CF2378">
        <w:t>, making up around 60</w:t>
      </w:r>
      <w:r w:rsidR="006E240F">
        <w:t xml:space="preserve"> per cent</w:t>
      </w:r>
      <w:r w:rsidR="00CF2378" w:rsidRPr="00CF2378">
        <w:t xml:space="preserve"> of expenditure on average. Increases in employee salaries, which </w:t>
      </w:r>
      <w:r w:rsidR="00A352A9">
        <w:t>rose</w:t>
      </w:r>
      <w:r w:rsidR="00CF2378" w:rsidRPr="00CF2378">
        <w:t xml:space="preserve"> by 18 per cent between FY2019-20 and FY2021-22, were attributed by staff to the </w:t>
      </w:r>
      <w:r w:rsidR="00E807E1">
        <w:t>2018-</w:t>
      </w:r>
      <w:r w:rsidR="001864DE">
        <w:t>2021</w:t>
      </w:r>
      <w:r w:rsidR="00CF2378" w:rsidRPr="00CF2378">
        <w:t xml:space="preserve"> enterpr</w:t>
      </w:r>
      <w:r w:rsidR="006D585D">
        <w:t xml:space="preserve">ise agreement </w:t>
      </w:r>
      <w:r w:rsidR="00CF2378" w:rsidRPr="00CF2378">
        <w:t>coming into effect</w:t>
      </w:r>
      <w:r w:rsidR="001864DE">
        <w:t xml:space="preserve"> in July 2021</w:t>
      </w:r>
      <w:r w:rsidR="00CF2378" w:rsidRPr="00CF2378">
        <w:t xml:space="preserve"> and promotions for staff. </w:t>
      </w:r>
    </w:p>
    <w:p w14:paraId="0BA1A678" w14:textId="4EF33FB7" w:rsidR="00CF2378" w:rsidRDefault="005A4FF3" w:rsidP="00CF2378">
      <w:r>
        <w:t>C</w:t>
      </w:r>
      <w:r w:rsidR="00CF2378" w:rsidRPr="00CF2378">
        <w:t xml:space="preserve">ompetitive market conditions for professionals in the native title space </w:t>
      </w:r>
      <w:r>
        <w:t xml:space="preserve">contributed to </w:t>
      </w:r>
      <w:r w:rsidR="00CF2378" w:rsidRPr="00CF2378">
        <w:t xml:space="preserve">high salary expenditure. Consultant expenditure, which almost tripled from FY2019-20 to FY2021-22, was mostly due to funding required for external legal representation in litigation </w:t>
      </w:r>
      <w:r w:rsidR="00343BC2" w:rsidRPr="00CF2378">
        <w:t>matters and</w:t>
      </w:r>
      <w:r w:rsidR="00CF2378" w:rsidRPr="00CF2378">
        <w:t xml:space="preserve"> is described below.</w:t>
      </w:r>
    </w:p>
    <w:p w14:paraId="58E47379" w14:textId="77777777" w:rsidR="00CF2378" w:rsidRPr="00CF2378" w:rsidRDefault="00CF2378" w:rsidP="00CF2378">
      <w:pPr>
        <w:keepNext/>
        <w:spacing w:before="240" w:after="60"/>
        <w:outlineLvl w:val="3"/>
        <w:rPr>
          <w:rFonts w:ascii="Segoe UI Semibold" w:eastAsia="Times New Roman" w:hAnsi="Segoe UI Semibold" w:cs="Times New Roman"/>
          <w:color w:val="00264D" w:themeColor="background2"/>
          <w:sz w:val="22"/>
          <w:szCs w:val="19"/>
          <w:lang w:eastAsia="en-AU"/>
        </w:rPr>
      </w:pPr>
      <w:r w:rsidRPr="00CF2378">
        <w:rPr>
          <w:rFonts w:ascii="Segoe UI Semibold" w:eastAsia="Times New Roman" w:hAnsi="Segoe UI Semibold" w:cs="Times New Roman"/>
          <w:color w:val="00264D" w:themeColor="background2"/>
          <w:sz w:val="22"/>
          <w:szCs w:val="19"/>
          <w:lang w:eastAsia="en-AU"/>
        </w:rPr>
        <w:lastRenderedPageBreak/>
        <w:t>Cost-saving actions, strategies and/or discussions</w:t>
      </w:r>
    </w:p>
    <w:p w14:paraId="4F2EDA3F" w14:textId="1F256E11" w:rsidR="00CF2378" w:rsidRPr="00CF2378" w:rsidRDefault="00CF2378" w:rsidP="00447C8A">
      <w:pPr>
        <w:pStyle w:val="Heading5"/>
      </w:pPr>
      <w:r w:rsidRPr="00CF2378">
        <w:t xml:space="preserve">FNLRS </w:t>
      </w:r>
      <w:r w:rsidR="00C93571">
        <w:t>implemented</w:t>
      </w:r>
      <w:r w:rsidRPr="00CF2378">
        <w:t xml:space="preserve"> a range of measures to </w:t>
      </w:r>
      <w:r w:rsidR="0088230C">
        <w:t>constrain</w:t>
      </w:r>
      <w:r w:rsidRPr="00CF2378">
        <w:t xml:space="preserve"> expenditure during the Review period</w:t>
      </w:r>
    </w:p>
    <w:p w14:paraId="4ABB9965" w14:textId="2AB3B1FB" w:rsidR="00852D82" w:rsidRDefault="0088230C" w:rsidP="00CF2378">
      <w:pPr>
        <w:rPr>
          <w:lang w:eastAsia="en-AU"/>
        </w:rPr>
      </w:pPr>
      <w:r>
        <w:rPr>
          <w:lang w:eastAsia="en-AU"/>
        </w:rPr>
        <w:t>Consu</w:t>
      </w:r>
      <w:r w:rsidR="001A2A6F">
        <w:rPr>
          <w:lang w:eastAsia="en-AU"/>
        </w:rPr>
        <w:t>ltations with staff</w:t>
      </w:r>
      <w:r w:rsidR="00EB7630" w:rsidRPr="00EB7630">
        <w:rPr>
          <w:lang w:eastAsia="en-AU"/>
        </w:rPr>
        <w:t xml:space="preserve"> </w:t>
      </w:r>
      <w:r>
        <w:rPr>
          <w:lang w:eastAsia="en-AU"/>
        </w:rPr>
        <w:t>indicated that</w:t>
      </w:r>
      <w:r w:rsidR="00EB7630" w:rsidRPr="00EB7630">
        <w:rPr>
          <w:lang w:eastAsia="en-AU"/>
        </w:rPr>
        <w:t xml:space="preserve"> FNLRS w</w:t>
      </w:r>
      <w:r w:rsidR="0024675F">
        <w:rPr>
          <w:lang w:eastAsia="en-AU"/>
        </w:rPr>
        <w:t>as</w:t>
      </w:r>
      <w:r w:rsidR="00EB7630" w:rsidRPr="00EB7630">
        <w:rPr>
          <w:lang w:eastAsia="en-AU"/>
        </w:rPr>
        <w:t xml:space="preserve"> highly cost</w:t>
      </w:r>
      <w:r w:rsidR="00EB7630">
        <w:rPr>
          <w:lang w:eastAsia="en-AU"/>
        </w:rPr>
        <w:t>-</w:t>
      </w:r>
      <w:r w:rsidR="00EB7630" w:rsidRPr="00EB7630">
        <w:rPr>
          <w:lang w:eastAsia="en-AU"/>
        </w:rPr>
        <w:t>conscious</w:t>
      </w:r>
      <w:r w:rsidR="002E3262">
        <w:rPr>
          <w:lang w:eastAsia="en-AU"/>
        </w:rPr>
        <w:t xml:space="preserve"> and continued to search for ways to reduce costs throughout the Review period. </w:t>
      </w:r>
      <w:r w:rsidR="00085DCB">
        <w:rPr>
          <w:lang w:eastAsia="en-AU"/>
        </w:rPr>
        <w:t>T</w:t>
      </w:r>
      <w:r w:rsidR="00CF2378" w:rsidRPr="00CF2378">
        <w:rPr>
          <w:lang w:eastAsia="en-AU"/>
        </w:rPr>
        <w:t xml:space="preserve">ravel assistance policies (see below) </w:t>
      </w:r>
      <w:r w:rsidR="00085DCB">
        <w:rPr>
          <w:lang w:eastAsia="en-AU"/>
        </w:rPr>
        <w:t xml:space="preserve">were in place </w:t>
      </w:r>
      <w:r w:rsidR="00CF2378" w:rsidRPr="00CF2378">
        <w:rPr>
          <w:lang w:eastAsia="en-AU"/>
        </w:rPr>
        <w:t xml:space="preserve">to support cost-effectiveness. </w:t>
      </w:r>
      <w:r w:rsidR="00852D82">
        <w:rPr>
          <w:lang w:eastAsia="en-AU"/>
        </w:rPr>
        <w:t>FNLRS</w:t>
      </w:r>
      <w:r w:rsidR="00C3452A">
        <w:rPr>
          <w:lang w:eastAsia="en-AU"/>
        </w:rPr>
        <w:t xml:space="preserve"> staff reported seeking the </w:t>
      </w:r>
      <w:r w:rsidR="00852D82">
        <w:rPr>
          <w:lang w:eastAsia="en-AU"/>
        </w:rPr>
        <w:t xml:space="preserve">best </w:t>
      </w:r>
      <w:r w:rsidR="00D147B6">
        <w:rPr>
          <w:lang w:eastAsia="en-AU"/>
        </w:rPr>
        <w:t>value</w:t>
      </w:r>
      <w:r w:rsidR="00852D82">
        <w:rPr>
          <w:lang w:eastAsia="en-AU"/>
        </w:rPr>
        <w:t xml:space="preserve"> </w:t>
      </w:r>
      <w:r w:rsidR="000E636E">
        <w:rPr>
          <w:lang w:eastAsia="en-AU"/>
        </w:rPr>
        <w:t xml:space="preserve">for </w:t>
      </w:r>
      <w:r w:rsidR="00D147B6">
        <w:rPr>
          <w:lang w:eastAsia="en-AU"/>
        </w:rPr>
        <w:t>meeting expenses, such as through sourcing multiple quotes for catering</w:t>
      </w:r>
      <w:r w:rsidR="000D3E03">
        <w:rPr>
          <w:lang w:eastAsia="en-AU"/>
        </w:rPr>
        <w:t xml:space="preserve"> and</w:t>
      </w:r>
      <w:r w:rsidR="00951F18">
        <w:rPr>
          <w:lang w:eastAsia="en-AU"/>
        </w:rPr>
        <w:t xml:space="preserve"> seeking</w:t>
      </w:r>
      <w:r w:rsidR="00085DCB">
        <w:rPr>
          <w:lang w:eastAsia="en-AU"/>
        </w:rPr>
        <w:t xml:space="preserve"> the most</w:t>
      </w:r>
      <w:r w:rsidR="00951F18">
        <w:rPr>
          <w:lang w:eastAsia="en-AU"/>
        </w:rPr>
        <w:t xml:space="preserve"> affordable accommodation</w:t>
      </w:r>
      <w:r w:rsidR="001C28D5">
        <w:rPr>
          <w:lang w:eastAsia="en-AU"/>
        </w:rPr>
        <w:t>.</w:t>
      </w:r>
    </w:p>
    <w:p w14:paraId="5377954D" w14:textId="7C2099AC" w:rsidR="00CF2378" w:rsidRDefault="00852D82" w:rsidP="00CF2378">
      <w:pPr>
        <w:rPr>
          <w:lang w:eastAsia="en-AU"/>
        </w:rPr>
      </w:pPr>
      <w:r>
        <w:rPr>
          <w:lang w:eastAsia="en-AU"/>
        </w:rPr>
        <w:t xml:space="preserve">FNLRS could benefit from </w:t>
      </w:r>
      <w:r w:rsidR="00AE560F">
        <w:rPr>
          <w:lang w:eastAsia="en-AU"/>
        </w:rPr>
        <w:t>formalising cost-saving</w:t>
      </w:r>
      <w:r w:rsidR="0010729F">
        <w:rPr>
          <w:lang w:eastAsia="en-AU"/>
        </w:rPr>
        <w:t xml:space="preserve"> policies</w:t>
      </w:r>
      <w:r w:rsidR="001C28D5">
        <w:rPr>
          <w:lang w:eastAsia="en-AU"/>
        </w:rPr>
        <w:t xml:space="preserve"> (</w:t>
      </w:r>
      <w:r w:rsidR="003E0180">
        <w:rPr>
          <w:lang w:eastAsia="en-AU"/>
        </w:rPr>
        <w:t>for example,</w:t>
      </w:r>
      <w:r w:rsidR="001C28D5">
        <w:rPr>
          <w:lang w:eastAsia="en-AU"/>
        </w:rPr>
        <w:t xml:space="preserve"> </w:t>
      </w:r>
      <w:r w:rsidR="00B24E1D">
        <w:rPr>
          <w:lang w:eastAsia="en-AU"/>
        </w:rPr>
        <w:t>procurement policies for meetings)</w:t>
      </w:r>
      <w:r w:rsidR="00AE560F">
        <w:rPr>
          <w:lang w:eastAsia="en-AU"/>
        </w:rPr>
        <w:t xml:space="preserve"> for </w:t>
      </w:r>
      <w:r w:rsidR="008E0A6A">
        <w:rPr>
          <w:lang w:eastAsia="en-AU"/>
        </w:rPr>
        <w:t>categories of expenditure</w:t>
      </w:r>
      <w:r w:rsidR="001C28D5">
        <w:rPr>
          <w:lang w:eastAsia="en-AU"/>
        </w:rPr>
        <w:t xml:space="preserve"> that currently do not have one. </w:t>
      </w:r>
      <w:r w:rsidR="00B24E1D">
        <w:rPr>
          <w:lang w:eastAsia="en-AU"/>
        </w:rPr>
        <w:t>This would help to ensure a consistent approach</w:t>
      </w:r>
      <w:r w:rsidR="00F91027">
        <w:rPr>
          <w:lang w:eastAsia="en-AU"/>
        </w:rPr>
        <w:t xml:space="preserve"> to expenditure</w:t>
      </w:r>
      <w:r w:rsidR="00B24E1D">
        <w:rPr>
          <w:lang w:eastAsia="en-AU"/>
        </w:rPr>
        <w:t xml:space="preserve"> is applied </w:t>
      </w:r>
      <w:r w:rsidR="00F91027">
        <w:rPr>
          <w:lang w:eastAsia="en-AU"/>
        </w:rPr>
        <w:t>across the organisatio</w:t>
      </w:r>
      <w:r w:rsidR="00492F19">
        <w:rPr>
          <w:lang w:eastAsia="en-AU"/>
        </w:rPr>
        <w:t>n.</w:t>
      </w:r>
      <w:r w:rsidR="00C12135">
        <w:rPr>
          <w:lang w:eastAsia="en-AU"/>
        </w:rPr>
        <w:t xml:space="preserve"> </w:t>
      </w:r>
      <w:r w:rsidR="00492F19">
        <w:rPr>
          <w:lang w:eastAsia="en-AU"/>
        </w:rPr>
        <w:t>It also</w:t>
      </w:r>
      <w:r w:rsidR="00F91027">
        <w:rPr>
          <w:lang w:eastAsia="en-AU"/>
        </w:rPr>
        <w:t xml:space="preserve"> </w:t>
      </w:r>
      <w:r w:rsidR="00492F19">
        <w:rPr>
          <w:lang w:eastAsia="en-AU"/>
        </w:rPr>
        <w:t xml:space="preserve">lessens reliance on staff </w:t>
      </w:r>
      <w:r w:rsidR="00050D37">
        <w:rPr>
          <w:lang w:eastAsia="en-AU"/>
        </w:rPr>
        <w:t>that possess knowledge of informal</w:t>
      </w:r>
      <w:r w:rsidR="006F2B2B">
        <w:rPr>
          <w:lang w:eastAsia="en-AU"/>
        </w:rPr>
        <w:t xml:space="preserve"> cost-saving</w:t>
      </w:r>
      <w:r w:rsidR="00050D37">
        <w:rPr>
          <w:lang w:eastAsia="en-AU"/>
        </w:rPr>
        <w:t xml:space="preserve"> policies</w:t>
      </w:r>
      <w:r w:rsidR="00A96835">
        <w:rPr>
          <w:lang w:eastAsia="en-AU"/>
        </w:rPr>
        <w:t>.</w:t>
      </w:r>
    </w:p>
    <w:p w14:paraId="5002CA56" w14:textId="2455E98D" w:rsidR="00A96835" w:rsidRPr="00CF2378" w:rsidRDefault="00265FBC" w:rsidP="00CF2378">
      <w:pPr>
        <w:rPr>
          <w:lang w:eastAsia="en-AU"/>
        </w:rPr>
      </w:pPr>
      <w:r w:rsidRPr="003D5959">
        <w:rPr>
          <w:lang w:eastAsia="en-AU"/>
        </w:rPr>
        <w:t xml:space="preserve">Documentation for </w:t>
      </w:r>
      <w:r w:rsidR="008661E0">
        <w:rPr>
          <w:lang w:eastAsia="en-AU"/>
        </w:rPr>
        <w:t>FNLRS’s Third Party Provider Panel did</w:t>
      </w:r>
      <w:r w:rsidR="00AF0528" w:rsidRPr="003D5959">
        <w:rPr>
          <w:lang w:eastAsia="en-AU"/>
        </w:rPr>
        <w:t xml:space="preserve"> not mention </w:t>
      </w:r>
      <w:r w:rsidR="003D5959" w:rsidRPr="003D5959">
        <w:rPr>
          <w:lang w:eastAsia="en-AU"/>
        </w:rPr>
        <w:t xml:space="preserve">the </w:t>
      </w:r>
      <w:r w:rsidR="00600D03">
        <w:rPr>
          <w:lang w:eastAsia="en-AU"/>
        </w:rPr>
        <w:t>imposition</w:t>
      </w:r>
      <w:r w:rsidR="00600D03" w:rsidRPr="003D5959">
        <w:rPr>
          <w:lang w:eastAsia="en-AU"/>
        </w:rPr>
        <w:t xml:space="preserve"> </w:t>
      </w:r>
      <w:r w:rsidR="003D5959" w:rsidRPr="003D5959">
        <w:rPr>
          <w:lang w:eastAsia="en-AU"/>
        </w:rPr>
        <w:t xml:space="preserve">of </w:t>
      </w:r>
      <w:r w:rsidR="00534183" w:rsidRPr="003D5959">
        <w:rPr>
          <w:lang w:eastAsia="en-AU"/>
        </w:rPr>
        <w:t>spending caps</w:t>
      </w:r>
      <w:r w:rsidR="0057365C" w:rsidRPr="003D5959">
        <w:rPr>
          <w:lang w:eastAsia="en-AU"/>
        </w:rPr>
        <w:t xml:space="preserve"> </w:t>
      </w:r>
      <w:r w:rsidR="00C3452A" w:rsidRPr="003D5959">
        <w:rPr>
          <w:lang w:eastAsia="en-AU"/>
        </w:rPr>
        <w:t>for legal fees</w:t>
      </w:r>
      <w:r w:rsidR="00AE1440">
        <w:rPr>
          <w:lang w:eastAsia="en-AU"/>
        </w:rPr>
        <w:t xml:space="preserve">. Caps should be </w:t>
      </w:r>
      <w:r w:rsidR="00823A5E">
        <w:rPr>
          <w:lang w:eastAsia="en-AU"/>
        </w:rPr>
        <w:t>required</w:t>
      </w:r>
      <w:r w:rsidR="00AE1440">
        <w:rPr>
          <w:lang w:eastAsia="en-AU"/>
        </w:rPr>
        <w:t xml:space="preserve"> </w:t>
      </w:r>
      <w:r w:rsidR="0057365C">
        <w:rPr>
          <w:lang w:eastAsia="en-AU"/>
        </w:rPr>
        <w:t xml:space="preserve">by FNLRS to ensure </w:t>
      </w:r>
      <w:r w:rsidR="00AF5DCF">
        <w:rPr>
          <w:lang w:eastAsia="en-AU"/>
        </w:rPr>
        <w:t>that</w:t>
      </w:r>
      <w:r w:rsidR="000C19C9">
        <w:rPr>
          <w:lang w:eastAsia="en-AU"/>
        </w:rPr>
        <w:t xml:space="preserve"> </w:t>
      </w:r>
      <w:r w:rsidR="002113EE">
        <w:rPr>
          <w:lang w:eastAsia="en-AU"/>
        </w:rPr>
        <w:t xml:space="preserve">NIAA funding is used </w:t>
      </w:r>
      <w:r w:rsidR="00116718">
        <w:rPr>
          <w:lang w:eastAsia="en-AU"/>
        </w:rPr>
        <w:t>carefully</w:t>
      </w:r>
      <w:r w:rsidR="002113EE">
        <w:rPr>
          <w:lang w:eastAsia="en-AU"/>
        </w:rPr>
        <w:t xml:space="preserve">, </w:t>
      </w:r>
      <w:r w:rsidR="00440E7F">
        <w:rPr>
          <w:lang w:eastAsia="en-AU"/>
        </w:rPr>
        <w:t xml:space="preserve">with </w:t>
      </w:r>
      <w:r w:rsidR="005E369B">
        <w:rPr>
          <w:lang w:eastAsia="en-AU"/>
        </w:rPr>
        <w:t xml:space="preserve">maximum </w:t>
      </w:r>
      <w:r w:rsidR="00AF5DCF">
        <w:rPr>
          <w:lang w:eastAsia="en-AU"/>
        </w:rPr>
        <w:t xml:space="preserve">fees </w:t>
      </w:r>
      <w:r w:rsidR="005E369B">
        <w:rPr>
          <w:lang w:eastAsia="en-AU"/>
        </w:rPr>
        <w:t>ideally</w:t>
      </w:r>
      <w:r w:rsidR="00440E7F">
        <w:rPr>
          <w:lang w:eastAsia="en-AU"/>
        </w:rPr>
        <w:t xml:space="preserve"> being </w:t>
      </w:r>
      <w:proofErr w:type="gramStart"/>
      <w:r w:rsidR="00AF5DCF">
        <w:rPr>
          <w:lang w:eastAsia="en-AU"/>
        </w:rPr>
        <w:t>similar to</w:t>
      </w:r>
      <w:proofErr w:type="gramEnd"/>
      <w:r w:rsidR="00AF5DCF">
        <w:rPr>
          <w:lang w:eastAsia="en-AU"/>
        </w:rPr>
        <w:t xml:space="preserve"> </w:t>
      </w:r>
      <w:r w:rsidR="00B778A1">
        <w:rPr>
          <w:lang w:eastAsia="en-AU"/>
        </w:rPr>
        <w:t>FNLRS’s</w:t>
      </w:r>
      <w:r w:rsidR="00440E7F">
        <w:rPr>
          <w:lang w:eastAsia="en-AU"/>
        </w:rPr>
        <w:t xml:space="preserve"> </w:t>
      </w:r>
      <w:r w:rsidR="005E369B">
        <w:rPr>
          <w:lang w:eastAsia="en-AU"/>
        </w:rPr>
        <w:t xml:space="preserve">current </w:t>
      </w:r>
      <w:r w:rsidR="00440E7F">
        <w:rPr>
          <w:lang w:eastAsia="en-AU"/>
        </w:rPr>
        <w:t>pricing</w:t>
      </w:r>
      <w:r w:rsidR="005E369B">
        <w:rPr>
          <w:lang w:eastAsia="en-AU"/>
        </w:rPr>
        <w:t xml:space="preserve"> for legal services </w:t>
      </w:r>
      <w:r w:rsidR="00440E7F">
        <w:rPr>
          <w:lang w:eastAsia="en-AU"/>
        </w:rPr>
        <w:t>(</w:t>
      </w:r>
      <w:r w:rsidR="000566C1">
        <w:rPr>
          <w:lang w:eastAsia="en-AU"/>
        </w:rPr>
        <w:t>avoiding</w:t>
      </w:r>
      <w:r w:rsidR="00440E7F">
        <w:rPr>
          <w:lang w:eastAsia="en-AU"/>
        </w:rPr>
        <w:t xml:space="preserve"> </w:t>
      </w:r>
      <w:r w:rsidR="000555C4">
        <w:rPr>
          <w:lang w:eastAsia="en-AU"/>
        </w:rPr>
        <w:t>“</w:t>
      </w:r>
      <w:r w:rsidR="000566C1">
        <w:rPr>
          <w:lang w:eastAsia="en-AU"/>
        </w:rPr>
        <w:t>typical</w:t>
      </w:r>
      <w:r w:rsidR="000555C4">
        <w:rPr>
          <w:lang w:eastAsia="en-AU"/>
        </w:rPr>
        <w:t>”</w:t>
      </w:r>
      <w:r w:rsidR="000566C1">
        <w:rPr>
          <w:lang w:eastAsia="en-AU"/>
        </w:rPr>
        <w:t xml:space="preserve"> law</w:t>
      </w:r>
      <w:r w:rsidR="00440E7F">
        <w:rPr>
          <w:lang w:eastAsia="en-AU"/>
        </w:rPr>
        <w:t xml:space="preserve"> firm</w:t>
      </w:r>
      <w:r w:rsidR="000566C1">
        <w:rPr>
          <w:lang w:eastAsia="en-AU"/>
        </w:rPr>
        <w:t xml:space="preserve"> charges</w:t>
      </w:r>
      <w:r w:rsidR="00440E7F">
        <w:rPr>
          <w:lang w:eastAsia="en-AU"/>
        </w:rPr>
        <w:t>).</w:t>
      </w:r>
    </w:p>
    <w:p w14:paraId="3A63E995" w14:textId="226A30C6" w:rsidR="00CF2378" w:rsidRPr="00CF2378" w:rsidRDefault="00B778A1" w:rsidP="00343D62">
      <w:pPr>
        <w:pStyle w:val="Heading5"/>
      </w:pPr>
      <w:r>
        <w:t>FNLRS’s</w:t>
      </w:r>
      <w:r w:rsidR="00B71D42">
        <w:t xml:space="preserve"> planned </w:t>
      </w:r>
      <w:r w:rsidR="00CF2378" w:rsidRPr="00CF2378">
        <w:t xml:space="preserve">move </w:t>
      </w:r>
      <w:r w:rsidR="00B71D42">
        <w:t xml:space="preserve">to a co-working </w:t>
      </w:r>
      <w:r w:rsidR="00CF2378" w:rsidRPr="00CF2378">
        <w:t xml:space="preserve">office </w:t>
      </w:r>
      <w:r w:rsidR="00AF5DCF">
        <w:t xml:space="preserve">should </w:t>
      </w:r>
      <w:r w:rsidR="00895BE4">
        <w:t>result in significant cost savings</w:t>
      </w:r>
    </w:p>
    <w:p w14:paraId="1F0D8913" w14:textId="27174C3D" w:rsidR="00CF2378" w:rsidRPr="00CF2378" w:rsidRDefault="00CF2378" w:rsidP="00CF2378">
      <w:pPr>
        <w:rPr>
          <w:lang w:eastAsia="en-AU"/>
        </w:rPr>
      </w:pPr>
      <w:r w:rsidRPr="00CF2378">
        <w:rPr>
          <w:lang w:eastAsia="en-AU"/>
        </w:rPr>
        <w:t>At the time of consultation in Nov</w:t>
      </w:r>
      <w:r w:rsidR="00C3452A">
        <w:rPr>
          <w:lang w:eastAsia="en-AU"/>
        </w:rPr>
        <w:t xml:space="preserve">ember </w:t>
      </w:r>
      <w:r w:rsidRPr="00CF2378">
        <w:rPr>
          <w:lang w:eastAsia="en-AU"/>
        </w:rPr>
        <w:t xml:space="preserve">2023, FNLRS was in the process of relocating from their current North Melbourne office to a </w:t>
      </w:r>
      <w:r w:rsidR="00B71D42">
        <w:rPr>
          <w:lang w:eastAsia="en-AU"/>
        </w:rPr>
        <w:t>co-working</w:t>
      </w:r>
      <w:r w:rsidRPr="00CF2378">
        <w:rPr>
          <w:lang w:eastAsia="en-AU"/>
        </w:rPr>
        <w:t xml:space="preserve"> </w:t>
      </w:r>
      <w:r w:rsidR="00C3452A">
        <w:rPr>
          <w:lang w:eastAsia="en-AU"/>
        </w:rPr>
        <w:t>space</w:t>
      </w:r>
      <w:r w:rsidR="00B13E7B">
        <w:rPr>
          <w:lang w:eastAsia="en-AU"/>
        </w:rPr>
        <w:t xml:space="preserve"> in </w:t>
      </w:r>
      <w:r w:rsidR="00146683">
        <w:rPr>
          <w:lang w:eastAsia="en-AU"/>
        </w:rPr>
        <w:t>Fitzroy</w:t>
      </w:r>
      <w:r w:rsidR="00691042">
        <w:rPr>
          <w:lang w:eastAsia="en-AU"/>
        </w:rPr>
        <w:t xml:space="preserve">. </w:t>
      </w:r>
      <w:r w:rsidR="00AF5DCF">
        <w:rPr>
          <w:lang w:eastAsia="en-AU"/>
        </w:rPr>
        <w:t>FNLRS management expected that</w:t>
      </w:r>
      <w:r w:rsidR="00A31DE7">
        <w:rPr>
          <w:lang w:eastAsia="en-AU"/>
        </w:rPr>
        <w:t xml:space="preserve"> the office move </w:t>
      </w:r>
      <w:r w:rsidR="00B13B32">
        <w:rPr>
          <w:lang w:eastAsia="en-AU"/>
        </w:rPr>
        <w:t>will</w:t>
      </w:r>
      <w:r w:rsidR="00A31DE7">
        <w:rPr>
          <w:lang w:eastAsia="en-AU"/>
        </w:rPr>
        <w:t xml:space="preserve"> result in a significant reduction in rent expenses</w:t>
      </w:r>
      <w:r w:rsidRPr="00B71D42">
        <w:rPr>
          <w:lang w:eastAsia="en-AU"/>
        </w:rPr>
        <w:t>.</w:t>
      </w:r>
      <w:r w:rsidRPr="00CF2378">
        <w:rPr>
          <w:lang w:eastAsia="en-AU"/>
        </w:rPr>
        <w:t xml:space="preserve"> The relocation </w:t>
      </w:r>
      <w:r w:rsidR="00A31DE7">
        <w:rPr>
          <w:lang w:eastAsia="en-AU"/>
        </w:rPr>
        <w:t>was</w:t>
      </w:r>
      <w:r w:rsidRPr="00CF2378">
        <w:rPr>
          <w:lang w:eastAsia="en-AU"/>
        </w:rPr>
        <w:t xml:space="preserve"> enabled by </w:t>
      </w:r>
      <w:r w:rsidR="00B778A1">
        <w:rPr>
          <w:lang w:eastAsia="en-AU"/>
        </w:rPr>
        <w:t>FNLRS’s</w:t>
      </w:r>
      <w:r w:rsidRPr="00CF2378">
        <w:rPr>
          <w:lang w:eastAsia="en-AU"/>
        </w:rPr>
        <w:t xml:space="preserve"> separation </w:t>
      </w:r>
      <w:r w:rsidR="00122B3E">
        <w:rPr>
          <w:lang w:eastAsia="en-AU"/>
        </w:rPr>
        <w:t>from</w:t>
      </w:r>
      <w:r w:rsidRPr="00CF2378">
        <w:rPr>
          <w:lang w:eastAsia="en-AU"/>
        </w:rPr>
        <w:t xml:space="preserve"> </w:t>
      </w:r>
      <w:r w:rsidR="004A5871">
        <w:rPr>
          <w:lang w:eastAsia="en-AU"/>
        </w:rPr>
        <w:t xml:space="preserve">the </w:t>
      </w:r>
      <w:r w:rsidR="00923CCC">
        <w:rPr>
          <w:lang w:eastAsia="en-AU"/>
        </w:rPr>
        <w:t>Federation</w:t>
      </w:r>
      <w:r w:rsidR="0042428D">
        <w:rPr>
          <w:lang w:eastAsia="en-AU"/>
        </w:rPr>
        <w:t xml:space="preserve"> </w:t>
      </w:r>
      <w:r w:rsidRPr="00CF2378">
        <w:rPr>
          <w:lang w:eastAsia="en-AU"/>
        </w:rPr>
        <w:t>in FY</w:t>
      </w:r>
      <w:r w:rsidR="00D937C1">
        <w:rPr>
          <w:lang w:eastAsia="en-AU"/>
        </w:rPr>
        <w:t>20</w:t>
      </w:r>
      <w:r w:rsidRPr="00CF2378">
        <w:rPr>
          <w:lang w:eastAsia="en-AU"/>
        </w:rPr>
        <w:t xml:space="preserve">21-22, who FNLRS had shared offices with, and the sustained use of hybrid working </w:t>
      </w:r>
      <w:r w:rsidR="005479D1">
        <w:rPr>
          <w:lang w:eastAsia="en-AU"/>
        </w:rPr>
        <w:t xml:space="preserve">during and </w:t>
      </w:r>
      <w:r w:rsidRPr="00CF2378">
        <w:rPr>
          <w:lang w:eastAsia="en-AU"/>
        </w:rPr>
        <w:t xml:space="preserve">after </w:t>
      </w:r>
      <w:r w:rsidR="005479D1">
        <w:rPr>
          <w:lang w:eastAsia="en-AU"/>
        </w:rPr>
        <w:t xml:space="preserve">the </w:t>
      </w:r>
      <w:r w:rsidRPr="00CF2378">
        <w:rPr>
          <w:lang w:eastAsia="en-AU"/>
        </w:rPr>
        <w:t>COVID-19</w:t>
      </w:r>
      <w:r w:rsidR="005479D1">
        <w:rPr>
          <w:lang w:eastAsia="en-AU"/>
        </w:rPr>
        <w:t xml:space="preserve"> pandemic</w:t>
      </w:r>
      <w:r w:rsidRPr="00CF2378">
        <w:rPr>
          <w:lang w:eastAsia="en-AU"/>
        </w:rPr>
        <w:t xml:space="preserve">. </w:t>
      </w:r>
    </w:p>
    <w:p w14:paraId="476C384C" w14:textId="77777777" w:rsidR="00CF2378" w:rsidRPr="00CF2378" w:rsidRDefault="00CF2378" w:rsidP="00CF2378">
      <w:pPr>
        <w:keepNext/>
        <w:spacing w:before="240" w:after="60"/>
        <w:outlineLvl w:val="3"/>
        <w:rPr>
          <w:rFonts w:ascii="Segoe UI Semibold" w:eastAsia="Times New Roman" w:hAnsi="Segoe UI Semibold" w:cs="Times New Roman"/>
          <w:color w:val="00264D" w:themeColor="background2"/>
          <w:sz w:val="22"/>
          <w:szCs w:val="19"/>
          <w:lang w:eastAsia="en-AU"/>
        </w:rPr>
      </w:pPr>
      <w:r w:rsidRPr="00CF2378">
        <w:rPr>
          <w:rFonts w:ascii="Segoe UI Semibold" w:eastAsia="Times New Roman" w:hAnsi="Segoe UI Semibold" w:cs="Times New Roman"/>
          <w:color w:val="00264D" w:themeColor="background2"/>
          <w:sz w:val="22"/>
          <w:szCs w:val="19"/>
          <w:lang w:eastAsia="en-AU"/>
        </w:rPr>
        <w:t>Appropriate processes for claim group meetings</w:t>
      </w:r>
    </w:p>
    <w:p w14:paraId="1DB89BBF" w14:textId="77777777" w:rsidR="00CF2378" w:rsidRPr="00CF2378" w:rsidRDefault="00CF2378" w:rsidP="005566FF">
      <w:pPr>
        <w:keepNext/>
        <w:numPr>
          <w:ilvl w:val="4"/>
          <w:numId w:val="1"/>
        </w:numPr>
        <w:tabs>
          <w:tab w:val="num" w:pos="360"/>
        </w:tabs>
        <w:spacing w:before="240"/>
        <w:outlineLvl w:val="4"/>
        <w:rPr>
          <w:rFonts w:eastAsia="Times New Roman" w:cs="Times New Roman"/>
          <w:b/>
          <w:color w:val="000000" w:themeColor="text1"/>
          <w:sz w:val="20"/>
          <w:szCs w:val="24"/>
          <w:lang w:eastAsia="en-AU"/>
        </w:rPr>
      </w:pPr>
      <w:r w:rsidRPr="00CF2378">
        <w:rPr>
          <w:rFonts w:eastAsia="Times New Roman" w:cs="Times New Roman"/>
          <w:b/>
          <w:color w:val="000000" w:themeColor="text1"/>
          <w:sz w:val="20"/>
          <w:szCs w:val="24"/>
          <w:lang w:eastAsia="en-AU"/>
        </w:rPr>
        <w:t>Claim group meeting processes were appropriate, underpinned by formal meeting facilitation guidelines and pre-group-meeting engagement</w:t>
      </w:r>
    </w:p>
    <w:p w14:paraId="4E3BA396" w14:textId="4130C95A" w:rsidR="00CF2378" w:rsidRPr="00CF2378" w:rsidRDefault="00CF2378" w:rsidP="00CF2378">
      <w:pPr>
        <w:rPr>
          <w:lang w:eastAsia="en-AU"/>
        </w:rPr>
      </w:pPr>
      <w:r w:rsidRPr="00CF2378">
        <w:rPr>
          <w:lang w:eastAsia="en-AU"/>
        </w:rPr>
        <w:t>FLNRS’</w:t>
      </w:r>
      <w:r w:rsidR="00F87B27">
        <w:rPr>
          <w:lang w:eastAsia="en-AU"/>
        </w:rPr>
        <w:t>s</w:t>
      </w:r>
      <w:r w:rsidRPr="00CF2378">
        <w:rPr>
          <w:lang w:eastAsia="en-AU"/>
        </w:rPr>
        <w:t xml:space="preserve"> guidelines for claim group meetings aim</w:t>
      </w:r>
      <w:r w:rsidR="00EB1471">
        <w:rPr>
          <w:lang w:eastAsia="en-AU"/>
        </w:rPr>
        <w:t>ed</w:t>
      </w:r>
      <w:r w:rsidRPr="00CF2378">
        <w:rPr>
          <w:lang w:eastAsia="en-AU"/>
        </w:rPr>
        <w:t xml:space="preserve"> to </w:t>
      </w:r>
      <w:r w:rsidR="00EB1471">
        <w:rPr>
          <w:lang w:eastAsia="en-AU"/>
        </w:rPr>
        <w:t>encourage</w:t>
      </w:r>
      <w:r w:rsidRPr="00CF2378">
        <w:rPr>
          <w:lang w:eastAsia="en-AU"/>
        </w:rPr>
        <w:t xml:space="preserve"> meeting facilitators to plan for meetings and, post-meeting prompt reflection </w:t>
      </w:r>
      <w:r w:rsidR="0081279C">
        <w:rPr>
          <w:lang w:eastAsia="en-AU"/>
        </w:rPr>
        <w:t xml:space="preserve">about </w:t>
      </w:r>
      <w:r w:rsidRPr="00CF2378">
        <w:rPr>
          <w:lang w:eastAsia="en-AU"/>
        </w:rPr>
        <w:t>meeting efficiency and effectiveness for future meeting improvement. The guidelines include content on:</w:t>
      </w:r>
    </w:p>
    <w:p w14:paraId="60FF89FB" w14:textId="7DF93C1A" w:rsidR="00CF2378" w:rsidRPr="00B81C81" w:rsidRDefault="00CF2378" w:rsidP="00B81C81">
      <w:pPr>
        <w:pStyle w:val="Bullet"/>
      </w:pPr>
      <w:r w:rsidRPr="00B81C81">
        <w:t xml:space="preserve">Introduction – </w:t>
      </w:r>
      <w:r w:rsidR="00F87B27" w:rsidRPr="00B81C81">
        <w:t xml:space="preserve">outlined </w:t>
      </w:r>
      <w:r w:rsidRPr="00B81C81">
        <w:t xml:space="preserve">the use of </w:t>
      </w:r>
      <w:r w:rsidR="007B739C" w:rsidRPr="00B81C81">
        <w:t xml:space="preserve">the </w:t>
      </w:r>
      <w:r w:rsidRPr="00B81C81">
        <w:t xml:space="preserve">document, notably highlighting </w:t>
      </w:r>
      <w:r w:rsidR="00B778A1" w:rsidRPr="00B81C81">
        <w:t>FNLRS’s</w:t>
      </w:r>
      <w:r w:rsidRPr="00B81C81">
        <w:t xml:space="preserve"> commitment to undertake a healing approach to service delivery.</w:t>
      </w:r>
    </w:p>
    <w:p w14:paraId="465D4FE1" w14:textId="12AAD79F" w:rsidR="00CF2378" w:rsidRPr="00B81C81" w:rsidRDefault="00CF2378" w:rsidP="00B81C81">
      <w:pPr>
        <w:pStyle w:val="Bullet"/>
      </w:pPr>
      <w:r w:rsidRPr="6967B2CC">
        <w:t xml:space="preserve">The role of the facilitator – </w:t>
      </w:r>
      <w:r w:rsidR="00F87B27" w:rsidRPr="6967B2CC">
        <w:t xml:space="preserve">how </w:t>
      </w:r>
      <w:r w:rsidRPr="6967B2CC">
        <w:t>facilitators ensure</w:t>
      </w:r>
      <w:r w:rsidR="00802B07" w:rsidRPr="6967B2CC">
        <w:t>d</w:t>
      </w:r>
      <w:r w:rsidRPr="6967B2CC">
        <w:t xml:space="preserve"> the meeting purpose </w:t>
      </w:r>
      <w:r w:rsidR="00802B07" w:rsidRPr="6967B2CC">
        <w:t xml:space="preserve">was </w:t>
      </w:r>
      <w:r w:rsidRPr="6967B2CC">
        <w:t>achieved, and the process of timely and respectful facilitation to enable this achievement.</w:t>
      </w:r>
    </w:p>
    <w:p w14:paraId="04CE4196" w14:textId="6FA52437" w:rsidR="00CF2378" w:rsidRPr="00B81C81" w:rsidRDefault="00CF2378" w:rsidP="00B81C81">
      <w:pPr>
        <w:pStyle w:val="Bullet"/>
      </w:pPr>
      <w:r w:rsidRPr="00B81C81">
        <w:t xml:space="preserve">Values – </w:t>
      </w:r>
      <w:r w:rsidR="00B778A1" w:rsidRPr="00B81C81">
        <w:t>FNLRS’s</w:t>
      </w:r>
      <w:r w:rsidRPr="00B81C81">
        <w:t xml:space="preserve"> values which </w:t>
      </w:r>
      <w:r w:rsidR="00B62A96" w:rsidRPr="00B81C81">
        <w:t xml:space="preserve">were </w:t>
      </w:r>
      <w:r w:rsidRPr="00B81C81">
        <w:t>embedded in meeting facilitation.</w:t>
      </w:r>
    </w:p>
    <w:p w14:paraId="77B6B89C" w14:textId="296CB7B1" w:rsidR="00CF2378" w:rsidRPr="00B81C81" w:rsidRDefault="00CF2378" w:rsidP="00B81C81">
      <w:pPr>
        <w:pStyle w:val="Bullet"/>
      </w:pPr>
      <w:r w:rsidRPr="6967B2CC">
        <w:t xml:space="preserve">Skills and strategies – </w:t>
      </w:r>
      <w:r w:rsidR="00F87B27" w:rsidRPr="6967B2CC">
        <w:t xml:space="preserve">details </w:t>
      </w:r>
      <w:r w:rsidRPr="6967B2CC">
        <w:t xml:space="preserve">ways to help run a meeting, including pacing: a skill to ensure timely meeting progression. </w:t>
      </w:r>
    </w:p>
    <w:p w14:paraId="37D51D74" w14:textId="24E1EFB9" w:rsidR="00CF2378" w:rsidRPr="00B81C81" w:rsidRDefault="00CF2378" w:rsidP="00B81C81">
      <w:pPr>
        <w:pStyle w:val="Bullet"/>
      </w:pPr>
      <w:r w:rsidRPr="00B81C81">
        <w:t xml:space="preserve">Pitfalls – </w:t>
      </w:r>
      <w:r w:rsidR="00F87B27" w:rsidRPr="00B81C81">
        <w:t xml:space="preserve">behaviours </w:t>
      </w:r>
      <w:r w:rsidRPr="00B81C81">
        <w:t xml:space="preserve">that </w:t>
      </w:r>
      <w:r w:rsidR="00B62A96" w:rsidRPr="00B81C81">
        <w:t xml:space="preserve">could </w:t>
      </w:r>
      <w:r w:rsidRPr="00B81C81">
        <w:t>detract from successful meeting facilitation, with detail of best practice to mitigate behaviour impact.</w:t>
      </w:r>
    </w:p>
    <w:p w14:paraId="05D7AA75" w14:textId="1393C020" w:rsidR="00CF2378" w:rsidRPr="00B81C81" w:rsidRDefault="00CF2378" w:rsidP="00B81C81">
      <w:pPr>
        <w:pStyle w:val="Bullet"/>
      </w:pPr>
      <w:r w:rsidRPr="00B81C81">
        <w:t xml:space="preserve">Relevant policies and further information – </w:t>
      </w:r>
      <w:r w:rsidR="00F87B27" w:rsidRPr="00B81C81">
        <w:t xml:space="preserve">references </w:t>
      </w:r>
      <w:r w:rsidRPr="00B81C81">
        <w:t xml:space="preserve">to material complementary to the meeting facilitation guidelines that </w:t>
      </w:r>
      <w:r w:rsidR="009C7FEA" w:rsidRPr="00B81C81">
        <w:t xml:space="preserve">were </w:t>
      </w:r>
      <w:r w:rsidRPr="00B81C81">
        <w:t>recommended to be read by the facilitator.</w:t>
      </w:r>
    </w:p>
    <w:p w14:paraId="3DB310A3" w14:textId="2CB38A37" w:rsidR="00CF2378" w:rsidRPr="00B81C81" w:rsidRDefault="00CF2378" w:rsidP="00B81C81">
      <w:pPr>
        <w:pStyle w:val="Bullet"/>
      </w:pPr>
      <w:r w:rsidRPr="00B81C81">
        <w:t>Templates –</w:t>
      </w:r>
      <w:r w:rsidR="008C13A2" w:rsidRPr="00B81C81">
        <w:t xml:space="preserve"> </w:t>
      </w:r>
      <w:r w:rsidR="00F87B27" w:rsidRPr="00B81C81">
        <w:t xml:space="preserve">guidance </w:t>
      </w:r>
      <w:r w:rsidRPr="00B81C81">
        <w:t>to be tailored for claim group meeting planning and reflection purposes.</w:t>
      </w:r>
    </w:p>
    <w:p w14:paraId="199217A8" w14:textId="1CCC4840" w:rsidR="00CF2378" w:rsidRPr="00CF2378" w:rsidRDefault="00CF2378" w:rsidP="00CF2378">
      <w:pPr>
        <w:rPr>
          <w:lang w:eastAsia="en-AU"/>
        </w:rPr>
      </w:pPr>
      <w:r w:rsidRPr="00CF2378">
        <w:rPr>
          <w:lang w:eastAsia="en-AU"/>
        </w:rPr>
        <w:t xml:space="preserve">Additionally, several interviewed staff noted that it was typical to attempt to resolve Traditional Owner concerns prior to </w:t>
      </w:r>
      <w:r w:rsidR="0026306D">
        <w:rPr>
          <w:lang w:eastAsia="en-AU"/>
        </w:rPr>
        <w:t>full group meetings</w:t>
      </w:r>
      <w:r w:rsidRPr="00CF2378">
        <w:rPr>
          <w:lang w:eastAsia="en-AU"/>
        </w:rPr>
        <w:t xml:space="preserve">. For example, staff held smaller family group meetings to address </w:t>
      </w:r>
      <w:r w:rsidRPr="00CF2378">
        <w:rPr>
          <w:lang w:eastAsia="en-AU"/>
        </w:rPr>
        <w:lastRenderedPageBreak/>
        <w:t>disputes between families, which would otherwise be discussed at length during the group meeting</w:t>
      </w:r>
      <w:r w:rsidR="00BF3ED8">
        <w:rPr>
          <w:lang w:eastAsia="en-AU"/>
        </w:rPr>
        <w:t xml:space="preserve"> and delay a successful outcome</w:t>
      </w:r>
      <w:r w:rsidRPr="00CF2378">
        <w:rPr>
          <w:lang w:eastAsia="en-AU"/>
        </w:rPr>
        <w:t>.</w:t>
      </w:r>
      <w:r w:rsidR="0076208A">
        <w:rPr>
          <w:lang w:eastAsia="en-AU"/>
        </w:rPr>
        <w:t xml:space="preserve"> </w:t>
      </w:r>
    </w:p>
    <w:p w14:paraId="7F7F8C1C" w14:textId="3D9060FF" w:rsidR="00B50C76" w:rsidRDefault="00923763" w:rsidP="00923763">
      <w:pPr>
        <w:pStyle w:val="Heading4"/>
      </w:pPr>
      <w:r w:rsidRPr="00923763">
        <w:t>Annual yearly expenditure per claimant group</w:t>
      </w:r>
    </w:p>
    <w:p w14:paraId="1150F92E" w14:textId="77777777" w:rsidR="0095417B" w:rsidRPr="0095417B" w:rsidRDefault="0095417B" w:rsidP="0095417B">
      <w:pPr>
        <w:keepNext/>
        <w:numPr>
          <w:ilvl w:val="4"/>
          <w:numId w:val="2"/>
        </w:numPr>
        <w:spacing w:before="240"/>
        <w:outlineLvl w:val="4"/>
        <w:rPr>
          <w:rFonts w:eastAsia="Times New Roman" w:cs="Times New Roman"/>
          <w:b/>
          <w:color w:val="000000" w:themeColor="text1"/>
          <w:sz w:val="20"/>
          <w:szCs w:val="24"/>
          <w:lang w:eastAsia="en-AU"/>
        </w:rPr>
      </w:pPr>
      <w:r w:rsidRPr="0095417B">
        <w:rPr>
          <w:rFonts w:eastAsia="Times New Roman" w:cs="Times New Roman"/>
          <w:b/>
          <w:color w:val="000000" w:themeColor="text1"/>
          <w:sz w:val="20"/>
          <w:szCs w:val="24"/>
          <w:lang w:eastAsia="en-AU"/>
        </w:rPr>
        <w:t>Annual yearly expenditure increased year on year for each claimant group</w:t>
      </w:r>
    </w:p>
    <w:p w14:paraId="6A741042" w14:textId="688D1DB5" w:rsidR="0095417B" w:rsidRPr="0095417B" w:rsidRDefault="0095417B" w:rsidP="0095417B">
      <w:pPr>
        <w:rPr>
          <w:lang w:eastAsia="en-AU"/>
        </w:rPr>
      </w:pPr>
      <w:r w:rsidRPr="0095417B">
        <w:rPr>
          <w:lang w:eastAsia="en-AU"/>
        </w:rPr>
        <w:t xml:space="preserve">Average cost for the two active claims supported by FNLRS over the Review period was $375,000 per annum, as seen in </w:t>
      </w:r>
      <w:r w:rsidR="00833B05">
        <w:rPr>
          <w:highlight w:val="yellow"/>
          <w:lang w:eastAsia="en-AU"/>
        </w:rPr>
        <w:fldChar w:fldCharType="begin"/>
      </w:r>
      <w:r w:rsidR="00833B05">
        <w:rPr>
          <w:highlight w:val="yellow"/>
          <w:lang w:eastAsia="en-AU"/>
        </w:rPr>
        <w:instrText xml:space="preserve"> REF _Ref165981397 \h </w:instrText>
      </w:r>
      <w:r w:rsidR="00833B05">
        <w:rPr>
          <w:highlight w:val="yellow"/>
          <w:lang w:eastAsia="en-AU"/>
        </w:rPr>
      </w:r>
      <w:r w:rsidR="00833B05">
        <w:rPr>
          <w:highlight w:val="yellow"/>
          <w:lang w:eastAsia="en-AU"/>
        </w:rPr>
        <w:fldChar w:fldCharType="separate"/>
      </w:r>
      <w:r w:rsidR="00AB7E95">
        <w:t xml:space="preserve">Table </w:t>
      </w:r>
      <w:r w:rsidR="00AB7E95">
        <w:rPr>
          <w:noProof/>
        </w:rPr>
        <w:t>7</w:t>
      </w:r>
      <w:r w:rsidR="00833B05">
        <w:rPr>
          <w:highlight w:val="yellow"/>
          <w:lang w:eastAsia="en-AU"/>
        </w:rPr>
        <w:fldChar w:fldCharType="end"/>
      </w:r>
      <w:r w:rsidRPr="0095417B">
        <w:rPr>
          <w:lang w:eastAsia="en-AU"/>
        </w:rPr>
        <w:t>. The costs for each of the two claims increased year on year, in line with increased progression through the courts. Notably, the Eastern Maar People’s Claim, which was partly determined shortly after the Review period, required more than double the amount of funding it received at the start of the Review period (FY2019-20) compared to the end of the Review period (FY2021-22).</w:t>
      </w:r>
    </w:p>
    <w:p w14:paraId="4E411BD9" w14:textId="1C349F59" w:rsidR="000C4E61" w:rsidRPr="00CF2378" w:rsidRDefault="00833B05" w:rsidP="00E009BF">
      <w:pPr>
        <w:pStyle w:val="Caption"/>
      </w:pPr>
      <w:bookmarkStart w:id="33" w:name="_Ref165981397"/>
      <w:bookmarkStart w:id="34" w:name="_Ref165981389"/>
      <w:r>
        <w:t xml:space="preserve">Table </w:t>
      </w:r>
      <w:r>
        <w:fldChar w:fldCharType="begin"/>
      </w:r>
      <w:r>
        <w:instrText xml:space="preserve"> SEQ Table \* ARABIC </w:instrText>
      </w:r>
      <w:r>
        <w:fldChar w:fldCharType="separate"/>
      </w:r>
      <w:r w:rsidR="00AB7E95">
        <w:rPr>
          <w:noProof/>
        </w:rPr>
        <w:t>7</w:t>
      </w:r>
      <w:r>
        <w:fldChar w:fldCharType="end"/>
      </w:r>
      <w:bookmarkEnd w:id="33"/>
      <w:r>
        <w:t xml:space="preserve"> | Annual yearly expenditure per </w:t>
      </w:r>
      <w:r w:rsidR="00E009BF">
        <w:t>claimant</w:t>
      </w:r>
      <w:r>
        <w:t xml:space="preserve"> group</w:t>
      </w:r>
      <w:r>
        <w:rPr>
          <w:rStyle w:val="FootnoteReference"/>
          <w:lang w:eastAsia="en-AU"/>
        </w:rPr>
        <w:footnoteReference w:id="26"/>
      </w:r>
      <w:bookmarkEnd w:id="34"/>
    </w:p>
    <w:tbl>
      <w:tblPr>
        <w:tblStyle w:val="NOUSSideHeader11"/>
        <w:tblW w:w="5000" w:type="pct"/>
        <w:tblLook w:val="04A0" w:firstRow="1" w:lastRow="0" w:firstColumn="1" w:lastColumn="0" w:noHBand="0" w:noVBand="1"/>
      </w:tblPr>
      <w:tblGrid>
        <w:gridCol w:w="2553"/>
        <w:gridCol w:w="1417"/>
        <w:gridCol w:w="1417"/>
        <w:gridCol w:w="1418"/>
        <w:gridCol w:w="2125"/>
      </w:tblGrid>
      <w:tr w:rsidR="00343D62" w:rsidRPr="00CF2378" w14:paraId="0B583211" w14:textId="77777777" w:rsidTr="006770B0">
        <w:trPr>
          <w:cnfStyle w:val="100000000000" w:firstRow="1" w:lastRow="0" w:firstColumn="0" w:lastColumn="0" w:oddVBand="0" w:evenVBand="0" w:oddHBand="0" w:evenHBand="0" w:firstRowFirstColumn="0" w:firstRowLastColumn="0" w:lastRowFirstColumn="0" w:lastRowLastColumn="0"/>
          <w:trHeight w:val="17"/>
        </w:trPr>
        <w:tc>
          <w:tcPr>
            <w:tcW w:w="1429" w:type="pct"/>
          </w:tcPr>
          <w:p w14:paraId="5533F4D8" w14:textId="77777777" w:rsidR="003538C0" w:rsidRPr="00CF2378" w:rsidRDefault="003538C0" w:rsidP="008A600D">
            <w:pPr>
              <w:pStyle w:val="TableNheader"/>
            </w:pPr>
          </w:p>
        </w:tc>
        <w:tc>
          <w:tcPr>
            <w:tcW w:w="793" w:type="pct"/>
          </w:tcPr>
          <w:p w14:paraId="4544DF61" w14:textId="77777777" w:rsidR="003538C0" w:rsidRPr="00CF2378" w:rsidRDefault="003538C0" w:rsidP="008A600D">
            <w:pPr>
              <w:pStyle w:val="TableNheader"/>
            </w:pPr>
            <w:r w:rsidRPr="00CF2378">
              <w:t>FY2019-20</w:t>
            </w:r>
          </w:p>
        </w:tc>
        <w:tc>
          <w:tcPr>
            <w:tcW w:w="793" w:type="pct"/>
          </w:tcPr>
          <w:p w14:paraId="7E3A6F11" w14:textId="77777777" w:rsidR="003538C0" w:rsidRPr="00CF2378" w:rsidRDefault="003538C0" w:rsidP="008A600D">
            <w:pPr>
              <w:pStyle w:val="TableNheader"/>
            </w:pPr>
            <w:r w:rsidRPr="00CF2378">
              <w:t>FY2020-21</w:t>
            </w:r>
          </w:p>
        </w:tc>
        <w:tc>
          <w:tcPr>
            <w:tcW w:w="794" w:type="pct"/>
          </w:tcPr>
          <w:p w14:paraId="22C3CF6C" w14:textId="77777777" w:rsidR="003538C0" w:rsidRPr="00CF2378" w:rsidRDefault="003538C0" w:rsidP="008A600D">
            <w:pPr>
              <w:pStyle w:val="TableNheader"/>
            </w:pPr>
            <w:r w:rsidRPr="00CF2378">
              <w:t>FY2021-22</w:t>
            </w:r>
          </w:p>
        </w:tc>
        <w:tc>
          <w:tcPr>
            <w:tcW w:w="1190" w:type="pct"/>
          </w:tcPr>
          <w:p w14:paraId="4CF9199B" w14:textId="77777777" w:rsidR="003538C0" w:rsidRPr="00CF2378" w:rsidRDefault="003538C0" w:rsidP="008A600D">
            <w:pPr>
              <w:pStyle w:val="TableNheader"/>
            </w:pPr>
            <w:r w:rsidRPr="00CF2378">
              <w:t>Average yearly cost for the Review period</w:t>
            </w:r>
          </w:p>
        </w:tc>
      </w:tr>
      <w:tr w:rsidR="00343D62" w:rsidRPr="0041708A" w14:paraId="48413F56" w14:textId="77777777" w:rsidTr="006770B0">
        <w:trPr>
          <w:cnfStyle w:val="000000100000" w:firstRow="0" w:lastRow="0" w:firstColumn="0" w:lastColumn="0" w:oddVBand="0" w:evenVBand="0" w:oddHBand="1" w:evenHBand="0" w:firstRowFirstColumn="0" w:firstRowLastColumn="0" w:lastRowFirstColumn="0" w:lastRowLastColumn="0"/>
          <w:trHeight w:val="25"/>
        </w:trPr>
        <w:tc>
          <w:tcPr>
            <w:tcW w:w="1429" w:type="pct"/>
          </w:tcPr>
          <w:p w14:paraId="51857916" w14:textId="77777777" w:rsidR="003538C0" w:rsidRPr="000D06A6" w:rsidRDefault="003538C0" w:rsidP="000D06A6">
            <w:pPr>
              <w:pStyle w:val="TableNText"/>
            </w:pPr>
            <w:r w:rsidRPr="000D06A6">
              <w:t>Eastern Maar</w:t>
            </w:r>
          </w:p>
        </w:tc>
        <w:tc>
          <w:tcPr>
            <w:tcW w:w="793" w:type="pct"/>
          </w:tcPr>
          <w:p w14:paraId="088322B4" w14:textId="77777777" w:rsidR="003538C0" w:rsidRPr="0041708A" w:rsidRDefault="003538C0" w:rsidP="008A600D">
            <w:pPr>
              <w:pStyle w:val="TableNText"/>
            </w:pPr>
            <w:r>
              <w:t>$</w:t>
            </w:r>
            <w:r w:rsidRPr="00E81687">
              <w:t>312</w:t>
            </w:r>
            <w:r>
              <w:t>,000</w:t>
            </w:r>
          </w:p>
        </w:tc>
        <w:tc>
          <w:tcPr>
            <w:tcW w:w="793" w:type="pct"/>
          </w:tcPr>
          <w:p w14:paraId="29D70179" w14:textId="77777777" w:rsidR="003538C0" w:rsidRPr="0041708A" w:rsidRDefault="003538C0" w:rsidP="008A600D">
            <w:pPr>
              <w:pStyle w:val="TableNText"/>
            </w:pPr>
            <w:r>
              <w:t>$418,000</w:t>
            </w:r>
          </w:p>
        </w:tc>
        <w:tc>
          <w:tcPr>
            <w:tcW w:w="794" w:type="pct"/>
          </w:tcPr>
          <w:p w14:paraId="38604DA2" w14:textId="77777777" w:rsidR="003538C0" w:rsidRPr="0041708A" w:rsidRDefault="003538C0" w:rsidP="008A600D">
            <w:pPr>
              <w:pStyle w:val="TableNText"/>
            </w:pPr>
            <w:r>
              <w:t>$677,000</w:t>
            </w:r>
          </w:p>
        </w:tc>
        <w:tc>
          <w:tcPr>
            <w:tcW w:w="1190" w:type="pct"/>
          </w:tcPr>
          <w:p w14:paraId="618F0F0D" w14:textId="77777777" w:rsidR="003538C0" w:rsidRPr="0041708A" w:rsidRDefault="003538C0" w:rsidP="008A600D">
            <w:pPr>
              <w:pStyle w:val="TableNText"/>
            </w:pPr>
            <w:r>
              <w:t>$469,000</w:t>
            </w:r>
          </w:p>
        </w:tc>
      </w:tr>
      <w:tr w:rsidR="00343D62" w:rsidRPr="0041708A" w14:paraId="1268FCD9" w14:textId="77777777" w:rsidTr="006770B0">
        <w:trPr>
          <w:cnfStyle w:val="000000010000" w:firstRow="0" w:lastRow="0" w:firstColumn="0" w:lastColumn="0" w:oddVBand="0" w:evenVBand="0" w:oddHBand="0" w:evenHBand="1" w:firstRowFirstColumn="0" w:firstRowLastColumn="0" w:lastRowFirstColumn="0" w:lastRowLastColumn="0"/>
          <w:trHeight w:val="25"/>
        </w:trPr>
        <w:tc>
          <w:tcPr>
            <w:tcW w:w="1429" w:type="pct"/>
          </w:tcPr>
          <w:p w14:paraId="0A27A960" w14:textId="77777777" w:rsidR="003538C0" w:rsidRPr="000D06A6" w:rsidRDefault="003538C0" w:rsidP="000D06A6">
            <w:pPr>
              <w:pStyle w:val="TableNText"/>
            </w:pPr>
            <w:r w:rsidRPr="000D06A6">
              <w:t xml:space="preserve">First Peoples </w:t>
            </w:r>
            <w:proofErr w:type="spellStart"/>
            <w:r w:rsidRPr="000D06A6">
              <w:t>Millewa-Malleee</w:t>
            </w:r>
            <w:proofErr w:type="spellEnd"/>
          </w:p>
        </w:tc>
        <w:tc>
          <w:tcPr>
            <w:tcW w:w="793" w:type="pct"/>
          </w:tcPr>
          <w:p w14:paraId="2E998744" w14:textId="77777777" w:rsidR="003538C0" w:rsidRPr="0041708A" w:rsidRDefault="003538C0" w:rsidP="008A600D">
            <w:pPr>
              <w:pStyle w:val="TableNText"/>
              <w:rPr>
                <w:rFonts w:asciiTheme="minorHAnsi" w:hAnsiTheme="minorHAnsi" w:cstheme="minorHAnsi"/>
              </w:rPr>
            </w:pPr>
            <w:r w:rsidRPr="0041708A">
              <w:t>$</w:t>
            </w:r>
            <w:r>
              <w:t>257,000</w:t>
            </w:r>
          </w:p>
        </w:tc>
        <w:tc>
          <w:tcPr>
            <w:tcW w:w="793" w:type="pct"/>
          </w:tcPr>
          <w:p w14:paraId="52E708CE" w14:textId="77777777" w:rsidR="003538C0" w:rsidRPr="0041708A" w:rsidRDefault="003538C0" w:rsidP="008A600D">
            <w:pPr>
              <w:pStyle w:val="TableNText"/>
              <w:rPr>
                <w:rFonts w:asciiTheme="minorHAnsi" w:hAnsiTheme="minorHAnsi" w:cstheme="minorHAnsi"/>
              </w:rPr>
            </w:pPr>
            <w:r w:rsidRPr="0041708A">
              <w:t>$</w:t>
            </w:r>
            <w:r>
              <w:t>269,000</w:t>
            </w:r>
          </w:p>
        </w:tc>
        <w:tc>
          <w:tcPr>
            <w:tcW w:w="794" w:type="pct"/>
          </w:tcPr>
          <w:p w14:paraId="04499D28" w14:textId="77777777" w:rsidR="003538C0" w:rsidRPr="0041708A" w:rsidRDefault="003538C0" w:rsidP="008A600D">
            <w:pPr>
              <w:pStyle w:val="TableNText"/>
              <w:rPr>
                <w:rFonts w:asciiTheme="minorHAnsi" w:hAnsiTheme="minorHAnsi" w:cstheme="minorHAnsi"/>
              </w:rPr>
            </w:pPr>
            <w:r w:rsidRPr="0041708A">
              <w:t>$</w:t>
            </w:r>
            <w:r>
              <w:rPr>
                <w:rFonts w:asciiTheme="minorHAnsi" w:hAnsiTheme="minorHAnsi" w:cstheme="minorHAnsi"/>
              </w:rPr>
              <w:t>319,000</w:t>
            </w:r>
          </w:p>
        </w:tc>
        <w:tc>
          <w:tcPr>
            <w:tcW w:w="1190" w:type="pct"/>
          </w:tcPr>
          <w:p w14:paraId="171EC49A" w14:textId="12F85F69" w:rsidR="003538C0" w:rsidRPr="0041708A" w:rsidRDefault="003538C0" w:rsidP="008A600D">
            <w:pPr>
              <w:pStyle w:val="TableNText"/>
              <w:rPr>
                <w:rFonts w:asciiTheme="minorHAnsi" w:hAnsiTheme="minorHAnsi" w:cstheme="minorHAnsi"/>
              </w:rPr>
            </w:pPr>
            <w:r w:rsidRPr="0041708A">
              <w:t>$</w:t>
            </w:r>
            <w:r>
              <w:t>281,</w:t>
            </w:r>
            <w:r w:rsidR="00364CF1">
              <w:t>000</w:t>
            </w:r>
          </w:p>
        </w:tc>
      </w:tr>
    </w:tbl>
    <w:p w14:paraId="35A67E15" w14:textId="5B2F0A54" w:rsidR="00CF2378" w:rsidRPr="00CF2378" w:rsidRDefault="00CF2378" w:rsidP="00CF2378">
      <w:pPr>
        <w:keepNext/>
        <w:spacing w:before="240" w:after="60"/>
        <w:outlineLvl w:val="3"/>
        <w:rPr>
          <w:rFonts w:ascii="Segoe UI Semibold" w:eastAsia="Times New Roman" w:hAnsi="Segoe UI Semibold" w:cs="Times New Roman"/>
          <w:color w:val="00264D" w:themeColor="background2"/>
          <w:sz w:val="22"/>
          <w:szCs w:val="19"/>
          <w:lang w:eastAsia="en-AU"/>
        </w:rPr>
      </w:pPr>
      <w:r w:rsidRPr="00CF2378">
        <w:rPr>
          <w:rFonts w:ascii="Segoe UI Semibold" w:eastAsia="Times New Roman" w:hAnsi="Segoe UI Semibold" w:cs="Times New Roman"/>
          <w:color w:val="00264D" w:themeColor="background2"/>
          <w:sz w:val="22"/>
          <w:szCs w:val="19"/>
          <w:lang w:eastAsia="en-AU"/>
        </w:rPr>
        <w:t>Travel assistance policies for claim group meetings</w:t>
      </w:r>
    </w:p>
    <w:p w14:paraId="4F3FAC37" w14:textId="0D337828" w:rsidR="00CF2378" w:rsidRPr="00CF2378" w:rsidRDefault="00CF2378" w:rsidP="005566FF">
      <w:pPr>
        <w:keepNext/>
        <w:numPr>
          <w:ilvl w:val="4"/>
          <w:numId w:val="2"/>
        </w:numPr>
        <w:tabs>
          <w:tab w:val="num" w:pos="360"/>
        </w:tabs>
        <w:spacing w:before="240"/>
        <w:outlineLvl w:val="4"/>
        <w:rPr>
          <w:rFonts w:eastAsia="Times New Roman" w:cs="Times New Roman"/>
          <w:b/>
          <w:color w:val="000000" w:themeColor="text1"/>
          <w:sz w:val="20"/>
          <w:szCs w:val="24"/>
          <w:lang w:eastAsia="en-AU"/>
        </w:rPr>
      </w:pPr>
      <w:r w:rsidRPr="00CF2378">
        <w:rPr>
          <w:rFonts w:eastAsia="Times New Roman" w:cs="Times New Roman"/>
          <w:b/>
          <w:color w:val="000000" w:themeColor="text1"/>
          <w:sz w:val="20"/>
          <w:szCs w:val="24"/>
          <w:lang w:eastAsia="en-AU"/>
        </w:rPr>
        <w:t xml:space="preserve">The travel assistance policy for native title holders, claimants and potential claimants </w:t>
      </w:r>
      <w:r w:rsidR="00C50B21">
        <w:rPr>
          <w:rFonts w:eastAsia="Times New Roman" w:cs="Times New Roman"/>
          <w:b/>
          <w:color w:val="000000" w:themeColor="text1"/>
          <w:sz w:val="20"/>
          <w:szCs w:val="24"/>
          <w:lang w:eastAsia="en-AU"/>
        </w:rPr>
        <w:t>was</w:t>
      </w:r>
      <w:r w:rsidRPr="00CF2378">
        <w:rPr>
          <w:rFonts w:eastAsia="Times New Roman" w:cs="Times New Roman"/>
          <w:b/>
          <w:color w:val="000000" w:themeColor="text1"/>
          <w:sz w:val="20"/>
          <w:szCs w:val="24"/>
          <w:lang w:eastAsia="en-AU"/>
        </w:rPr>
        <w:t xml:space="preserve"> straightforward and publicly available on the website</w:t>
      </w:r>
    </w:p>
    <w:p w14:paraId="1879D982" w14:textId="5FC7BBAA" w:rsidR="000566C1" w:rsidRPr="00CF2378" w:rsidRDefault="00B778A1" w:rsidP="00CF2378">
      <w:pPr>
        <w:rPr>
          <w:lang w:eastAsia="en-AU"/>
        </w:rPr>
      </w:pPr>
      <w:r>
        <w:rPr>
          <w:lang w:eastAsia="en-AU"/>
        </w:rPr>
        <w:t>FNLRS’s</w:t>
      </w:r>
      <w:r w:rsidR="00CF2378" w:rsidRPr="00CF2378">
        <w:rPr>
          <w:lang w:eastAsia="en-AU"/>
        </w:rPr>
        <w:t xml:space="preserve"> travel assistance policy for native title meetings comprised travel assistance</w:t>
      </w:r>
      <w:r w:rsidR="006C6B33">
        <w:rPr>
          <w:lang w:eastAsia="en-AU"/>
        </w:rPr>
        <w:t>, a</w:t>
      </w:r>
      <w:r w:rsidR="00CF2378" w:rsidRPr="00CF2378">
        <w:rPr>
          <w:lang w:eastAsia="en-AU"/>
        </w:rPr>
        <w:t xml:space="preserve">ccommodation and meals assistance, and data allowance (if attending virtually). Each type of assistance set out conditions for eligibility, with detail on what </w:t>
      </w:r>
      <w:r w:rsidR="00C50B21">
        <w:rPr>
          <w:lang w:eastAsia="en-AU"/>
        </w:rPr>
        <w:t>was</w:t>
      </w:r>
      <w:r w:rsidR="00CF2378" w:rsidRPr="00CF2378">
        <w:rPr>
          <w:lang w:eastAsia="en-AU"/>
        </w:rPr>
        <w:t xml:space="preserve"> and </w:t>
      </w:r>
      <w:r w:rsidR="00C50B21">
        <w:rPr>
          <w:lang w:eastAsia="en-AU"/>
        </w:rPr>
        <w:t>was</w:t>
      </w:r>
      <w:r w:rsidR="00CF2378" w:rsidRPr="00CF2378">
        <w:rPr>
          <w:lang w:eastAsia="en-AU"/>
        </w:rPr>
        <w:t xml:space="preserve"> not covered by FNLRS. During interviews, some stakeholders noted that travel assistance had recently increased to $0.55 per litre for travel </w:t>
      </w:r>
      <w:r w:rsidR="00314972">
        <w:rPr>
          <w:lang w:eastAsia="en-AU"/>
        </w:rPr>
        <w:t>using a</w:t>
      </w:r>
      <w:r w:rsidR="00CF2378" w:rsidRPr="00CF2378">
        <w:rPr>
          <w:lang w:eastAsia="en-AU"/>
        </w:rPr>
        <w:t xml:space="preserve"> private vehicle, now capp</w:t>
      </w:r>
      <w:r w:rsidR="004627F1">
        <w:rPr>
          <w:lang w:eastAsia="en-AU"/>
        </w:rPr>
        <w:t>ed</w:t>
      </w:r>
      <w:r w:rsidR="00CF2378" w:rsidRPr="00CF2378">
        <w:rPr>
          <w:lang w:eastAsia="en-AU"/>
        </w:rPr>
        <w:t xml:space="preserve"> at $550 per meeting. This change was made in view of feedback from Traditional Owners, though one stakeholder did </w:t>
      </w:r>
      <w:r w:rsidR="00700902">
        <w:rPr>
          <w:lang w:eastAsia="en-AU"/>
        </w:rPr>
        <w:t>comment</w:t>
      </w:r>
      <w:r w:rsidR="00CF2378" w:rsidRPr="00CF2378">
        <w:rPr>
          <w:lang w:eastAsia="en-AU"/>
        </w:rPr>
        <w:t xml:space="preserve"> that t</w:t>
      </w:r>
      <w:r w:rsidR="00700902">
        <w:rPr>
          <w:lang w:eastAsia="en-AU"/>
        </w:rPr>
        <w:t xml:space="preserve">hey believed </w:t>
      </w:r>
      <w:r w:rsidR="00CF2378" w:rsidRPr="00CF2378">
        <w:rPr>
          <w:lang w:eastAsia="en-AU"/>
        </w:rPr>
        <w:t>this should be increased further.</w:t>
      </w:r>
    </w:p>
    <w:p w14:paraId="2586CAF1" w14:textId="690AD0FE" w:rsidR="00CF2378" w:rsidRPr="00CF2378" w:rsidRDefault="00CF2378" w:rsidP="005566FF">
      <w:pPr>
        <w:keepNext/>
        <w:numPr>
          <w:ilvl w:val="4"/>
          <w:numId w:val="2"/>
        </w:numPr>
        <w:tabs>
          <w:tab w:val="num" w:pos="360"/>
        </w:tabs>
        <w:spacing w:before="240"/>
        <w:outlineLvl w:val="4"/>
        <w:rPr>
          <w:rFonts w:eastAsia="Times New Roman" w:cs="Times New Roman"/>
          <w:b/>
          <w:color w:val="000000" w:themeColor="text1"/>
          <w:sz w:val="20"/>
          <w:szCs w:val="24"/>
          <w:lang w:eastAsia="en-AU"/>
        </w:rPr>
      </w:pPr>
      <w:r w:rsidRPr="00CF2378">
        <w:rPr>
          <w:rFonts w:eastAsia="Times New Roman" w:cs="Times New Roman"/>
          <w:b/>
          <w:color w:val="000000" w:themeColor="text1"/>
          <w:sz w:val="20"/>
          <w:szCs w:val="24"/>
          <w:lang w:eastAsia="en-AU"/>
        </w:rPr>
        <w:t xml:space="preserve">Despite being publicly available, the </w:t>
      </w:r>
      <w:r w:rsidR="00102FEC">
        <w:rPr>
          <w:rFonts w:eastAsia="Times New Roman" w:cs="Times New Roman"/>
          <w:b/>
          <w:color w:val="000000" w:themeColor="text1"/>
          <w:sz w:val="20"/>
          <w:szCs w:val="24"/>
          <w:lang w:eastAsia="en-AU"/>
        </w:rPr>
        <w:t xml:space="preserve">travel assistance </w:t>
      </w:r>
      <w:r w:rsidRPr="00CF2378">
        <w:rPr>
          <w:rFonts w:eastAsia="Times New Roman" w:cs="Times New Roman"/>
          <w:b/>
          <w:color w:val="000000" w:themeColor="text1"/>
          <w:sz w:val="20"/>
          <w:szCs w:val="24"/>
          <w:lang w:eastAsia="en-AU"/>
        </w:rPr>
        <w:t>policy</w:t>
      </w:r>
      <w:r w:rsidR="0050196C">
        <w:rPr>
          <w:rFonts w:eastAsia="Times New Roman" w:cs="Times New Roman"/>
          <w:b/>
          <w:color w:val="000000" w:themeColor="text1"/>
          <w:sz w:val="20"/>
          <w:szCs w:val="24"/>
          <w:lang w:eastAsia="en-AU"/>
        </w:rPr>
        <w:t xml:space="preserve"> for Traditional Owners</w:t>
      </w:r>
      <w:r w:rsidRPr="00CF2378">
        <w:rPr>
          <w:rFonts w:eastAsia="Times New Roman" w:cs="Times New Roman"/>
          <w:b/>
          <w:color w:val="000000" w:themeColor="text1"/>
          <w:sz w:val="20"/>
          <w:szCs w:val="24"/>
          <w:lang w:eastAsia="en-AU"/>
        </w:rPr>
        <w:t xml:space="preserve"> could be more </w:t>
      </w:r>
      <w:r w:rsidR="008E3489">
        <w:rPr>
          <w:rFonts w:eastAsia="Times New Roman" w:cs="Times New Roman"/>
          <w:b/>
          <w:color w:val="000000" w:themeColor="text1"/>
          <w:sz w:val="20"/>
          <w:szCs w:val="24"/>
          <w:lang w:eastAsia="en-AU"/>
        </w:rPr>
        <w:t>visible</w:t>
      </w:r>
      <w:r w:rsidR="008E3489" w:rsidRPr="00CF2378">
        <w:rPr>
          <w:rFonts w:eastAsia="Times New Roman" w:cs="Times New Roman"/>
          <w:b/>
          <w:color w:val="000000" w:themeColor="text1"/>
          <w:sz w:val="20"/>
          <w:szCs w:val="24"/>
          <w:lang w:eastAsia="en-AU"/>
        </w:rPr>
        <w:t xml:space="preserve"> </w:t>
      </w:r>
      <w:r w:rsidRPr="00CF2378">
        <w:rPr>
          <w:rFonts w:eastAsia="Times New Roman" w:cs="Times New Roman"/>
          <w:b/>
          <w:color w:val="000000" w:themeColor="text1"/>
          <w:sz w:val="20"/>
          <w:szCs w:val="24"/>
          <w:lang w:eastAsia="en-AU"/>
        </w:rPr>
        <w:t>on the website</w:t>
      </w:r>
    </w:p>
    <w:p w14:paraId="49CE7819" w14:textId="5A0F1BF0" w:rsidR="004E55F0" w:rsidRDefault="000566C1" w:rsidP="00CF2378">
      <w:pPr>
        <w:rPr>
          <w:lang w:eastAsia="en-AU"/>
        </w:rPr>
      </w:pPr>
      <w:r>
        <w:rPr>
          <w:lang w:eastAsia="en-AU"/>
        </w:rPr>
        <w:t xml:space="preserve">FNLRS </w:t>
      </w:r>
      <w:r w:rsidR="009E13AA">
        <w:rPr>
          <w:lang w:eastAsia="en-AU"/>
        </w:rPr>
        <w:t>list</w:t>
      </w:r>
      <w:r w:rsidR="004462EF">
        <w:rPr>
          <w:lang w:eastAsia="en-AU"/>
        </w:rPr>
        <w:t>ed</w:t>
      </w:r>
      <w:r w:rsidR="0050196C">
        <w:rPr>
          <w:lang w:eastAsia="en-AU"/>
        </w:rPr>
        <w:t xml:space="preserve"> </w:t>
      </w:r>
      <w:r w:rsidR="00314972">
        <w:rPr>
          <w:lang w:eastAsia="en-AU"/>
        </w:rPr>
        <w:t>several</w:t>
      </w:r>
      <w:r w:rsidR="00102FEC">
        <w:rPr>
          <w:lang w:eastAsia="en-AU"/>
        </w:rPr>
        <w:t xml:space="preserve"> </w:t>
      </w:r>
      <w:r>
        <w:rPr>
          <w:lang w:eastAsia="en-AU"/>
        </w:rPr>
        <w:t>policies</w:t>
      </w:r>
      <w:r w:rsidR="009E13AA">
        <w:rPr>
          <w:lang w:eastAsia="en-AU"/>
        </w:rPr>
        <w:t xml:space="preserve"> (</w:t>
      </w:r>
      <w:r w:rsidR="00D937C1">
        <w:rPr>
          <w:lang w:eastAsia="en-AU"/>
        </w:rPr>
        <w:t>for example,</w:t>
      </w:r>
      <w:r>
        <w:rPr>
          <w:lang w:eastAsia="en-AU"/>
        </w:rPr>
        <w:t xml:space="preserve"> </w:t>
      </w:r>
      <w:r w:rsidR="00475EFB">
        <w:rPr>
          <w:lang w:eastAsia="en-AU"/>
        </w:rPr>
        <w:t xml:space="preserve">Traditional Owner </w:t>
      </w:r>
      <w:r w:rsidR="009E13AA">
        <w:rPr>
          <w:lang w:eastAsia="en-AU"/>
        </w:rPr>
        <w:t>travel assistance</w:t>
      </w:r>
      <w:r w:rsidR="00475EFB">
        <w:rPr>
          <w:lang w:eastAsia="en-AU"/>
        </w:rPr>
        <w:t xml:space="preserve"> policy</w:t>
      </w:r>
      <w:r w:rsidR="009E13AA">
        <w:rPr>
          <w:lang w:eastAsia="en-AU"/>
        </w:rPr>
        <w:t>)</w:t>
      </w:r>
      <w:r w:rsidR="00102FEC">
        <w:rPr>
          <w:lang w:eastAsia="en-AU"/>
        </w:rPr>
        <w:t xml:space="preserve"> </w:t>
      </w:r>
      <w:r w:rsidR="00A67F18">
        <w:rPr>
          <w:lang w:eastAsia="en-AU"/>
        </w:rPr>
        <w:t xml:space="preserve">that were </w:t>
      </w:r>
      <w:r w:rsidR="00475EFB">
        <w:rPr>
          <w:lang w:eastAsia="en-AU"/>
        </w:rPr>
        <w:t xml:space="preserve">publicly available on their website. </w:t>
      </w:r>
      <w:r w:rsidR="00CF2378" w:rsidRPr="00CF2378">
        <w:rPr>
          <w:lang w:eastAsia="en-AU"/>
        </w:rPr>
        <w:t xml:space="preserve">The previous </w:t>
      </w:r>
      <w:r w:rsidR="00733601">
        <w:rPr>
          <w:lang w:eastAsia="en-AU"/>
        </w:rPr>
        <w:t>R</w:t>
      </w:r>
      <w:r w:rsidR="00733601" w:rsidRPr="00CF2378">
        <w:rPr>
          <w:lang w:eastAsia="en-AU"/>
        </w:rPr>
        <w:t xml:space="preserve">eview </w:t>
      </w:r>
      <w:r w:rsidR="00CF2378" w:rsidRPr="00CF2378">
        <w:rPr>
          <w:lang w:eastAsia="en-AU"/>
        </w:rPr>
        <w:t>of FNLRS</w:t>
      </w:r>
      <w:r w:rsidR="00087A54">
        <w:rPr>
          <w:lang w:eastAsia="en-AU"/>
        </w:rPr>
        <w:t xml:space="preserve"> </w:t>
      </w:r>
      <w:r w:rsidR="00CF2378" w:rsidRPr="00CF2378">
        <w:rPr>
          <w:lang w:eastAsia="en-AU"/>
        </w:rPr>
        <w:t xml:space="preserve">found that policies on the website could be more obvious, which the Review believes is still the case, including the travel assistance policy. This view is supported by several FNLRS staff </w:t>
      </w:r>
      <w:r w:rsidR="007C11AB">
        <w:rPr>
          <w:lang w:eastAsia="en-AU"/>
        </w:rPr>
        <w:t>mentioning</w:t>
      </w:r>
      <w:r w:rsidR="00C0152E" w:rsidRPr="00CF2378">
        <w:rPr>
          <w:lang w:eastAsia="en-AU"/>
        </w:rPr>
        <w:t xml:space="preserve"> </w:t>
      </w:r>
      <w:r w:rsidR="00CF2378" w:rsidRPr="00CF2378">
        <w:rPr>
          <w:lang w:eastAsia="en-AU"/>
        </w:rPr>
        <w:t xml:space="preserve">that </w:t>
      </w:r>
      <w:r w:rsidR="007C11AB">
        <w:rPr>
          <w:lang w:eastAsia="en-AU"/>
        </w:rPr>
        <w:t>they were frequently questioned by</w:t>
      </w:r>
      <w:r w:rsidR="00CF2378" w:rsidRPr="00CF2378">
        <w:rPr>
          <w:lang w:eastAsia="en-AU"/>
        </w:rPr>
        <w:t xml:space="preserve"> Traditional Owner</w:t>
      </w:r>
      <w:r w:rsidR="007C11AB">
        <w:rPr>
          <w:lang w:eastAsia="en-AU"/>
        </w:rPr>
        <w:t>s</w:t>
      </w:r>
      <w:r w:rsidR="000C19C9">
        <w:rPr>
          <w:lang w:eastAsia="en-AU"/>
        </w:rPr>
        <w:t xml:space="preserve"> </w:t>
      </w:r>
      <w:r w:rsidR="00CF2378" w:rsidRPr="00CF2378">
        <w:rPr>
          <w:lang w:eastAsia="en-AU"/>
        </w:rPr>
        <w:t>about travel assistance</w:t>
      </w:r>
      <w:r w:rsidR="000C19C9">
        <w:rPr>
          <w:lang w:eastAsia="en-AU"/>
        </w:rPr>
        <w:t>.</w:t>
      </w:r>
      <w:r w:rsidR="008B50CA">
        <w:rPr>
          <w:lang w:eastAsia="en-AU"/>
        </w:rPr>
        <w:t xml:space="preserve"> Traditional Owner feedback</w:t>
      </w:r>
      <w:r w:rsidR="00DA76B7">
        <w:rPr>
          <w:lang w:eastAsia="en-AU"/>
        </w:rPr>
        <w:t xml:space="preserve"> suggests that further consideration of how policies are communicated and distributed to them may also be worthwhile.</w:t>
      </w:r>
    </w:p>
    <w:p w14:paraId="48E38E26" w14:textId="77777777" w:rsidR="00CF2378" w:rsidRPr="00CF2378" w:rsidRDefault="00CF2378" w:rsidP="00CF2378">
      <w:pPr>
        <w:keepNext/>
        <w:spacing w:before="240" w:after="60"/>
        <w:outlineLvl w:val="3"/>
        <w:rPr>
          <w:rFonts w:ascii="Segoe UI Semibold" w:eastAsia="Times New Roman" w:hAnsi="Segoe UI Semibold" w:cs="Times New Roman"/>
          <w:color w:val="00264D" w:themeColor="background2"/>
          <w:sz w:val="22"/>
          <w:szCs w:val="19"/>
          <w:lang w:eastAsia="en-AU"/>
        </w:rPr>
      </w:pPr>
      <w:r w:rsidRPr="00CF2378">
        <w:rPr>
          <w:rFonts w:ascii="Segoe UI Semibold" w:eastAsia="Times New Roman" w:hAnsi="Segoe UI Semibold" w:cs="Times New Roman"/>
          <w:color w:val="00264D" w:themeColor="background2"/>
          <w:sz w:val="22"/>
          <w:szCs w:val="19"/>
          <w:lang w:eastAsia="en-AU"/>
        </w:rPr>
        <w:t>Appropriate rationale for use of external consultants</w:t>
      </w:r>
    </w:p>
    <w:p w14:paraId="5CD12D8E" w14:textId="349B53DA" w:rsidR="00CF2378" w:rsidRPr="00CF2378" w:rsidRDefault="00CF2378" w:rsidP="005566FF">
      <w:pPr>
        <w:keepNext/>
        <w:numPr>
          <w:ilvl w:val="4"/>
          <w:numId w:val="2"/>
        </w:numPr>
        <w:tabs>
          <w:tab w:val="num" w:pos="360"/>
        </w:tabs>
        <w:spacing w:before="240"/>
        <w:outlineLvl w:val="4"/>
        <w:rPr>
          <w:rFonts w:eastAsia="Times New Roman" w:cs="Times New Roman"/>
          <w:b/>
          <w:color w:val="000000" w:themeColor="text1"/>
          <w:sz w:val="20"/>
          <w:szCs w:val="24"/>
          <w:lang w:eastAsia="en-AU"/>
        </w:rPr>
      </w:pPr>
      <w:r w:rsidRPr="00CF2378">
        <w:rPr>
          <w:rFonts w:eastAsia="Times New Roman" w:cs="Times New Roman"/>
          <w:b/>
          <w:color w:val="000000" w:themeColor="text1"/>
          <w:sz w:val="20"/>
          <w:szCs w:val="24"/>
          <w:lang w:eastAsia="en-AU"/>
        </w:rPr>
        <w:t xml:space="preserve">FNLRS used external consultants appropriately during the Review period, including for conflicts of interest in claim group representation </w:t>
      </w:r>
    </w:p>
    <w:p w14:paraId="5FCD940C" w14:textId="169614B7" w:rsidR="00CF2378" w:rsidRPr="00CF2378" w:rsidRDefault="00CF2378" w:rsidP="00CF2378">
      <w:pPr>
        <w:rPr>
          <w:lang w:eastAsia="en-AU"/>
        </w:rPr>
      </w:pPr>
      <w:r w:rsidRPr="00CF2378">
        <w:rPr>
          <w:lang w:eastAsia="en-AU"/>
        </w:rPr>
        <w:t>Average expenditure for external consultants over the Review period was $662,071 per annum, as seen in</w:t>
      </w:r>
      <w:r w:rsidR="00094ADC">
        <w:rPr>
          <w:lang w:eastAsia="en-AU"/>
        </w:rPr>
        <w:t xml:space="preserve"> </w:t>
      </w:r>
      <w:r w:rsidR="000D5B4B">
        <w:rPr>
          <w:highlight w:val="cyan"/>
          <w:lang w:eastAsia="en-AU"/>
        </w:rPr>
        <w:fldChar w:fldCharType="begin"/>
      </w:r>
      <w:r w:rsidR="000D5B4B">
        <w:rPr>
          <w:lang w:eastAsia="en-AU"/>
        </w:rPr>
        <w:instrText xml:space="preserve"> REF _Ref166567418 \h </w:instrText>
      </w:r>
      <w:r w:rsidR="000D5B4B">
        <w:rPr>
          <w:highlight w:val="cyan"/>
          <w:lang w:eastAsia="en-AU"/>
        </w:rPr>
      </w:r>
      <w:r w:rsidR="000D5B4B">
        <w:rPr>
          <w:highlight w:val="cyan"/>
          <w:lang w:eastAsia="en-AU"/>
        </w:rPr>
        <w:fldChar w:fldCharType="separate"/>
      </w:r>
      <w:r w:rsidR="00AB7E95">
        <w:t xml:space="preserve">Table </w:t>
      </w:r>
      <w:r w:rsidR="00AB7E95">
        <w:rPr>
          <w:noProof/>
        </w:rPr>
        <w:t>8</w:t>
      </w:r>
      <w:r w:rsidR="000D5B4B">
        <w:rPr>
          <w:highlight w:val="cyan"/>
          <w:lang w:eastAsia="en-AU"/>
        </w:rPr>
        <w:fldChar w:fldCharType="end"/>
      </w:r>
      <w:r w:rsidRPr="00CF2378">
        <w:rPr>
          <w:lang w:eastAsia="en-AU"/>
        </w:rPr>
        <w:t xml:space="preserve">. Many legal, anthropology and managerial staff attributed the high degree of conflicts of interest </w:t>
      </w:r>
      <w:r w:rsidRPr="00CF2378">
        <w:rPr>
          <w:lang w:eastAsia="en-AU"/>
        </w:rPr>
        <w:lastRenderedPageBreak/>
        <w:t xml:space="preserve">as a key driver in consultant expenditure. This was acutely evident in FY2021-22, with FNLRS directing almost $1 million in funding to </w:t>
      </w:r>
      <w:r w:rsidR="000443EE">
        <w:rPr>
          <w:lang w:eastAsia="en-AU"/>
        </w:rPr>
        <w:t xml:space="preserve">law </w:t>
      </w:r>
      <w:r w:rsidRPr="00CF2378">
        <w:rPr>
          <w:lang w:eastAsia="en-AU"/>
        </w:rPr>
        <w:t xml:space="preserve">firms for </w:t>
      </w:r>
      <w:r w:rsidR="007E03C4">
        <w:rPr>
          <w:lang w:eastAsia="en-AU"/>
        </w:rPr>
        <w:t>matters</w:t>
      </w:r>
      <w:r w:rsidRPr="00CF2378">
        <w:rPr>
          <w:lang w:eastAsia="en-AU"/>
        </w:rPr>
        <w:t xml:space="preserve"> where they were conflicted</w:t>
      </w:r>
      <w:r w:rsidR="000566C1">
        <w:rPr>
          <w:lang w:eastAsia="en-AU"/>
        </w:rPr>
        <w:t xml:space="preserve">. </w:t>
      </w:r>
      <w:r w:rsidRPr="00CF2378">
        <w:rPr>
          <w:lang w:eastAsia="en-AU"/>
        </w:rPr>
        <w:t xml:space="preserve">Further, staff identified capacity as another significant driver </w:t>
      </w:r>
      <w:r w:rsidR="00B04965">
        <w:rPr>
          <w:lang w:eastAsia="en-AU"/>
        </w:rPr>
        <w:t>of</w:t>
      </w:r>
      <w:r w:rsidRPr="00CF2378">
        <w:rPr>
          <w:lang w:eastAsia="en-AU"/>
        </w:rPr>
        <w:t xml:space="preserve"> consultant expenditure. </w:t>
      </w:r>
    </w:p>
    <w:p w14:paraId="78FA675C" w14:textId="77C789A9" w:rsidR="00CF2378" w:rsidRPr="00CF2378" w:rsidRDefault="00094ADC" w:rsidP="00094ADC">
      <w:pPr>
        <w:pStyle w:val="Caption"/>
        <w:rPr>
          <w:bCs w:val="0"/>
        </w:rPr>
      </w:pPr>
      <w:bookmarkStart w:id="35" w:name="_Ref166567418"/>
      <w:r>
        <w:t xml:space="preserve">Table </w:t>
      </w:r>
      <w:r>
        <w:fldChar w:fldCharType="begin"/>
      </w:r>
      <w:r>
        <w:instrText xml:space="preserve"> SEQ Table \* ARABIC </w:instrText>
      </w:r>
      <w:r>
        <w:fldChar w:fldCharType="separate"/>
      </w:r>
      <w:r w:rsidR="00AB7E95">
        <w:rPr>
          <w:noProof/>
        </w:rPr>
        <w:t>8</w:t>
      </w:r>
      <w:r>
        <w:fldChar w:fldCharType="end"/>
      </w:r>
      <w:bookmarkEnd w:id="35"/>
      <w:r>
        <w:t xml:space="preserve"> </w:t>
      </w:r>
      <w:r w:rsidR="00CF2378" w:rsidRPr="00CF2378">
        <w:t>| Overview of total consultant expenditure f</w:t>
      </w:r>
      <w:r w:rsidR="00073570">
        <w:t>or FY2019-20 to FY2021-22</w:t>
      </w:r>
    </w:p>
    <w:tbl>
      <w:tblPr>
        <w:tblStyle w:val="NOUSSideHeader11"/>
        <w:tblW w:w="5000" w:type="pct"/>
        <w:tblLook w:val="04A0" w:firstRow="1" w:lastRow="0" w:firstColumn="1" w:lastColumn="0" w:noHBand="0" w:noVBand="1"/>
      </w:tblPr>
      <w:tblGrid>
        <w:gridCol w:w="2232"/>
        <w:gridCol w:w="2232"/>
        <w:gridCol w:w="2233"/>
        <w:gridCol w:w="2233"/>
      </w:tblGrid>
      <w:tr w:rsidR="00D64F44" w:rsidRPr="00CF2378" w14:paraId="1FBCBD82" w14:textId="77777777" w:rsidTr="006770B0">
        <w:trPr>
          <w:cnfStyle w:val="100000000000" w:firstRow="1" w:lastRow="0" w:firstColumn="0" w:lastColumn="0" w:oddVBand="0" w:evenVBand="0" w:oddHBand="0" w:evenHBand="0" w:firstRowFirstColumn="0" w:firstRowLastColumn="0" w:lastRowFirstColumn="0" w:lastRowLastColumn="0"/>
          <w:trHeight w:val="17"/>
        </w:trPr>
        <w:tc>
          <w:tcPr>
            <w:tcW w:w="1250" w:type="pct"/>
          </w:tcPr>
          <w:p w14:paraId="395C30CE" w14:textId="77777777" w:rsidR="00CF2378" w:rsidRPr="00CF2378" w:rsidRDefault="00CF2378" w:rsidP="00D937C1">
            <w:pPr>
              <w:pStyle w:val="TableNheader"/>
            </w:pPr>
            <w:r w:rsidRPr="00CF2378">
              <w:t>FY2019-20</w:t>
            </w:r>
          </w:p>
        </w:tc>
        <w:tc>
          <w:tcPr>
            <w:tcW w:w="1250" w:type="pct"/>
          </w:tcPr>
          <w:p w14:paraId="20C91665" w14:textId="77777777" w:rsidR="00CF2378" w:rsidRPr="00CF2378" w:rsidRDefault="00CF2378" w:rsidP="00D937C1">
            <w:pPr>
              <w:pStyle w:val="TableNheader"/>
            </w:pPr>
            <w:r w:rsidRPr="00CF2378">
              <w:t>FY2020-21</w:t>
            </w:r>
          </w:p>
        </w:tc>
        <w:tc>
          <w:tcPr>
            <w:tcW w:w="1250" w:type="pct"/>
          </w:tcPr>
          <w:p w14:paraId="5D6CE613" w14:textId="77777777" w:rsidR="00CF2378" w:rsidRPr="00CF2378" w:rsidRDefault="00CF2378" w:rsidP="00D937C1">
            <w:pPr>
              <w:pStyle w:val="TableNheader"/>
            </w:pPr>
            <w:r w:rsidRPr="00CF2378">
              <w:t>FY2021-22</w:t>
            </w:r>
          </w:p>
        </w:tc>
        <w:tc>
          <w:tcPr>
            <w:tcW w:w="1250" w:type="pct"/>
          </w:tcPr>
          <w:p w14:paraId="35C34863" w14:textId="77777777" w:rsidR="00CF2378" w:rsidRPr="00CF2378" w:rsidRDefault="00CF2378" w:rsidP="00D937C1">
            <w:pPr>
              <w:pStyle w:val="TableNheader"/>
            </w:pPr>
            <w:r w:rsidRPr="00CF2378">
              <w:t>Average yearly cost for the Review period</w:t>
            </w:r>
          </w:p>
        </w:tc>
      </w:tr>
      <w:tr w:rsidR="00CF2378" w:rsidRPr="00CF2378" w14:paraId="257961A2" w14:textId="77777777" w:rsidTr="006770B0">
        <w:trPr>
          <w:cnfStyle w:val="000000100000" w:firstRow="0" w:lastRow="0" w:firstColumn="0" w:lastColumn="0" w:oddVBand="0" w:evenVBand="0" w:oddHBand="1" w:evenHBand="0" w:firstRowFirstColumn="0" w:firstRowLastColumn="0" w:lastRowFirstColumn="0" w:lastRowLastColumn="0"/>
          <w:trHeight w:val="25"/>
        </w:trPr>
        <w:tc>
          <w:tcPr>
            <w:tcW w:w="1250" w:type="pct"/>
          </w:tcPr>
          <w:p w14:paraId="26BED8E7" w14:textId="77777777" w:rsidR="00CF2378" w:rsidRPr="0041708A" w:rsidRDefault="00CF2378" w:rsidP="00D937C1">
            <w:pPr>
              <w:pStyle w:val="TableNText"/>
              <w:rPr>
                <w:rFonts w:asciiTheme="minorHAnsi" w:hAnsiTheme="minorHAnsi" w:cstheme="minorHAnsi"/>
              </w:rPr>
            </w:pPr>
            <w:r w:rsidRPr="0041708A">
              <w:t>$373,340</w:t>
            </w:r>
          </w:p>
        </w:tc>
        <w:tc>
          <w:tcPr>
            <w:tcW w:w="1250" w:type="pct"/>
          </w:tcPr>
          <w:p w14:paraId="0293E3FF" w14:textId="77777777" w:rsidR="00CF2378" w:rsidRPr="0041708A" w:rsidRDefault="00CF2378" w:rsidP="00D937C1">
            <w:pPr>
              <w:pStyle w:val="TableNText"/>
              <w:rPr>
                <w:rFonts w:asciiTheme="minorHAnsi" w:hAnsiTheme="minorHAnsi" w:cstheme="minorHAnsi"/>
              </w:rPr>
            </w:pPr>
            <w:r w:rsidRPr="0041708A">
              <w:t>$487,655</w:t>
            </w:r>
          </w:p>
        </w:tc>
        <w:tc>
          <w:tcPr>
            <w:tcW w:w="1250" w:type="pct"/>
          </w:tcPr>
          <w:p w14:paraId="7E9E6B73" w14:textId="77777777" w:rsidR="00CF2378" w:rsidRPr="0041708A" w:rsidRDefault="00CF2378" w:rsidP="00D937C1">
            <w:pPr>
              <w:pStyle w:val="TableNText"/>
              <w:rPr>
                <w:rFonts w:asciiTheme="minorHAnsi" w:hAnsiTheme="minorHAnsi" w:cstheme="minorHAnsi"/>
              </w:rPr>
            </w:pPr>
            <w:r w:rsidRPr="0041708A">
              <w:t>$</w:t>
            </w:r>
            <w:r w:rsidRPr="0041708A">
              <w:rPr>
                <w:rFonts w:asciiTheme="minorHAnsi" w:hAnsiTheme="minorHAnsi" w:cstheme="minorHAnsi"/>
              </w:rPr>
              <w:t>1,125,219</w:t>
            </w:r>
          </w:p>
        </w:tc>
        <w:tc>
          <w:tcPr>
            <w:tcW w:w="1250" w:type="pct"/>
          </w:tcPr>
          <w:p w14:paraId="1E8D155D" w14:textId="77777777" w:rsidR="00CF2378" w:rsidRPr="0041708A" w:rsidRDefault="00CF2378" w:rsidP="00D937C1">
            <w:pPr>
              <w:pStyle w:val="TableNText"/>
              <w:rPr>
                <w:rFonts w:asciiTheme="minorHAnsi" w:hAnsiTheme="minorHAnsi" w:cstheme="minorHAnsi"/>
              </w:rPr>
            </w:pPr>
            <w:r w:rsidRPr="0041708A">
              <w:t>$662,071</w:t>
            </w:r>
          </w:p>
        </w:tc>
      </w:tr>
    </w:tbl>
    <w:p w14:paraId="03BF5382" w14:textId="035C5246" w:rsidR="00CF2378" w:rsidRDefault="00CF2378" w:rsidP="005566FF">
      <w:pPr>
        <w:keepNext/>
        <w:numPr>
          <w:ilvl w:val="2"/>
          <w:numId w:val="2"/>
        </w:numPr>
        <w:tabs>
          <w:tab w:val="num" w:pos="360"/>
        </w:tabs>
        <w:spacing w:before="480" w:after="60"/>
        <w:ind w:left="0" w:firstLine="0"/>
        <w:outlineLvl w:val="2"/>
        <w:rPr>
          <w:rFonts w:ascii="Segoe UI Semibold" w:eastAsia="Times New Roman" w:hAnsi="Segoe UI Semibold" w:cs="Times New Roman"/>
          <w:color w:val="00264D"/>
          <w:sz w:val="26"/>
          <w:szCs w:val="19"/>
          <w:lang w:eastAsia="en-AU"/>
        </w:rPr>
      </w:pPr>
      <w:r w:rsidRPr="00CF2378">
        <w:rPr>
          <w:rFonts w:ascii="Segoe UI Semibold" w:eastAsia="Times New Roman" w:hAnsi="Segoe UI Semibold" w:cs="Times New Roman"/>
          <w:color w:val="00264D"/>
          <w:sz w:val="26"/>
          <w:szCs w:val="19"/>
          <w:lang w:eastAsia="en-AU"/>
        </w:rPr>
        <w:t>TOR 4: External factors</w:t>
      </w:r>
    </w:p>
    <w:p w14:paraId="7568778A" w14:textId="090A8742" w:rsidR="004F36A3" w:rsidRPr="004F36A3" w:rsidRDefault="004F36A3" w:rsidP="004F36A3">
      <w:pPr>
        <w:rPr>
          <w:lang w:eastAsia="en-AU"/>
        </w:rPr>
      </w:pPr>
      <w:r w:rsidRPr="004F36A3">
        <w:rPr>
          <w:lang w:eastAsia="en-AU"/>
        </w:rPr>
        <w:t xml:space="preserve">This section presents an analysis of factors that impacted on performance that were beyond </w:t>
      </w:r>
      <w:r>
        <w:rPr>
          <w:lang w:eastAsia="en-AU"/>
        </w:rPr>
        <w:t>FNLRS</w:t>
      </w:r>
      <w:r w:rsidRPr="004F36A3">
        <w:rPr>
          <w:lang w:eastAsia="en-AU"/>
        </w:rPr>
        <w:t>'s control.</w:t>
      </w:r>
    </w:p>
    <w:p w14:paraId="5DF35B2C" w14:textId="5D034054" w:rsidR="00CF2378" w:rsidRPr="00CF2378" w:rsidRDefault="00CF2378" w:rsidP="00CF2378">
      <w:pPr>
        <w:keepNext/>
        <w:spacing w:before="240" w:after="60"/>
        <w:outlineLvl w:val="3"/>
        <w:rPr>
          <w:rFonts w:ascii="Segoe UI Semibold" w:eastAsia="Times New Roman" w:hAnsi="Segoe UI Semibold" w:cs="Times New Roman"/>
          <w:color w:val="00264D" w:themeColor="background2"/>
          <w:sz w:val="22"/>
          <w:szCs w:val="19"/>
          <w:lang w:eastAsia="en-AU"/>
        </w:rPr>
      </w:pPr>
      <w:r w:rsidRPr="00CF2378">
        <w:rPr>
          <w:rFonts w:ascii="Segoe UI Semibold" w:eastAsia="Times New Roman" w:hAnsi="Segoe UI Semibold" w:cs="Times New Roman"/>
          <w:color w:val="00264D" w:themeColor="background2"/>
          <w:sz w:val="22"/>
          <w:szCs w:val="19"/>
          <w:lang w:eastAsia="en-AU"/>
        </w:rPr>
        <w:t xml:space="preserve">Size </w:t>
      </w:r>
      <w:r w:rsidR="002F1418">
        <w:rPr>
          <w:rFonts w:ascii="Segoe UI Semibold" w:eastAsia="Times New Roman" w:hAnsi="Segoe UI Semibold" w:cs="Times New Roman"/>
          <w:color w:val="00264D" w:themeColor="background2"/>
          <w:sz w:val="22"/>
          <w:szCs w:val="19"/>
          <w:lang w:eastAsia="en-AU"/>
        </w:rPr>
        <w:t xml:space="preserve">and remoteness </w:t>
      </w:r>
      <w:r w:rsidRPr="00CF2378">
        <w:rPr>
          <w:rFonts w:ascii="Segoe UI Semibold" w:eastAsia="Times New Roman" w:hAnsi="Segoe UI Semibold" w:cs="Times New Roman"/>
          <w:color w:val="00264D" w:themeColor="background2"/>
          <w:sz w:val="22"/>
          <w:szCs w:val="19"/>
          <w:lang w:eastAsia="en-AU"/>
        </w:rPr>
        <w:t>of RATSIB area</w:t>
      </w:r>
    </w:p>
    <w:p w14:paraId="4A10D68A" w14:textId="00165ADF" w:rsidR="00284BD5" w:rsidRDefault="00B778A1" w:rsidP="3248A9F0">
      <w:pPr>
        <w:pStyle w:val="Heading5"/>
        <w:numPr>
          <w:ilvl w:val="4"/>
          <w:numId w:val="0"/>
        </w:numPr>
      </w:pPr>
      <w:r w:rsidRPr="6967B2CC">
        <w:t>FNLRS’s</w:t>
      </w:r>
      <w:r w:rsidR="000B5CB1" w:rsidRPr="6967B2CC">
        <w:t xml:space="preserve"> RATSIB area </w:t>
      </w:r>
      <w:r w:rsidR="00997784" w:rsidRPr="6967B2CC">
        <w:t>covers</w:t>
      </w:r>
      <w:r w:rsidR="000B5CB1" w:rsidRPr="6967B2CC">
        <w:t xml:space="preserve"> </w:t>
      </w:r>
      <w:r w:rsidR="00997784" w:rsidRPr="6967B2CC">
        <w:t>all of</w:t>
      </w:r>
      <w:r w:rsidR="000B5CB1" w:rsidRPr="6967B2CC">
        <w:t xml:space="preserve"> Victoria</w:t>
      </w:r>
      <w:r w:rsidR="00806B41" w:rsidRPr="6967B2CC">
        <w:t xml:space="preserve">, </w:t>
      </w:r>
      <w:r w:rsidR="008C6349" w:rsidRPr="6967B2CC">
        <w:t>with</w:t>
      </w:r>
      <w:r w:rsidR="00806B41" w:rsidRPr="6967B2CC">
        <w:t xml:space="preserve"> most </w:t>
      </w:r>
      <w:r w:rsidR="008C6349" w:rsidRPr="6967B2CC">
        <w:t>claimants</w:t>
      </w:r>
      <w:r w:rsidR="00806B41" w:rsidRPr="6967B2CC">
        <w:t xml:space="preserve"> located in Melbourne</w:t>
      </w:r>
      <w:r w:rsidR="008C6349" w:rsidRPr="6967B2CC">
        <w:t xml:space="preserve"> </w:t>
      </w:r>
      <w:r w:rsidR="008A55B9" w:rsidRPr="6967B2CC">
        <w:t>but</w:t>
      </w:r>
      <w:r w:rsidR="008C6349" w:rsidRPr="6967B2CC">
        <w:t xml:space="preserve"> </w:t>
      </w:r>
      <w:r w:rsidR="00960F58" w:rsidRPr="6967B2CC">
        <w:t>travel</w:t>
      </w:r>
      <w:r w:rsidR="00C42806" w:rsidRPr="6967B2CC">
        <w:t>ling</w:t>
      </w:r>
      <w:r w:rsidR="008C6349" w:rsidRPr="6967B2CC">
        <w:t xml:space="preserve"> to remote</w:t>
      </w:r>
      <w:r w:rsidR="00960F58" w:rsidRPr="6967B2CC">
        <w:t xml:space="preserve"> parts of the state</w:t>
      </w:r>
      <w:r w:rsidR="00C42806" w:rsidRPr="6967B2CC">
        <w:t xml:space="preserve"> to meet on </w:t>
      </w:r>
      <w:r w:rsidR="00011DDC" w:rsidRPr="6967B2CC">
        <w:t>C</w:t>
      </w:r>
      <w:r w:rsidR="00C42806" w:rsidRPr="6967B2CC">
        <w:t>ountry</w:t>
      </w:r>
    </w:p>
    <w:p w14:paraId="6917A4A9" w14:textId="5E1A14A0" w:rsidR="004B678D" w:rsidRPr="003D219F" w:rsidRDefault="00CF2378" w:rsidP="003D219F">
      <w:pPr>
        <w:rPr>
          <w:lang w:eastAsia="en-AU"/>
        </w:rPr>
      </w:pPr>
      <w:r w:rsidRPr="00CF2378">
        <w:rPr>
          <w:lang w:eastAsia="en-AU"/>
        </w:rPr>
        <w:t xml:space="preserve">The </w:t>
      </w:r>
      <w:r w:rsidR="00F51DD8">
        <w:rPr>
          <w:lang w:eastAsia="en-AU"/>
        </w:rPr>
        <w:t>FNLRS</w:t>
      </w:r>
      <w:r w:rsidR="00F51DD8" w:rsidRPr="00CF2378">
        <w:rPr>
          <w:lang w:eastAsia="en-AU"/>
        </w:rPr>
        <w:t xml:space="preserve"> </w:t>
      </w:r>
      <w:r w:rsidRPr="00CF2378">
        <w:rPr>
          <w:lang w:eastAsia="en-AU"/>
        </w:rPr>
        <w:t xml:space="preserve">RATSIB area </w:t>
      </w:r>
      <w:r w:rsidR="0023689F">
        <w:rPr>
          <w:lang w:eastAsia="en-AU"/>
        </w:rPr>
        <w:t>accounts for</w:t>
      </w:r>
      <w:r w:rsidR="008744F1">
        <w:rPr>
          <w:lang w:eastAsia="en-AU"/>
        </w:rPr>
        <w:t xml:space="preserve"> all of Victoria</w:t>
      </w:r>
      <w:r w:rsidR="00EB2DC2">
        <w:rPr>
          <w:lang w:eastAsia="en-AU"/>
        </w:rPr>
        <w:t>,</w:t>
      </w:r>
      <w:r w:rsidRPr="00CF2378">
        <w:rPr>
          <w:lang w:eastAsia="en-AU"/>
        </w:rPr>
        <w:t xml:space="preserve"> </w:t>
      </w:r>
      <w:r w:rsidR="00D937C1">
        <w:rPr>
          <w:lang w:eastAsia="en-AU"/>
        </w:rPr>
        <w:t>about</w:t>
      </w:r>
      <w:r w:rsidRPr="00CF2378">
        <w:rPr>
          <w:lang w:eastAsia="en-AU"/>
        </w:rPr>
        <w:t xml:space="preserve"> </w:t>
      </w:r>
      <w:r w:rsidR="00320198" w:rsidRPr="00320198">
        <w:rPr>
          <w:lang w:eastAsia="en-AU"/>
        </w:rPr>
        <w:t xml:space="preserve">227,416 </w:t>
      </w:r>
      <w:r w:rsidRPr="00CF2378">
        <w:rPr>
          <w:lang w:eastAsia="en-AU"/>
        </w:rPr>
        <w:t xml:space="preserve">square </w:t>
      </w:r>
      <w:r w:rsidR="00EB2DC2" w:rsidRPr="00CF2378">
        <w:rPr>
          <w:lang w:eastAsia="en-AU"/>
        </w:rPr>
        <w:t>kilometres</w:t>
      </w:r>
      <w:r w:rsidRPr="00CF2378">
        <w:rPr>
          <w:lang w:eastAsia="en-AU"/>
        </w:rPr>
        <w:t xml:space="preserve"> of land</w:t>
      </w:r>
      <w:r w:rsidR="0089282D">
        <w:rPr>
          <w:lang w:eastAsia="en-AU"/>
        </w:rPr>
        <w:t xml:space="preserve"> and waters</w:t>
      </w:r>
      <w:r w:rsidRPr="00CF2378">
        <w:rPr>
          <w:lang w:eastAsia="en-AU"/>
        </w:rPr>
        <w:t>.</w:t>
      </w:r>
      <w:r w:rsidR="00172B93">
        <w:rPr>
          <w:lang w:eastAsia="en-AU"/>
        </w:rPr>
        <w:t xml:space="preserve"> Additi</w:t>
      </w:r>
      <w:r w:rsidR="00412090">
        <w:rPr>
          <w:lang w:eastAsia="en-AU"/>
        </w:rPr>
        <w:t>onally, t</w:t>
      </w:r>
      <w:r w:rsidR="009F144D">
        <w:rPr>
          <w:lang w:eastAsia="en-AU"/>
        </w:rPr>
        <w:t>he level of remoteness in a RATSIB area affects</w:t>
      </w:r>
      <w:r w:rsidR="00431172">
        <w:rPr>
          <w:lang w:eastAsia="en-AU"/>
        </w:rPr>
        <w:t xml:space="preserve"> the </w:t>
      </w:r>
      <w:r w:rsidR="004B678D">
        <w:rPr>
          <w:lang w:eastAsia="en-AU"/>
        </w:rPr>
        <w:t>native title service delivery expenditure (</w:t>
      </w:r>
      <w:r w:rsidR="00D937C1">
        <w:rPr>
          <w:lang w:eastAsia="en-AU"/>
        </w:rPr>
        <w:t>for example,</w:t>
      </w:r>
      <w:r w:rsidR="004B678D">
        <w:rPr>
          <w:lang w:eastAsia="en-AU"/>
        </w:rPr>
        <w:t xml:space="preserve"> through providing travel assistance). </w:t>
      </w:r>
      <w:r w:rsidR="00412090">
        <w:rPr>
          <w:lang w:eastAsia="en-AU"/>
        </w:rPr>
        <w:t>FNLRS</w:t>
      </w:r>
      <w:r w:rsidR="00412090" w:rsidDel="00DA76B7">
        <w:rPr>
          <w:lang w:eastAsia="en-AU"/>
        </w:rPr>
        <w:t xml:space="preserve"> </w:t>
      </w:r>
      <w:r w:rsidR="00DA76B7">
        <w:rPr>
          <w:lang w:eastAsia="en-AU"/>
        </w:rPr>
        <w:t>said</w:t>
      </w:r>
      <w:r w:rsidR="00412090">
        <w:rPr>
          <w:lang w:eastAsia="en-AU"/>
        </w:rPr>
        <w:t xml:space="preserve"> that </w:t>
      </w:r>
      <w:r w:rsidR="00491E2E">
        <w:rPr>
          <w:lang w:eastAsia="en-AU"/>
        </w:rPr>
        <w:t xml:space="preserve">Traditional Owners would </w:t>
      </w:r>
      <w:r w:rsidR="005A2363">
        <w:rPr>
          <w:lang w:eastAsia="en-AU"/>
        </w:rPr>
        <w:t xml:space="preserve">often </w:t>
      </w:r>
      <w:r w:rsidR="002872B8">
        <w:rPr>
          <w:lang w:eastAsia="en-AU"/>
        </w:rPr>
        <w:t xml:space="preserve">need </w:t>
      </w:r>
      <w:r w:rsidR="005A2363">
        <w:rPr>
          <w:lang w:eastAsia="en-AU"/>
        </w:rPr>
        <w:t xml:space="preserve">to </w:t>
      </w:r>
      <w:r w:rsidR="00491E2E">
        <w:rPr>
          <w:lang w:eastAsia="en-AU"/>
        </w:rPr>
        <w:t>travel to</w:t>
      </w:r>
      <w:r w:rsidR="005E0630">
        <w:rPr>
          <w:lang w:eastAsia="en-AU"/>
        </w:rPr>
        <w:t xml:space="preserve"> areas on</w:t>
      </w:r>
      <w:r w:rsidR="00491E2E">
        <w:rPr>
          <w:lang w:eastAsia="en-AU"/>
        </w:rPr>
        <w:t xml:space="preserve"> Country for in-person claim group meetings </w:t>
      </w:r>
      <w:r w:rsidR="00061D02">
        <w:rPr>
          <w:lang w:eastAsia="en-AU"/>
        </w:rPr>
        <w:t xml:space="preserve">and </w:t>
      </w:r>
      <w:r w:rsidR="00466369">
        <w:rPr>
          <w:lang w:eastAsia="en-AU"/>
        </w:rPr>
        <w:t xml:space="preserve">that </w:t>
      </w:r>
      <w:r w:rsidR="00061D02">
        <w:rPr>
          <w:lang w:eastAsia="en-AU"/>
        </w:rPr>
        <w:t xml:space="preserve">the large majority would </w:t>
      </w:r>
      <w:r w:rsidR="0054796A">
        <w:rPr>
          <w:lang w:eastAsia="en-AU"/>
        </w:rPr>
        <w:t>be eligible for</w:t>
      </w:r>
      <w:r w:rsidR="00061D02">
        <w:rPr>
          <w:lang w:eastAsia="en-AU"/>
        </w:rPr>
        <w:t xml:space="preserve"> travel assistance</w:t>
      </w:r>
      <w:r w:rsidR="0054796A">
        <w:rPr>
          <w:lang w:eastAsia="en-AU"/>
        </w:rPr>
        <w:t xml:space="preserve"> </w:t>
      </w:r>
      <w:r w:rsidR="0054796A" w:rsidRPr="0054796A">
        <w:rPr>
          <w:lang w:eastAsia="en-AU"/>
        </w:rPr>
        <w:t>(travelled over 50 kilometres)</w:t>
      </w:r>
      <w:r w:rsidR="00481193">
        <w:rPr>
          <w:lang w:eastAsia="en-AU"/>
        </w:rPr>
        <w:t>,</w:t>
      </w:r>
      <w:r w:rsidR="00061D02">
        <w:rPr>
          <w:lang w:eastAsia="en-AU"/>
        </w:rPr>
        <w:t xml:space="preserve"> considering </w:t>
      </w:r>
      <w:r w:rsidR="0054796A">
        <w:rPr>
          <w:lang w:eastAsia="en-AU"/>
        </w:rPr>
        <w:t>most lived</w:t>
      </w:r>
      <w:r w:rsidR="00061D02">
        <w:rPr>
          <w:lang w:eastAsia="en-AU"/>
        </w:rPr>
        <w:t xml:space="preserve"> in Melbourne</w:t>
      </w:r>
      <w:r w:rsidR="0054796A">
        <w:rPr>
          <w:lang w:eastAsia="en-AU"/>
        </w:rPr>
        <w:t>.</w:t>
      </w:r>
      <w:r w:rsidR="00466369">
        <w:rPr>
          <w:lang w:eastAsia="en-AU"/>
        </w:rPr>
        <w:t xml:space="preserve"> This also</w:t>
      </w:r>
      <w:r w:rsidR="00FD582F">
        <w:rPr>
          <w:lang w:eastAsia="en-AU"/>
        </w:rPr>
        <w:t xml:space="preserve"> meant FNLRS </w:t>
      </w:r>
      <w:r w:rsidR="005A7CD2">
        <w:rPr>
          <w:lang w:eastAsia="en-AU"/>
        </w:rPr>
        <w:t>needed</w:t>
      </w:r>
      <w:r w:rsidR="00FD582F">
        <w:rPr>
          <w:lang w:eastAsia="en-AU"/>
        </w:rPr>
        <w:t xml:space="preserve"> to cover higher </w:t>
      </w:r>
      <w:r w:rsidR="00466369">
        <w:rPr>
          <w:lang w:eastAsia="en-AU"/>
        </w:rPr>
        <w:t>staff</w:t>
      </w:r>
      <w:r w:rsidR="00FD582F">
        <w:rPr>
          <w:lang w:eastAsia="en-AU"/>
        </w:rPr>
        <w:t xml:space="preserve"> travel costs</w:t>
      </w:r>
      <w:r w:rsidR="00190374">
        <w:rPr>
          <w:lang w:eastAsia="en-AU"/>
        </w:rPr>
        <w:t xml:space="preserve"> </w:t>
      </w:r>
      <w:r w:rsidR="00FD582F">
        <w:rPr>
          <w:lang w:eastAsia="en-AU"/>
        </w:rPr>
        <w:t>f</w:t>
      </w:r>
      <w:r w:rsidR="00D21AF0">
        <w:rPr>
          <w:lang w:eastAsia="en-AU"/>
        </w:rPr>
        <w:t>or</w:t>
      </w:r>
      <w:r w:rsidR="00FD582F">
        <w:rPr>
          <w:lang w:eastAsia="en-AU"/>
        </w:rPr>
        <w:t xml:space="preserve"> in-person meetings on Country compared to th</w:t>
      </w:r>
      <w:r w:rsidR="00145F64">
        <w:rPr>
          <w:lang w:eastAsia="en-AU"/>
        </w:rPr>
        <w:t>o</w:t>
      </w:r>
      <w:r w:rsidR="00FD582F">
        <w:rPr>
          <w:lang w:eastAsia="en-AU"/>
        </w:rPr>
        <w:t xml:space="preserve">se held in </w:t>
      </w:r>
      <w:r w:rsidR="00921AA4">
        <w:rPr>
          <w:lang w:eastAsia="en-AU"/>
        </w:rPr>
        <w:t>Melbourne</w:t>
      </w:r>
      <w:r w:rsidR="00FD582F">
        <w:rPr>
          <w:lang w:eastAsia="en-AU"/>
        </w:rPr>
        <w:t>.</w:t>
      </w:r>
      <w:r w:rsidR="00B31CE2">
        <w:rPr>
          <w:lang w:eastAsia="en-AU"/>
        </w:rPr>
        <w:t xml:space="preserve"> </w:t>
      </w:r>
      <w:r w:rsidR="00236672">
        <w:rPr>
          <w:lang w:eastAsia="en-AU"/>
        </w:rPr>
        <w:t>The degree of in-person meetings was limited</w:t>
      </w:r>
      <w:r w:rsidR="00D202BF">
        <w:rPr>
          <w:lang w:eastAsia="en-AU"/>
        </w:rPr>
        <w:t xml:space="preserve"> in the Review period</w:t>
      </w:r>
      <w:r w:rsidR="00236672">
        <w:rPr>
          <w:lang w:eastAsia="en-AU"/>
        </w:rPr>
        <w:t xml:space="preserve">, however, due to COVID-19 restrictions. This </w:t>
      </w:r>
      <w:r w:rsidR="00DD2852">
        <w:rPr>
          <w:lang w:eastAsia="en-AU"/>
        </w:rPr>
        <w:t xml:space="preserve">assisted with </w:t>
      </w:r>
      <w:r w:rsidR="001272E5">
        <w:rPr>
          <w:lang w:eastAsia="en-AU"/>
        </w:rPr>
        <w:t xml:space="preserve">keeping </w:t>
      </w:r>
      <w:r w:rsidR="00523C1A">
        <w:rPr>
          <w:lang w:eastAsia="en-AU"/>
        </w:rPr>
        <w:t>meeting expenditure</w:t>
      </w:r>
      <w:r w:rsidR="001272E5">
        <w:rPr>
          <w:lang w:eastAsia="en-AU"/>
        </w:rPr>
        <w:t xml:space="preserve"> low</w:t>
      </w:r>
      <w:r w:rsidR="00523C1A">
        <w:rPr>
          <w:lang w:eastAsia="en-AU"/>
        </w:rPr>
        <w:t xml:space="preserve"> </w:t>
      </w:r>
      <w:r w:rsidR="00AA7B21">
        <w:rPr>
          <w:lang w:eastAsia="en-AU"/>
        </w:rPr>
        <w:t xml:space="preserve">due to the </w:t>
      </w:r>
      <w:r w:rsidR="005845DA">
        <w:rPr>
          <w:lang w:eastAsia="en-AU"/>
        </w:rPr>
        <w:t>increase</w:t>
      </w:r>
      <w:r w:rsidR="007C2FAC">
        <w:rPr>
          <w:lang w:eastAsia="en-AU"/>
        </w:rPr>
        <w:t xml:space="preserve"> in</w:t>
      </w:r>
      <w:r w:rsidR="00AA7B21">
        <w:rPr>
          <w:lang w:eastAsia="en-AU"/>
        </w:rPr>
        <w:t xml:space="preserve"> virtual meetings</w:t>
      </w:r>
      <w:r w:rsidR="007C2FAC">
        <w:rPr>
          <w:lang w:eastAsia="en-AU"/>
        </w:rPr>
        <w:t xml:space="preserve"> for </w:t>
      </w:r>
      <w:r w:rsidR="00E55B22">
        <w:rPr>
          <w:lang w:eastAsia="en-AU"/>
        </w:rPr>
        <w:t>most of</w:t>
      </w:r>
      <w:r w:rsidR="007C2FAC">
        <w:rPr>
          <w:lang w:eastAsia="en-AU"/>
        </w:rPr>
        <w:t xml:space="preserve"> the Review</w:t>
      </w:r>
      <w:r w:rsidR="001272E5">
        <w:rPr>
          <w:lang w:eastAsia="en-AU"/>
        </w:rPr>
        <w:t xml:space="preserve"> period</w:t>
      </w:r>
      <w:r w:rsidR="00523C1A">
        <w:rPr>
          <w:lang w:eastAsia="en-AU"/>
        </w:rPr>
        <w:t>.</w:t>
      </w:r>
    </w:p>
    <w:p w14:paraId="1C4FAF1E" w14:textId="518F1823" w:rsidR="00CF2378" w:rsidRPr="00CF2378" w:rsidRDefault="00CF2378" w:rsidP="00CF2378">
      <w:pPr>
        <w:keepNext/>
        <w:spacing w:before="240" w:after="60"/>
        <w:outlineLvl w:val="3"/>
        <w:rPr>
          <w:rFonts w:ascii="Segoe UI Semibold" w:eastAsia="Times New Roman" w:hAnsi="Segoe UI Semibold" w:cs="Times New Roman"/>
          <w:color w:val="00264D" w:themeColor="background2"/>
          <w:sz w:val="22"/>
          <w:szCs w:val="19"/>
          <w:lang w:eastAsia="en-AU"/>
        </w:rPr>
      </w:pPr>
      <w:r w:rsidRPr="00CF2378">
        <w:rPr>
          <w:rFonts w:ascii="Segoe UI Semibold" w:eastAsia="Times New Roman" w:hAnsi="Segoe UI Semibold" w:cs="Times New Roman"/>
          <w:color w:val="00264D" w:themeColor="background2"/>
          <w:sz w:val="22"/>
          <w:szCs w:val="19"/>
          <w:lang w:eastAsia="en-AU"/>
        </w:rPr>
        <w:t>Average number of people within a claim group</w:t>
      </w:r>
    </w:p>
    <w:p w14:paraId="37FDC287" w14:textId="5E0D2630" w:rsidR="00CF2378" w:rsidRPr="00CF2378" w:rsidRDefault="007E0D03" w:rsidP="005566FF">
      <w:pPr>
        <w:keepNext/>
        <w:numPr>
          <w:ilvl w:val="4"/>
          <w:numId w:val="2"/>
        </w:numPr>
        <w:tabs>
          <w:tab w:val="num" w:pos="360"/>
        </w:tabs>
        <w:spacing w:before="240"/>
        <w:outlineLvl w:val="4"/>
        <w:rPr>
          <w:rFonts w:eastAsia="Times New Roman" w:cs="Times New Roman"/>
          <w:b/>
          <w:color w:val="000000" w:themeColor="text1"/>
          <w:sz w:val="20"/>
          <w:szCs w:val="24"/>
          <w:lang w:eastAsia="en-AU"/>
        </w:rPr>
      </w:pPr>
      <w:r>
        <w:rPr>
          <w:rFonts w:eastAsia="Times New Roman" w:cs="Times New Roman"/>
          <w:b/>
          <w:color w:val="000000" w:themeColor="text1"/>
          <w:sz w:val="20"/>
          <w:szCs w:val="24"/>
          <w:lang w:eastAsia="en-AU"/>
        </w:rPr>
        <w:t>The a</w:t>
      </w:r>
      <w:r w:rsidR="00CF2378" w:rsidRPr="00CF2378">
        <w:rPr>
          <w:rFonts w:eastAsia="Times New Roman" w:cs="Times New Roman"/>
          <w:b/>
          <w:color w:val="000000" w:themeColor="text1"/>
          <w:sz w:val="20"/>
          <w:szCs w:val="24"/>
          <w:lang w:eastAsia="en-AU"/>
        </w:rPr>
        <w:t xml:space="preserve">verage claim group membership was </w:t>
      </w:r>
      <w:r w:rsidR="00C03144">
        <w:rPr>
          <w:rFonts w:eastAsia="Times New Roman" w:cs="Times New Roman"/>
          <w:b/>
          <w:color w:val="000000" w:themeColor="text1"/>
          <w:sz w:val="20"/>
          <w:szCs w:val="24"/>
          <w:lang w:eastAsia="en-AU"/>
        </w:rPr>
        <w:t xml:space="preserve">approximately </w:t>
      </w:r>
      <w:r w:rsidR="00CF2378" w:rsidRPr="00CF2378">
        <w:rPr>
          <w:rFonts w:eastAsia="Times New Roman" w:cs="Times New Roman"/>
          <w:b/>
          <w:color w:val="000000" w:themeColor="text1"/>
          <w:sz w:val="20"/>
          <w:szCs w:val="24"/>
          <w:lang w:eastAsia="en-AU"/>
        </w:rPr>
        <w:t>200 peopl</w:t>
      </w:r>
      <w:r w:rsidR="00EC3892">
        <w:rPr>
          <w:rFonts w:eastAsia="Times New Roman" w:cs="Times New Roman"/>
          <w:b/>
          <w:color w:val="000000" w:themeColor="text1"/>
          <w:sz w:val="20"/>
          <w:szCs w:val="24"/>
          <w:lang w:eastAsia="en-AU"/>
        </w:rPr>
        <w:t>e</w:t>
      </w:r>
      <w:r w:rsidR="00F60585">
        <w:rPr>
          <w:rFonts w:eastAsia="Times New Roman" w:cs="Times New Roman"/>
          <w:b/>
          <w:color w:val="000000" w:themeColor="text1"/>
          <w:sz w:val="20"/>
          <w:szCs w:val="24"/>
          <w:lang w:eastAsia="en-AU"/>
        </w:rPr>
        <w:t xml:space="preserve"> </w:t>
      </w:r>
    </w:p>
    <w:p w14:paraId="1D1C8A77" w14:textId="3C717E56" w:rsidR="00CF2378" w:rsidRPr="00CF2378" w:rsidRDefault="00CF2378" w:rsidP="00CF2378">
      <w:pPr>
        <w:rPr>
          <w:lang w:eastAsia="en-AU"/>
        </w:rPr>
      </w:pPr>
      <w:r w:rsidRPr="00CF2378">
        <w:rPr>
          <w:lang w:eastAsia="en-AU"/>
        </w:rPr>
        <w:t xml:space="preserve">Data provided by FNLRS </w:t>
      </w:r>
      <w:r w:rsidR="00D46EC4">
        <w:rPr>
          <w:lang w:eastAsia="en-AU"/>
        </w:rPr>
        <w:t>revealed that</w:t>
      </w:r>
      <w:r w:rsidRPr="00CF2378">
        <w:rPr>
          <w:lang w:eastAsia="en-AU"/>
        </w:rPr>
        <w:t xml:space="preserve"> </w:t>
      </w:r>
      <w:r w:rsidR="00E55B22">
        <w:rPr>
          <w:lang w:eastAsia="en-AU"/>
        </w:rPr>
        <w:t>the</w:t>
      </w:r>
      <w:r w:rsidRPr="00CF2378">
        <w:rPr>
          <w:lang w:eastAsia="en-AU"/>
        </w:rPr>
        <w:t xml:space="preserve"> average claim group size </w:t>
      </w:r>
      <w:r w:rsidR="00A56030">
        <w:rPr>
          <w:lang w:eastAsia="en-AU"/>
        </w:rPr>
        <w:t xml:space="preserve">was </w:t>
      </w:r>
      <w:r w:rsidRPr="00CF2378">
        <w:rPr>
          <w:lang w:eastAsia="en-AU"/>
        </w:rPr>
        <w:t>200 people during the Review period</w:t>
      </w:r>
      <w:r w:rsidR="00E41334">
        <w:rPr>
          <w:lang w:eastAsia="en-AU"/>
        </w:rPr>
        <w:t>, though the</w:t>
      </w:r>
      <w:r w:rsidR="00EB3300">
        <w:rPr>
          <w:lang w:eastAsia="en-AU"/>
        </w:rPr>
        <w:t xml:space="preserve"> </w:t>
      </w:r>
      <w:r w:rsidR="008531DB">
        <w:rPr>
          <w:lang w:eastAsia="en-AU"/>
        </w:rPr>
        <w:t xml:space="preserve">average </w:t>
      </w:r>
      <w:r w:rsidRPr="00CF2378">
        <w:rPr>
          <w:lang w:eastAsia="en-AU"/>
        </w:rPr>
        <w:t xml:space="preserve">attendance of claim group meetings </w:t>
      </w:r>
      <w:r w:rsidR="004D00B3">
        <w:rPr>
          <w:lang w:eastAsia="en-AU"/>
        </w:rPr>
        <w:t>was</w:t>
      </w:r>
      <w:r w:rsidR="008531DB">
        <w:rPr>
          <w:lang w:eastAsia="en-AU"/>
        </w:rPr>
        <w:t xml:space="preserve"> </w:t>
      </w:r>
      <w:r w:rsidR="004D00B3">
        <w:rPr>
          <w:lang w:eastAsia="en-AU"/>
        </w:rPr>
        <w:t>30</w:t>
      </w:r>
      <w:r w:rsidRPr="00CF2378">
        <w:rPr>
          <w:lang w:eastAsia="en-AU"/>
        </w:rPr>
        <w:t xml:space="preserve">. </w:t>
      </w:r>
      <w:r w:rsidR="004537CA">
        <w:rPr>
          <w:lang w:eastAsia="en-AU"/>
        </w:rPr>
        <w:t xml:space="preserve">This </w:t>
      </w:r>
      <w:r w:rsidR="004909DF">
        <w:rPr>
          <w:lang w:eastAsia="en-AU"/>
        </w:rPr>
        <w:t xml:space="preserve">attendance </w:t>
      </w:r>
      <w:r w:rsidR="004537CA">
        <w:rPr>
          <w:lang w:eastAsia="en-AU"/>
        </w:rPr>
        <w:t>contributed moderately to</w:t>
      </w:r>
      <w:r w:rsidRPr="00CF2378">
        <w:rPr>
          <w:lang w:eastAsia="en-AU"/>
        </w:rPr>
        <w:t xml:space="preserve"> </w:t>
      </w:r>
      <w:r w:rsidR="000713CA">
        <w:rPr>
          <w:lang w:eastAsia="en-AU"/>
        </w:rPr>
        <w:t xml:space="preserve">in-person </w:t>
      </w:r>
      <w:r w:rsidRPr="00CF2378">
        <w:rPr>
          <w:lang w:eastAsia="en-AU"/>
        </w:rPr>
        <w:t>meeting costs</w:t>
      </w:r>
      <w:r w:rsidR="003633DC">
        <w:rPr>
          <w:lang w:eastAsia="en-AU"/>
        </w:rPr>
        <w:t xml:space="preserve"> </w:t>
      </w:r>
      <w:r w:rsidR="00AF381E">
        <w:rPr>
          <w:lang w:eastAsia="en-AU"/>
        </w:rPr>
        <w:t>(</w:t>
      </w:r>
      <w:r w:rsidRPr="00CF2378">
        <w:rPr>
          <w:lang w:eastAsia="en-AU"/>
        </w:rPr>
        <w:t>venue hire</w:t>
      </w:r>
      <w:r w:rsidR="00F26CE0">
        <w:rPr>
          <w:lang w:eastAsia="en-AU"/>
        </w:rPr>
        <w:t xml:space="preserve">, </w:t>
      </w:r>
      <w:r w:rsidRPr="00CF2378">
        <w:rPr>
          <w:lang w:eastAsia="en-AU"/>
        </w:rPr>
        <w:t>cater</w:t>
      </w:r>
      <w:r w:rsidR="003633DC">
        <w:rPr>
          <w:lang w:eastAsia="en-AU"/>
        </w:rPr>
        <w:t>ing</w:t>
      </w:r>
      <w:r w:rsidR="00F26CE0">
        <w:rPr>
          <w:lang w:eastAsia="en-AU"/>
        </w:rPr>
        <w:t>, accommodation</w:t>
      </w:r>
      <w:r w:rsidR="00AF381E">
        <w:rPr>
          <w:lang w:eastAsia="en-AU"/>
        </w:rPr>
        <w:t>)</w:t>
      </w:r>
      <w:r w:rsidR="00BC1D30">
        <w:rPr>
          <w:lang w:eastAsia="en-AU"/>
        </w:rPr>
        <w:t xml:space="preserve"> </w:t>
      </w:r>
      <w:r w:rsidR="00C65F6D">
        <w:rPr>
          <w:lang w:eastAsia="en-AU"/>
        </w:rPr>
        <w:t xml:space="preserve">and </w:t>
      </w:r>
      <w:r w:rsidR="00AF381E">
        <w:rPr>
          <w:lang w:eastAsia="en-AU"/>
        </w:rPr>
        <w:t>m</w:t>
      </w:r>
      <w:r w:rsidR="00B07FE9">
        <w:rPr>
          <w:lang w:eastAsia="en-AU"/>
        </w:rPr>
        <w:t>ost notably</w:t>
      </w:r>
      <w:r w:rsidR="00D51D63">
        <w:rPr>
          <w:lang w:eastAsia="en-AU"/>
        </w:rPr>
        <w:t xml:space="preserve"> impact</w:t>
      </w:r>
      <w:r w:rsidR="00AF381E">
        <w:rPr>
          <w:lang w:eastAsia="en-AU"/>
        </w:rPr>
        <w:t>ed</w:t>
      </w:r>
      <w:r w:rsidR="00D51D63">
        <w:rPr>
          <w:lang w:eastAsia="en-AU"/>
        </w:rPr>
        <w:t xml:space="preserve"> total meeting expenditure </w:t>
      </w:r>
      <w:r w:rsidR="00494483">
        <w:rPr>
          <w:lang w:eastAsia="en-AU"/>
        </w:rPr>
        <w:t>in</w:t>
      </w:r>
      <w:r w:rsidR="00D51D63">
        <w:rPr>
          <w:lang w:eastAsia="en-AU"/>
        </w:rPr>
        <w:t xml:space="preserve"> </w:t>
      </w:r>
      <w:r w:rsidR="00AF381E">
        <w:rPr>
          <w:lang w:eastAsia="en-AU"/>
        </w:rPr>
        <w:t>FY2019-20</w:t>
      </w:r>
      <w:r w:rsidR="00C94126">
        <w:rPr>
          <w:lang w:eastAsia="en-AU"/>
        </w:rPr>
        <w:t>, given</w:t>
      </w:r>
      <w:r w:rsidR="00494483">
        <w:rPr>
          <w:lang w:eastAsia="en-AU"/>
        </w:rPr>
        <w:t xml:space="preserve"> later</w:t>
      </w:r>
      <w:r w:rsidR="00C94126">
        <w:rPr>
          <w:lang w:eastAsia="en-AU"/>
        </w:rPr>
        <w:t xml:space="preserve"> shifts to virtual meetings</w:t>
      </w:r>
      <w:r w:rsidR="00494483">
        <w:rPr>
          <w:lang w:eastAsia="en-AU"/>
        </w:rPr>
        <w:t xml:space="preserve"> during lockdowns</w:t>
      </w:r>
      <w:r w:rsidR="00E7283D">
        <w:rPr>
          <w:lang w:eastAsia="en-AU"/>
        </w:rPr>
        <w:t>.</w:t>
      </w:r>
    </w:p>
    <w:p w14:paraId="510C1A33" w14:textId="799DD8F1" w:rsidR="00CF2378" w:rsidRDefault="00CF2378" w:rsidP="00CF2378">
      <w:pPr>
        <w:keepNext/>
        <w:spacing w:before="240" w:after="60"/>
        <w:outlineLvl w:val="3"/>
        <w:rPr>
          <w:rFonts w:ascii="Segoe UI Semibold" w:eastAsia="Times New Roman" w:hAnsi="Segoe UI Semibold" w:cs="Times New Roman"/>
          <w:color w:val="00264D" w:themeColor="background2"/>
          <w:sz w:val="22"/>
          <w:szCs w:val="19"/>
          <w:lang w:eastAsia="en-AU"/>
        </w:rPr>
      </w:pPr>
      <w:r w:rsidRPr="00CF2378">
        <w:rPr>
          <w:rFonts w:ascii="Segoe UI Semibold" w:eastAsia="Times New Roman" w:hAnsi="Segoe UI Semibold" w:cs="Times New Roman"/>
          <w:color w:val="00264D" w:themeColor="background2"/>
          <w:sz w:val="22"/>
          <w:szCs w:val="19"/>
          <w:lang w:eastAsia="en-AU"/>
        </w:rPr>
        <w:t>Interpreters</w:t>
      </w:r>
    </w:p>
    <w:p w14:paraId="034B9585" w14:textId="01F0D2B0" w:rsidR="00D72460" w:rsidRPr="00CF2378" w:rsidRDefault="00D72460" w:rsidP="00D72460">
      <w:pPr>
        <w:rPr>
          <w:lang w:eastAsia="en-AU"/>
        </w:rPr>
      </w:pPr>
      <w:r>
        <w:rPr>
          <w:lang w:eastAsia="en-AU"/>
        </w:rPr>
        <w:t xml:space="preserve">FNLRS did not </w:t>
      </w:r>
      <w:r w:rsidR="003E34FC">
        <w:rPr>
          <w:lang w:eastAsia="en-AU"/>
        </w:rPr>
        <w:t xml:space="preserve">utilise </w:t>
      </w:r>
      <w:r>
        <w:rPr>
          <w:lang w:eastAsia="en-AU"/>
        </w:rPr>
        <w:t xml:space="preserve">interpreters for </w:t>
      </w:r>
      <w:r w:rsidR="000166AA">
        <w:rPr>
          <w:lang w:eastAsia="en-AU"/>
        </w:rPr>
        <w:t>the delivery of native title functions during the Review period.</w:t>
      </w:r>
    </w:p>
    <w:p w14:paraId="3D5502FD" w14:textId="14250780" w:rsidR="002342A7" w:rsidRDefault="00C03A52" w:rsidP="00046737">
      <w:pPr>
        <w:pStyle w:val="Heading3"/>
      </w:pPr>
      <w:r>
        <w:t>TOR 4</w:t>
      </w:r>
      <w:r w:rsidR="00214A1E">
        <w:t>:</w:t>
      </w:r>
      <w:r>
        <w:t xml:space="preserve"> Recommendations</w:t>
      </w:r>
    </w:p>
    <w:tbl>
      <w:tblPr>
        <w:tblW w:w="0" w:type="auto"/>
        <w:tblLook w:val="04A0" w:firstRow="1" w:lastRow="0" w:firstColumn="1" w:lastColumn="0" w:noHBand="0" w:noVBand="1"/>
      </w:tblPr>
      <w:tblGrid>
        <w:gridCol w:w="8269"/>
        <w:gridCol w:w="661"/>
      </w:tblGrid>
      <w:tr w:rsidR="00E85100" w14:paraId="0985EA29" w14:textId="77777777" w:rsidTr="00CA17C8">
        <w:trPr>
          <w:trHeight w:val="360"/>
        </w:trPr>
        <w:tc>
          <w:tcPr>
            <w:tcW w:w="8223" w:type="dxa"/>
          </w:tcPr>
          <w:p w14:paraId="51CD66A6" w14:textId="77777777" w:rsidR="00E85100" w:rsidRDefault="00E85100" w:rsidP="00665DC6">
            <w:pPr>
              <w:rPr>
                <w:lang w:eastAsia="en-AU"/>
              </w:rPr>
            </w:pPr>
            <w:r w:rsidRPr="00F97AB5">
              <w:rPr>
                <w:noProof/>
                <w:lang w:eastAsia="en-AU"/>
              </w:rPr>
              <w:drawing>
                <wp:inline distT="0" distB="0" distL="0" distR="0" wp14:anchorId="2AB4C897" wp14:editId="28C9A506">
                  <wp:extent cx="5114199" cy="287655"/>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FE7C539" w14:textId="111E8745" w:rsidR="00E85100" w:rsidRPr="00F97AB5" w:rsidRDefault="00144FC7" w:rsidP="00665DC6">
            <w:pPr>
              <w:spacing w:after="100" w:afterAutospacing="1"/>
              <w:jc w:val="center"/>
              <w:rPr>
                <w:sz w:val="30"/>
                <w:szCs w:val="30"/>
                <w:lang w:eastAsia="en-AU"/>
              </w:rPr>
            </w:pPr>
            <w:r w:rsidRPr="00CA17C8">
              <w:rPr>
                <w:color w:val="404040" w:themeColor="text1" w:themeTint="BF"/>
                <w:sz w:val="30"/>
                <w:szCs w:val="30"/>
                <w:lang w:eastAsia="en-AU"/>
              </w:rPr>
              <w:t>5</w:t>
            </w:r>
          </w:p>
        </w:tc>
      </w:tr>
      <w:tr w:rsidR="00E85100" w14:paraId="2BEFD46B" w14:textId="77777777" w:rsidTr="00CA17C8">
        <w:tc>
          <w:tcPr>
            <w:tcW w:w="8930" w:type="dxa"/>
            <w:gridSpan w:val="2"/>
          </w:tcPr>
          <w:p w14:paraId="7174E130" w14:textId="1424D630" w:rsidR="00686D8E" w:rsidRPr="00BD37ED" w:rsidRDefault="00642DAA" w:rsidP="009A16D2">
            <w:r>
              <w:rPr>
                <w:lang w:eastAsia="en-AU"/>
              </w:rPr>
              <w:t xml:space="preserve">Document </w:t>
            </w:r>
            <w:r w:rsidR="00386C89">
              <w:rPr>
                <w:lang w:eastAsia="en-AU"/>
              </w:rPr>
              <w:t xml:space="preserve">cost-saving policies for </w:t>
            </w:r>
            <w:r>
              <w:rPr>
                <w:lang w:eastAsia="en-AU"/>
              </w:rPr>
              <w:t xml:space="preserve">all relevant </w:t>
            </w:r>
            <w:r w:rsidR="00386C89">
              <w:rPr>
                <w:lang w:eastAsia="en-AU"/>
              </w:rPr>
              <w:t>categories of expenditure</w:t>
            </w:r>
            <w:r w:rsidR="00011DDC">
              <w:rPr>
                <w:lang w:eastAsia="en-AU"/>
              </w:rPr>
              <w:t>.</w:t>
            </w:r>
          </w:p>
        </w:tc>
      </w:tr>
    </w:tbl>
    <w:p w14:paraId="27F2063A" w14:textId="77777777" w:rsidR="004538E1" w:rsidRDefault="004538E1" w:rsidP="004538E1"/>
    <w:p w14:paraId="5050E355" w14:textId="0AE5B1DF" w:rsidR="0067529E" w:rsidRDefault="0067529E" w:rsidP="0067529E">
      <w:pPr>
        <w:pStyle w:val="Heading2"/>
      </w:pPr>
      <w:bookmarkStart w:id="36" w:name="_Toc170469987"/>
      <w:r w:rsidRPr="0067529E" w:rsidDel="00BE3181">
        <w:lastRenderedPageBreak/>
        <w:t xml:space="preserve">TOR </w:t>
      </w:r>
      <w:r w:rsidRPr="0067529E">
        <w:t>5 | Extent to which each organisation has governance and management structures, and organisational policies and an organisational culture that support efficient and effective project delivery.</w:t>
      </w:r>
      <w:bookmarkEnd w:id="36"/>
    </w:p>
    <w:tbl>
      <w:tblPr>
        <w:tblStyle w:val="TableGrid"/>
        <w:tblW w:w="5000" w:type="pct"/>
        <w:tblLook w:val="04A0" w:firstRow="1" w:lastRow="0" w:firstColumn="1" w:lastColumn="0" w:noHBand="0" w:noVBand="1"/>
      </w:tblPr>
      <w:tblGrid>
        <w:gridCol w:w="8930"/>
      </w:tblGrid>
      <w:tr w:rsidR="0000360B" w14:paraId="540157CF" w14:textId="77777777" w:rsidTr="6967B2CC">
        <w:trPr>
          <w:cnfStyle w:val="100000000000" w:firstRow="1" w:lastRow="0" w:firstColumn="0" w:lastColumn="0" w:oddVBand="0" w:evenVBand="0" w:oddHBand="0" w:evenHBand="0" w:firstRowFirstColumn="0" w:firstRowLastColumn="0" w:lastRowFirstColumn="0" w:lastRowLastColumn="0"/>
        </w:trPr>
        <w:tc>
          <w:tcPr>
            <w:tcW w:w="5000" w:type="pct"/>
          </w:tcPr>
          <w:p w14:paraId="05A6692A" w14:textId="224A582A" w:rsidR="00B56065" w:rsidRPr="00343D62" w:rsidRDefault="00B56065" w:rsidP="00343D62">
            <w:pPr>
              <w:pStyle w:val="Longformcallout"/>
              <w:rPr>
                <w:rFonts w:ascii="Segoe UI Semibold" w:hAnsi="Segoe UI Semibold" w:cs="Segoe UI Semibold"/>
              </w:rPr>
            </w:pPr>
            <w:r w:rsidRPr="00343D62">
              <w:rPr>
                <w:rFonts w:ascii="Segoe UI Semibold" w:hAnsi="Segoe UI Semibold" w:cs="Segoe UI Semibold"/>
              </w:rPr>
              <w:t>Summary</w:t>
            </w:r>
          </w:p>
          <w:p w14:paraId="095B9F0E" w14:textId="41C84164" w:rsidR="00C8670B" w:rsidRPr="00343D62" w:rsidRDefault="00104415" w:rsidP="00343D62">
            <w:pPr>
              <w:pStyle w:val="Longformcallout"/>
            </w:pPr>
            <w:r w:rsidRPr="00343D62">
              <w:t xml:space="preserve">FNLRS </w:t>
            </w:r>
            <w:r w:rsidR="005F5DB4" w:rsidRPr="00343D62">
              <w:t>was</w:t>
            </w:r>
            <w:r w:rsidRPr="00343D62">
              <w:t xml:space="preserve"> governed by a Board of five Directors who </w:t>
            </w:r>
            <w:r w:rsidR="005F5DB4" w:rsidRPr="00343D62">
              <w:t>were</w:t>
            </w:r>
            <w:r w:rsidR="00A13E2E" w:rsidRPr="00343D62">
              <w:t xml:space="preserve"> </w:t>
            </w:r>
            <w:r w:rsidRPr="00343D62">
              <w:t>accountable for the strategic direction of the organisation</w:t>
            </w:r>
            <w:r w:rsidR="008C29B6" w:rsidRPr="00343D62">
              <w:t xml:space="preserve"> and </w:t>
            </w:r>
            <w:r w:rsidR="005F5DB4" w:rsidRPr="00343D62">
              <w:t>were</w:t>
            </w:r>
            <w:r w:rsidR="008C29B6" w:rsidRPr="00343D62">
              <w:t xml:space="preserve"> not involved in day-to-day operations. The Board </w:t>
            </w:r>
            <w:r w:rsidR="005F5DB4" w:rsidRPr="00343D62">
              <w:t>continued to be</w:t>
            </w:r>
            <w:r w:rsidR="008C29B6" w:rsidRPr="00343D62">
              <w:t xml:space="preserve"> a s</w:t>
            </w:r>
            <w:r w:rsidR="00E914A4" w:rsidRPr="00343D62">
              <w:t>k</w:t>
            </w:r>
            <w:r w:rsidR="008C29B6" w:rsidRPr="00343D62">
              <w:t xml:space="preserve">ills-based </w:t>
            </w:r>
            <w:r w:rsidR="00A13E2E" w:rsidRPr="00343D62">
              <w:t>B</w:t>
            </w:r>
            <w:r w:rsidR="008C29B6" w:rsidRPr="00343D62">
              <w:t xml:space="preserve">oard </w:t>
            </w:r>
            <w:r w:rsidR="00A13E2E" w:rsidRPr="00343D62">
              <w:t xml:space="preserve">with Aboriginal Directors </w:t>
            </w:r>
            <w:r w:rsidR="00F60B62" w:rsidRPr="00343D62">
              <w:t>needing to have traditional interests in Victoria with experience of native title and corporate governance processes and be of good standing in the Aboriginal community.</w:t>
            </w:r>
            <w:r w:rsidR="005C7592" w:rsidRPr="00343D62">
              <w:t xml:space="preserve"> </w:t>
            </w:r>
            <w:r w:rsidR="005F5DB4" w:rsidRPr="00343D62">
              <w:t>During the Review</w:t>
            </w:r>
            <w:r w:rsidR="00830125" w:rsidRPr="00343D62">
              <w:t xml:space="preserve"> period</w:t>
            </w:r>
            <w:r w:rsidR="005F5DB4" w:rsidRPr="00343D62">
              <w:t xml:space="preserve">, the Board was supported by one sub-committee </w:t>
            </w:r>
            <w:r w:rsidR="00220D61" w:rsidRPr="00343D62">
              <w:t xml:space="preserve">– </w:t>
            </w:r>
            <w:r w:rsidR="005F5DB4" w:rsidRPr="00343D62">
              <w:t xml:space="preserve">the ARC. </w:t>
            </w:r>
          </w:p>
          <w:p w14:paraId="24E06FDD" w14:textId="037EB24F" w:rsidR="003C5A7B" w:rsidRPr="00343D62" w:rsidRDefault="0063787D" w:rsidP="00343D62">
            <w:pPr>
              <w:pStyle w:val="Longformcallout"/>
            </w:pPr>
            <w:r w:rsidRPr="6967B2CC">
              <w:t xml:space="preserve">The Board experienced significant turnover of </w:t>
            </w:r>
            <w:r w:rsidR="00641AC1" w:rsidRPr="6967B2CC">
              <w:t>its membership</w:t>
            </w:r>
            <w:r w:rsidRPr="6967B2CC">
              <w:t xml:space="preserve"> during the Review period and recruitment was reportedly difficult. Directors believed that the Board would benefit from more members and greater gender diversity. The Review heard feedback from other stakeholders that FNLRS would benefit from the Board having greater visibility, both in terms of raising the profile of FNLRS as well as ensuring </w:t>
            </w:r>
            <w:r w:rsidR="00641AC1" w:rsidRPr="6967B2CC">
              <w:t>that it attracted</w:t>
            </w:r>
            <w:r w:rsidRPr="6967B2CC">
              <w:t xml:space="preserve"> the best talent in a complex and competitive landscape</w:t>
            </w:r>
            <w:r w:rsidR="00A13E2E" w:rsidRPr="6967B2CC">
              <w:t xml:space="preserve">. </w:t>
            </w:r>
          </w:p>
          <w:p w14:paraId="6F47FF78" w14:textId="187DF46B" w:rsidR="00214A1E" w:rsidRPr="00343D62" w:rsidRDefault="003C5A7B" w:rsidP="00343D62">
            <w:pPr>
              <w:pStyle w:val="Longformcallout"/>
            </w:pPr>
            <w:r w:rsidRPr="6967B2CC">
              <w:t xml:space="preserve">Between 2017 and 2022, </w:t>
            </w:r>
            <w:r w:rsidR="00267061" w:rsidRPr="6967B2CC">
              <w:t>the Federation</w:t>
            </w:r>
            <w:r w:rsidRPr="6967B2CC">
              <w:t xml:space="preserve"> worked in partnership </w:t>
            </w:r>
            <w:r w:rsidR="004D20CD" w:rsidRPr="6967B2CC">
              <w:t>with FNLRS</w:t>
            </w:r>
            <w:r w:rsidRPr="6967B2CC">
              <w:t xml:space="preserve"> to realise the aspirations and rights of Traditional Owners across Victoria. </w:t>
            </w:r>
            <w:r w:rsidR="00586917" w:rsidRPr="6967B2CC">
              <w:t xml:space="preserve">During this time, </w:t>
            </w:r>
            <w:r w:rsidR="001F52AD" w:rsidRPr="6967B2CC">
              <w:t xml:space="preserve">the Federation </w:t>
            </w:r>
            <w:r w:rsidR="00586917" w:rsidRPr="6967B2CC">
              <w:t xml:space="preserve">was the sole member </w:t>
            </w:r>
            <w:r w:rsidR="004C1A1E" w:rsidRPr="6967B2CC">
              <w:t>(owner)</w:t>
            </w:r>
            <w:r w:rsidR="00586917" w:rsidRPr="6967B2CC">
              <w:t xml:space="preserve"> of FNLRS. </w:t>
            </w:r>
            <w:r w:rsidRPr="6967B2CC">
              <w:t xml:space="preserve">However, </w:t>
            </w:r>
            <w:r w:rsidR="004E286B" w:rsidRPr="6967B2CC">
              <w:t xml:space="preserve">primarily </w:t>
            </w:r>
            <w:r w:rsidR="00B713BC" w:rsidRPr="6967B2CC">
              <w:t xml:space="preserve">due to </w:t>
            </w:r>
            <w:r w:rsidR="00261CBF" w:rsidRPr="6967B2CC">
              <w:t xml:space="preserve">community concerns </w:t>
            </w:r>
            <w:r w:rsidR="00243A05" w:rsidRPr="6967B2CC">
              <w:t xml:space="preserve">that </w:t>
            </w:r>
            <w:r w:rsidR="001F52AD" w:rsidRPr="6967B2CC">
              <w:t xml:space="preserve">the Federation </w:t>
            </w:r>
            <w:r w:rsidR="00243A05" w:rsidRPr="6967B2CC">
              <w:t>was not representative of</w:t>
            </w:r>
            <w:r w:rsidR="00F47BD7" w:rsidRPr="6967B2CC">
              <w:t xml:space="preserve"> all Traditional Owners with formal recognition</w:t>
            </w:r>
            <w:r w:rsidR="00261CBF" w:rsidRPr="6967B2CC">
              <w:t xml:space="preserve">, FNRLS and </w:t>
            </w:r>
            <w:r w:rsidR="001F52AD" w:rsidRPr="6967B2CC">
              <w:t xml:space="preserve">the Federation </w:t>
            </w:r>
            <w:r w:rsidR="00261CBF" w:rsidRPr="6967B2CC">
              <w:t>decided to de-couple</w:t>
            </w:r>
            <w:r w:rsidR="00B713BC" w:rsidRPr="6967B2CC">
              <w:t xml:space="preserve">. </w:t>
            </w:r>
            <w:r w:rsidRPr="6967B2CC">
              <w:t xml:space="preserve">From 1 July 2022, </w:t>
            </w:r>
            <w:r w:rsidR="001F52AD" w:rsidRPr="6967B2CC">
              <w:t xml:space="preserve">the Federation </w:t>
            </w:r>
            <w:r w:rsidRPr="6967B2CC">
              <w:t xml:space="preserve">was no longer the sole member </w:t>
            </w:r>
            <w:r w:rsidR="00BB337E">
              <w:t xml:space="preserve">of </w:t>
            </w:r>
            <w:r w:rsidRPr="6967B2CC">
              <w:t>FNLRS and was no longer responsible for appointing the Directors of FNLRS.</w:t>
            </w:r>
            <w:r w:rsidR="00AE7460" w:rsidRPr="6967B2CC">
              <w:t xml:space="preserve"> </w:t>
            </w:r>
            <w:r w:rsidR="007A67B3" w:rsidRPr="6967B2CC">
              <w:t xml:space="preserve">Stakeholders consulted as part of the Review agreed that the de-coupling was a positive move to build </w:t>
            </w:r>
            <w:r w:rsidR="00B778A1" w:rsidRPr="6967B2CC">
              <w:t>FNLRS’s</w:t>
            </w:r>
            <w:r w:rsidR="007A67B3" w:rsidRPr="6967B2CC">
              <w:t xml:space="preserve"> trust within the community</w:t>
            </w:r>
            <w:r w:rsidR="00D404E3" w:rsidRPr="6967B2CC">
              <w:t xml:space="preserve">. </w:t>
            </w:r>
          </w:p>
          <w:p w14:paraId="14A22B97" w14:textId="181EF513" w:rsidR="00586917" w:rsidRPr="00343D62" w:rsidRDefault="00586917" w:rsidP="00343D62">
            <w:pPr>
              <w:pStyle w:val="Longformcallout"/>
            </w:pPr>
            <w:r w:rsidRPr="6967B2CC">
              <w:t>FNLRS had robust financial management</w:t>
            </w:r>
            <w:r w:rsidR="00C62B6F" w:rsidRPr="6967B2CC">
              <w:t xml:space="preserve"> in the Review period</w:t>
            </w:r>
            <w:r w:rsidRPr="6967B2CC">
              <w:t xml:space="preserve">. </w:t>
            </w:r>
            <w:r w:rsidR="008853F6" w:rsidRPr="6967B2CC">
              <w:t>FNL</w:t>
            </w:r>
            <w:r w:rsidR="001F52AD" w:rsidRPr="6967B2CC">
              <w:t>R</w:t>
            </w:r>
            <w:r w:rsidR="008853F6" w:rsidRPr="6967B2CC">
              <w:t xml:space="preserve">S received funding from both the </w:t>
            </w:r>
            <w:r w:rsidR="00F94832" w:rsidRPr="6967B2CC">
              <w:t xml:space="preserve">Australian Government </w:t>
            </w:r>
            <w:r w:rsidR="008853F6" w:rsidRPr="6967B2CC">
              <w:t xml:space="preserve">and the Victorian Government to deliver its services. </w:t>
            </w:r>
            <w:r w:rsidR="00CB1CE1" w:rsidRPr="6967B2CC">
              <w:t xml:space="preserve">Staff reported that they had mechanisms in place to manage the attribution of funding for work and </w:t>
            </w:r>
            <w:r w:rsidR="00455573" w:rsidRPr="6967B2CC">
              <w:t>avoid</w:t>
            </w:r>
            <w:r w:rsidR="00CB1CE1" w:rsidRPr="6967B2CC">
              <w:t xml:space="preserve"> any cross-subsidisation</w:t>
            </w:r>
            <w:r w:rsidR="008853F6" w:rsidRPr="6967B2CC">
              <w:t>.</w:t>
            </w:r>
            <w:r w:rsidR="00CB1CE1" w:rsidRPr="6967B2CC">
              <w:t xml:space="preserve"> </w:t>
            </w:r>
            <w:r w:rsidR="00032074" w:rsidRPr="6967B2CC">
              <w:t>I</w:t>
            </w:r>
            <w:r w:rsidR="002D79D9" w:rsidRPr="6967B2CC">
              <w:t>nvestment was made to automate financial reporting during the Review period.</w:t>
            </w:r>
            <w:r w:rsidR="009F1B57" w:rsidRPr="6967B2CC">
              <w:t xml:space="preserve"> Despite not having an organisation-wide conflicts of interest policy, FNLRS continued to proactively manage real and perceived conflicts of interest through carefully choosing staff to work on </w:t>
            </w:r>
            <w:r w:rsidR="00D51283" w:rsidRPr="6967B2CC">
              <w:t>specific</w:t>
            </w:r>
            <w:r w:rsidR="009F1B57" w:rsidRPr="6967B2CC">
              <w:t xml:space="preserve"> matters and implementing information firewalls. </w:t>
            </w:r>
          </w:p>
          <w:p w14:paraId="3184F03E" w14:textId="047A2673" w:rsidR="00214A1E" w:rsidRDefault="00F4488E" w:rsidP="00343D62">
            <w:pPr>
              <w:pStyle w:val="Longformcallout"/>
            </w:pPr>
            <w:r w:rsidRPr="6967B2CC">
              <w:t>There was a consensus among staff that FNLRS was a good place to work, that it was a well-run organisation and had a positive work culture.</w:t>
            </w:r>
            <w:r w:rsidR="00795EC9" w:rsidRPr="6967B2CC">
              <w:t xml:space="preserve"> COVID-19 had a significant impact on the ways of working </w:t>
            </w:r>
            <w:r w:rsidR="00362FF2" w:rsidRPr="6967B2CC">
              <w:t>and</w:t>
            </w:r>
            <w:r w:rsidR="00795EC9" w:rsidRPr="6967B2CC">
              <w:t xml:space="preserve"> hampered collaboration. </w:t>
            </w:r>
            <w:r w:rsidR="0001304B" w:rsidRPr="6967B2CC">
              <w:t xml:space="preserve">A significant amount of work was undertaken during the Review period to establish and implement </w:t>
            </w:r>
            <w:r w:rsidR="00BF59B7" w:rsidRPr="6967B2CC">
              <w:t>HR</w:t>
            </w:r>
            <w:r w:rsidR="0001304B" w:rsidRPr="6967B2CC">
              <w:t xml:space="preserve"> processes and policies.</w:t>
            </w:r>
            <w:r w:rsidR="00561B21" w:rsidRPr="6967B2CC">
              <w:t xml:space="preserve"> Ample training opportunities were provided to staff during the Review period. </w:t>
            </w:r>
            <w:r w:rsidR="0080609A" w:rsidRPr="6967B2CC">
              <w:t>Online o</w:t>
            </w:r>
            <w:r w:rsidR="00561B21" w:rsidRPr="6967B2CC">
              <w:t xml:space="preserve">nboarding modules included training around cultural awareness, vicarious-trauma and facilitation skills. </w:t>
            </w:r>
            <w:r w:rsidR="00BA2D52" w:rsidRPr="6967B2CC">
              <w:t>Staff t</w:t>
            </w:r>
            <w:r w:rsidR="00561B21" w:rsidRPr="6967B2CC">
              <w:t xml:space="preserve">urnover was low. </w:t>
            </w:r>
          </w:p>
        </w:tc>
      </w:tr>
    </w:tbl>
    <w:p w14:paraId="31A4AED2" w14:textId="3E4CBC78" w:rsidR="00F01729" w:rsidRDefault="00F01729" w:rsidP="000B2E53">
      <w:pPr>
        <w:pStyle w:val="Heading3"/>
        <w:numPr>
          <w:ilvl w:val="2"/>
          <w:numId w:val="19"/>
        </w:numPr>
      </w:pPr>
      <w:r>
        <w:t>TOR 5</w:t>
      </w:r>
      <w:r w:rsidR="00214A1E">
        <w:t>:</w:t>
      </w:r>
      <w:r>
        <w:t xml:space="preserve"> Assessment of performance</w:t>
      </w:r>
    </w:p>
    <w:p w14:paraId="2FE03C8A" w14:textId="770FF383" w:rsidR="00627E20" w:rsidRPr="00010FE7" w:rsidRDefault="00627E20" w:rsidP="00627E20">
      <w:pPr>
        <w:rPr>
          <w:lang w:eastAsia="en-AU"/>
        </w:rPr>
      </w:pPr>
      <w:r w:rsidRPr="00010FE7">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_Ref164753157 \n \h </w:instrText>
      </w:r>
      <w:r>
        <w:rPr>
          <w:lang w:eastAsia="en-AU"/>
        </w:rPr>
      </w:r>
      <w:r>
        <w:rPr>
          <w:lang w:eastAsia="en-AU"/>
        </w:rPr>
        <w:fldChar w:fldCharType="separate"/>
      </w:r>
      <w:r w:rsidR="00AB7E95">
        <w:rPr>
          <w:lang w:eastAsia="en-AU"/>
        </w:rPr>
        <w:t>Appendix A</w:t>
      </w:r>
      <w:r>
        <w:rPr>
          <w:lang w:eastAsia="en-AU"/>
        </w:rPr>
        <w:fldChar w:fldCharType="end"/>
      </w:r>
      <w:r w:rsidRPr="00010FE7">
        <w:rPr>
          <w:lang w:eastAsia="en-AU"/>
        </w:rPr>
        <w:t>.</w:t>
      </w:r>
    </w:p>
    <w:p w14:paraId="6DBE5B4E" w14:textId="539993F9" w:rsidR="00F01729" w:rsidRDefault="00F01729" w:rsidP="00F01729">
      <w:pPr>
        <w:pStyle w:val="Heading4"/>
      </w:pPr>
      <w:r w:rsidRPr="6967B2CC">
        <w:lastRenderedPageBreak/>
        <w:t>Breakdown of roles, responsibilities and decision making between the organisation’s Board, Chairperson, CEO and senior staff</w:t>
      </w:r>
    </w:p>
    <w:p w14:paraId="6B843521" w14:textId="23AC79E3" w:rsidR="0093439E" w:rsidRDefault="0093439E" w:rsidP="006F76DA">
      <w:pPr>
        <w:pStyle w:val="Heading5"/>
      </w:pPr>
      <w:bookmarkStart w:id="37" w:name="_Ref152684951"/>
      <w:r w:rsidRPr="006F76DA">
        <w:t xml:space="preserve">FNLRS de-coupled from the Federation </w:t>
      </w:r>
      <w:r w:rsidR="002E18B7">
        <w:t xml:space="preserve">due to community </w:t>
      </w:r>
      <w:r w:rsidR="00153748">
        <w:t xml:space="preserve">concerns about </w:t>
      </w:r>
      <w:r w:rsidR="002E18B7">
        <w:t xml:space="preserve">perceived bias </w:t>
      </w:r>
    </w:p>
    <w:p w14:paraId="2EAD4FD3" w14:textId="3E30AFF0" w:rsidR="007D53BC" w:rsidRDefault="0080609A" w:rsidP="00CD536C">
      <w:pPr>
        <w:rPr>
          <w:lang w:eastAsia="en-AU"/>
        </w:rPr>
      </w:pPr>
      <w:r>
        <w:rPr>
          <w:noProof/>
          <w:lang w:eastAsia="en-AU"/>
        </w:rPr>
        <mc:AlternateContent>
          <mc:Choice Requires="wps">
            <w:drawing>
              <wp:anchor distT="0" distB="0" distL="114300" distR="114300" simplePos="0" relativeHeight="251658243" behindDoc="0" locked="0" layoutInCell="1" allowOverlap="1" wp14:anchorId="275A2ECF" wp14:editId="1FC8E73E">
                <wp:simplePos x="0" y="0"/>
                <wp:positionH relativeFrom="margin">
                  <wp:align>right</wp:align>
                </wp:positionH>
                <wp:positionV relativeFrom="paragraph">
                  <wp:posOffset>9525</wp:posOffset>
                </wp:positionV>
                <wp:extent cx="1935480" cy="2000250"/>
                <wp:effectExtent l="0" t="0" r="7620" b="0"/>
                <wp:wrapSquare wrapText="bothSides"/>
                <wp:docPr id="991964777" name="Text Box 991964777"/>
                <wp:cNvGraphicFramePr/>
                <a:graphic xmlns:a="http://schemas.openxmlformats.org/drawingml/2006/main">
                  <a:graphicData uri="http://schemas.microsoft.com/office/word/2010/wordprocessingShape">
                    <wps:wsp>
                      <wps:cNvSpPr txBox="1"/>
                      <wps:spPr>
                        <a:xfrm>
                          <a:off x="0" y="0"/>
                          <a:ext cx="1935480" cy="20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AA7B4" w14:textId="416B1203" w:rsidR="005120D5" w:rsidRPr="00CA17C8" w:rsidRDefault="005120D5" w:rsidP="004A7EA0">
                            <w:pPr>
                              <w:pStyle w:val="Callout"/>
                              <w:rPr>
                                <w:color w:val="C2400B" w:themeColor="accent2" w:themeShade="BF"/>
                                <w:sz w:val="19"/>
                                <w:szCs w:val="19"/>
                              </w:rPr>
                            </w:pPr>
                            <w:r w:rsidRPr="00CA17C8">
                              <w:rPr>
                                <w:color w:val="C2400B" w:themeColor="accent2" w:themeShade="BF"/>
                                <w:sz w:val="19"/>
                                <w:szCs w:val="19"/>
                              </w:rPr>
                              <w:t>“We have and will continue to operate as separate bodies, striving to realise a shared vision through our very different work. Today we have enacted our commitment to listening and responding to Traditional Owners, making our process more robust and outcomes stronger.”</w:t>
                            </w:r>
                          </w:p>
                          <w:p w14:paraId="33308E0B" w14:textId="1FBFBD96" w:rsidR="005120D5" w:rsidRDefault="005120D5" w:rsidP="007B1331">
                            <w:pPr>
                              <w:pStyle w:val="Callout"/>
                              <w:jc w:val="right"/>
                              <w:rPr>
                                <w:color w:val="00264D" w:themeColor="background2"/>
                                <w:sz w:val="19"/>
                                <w:szCs w:val="19"/>
                              </w:rPr>
                            </w:pPr>
                            <w:r w:rsidRPr="007B1331">
                              <w:rPr>
                                <w:color w:val="00264D" w:themeColor="background2"/>
                                <w:sz w:val="19"/>
                                <w:szCs w:val="19"/>
                              </w:rPr>
                              <w:t>Paul Paton</w:t>
                            </w:r>
                            <w:r w:rsidR="009C33D0">
                              <w:rPr>
                                <w:color w:val="00264D" w:themeColor="background2"/>
                                <w:sz w:val="19"/>
                                <w:szCs w:val="19"/>
                              </w:rPr>
                              <w:t>,</w:t>
                            </w:r>
                            <w:r w:rsidRPr="007B1331">
                              <w:rPr>
                                <w:color w:val="00264D" w:themeColor="background2"/>
                                <w:sz w:val="19"/>
                                <w:szCs w:val="19"/>
                              </w:rPr>
                              <w:t xml:space="preserve"> CEO</w:t>
                            </w:r>
                            <w:r w:rsidR="009C33D0">
                              <w:rPr>
                                <w:color w:val="00264D" w:themeColor="background2"/>
                                <w:sz w:val="19"/>
                                <w:szCs w:val="19"/>
                              </w:rPr>
                              <w:t>,</w:t>
                            </w:r>
                            <w:r w:rsidRPr="007B1331">
                              <w:rPr>
                                <w:color w:val="00264D" w:themeColor="background2"/>
                                <w:sz w:val="19"/>
                                <w:szCs w:val="19"/>
                              </w:rPr>
                              <w:t xml:space="preserve"> Federation</w:t>
                            </w:r>
                          </w:p>
                          <w:p w14:paraId="0BA33D5F" w14:textId="77777777" w:rsidR="005120D5" w:rsidRDefault="005120D5" w:rsidP="007B1331">
                            <w:pPr>
                              <w:pStyle w:val="Callout"/>
                              <w:jc w:val="right"/>
                              <w:rPr>
                                <w:color w:val="00264D" w:themeColor="background2"/>
                                <w:sz w:val="19"/>
                                <w:szCs w:val="19"/>
                              </w:rPr>
                            </w:pPr>
                          </w:p>
                          <w:p w14:paraId="58983688" w14:textId="0A5665C8" w:rsidR="005120D5" w:rsidRPr="004F799A" w:rsidRDefault="005120D5" w:rsidP="007B1331">
                            <w:pPr>
                              <w:pStyle w:val="Callout"/>
                              <w:jc w:val="right"/>
                              <w:rPr>
                                <w:color w:val="00264D" w:themeColor="background2"/>
                                <w:sz w:val="19"/>
                                <w:szCs w:val="19"/>
                              </w:rPr>
                            </w:pPr>
                            <w:r>
                              <w:rPr>
                                <w:color w:val="00264D" w:themeColor="background2"/>
                                <w:sz w:val="19"/>
                                <w:szCs w:val="19"/>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A2ECF" id="Text Box 991964777" o:spid="_x0000_s1029" type="#_x0000_t202" style="position:absolute;margin-left:101.2pt;margin-top:.75pt;width:152.4pt;height:157.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" fillcolor="white [3201]" stroked="f" strokeweight=".5pt">
                <v:textbox inset="0,,1mm">
                  <w:txbxContent>
                    <w:p w14:paraId="46EAA7B4" w14:textId="416B1203" w:rsidR="005120D5" w:rsidRPr="00CA17C8" w:rsidRDefault="005120D5" w:rsidP="004A7EA0">
                      <w:pPr>
                        <w:pStyle w:val="Callout"/>
                        <w:rPr>
                          <w:color w:val="C2400B" w:themeColor="accent2" w:themeShade="BF"/>
                          <w:sz w:val="19"/>
                          <w:szCs w:val="19"/>
                        </w:rPr>
                      </w:pPr>
                      <w:r w:rsidRPr="00CA17C8">
                        <w:rPr>
                          <w:color w:val="C2400B" w:themeColor="accent2" w:themeShade="BF"/>
                          <w:sz w:val="19"/>
                          <w:szCs w:val="19"/>
                        </w:rPr>
                        <w:t>“We have and will continue to operate as separate bodies, striving to realise a shared vision through our very different work. Today we have enacted our commitment to listening and responding to Traditional Owners, making our process more robust and outcomes stronger.”</w:t>
                      </w:r>
                    </w:p>
                    <w:p w14:paraId="33308E0B" w14:textId="1FBFBD96" w:rsidR="005120D5" w:rsidRDefault="005120D5" w:rsidP="007B1331">
                      <w:pPr>
                        <w:pStyle w:val="Callout"/>
                        <w:jc w:val="right"/>
                        <w:rPr>
                          <w:color w:val="00264D" w:themeColor="background2"/>
                          <w:sz w:val="19"/>
                          <w:szCs w:val="19"/>
                        </w:rPr>
                      </w:pPr>
                      <w:r w:rsidRPr="007B1331">
                        <w:rPr>
                          <w:color w:val="00264D" w:themeColor="background2"/>
                          <w:sz w:val="19"/>
                          <w:szCs w:val="19"/>
                        </w:rPr>
                        <w:t>Paul Paton</w:t>
                      </w:r>
                      <w:r w:rsidR="009C33D0">
                        <w:rPr>
                          <w:color w:val="00264D" w:themeColor="background2"/>
                          <w:sz w:val="19"/>
                          <w:szCs w:val="19"/>
                        </w:rPr>
                        <w:t>,</w:t>
                      </w:r>
                      <w:r w:rsidRPr="007B1331">
                        <w:rPr>
                          <w:color w:val="00264D" w:themeColor="background2"/>
                          <w:sz w:val="19"/>
                          <w:szCs w:val="19"/>
                        </w:rPr>
                        <w:t xml:space="preserve"> CEO</w:t>
                      </w:r>
                      <w:r w:rsidR="009C33D0">
                        <w:rPr>
                          <w:color w:val="00264D" w:themeColor="background2"/>
                          <w:sz w:val="19"/>
                          <w:szCs w:val="19"/>
                        </w:rPr>
                        <w:t>,</w:t>
                      </w:r>
                      <w:r w:rsidRPr="007B1331">
                        <w:rPr>
                          <w:color w:val="00264D" w:themeColor="background2"/>
                          <w:sz w:val="19"/>
                          <w:szCs w:val="19"/>
                        </w:rPr>
                        <w:t xml:space="preserve"> Federation</w:t>
                      </w:r>
                    </w:p>
                    <w:p w14:paraId="0BA33D5F" w14:textId="77777777" w:rsidR="005120D5" w:rsidRDefault="005120D5" w:rsidP="007B1331">
                      <w:pPr>
                        <w:pStyle w:val="Callout"/>
                        <w:jc w:val="right"/>
                        <w:rPr>
                          <w:color w:val="00264D" w:themeColor="background2"/>
                          <w:sz w:val="19"/>
                          <w:szCs w:val="19"/>
                        </w:rPr>
                      </w:pPr>
                    </w:p>
                    <w:p w14:paraId="58983688" w14:textId="0A5665C8" w:rsidR="005120D5" w:rsidRPr="004F799A" w:rsidRDefault="005120D5" w:rsidP="007B1331">
                      <w:pPr>
                        <w:pStyle w:val="Callout"/>
                        <w:jc w:val="right"/>
                        <w:rPr>
                          <w:color w:val="00264D" w:themeColor="background2"/>
                          <w:sz w:val="19"/>
                          <w:szCs w:val="19"/>
                        </w:rPr>
                      </w:pPr>
                      <w:r>
                        <w:rPr>
                          <w:color w:val="00264D" w:themeColor="background2"/>
                          <w:sz w:val="19"/>
                          <w:szCs w:val="19"/>
                        </w:rPr>
                        <w:t xml:space="preserve"> </w:t>
                      </w:r>
                    </w:p>
                  </w:txbxContent>
                </v:textbox>
                <w10:wrap type="square" anchorx="margin"/>
              </v:shape>
            </w:pict>
          </mc:Fallback>
        </mc:AlternateContent>
      </w:r>
      <w:r w:rsidR="004676F2">
        <w:rPr>
          <w:lang w:eastAsia="en-AU"/>
        </w:rPr>
        <w:t>Between</w:t>
      </w:r>
      <w:r w:rsidR="00535106">
        <w:rPr>
          <w:lang w:eastAsia="en-AU"/>
        </w:rPr>
        <w:t xml:space="preserve"> 2017 and 2022, the Federation </w:t>
      </w:r>
      <w:r w:rsidR="004676F2">
        <w:rPr>
          <w:lang w:eastAsia="en-AU"/>
        </w:rPr>
        <w:t xml:space="preserve">worked in partnership </w:t>
      </w:r>
      <w:r w:rsidR="00967033">
        <w:rPr>
          <w:lang w:eastAsia="en-AU"/>
        </w:rPr>
        <w:t xml:space="preserve">with FNLRS </w:t>
      </w:r>
      <w:r w:rsidR="004676F2">
        <w:rPr>
          <w:lang w:eastAsia="en-AU"/>
        </w:rPr>
        <w:t>to realise the aspirations and rights of Traditional Owners across Victoria.</w:t>
      </w:r>
      <w:r w:rsidR="00D83C8F">
        <w:rPr>
          <w:lang w:eastAsia="en-AU"/>
        </w:rPr>
        <w:t xml:space="preserve"> The </w:t>
      </w:r>
      <w:r w:rsidR="003C7172">
        <w:rPr>
          <w:lang w:eastAsia="en-AU"/>
        </w:rPr>
        <w:t xml:space="preserve">primary objective of </w:t>
      </w:r>
      <w:r>
        <w:rPr>
          <w:lang w:eastAsia="en-AU"/>
        </w:rPr>
        <w:t>the Federation</w:t>
      </w:r>
      <w:r w:rsidDel="0080609A">
        <w:rPr>
          <w:lang w:eastAsia="en-AU"/>
        </w:rPr>
        <w:t xml:space="preserve"> </w:t>
      </w:r>
      <w:r w:rsidR="00AB70A4">
        <w:rPr>
          <w:lang w:eastAsia="en-AU"/>
        </w:rPr>
        <w:t>is</w:t>
      </w:r>
      <w:r w:rsidR="0019259B">
        <w:rPr>
          <w:lang w:eastAsia="en-AU"/>
        </w:rPr>
        <w:t xml:space="preserve"> to support Traditional Owner corporations through advocacy</w:t>
      </w:r>
      <w:r w:rsidR="00535600">
        <w:rPr>
          <w:lang w:eastAsia="en-AU"/>
        </w:rPr>
        <w:t>, policy reform</w:t>
      </w:r>
      <w:r w:rsidR="0019259B">
        <w:rPr>
          <w:lang w:eastAsia="en-AU"/>
        </w:rPr>
        <w:t xml:space="preserve"> and economic development.</w:t>
      </w:r>
      <w:r w:rsidR="003C7172">
        <w:rPr>
          <w:lang w:eastAsia="en-AU"/>
        </w:rPr>
        <w:t xml:space="preserve"> </w:t>
      </w:r>
      <w:r w:rsidR="008651F6">
        <w:rPr>
          <w:lang w:eastAsia="en-AU"/>
        </w:rPr>
        <w:t>Its members</w:t>
      </w:r>
      <w:r w:rsidR="00153748">
        <w:rPr>
          <w:lang w:eastAsia="en-AU"/>
        </w:rPr>
        <w:t xml:space="preserve"> </w:t>
      </w:r>
      <w:r w:rsidR="006C7B58">
        <w:rPr>
          <w:lang w:eastAsia="en-AU"/>
        </w:rPr>
        <w:t>are</w:t>
      </w:r>
      <w:r w:rsidR="008651F6">
        <w:rPr>
          <w:lang w:eastAsia="en-AU"/>
        </w:rPr>
        <w:t xml:space="preserve"> </w:t>
      </w:r>
      <w:r w:rsidR="000022D4">
        <w:rPr>
          <w:lang w:eastAsia="en-AU"/>
        </w:rPr>
        <w:t xml:space="preserve">six Traditional Owner </w:t>
      </w:r>
      <w:r w:rsidR="000022D4" w:rsidRPr="007D53BC">
        <w:rPr>
          <w:lang w:eastAsia="en-AU"/>
        </w:rPr>
        <w:t xml:space="preserve">corporations. </w:t>
      </w:r>
      <w:r w:rsidR="00AB70A4" w:rsidRPr="007D53BC">
        <w:rPr>
          <w:lang w:eastAsia="en-AU"/>
        </w:rPr>
        <w:t xml:space="preserve">The </w:t>
      </w:r>
      <w:r>
        <w:rPr>
          <w:lang w:eastAsia="en-AU"/>
        </w:rPr>
        <w:t>Federation</w:t>
      </w:r>
      <w:r w:rsidRPr="007D53BC">
        <w:rPr>
          <w:lang w:eastAsia="en-AU"/>
        </w:rPr>
        <w:t xml:space="preserve"> </w:t>
      </w:r>
      <w:r w:rsidR="002A7F2E" w:rsidRPr="007D53BC">
        <w:rPr>
          <w:lang w:eastAsia="en-AU"/>
        </w:rPr>
        <w:t>is involved</w:t>
      </w:r>
      <w:r w:rsidR="002A7F2E">
        <w:rPr>
          <w:lang w:eastAsia="en-AU"/>
        </w:rPr>
        <w:t xml:space="preserve"> in a wide variety of activities including </w:t>
      </w:r>
      <w:r w:rsidR="001A5466">
        <w:rPr>
          <w:lang w:eastAsia="en-AU"/>
        </w:rPr>
        <w:t xml:space="preserve">developing plans and strategies </w:t>
      </w:r>
      <w:r w:rsidR="008E6108">
        <w:rPr>
          <w:lang w:eastAsia="en-AU"/>
        </w:rPr>
        <w:t xml:space="preserve">for the Traditional Owner corporations, </w:t>
      </w:r>
      <w:r w:rsidR="001A5466">
        <w:rPr>
          <w:lang w:eastAsia="en-AU"/>
        </w:rPr>
        <w:t xml:space="preserve">as well as </w:t>
      </w:r>
      <w:r w:rsidR="00B240FE">
        <w:rPr>
          <w:lang w:eastAsia="en-AU"/>
        </w:rPr>
        <w:t xml:space="preserve">advocacy and </w:t>
      </w:r>
      <w:r w:rsidR="008E6108">
        <w:rPr>
          <w:lang w:eastAsia="en-AU"/>
        </w:rPr>
        <w:t xml:space="preserve">being involved in </w:t>
      </w:r>
      <w:r w:rsidR="002A7F2E">
        <w:rPr>
          <w:lang w:eastAsia="en-AU"/>
        </w:rPr>
        <w:t>reviewing proposed</w:t>
      </w:r>
      <w:r w:rsidR="00B240FE">
        <w:rPr>
          <w:lang w:eastAsia="en-AU"/>
        </w:rPr>
        <w:t xml:space="preserve"> policy and</w:t>
      </w:r>
      <w:r w:rsidR="002A7F2E">
        <w:rPr>
          <w:lang w:eastAsia="en-AU"/>
        </w:rPr>
        <w:t xml:space="preserve"> legislation</w:t>
      </w:r>
      <w:r w:rsidR="00B240FE">
        <w:rPr>
          <w:lang w:eastAsia="en-AU"/>
        </w:rPr>
        <w:t xml:space="preserve">. </w:t>
      </w:r>
      <w:r w:rsidR="00147F1F">
        <w:rPr>
          <w:lang w:eastAsia="en-AU"/>
        </w:rPr>
        <w:t xml:space="preserve">Federation Enterprises, a wholly owned subsidiary of the </w:t>
      </w:r>
      <w:r>
        <w:rPr>
          <w:lang w:eastAsia="en-AU"/>
        </w:rPr>
        <w:t>F</w:t>
      </w:r>
      <w:r w:rsidR="00D937C1">
        <w:rPr>
          <w:lang w:eastAsia="en-AU"/>
        </w:rPr>
        <w:t>ederation</w:t>
      </w:r>
      <w:r w:rsidR="008E6108">
        <w:rPr>
          <w:lang w:eastAsia="en-AU"/>
        </w:rPr>
        <w:t xml:space="preserve">, also </w:t>
      </w:r>
      <w:r w:rsidR="00147F1F">
        <w:rPr>
          <w:lang w:eastAsia="en-AU"/>
        </w:rPr>
        <w:t>focuses</w:t>
      </w:r>
      <w:r w:rsidR="00913732">
        <w:rPr>
          <w:lang w:eastAsia="en-AU"/>
        </w:rPr>
        <w:t xml:space="preserve"> on</w:t>
      </w:r>
      <w:r w:rsidR="00523332">
        <w:rPr>
          <w:lang w:eastAsia="en-AU"/>
        </w:rPr>
        <w:t xml:space="preserve"> </w:t>
      </w:r>
      <w:r w:rsidR="00AC7ED7">
        <w:rPr>
          <w:lang w:eastAsia="en-AU"/>
        </w:rPr>
        <w:t>economic development</w:t>
      </w:r>
      <w:r w:rsidR="006A689E">
        <w:rPr>
          <w:lang w:eastAsia="en-AU"/>
        </w:rPr>
        <w:t xml:space="preserve"> for </w:t>
      </w:r>
      <w:r w:rsidR="008E6108">
        <w:rPr>
          <w:lang w:eastAsia="en-AU"/>
        </w:rPr>
        <w:t>Traditional Owners</w:t>
      </w:r>
      <w:r w:rsidR="009B2267">
        <w:rPr>
          <w:lang w:eastAsia="en-AU"/>
        </w:rPr>
        <w:t xml:space="preserve">. </w:t>
      </w:r>
    </w:p>
    <w:p w14:paraId="5EDE9E7E" w14:textId="3603431C" w:rsidR="0030520A" w:rsidRDefault="008F6E8B" w:rsidP="00CD536C">
      <w:pPr>
        <w:rPr>
          <w:lang w:eastAsia="en-AU"/>
        </w:rPr>
      </w:pPr>
      <w:r>
        <w:rPr>
          <w:lang w:eastAsia="en-AU"/>
        </w:rPr>
        <w:t>Under the joint arrangement</w:t>
      </w:r>
      <w:r w:rsidR="005C52DE">
        <w:rPr>
          <w:lang w:eastAsia="en-AU"/>
        </w:rPr>
        <w:t xml:space="preserve"> with FNLRS</w:t>
      </w:r>
      <w:r>
        <w:rPr>
          <w:lang w:eastAsia="en-AU"/>
        </w:rPr>
        <w:t xml:space="preserve">, </w:t>
      </w:r>
      <w:r w:rsidR="0080609A">
        <w:rPr>
          <w:lang w:eastAsia="en-AU"/>
        </w:rPr>
        <w:t>the Federation</w:t>
      </w:r>
      <w:r w:rsidR="0080609A" w:rsidDel="0080609A">
        <w:rPr>
          <w:lang w:eastAsia="en-AU"/>
        </w:rPr>
        <w:t xml:space="preserve"> </w:t>
      </w:r>
      <w:r w:rsidR="004F2FAB">
        <w:rPr>
          <w:lang w:eastAsia="en-AU"/>
        </w:rPr>
        <w:t>was the sole member of FNLRS</w:t>
      </w:r>
      <w:r w:rsidR="006715FB">
        <w:rPr>
          <w:lang w:eastAsia="en-AU"/>
        </w:rPr>
        <w:t xml:space="preserve">. </w:t>
      </w:r>
      <w:r w:rsidR="004676F2">
        <w:rPr>
          <w:lang w:eastAsia="en-AU"/>
        </w:rPr>
        <w:t>However, during the Review period, FNRLS</w:t>
      </w:r>
      <w:r w:rsidR="00E46711">
        <w:rPr>
          <w:lang w:eastAsia="en-AU"/>
        </w:rPr>
        <w:t xml:space="preserve"> </w:t>
      </w:r>
      <w:r w:rsidR="00544724">
        <w:rPr>
          <w:lang w:eastAsia="en-AU"/>
        </w:rPr>
        <w:t xml:space="preserve">and </w:t>
      </w:r>
      <w:r w:rsidR="0080609A">
        <w:rPr>
          <w:lang w:eastAsia="en-AU"/>
        </w:rPr>
        <w:t>the Federation</w:t>
      </w:r>
      <w:r w:rsidR="0080609A" w:rsidDel="0080609A">
        <w:rPr>
          <w:lang w:eastAsia="en-AU"/>
        </w:rPr>
        <w:t xml:space="preserve"> </w:t>
      </w:r>
      <w:r w:rsidR="00E46711">
        <w:rPr>
          <w:lang w:eastAsia="en-AU"/>
        </w:rPr>
        <w:t>decided to</w:t>
      </w:r>
      <w:r w:rsidR="004676F2">
        <w:rPr>
          <w:lang w:eastAsia="en-AU"/>
        </w:rPr>
        <w:t xml:space="preserve"> de-couple.</w:t>
      </w:r>
      <w:r w:rsidR="0030520A">
        <w:rPr>
          <w:lang w:eastAsia="en-AU"/>
        </w:rPr>
        <w:t xml:space="preserve"> </w:t>
      </w:r>
      <w:r w:rsidR="00D86FF8">
        <w:rPr>
          <w:lang w:eastAsia="en-AU"/>
        </w:rPr>
        <w:t xml:space="preserve">From 1 July 2022, </w:t>
      </w:r>
      <w:r w:rsidR="0080609A">
        <w:rPr>
          <w:lang w:eastAsia="en-AU"/>
        </w:rPr>
        <w:t>the Federation</w:t>
      </w:r>
      <w:r w:rsidR="0080609A" w:rsidDel="0080609A">
        <w:rPr>
          <w:lang w:eastAsia="en-AU"/>
        </w:rPr>
        <w:t xml:space="preserve"> </w:t>
      </w:r>
      <w:r w:rsidR="00D86FF8">
        <w:rPr>
          <w:lang w:eastAsia="en-AU"/>
        </w:rPr>
        <w:t>was no longer the sole member</w:t>
      </w:r>
      <w:r w:rsidR="00913732">
        <w:rPr>
          <w:lang w:eastAsia="en-AU"/>
        </w:rPr>
        <w:t xml:space="preserve"> of</w:t>
      </w:r>
      <w:r w:rsidR="00D86FF8">
        <w:rPr>
          <w:lang w:eastAsia="en-AU"/>
        </w:rPr>
        <w:t xml:space="preserve"> FNLRS</w:t>
      </w:r>
      <w:r w:rsidR="00A74527">
        <w:rPr>
          <w:lang w:eastAsia="en-AU"/>
        </w:rPr>
        <w:t xml:space="preserve"> and </w:t>
      </w:r>
      <w:r w:rsidR="00D86FF8">
        <w:rPr>
          <w:lang w:eastAsia="en-AU"/>
        </w:rPr>
        <w:t xml:space="preserve">was no longer responsible for appointing the Directors of FNLRS. </w:t>
      </w:r>
      <w:r w:rsidR="0030520A">
        <w:rPr>
          <w:lang w:eastAsia="en-AU"/>
        </w:rPr>
        <w:t xml:space="preserve">The reason for this change was primarily </w:t>
      </w:r>
      <w:r w:rsidR="00801A80">
        <w:rPr>
          <w:lang w:eastAsia="en-AU"/>
        </w:rPr>
        <w:t xml:space="preserve">a result of </w:t>
      </w:r>
      <w:r w:rsidR="00A16217">
        <w:rPr>
          <w:lang w:eastAsia="en-AU"/>
        </w:rPr>
        <w:t xml:space="preserve">community concerns around the perceived bias of </w:t>
      </w:r>
      <w:r w:rsidR="0080609A">
        <w:rPr>
          <w:lang w:eastAsia="en-AU"/>
        </w:rPr>
        <w:t>the Federation</w:t>
      </w:r>
      <w:r w:rsidR="0080609A" w:rsidDel="0080609A">
        <w:rPr>
          <w:lang w:eastAsia="en-AU"/>
        </w:rPr>
        <w:t xml:space="preserve"> </w:t>
      </w:r>
      <w:r w:rsidR="00A16217">
        <w:rPr>
          <w:lang w:eastAsia="en-AU"/>
        </w:rPr>
        <w:t xml:space="preserve">and its membership </w:t>
      </w:r>
      <w:r w:rsidR="00A16217" w:rsidRPr="003330AB">
        <w:rPr>
          <w:lang w:eastAsia="en-AU"/>
        </w:rPr>
        <w:t>base</w:t>
      </w:r>
      <w:r w:rsidR="00262D67" w:rsidRPr="003330AB">
        <w:rPr>
          <w:lang w:eastAsia="en-AU"/>
        </w:rPr>
        <w:t xml:space="preserve">. At the time of the Review, the membership of </w:t>
      </w:r>
      <w:r w:rsidR="0080609A">
        <w:rPr>
          <w:lang w:eastAsia="en-AU"/>
        </w:rPr>
        <w:t>the Federation</w:t>
      </w:r>
      <w:r w:rsidR="0080609A" w:rsidDel="0080609A">
        <w:rPr>
          <w:lang w:eastAsia="en-AU"/>
        </w:rPr>
        <w:t xml:space="preserve"> </w:t>
      </w:r>
      <w:r w:rsidR="00ED40D8" w:rsidRPr="003330AB">
        <w:rPr>
          <w:lang w:eastAsia="en-AU"/>
        </w:rPr>
        <w:t>did not include</w:t>
      </w:r>
      <w:r w:rsidR="00BC0FCE" w:rsidRPr="003330AB">
        <w:rPr>
          <w:lang w:eastAsia="en-AU"/>
        </w:rPr>
        <w:t xml:space="preserve"> </w:t>
      </w:r>
      <w:r w:rsidR="003330AB" w:rsidRPr="003330AB">
        <w:rPr>
          <w:lang w:eastAsia="en-AU"/>
        </w:rPr>
        <w:t>all</w:t>
      </w:r>
      <w:r w:rsidR="00F719F8" w:rsidRPr="003330AB">
        <w:rPr>
          <w:lang w:eastAsia="en-AU"/>
        </w:rPr>
        <w:t xml:space="preserve"> </w:t>
      </w:r>
      <w:r w:rsidR="000022D4">
        <w:rPr>
          <w:lang w:eastAsia="en-AU"/>
        </w:rPr>
        <w:t xml:space="preserve">formally recognised </w:t>
      </w:r>
      <w:r w:rsidR="00F719F8" w:rsidRPr="003330AB">
        <w:rPr>
          <w:lang w:eastAsia="en-AU"/>
        </w:rPr>
        <w:t>Traditional</w:t>
      </w:r>
      <w:r w:rsidR="00BC0FCE" w:rsidRPr="003330AB">
        <w:rPr>
          <w:lang w:eastAsia="en-AU"/>
        </w:rPr>
        <w:t xml:space="preserve"> Owner </w:t>
      </w:r>
      <w:r w:rsidR="0080609A">
        <w:rPr>
          <w:lang w:eastAsia="en-AU"/>
        </w:rPr>
        <w:t>g</w:t>
      </w:r>
      <w:r w:rsidR="00BC0FCE" w:rsidRPr="003330AB">
        <w:rPr>
          <w:lang w:eastAsia="en-AU"/>
        </w:rPr>
        <w:t>roups</w:t>
      </w:r>
      <w:r w:rsidR="00807D59" w:rsidRPr="003330AB">
        <w:rPr>
          <w:lang w:eastAsia="en-AU"/>
        </w:rPr>
        <w:t xml:space="preserve"> in Victoria</w:t>
      </w:r>
      <w:r w:rsidR="00807D59">
        <w:rPr>
          <w:lang w:eastAsia="en-AU"/>
        </w:rPr>
        <w:t>.</w:t>
      </w:r>
      <w:r w:rsidR="003C7069">
        <w:rPr>
          <w:lang w:eastAsia="en-AU"/>
        </w:rPr>
        <w:t xml:space="preserve"> </w:t>
      </w:r>
      <w:r w:rsidR="00CD03AD">
        <w:rPr>
          <w:lang w:eastAsia="en-AU"/>
        </w:rPr>
        <w:t xml:space="preserve">Several </w:t>
      </w:r>
      <w:r w:rsidR="009A56FC">
        <w:rPr>
          <w:lang w:eastAsia="en-AU"/>
        </w:rPr>
        <w:t xml:space="preserve">internal and </w:t>
      </w:r>
      <w:r w:rsidR="00CD03AD">
        <w:rPr>
          <w:lang w:eastAsia="en-AU"/>
        </w:rPr>
        <w:t xml:space="preserve">external </w:t>
      </w:r>
      <w:r w:rsidR="009A56FC">
        <w:rPr>
          <w:lang w:eastAsia="en-AU"/>
        </w:rPr>
        <w:t>stakeholders</w:t>
      </w:r>
      <w:r w:rsidR="00CD03AD">
        <w:rPr>
          <w:lang w:eastAsia="en-AU"/>
        </w:rPr>
        <w:t xml:space="preserve">, </w:t>
      </w:r>
      <w:r w:rsidR="007E3074">
        <w:rPr>
          <w:lang w:eastAsia="en-AU"/>
        </w:rPr>
        <w:t xml:space="preserve">who </w:t>
      </w:r>
      <w:r w:rsidR="00CD03AD">
        <w:rPr>
          <w:lang w:eastAsia="en-AU"/>
        </w:rPr>
        <w:t xml:space="preserve">were </w:t>
      </w:r>
      <w:r w:rsidR="00B028D3">
        <w:rPr>
          <w:lang w:eastAsia="en-AU"/>
        </w:rPr>
        <w:t xml:space="preserve">consulted as part of the Review agreed that the de-coupling was a positive move </w:t>
      </w:r>
      <w:r w:rsidR="009758D1">
        <w:rPr>
          <w:lang w:eastAsia="en-AU"/>
        </w:rPr>
        <w:t xml:space="preserve">to build </w:t>
      </w:r>
      <w:r w:rsidR="00B778A1">
        <w:rPr>
          <w:lang w:eastAsia="en-AU"/>
        </w:rPr>
        <w:t>FNLRS’s</w:t>
      </w:r>
      <w:r w:rsidR="00B278DF">
        <w:rPr>
          <w:lang w:eastAsia="en-AU"/>
        </w:rPr>
        <w:t xml:space="preserve"> </w:t>
      </w:r>
      <w:r w:rsidR="009758D1">
        <w:rPr>
          <w:lang w:eastAsia="en-AU"/>
        </w:rPr>
        <w:t xml:space="preserve">trust within the community </w:t>
      </w:r>
      <w:r w:rsidR="00A24DEE">
        <w:rPr>
          <w:lang w:eastAsia="en-AU"/>
        </w:rPr>
        <w:t xml:space="preserve">by </w:t>
      </w:r>
      <w:r w:rsidR="00B032CC">
        <w:rPr>
          <w:lang w:eastAsia="en-AU"/>
        </w:rPr>
        <w:t>being</w:t>
      </w:r>
      <w:r w:rsidR="00A24DEE">
        <w:rPr>
          <w:lang w:eastAsia="en-AU"/>
        </w:rPr>
        <w:t xml:space="preserve"> more</w:t>
      </w:r>
      <w:r w:rsidR="00B278DF">
        <w:rPr>
          <w:lang w:eastAsia="en-AU"/>
        </w:rPr>
        <w:t xml:space="preserve"> </w:t>
      </w:r>
      <w:r w:rsidR="00A24DEE">
        <w:rPr>
          <w:lang w:eastAsia="en-AU"/>
        </w:rPr>
        <w:t>representative of</w:t>
      </w:r>
      <w:r w:rsidR="00EA6DAC">
        <w:rPr>
          <w:lang w:eastAsia="en-AU"/>
        </w:rPr>
        <w:t xml:space="preserve"> the</w:t>
      </w:r>
      <w:r w:rsidR="00467A71">
        <w:rPr>
          <w:lang w:eastAsia="en-AU"/>
        </w:rPr>
        <w:t xml:space="preserve"> Traditional Owner</w:t>
      </w:r>
      <w:r w:rsidR="00EA6DAC">
        <w:rPr>
          <w:lang w:eastAsia="en-AU"/>
        </w:rPr>
        <w:t xml:space="preserve"> </w:t>
      </w:r>
      <w:r w:rsidR="000555C4">
        <w:rPr>
          <w:lang w:eastAsia="en-AU"/>
        </w:rPr>
        <w:t>“</w:t>
      </w:r>
      <w:r w:rsidR="00EA6DAC">
        <w:rPr>
          <w:lang w:eastAsia="en-AU"/>
        </w:rPr>
        <w:t>sector</w:t>
      </w:r>
      <w:r w:rsidR="000555C4">
        <w:rPr>
          <w:lang w:eastAsia="en-AU"/>
        </w:rPr>
        <w:t>”</w:t>
      </w:r>
      <w:r w:rsidR="00A24DEE">
        <w:rPr>
          <w:lang w:eastAsia="en-AU"/>
        </w:rPr>
        <w:t>. The change has also helped to</w:t>
      </w:r>
      <w:r w:rsidR="00D85017">
        <w:rPr>
          <w:lang w:eastAsia="en-AU"/>
        </w:rPr>
        <w:t xml:space="preserve"> delineate the roles and responsibilities of </w:t>
      </w:r>
      <w:r w:rsidR="0080609A">
        <w:rPr>
          <w:lang w:eastAsia="en-AU"/>
        </w:rPr>
        <w:t>the Federation</w:t>
      </w:r>
      <w:r w:rsidR="0080609A" w:rsidDel="0080609A">
        <w:rPr>
          <w:lang w:eastAsia="en-AU"/>
        </w:rPr>
        <w:t xml:space="preserve"> </w:t>
      </w:r>
      <w:r w:rsidR="00D85017">
        <w:rPr>
          <w:lang w:eastAsia="en-AU"/>
        </w:rPr>
        <w:t>and FNLRS.</w:t>
      </w:r>
    </w:p>
    <w:p w14:paraId="48D1DECB" w14:textId="1DD935E1" w:rsidR="002D1065" w:rsidRDefault="0080609A" w:rsidP="00CD536C">
      <w:pPr>
        <w:rPr>
          <w:lang w:eastAsia="en-AU"/>
        </w:rPr>
      </w:pPr>
      <w:r>
        <w:rPr>
          <w:noProof/>
          <w:lang w:eastAsia="en-AU"/>
        </w:rPr>
        <mc:AlternateContent>
          <mc:Choice Requires="wps">
            <w:drawing>
              <wp:anchor distT="0" distB="0" distL="114300" distR="114300" simplePos="0" relativeHeight="251658245" behindDoc="0" locked="0" layoutInCell="1" allowOverlap="1" wp14:anchorId="2A1C64AA" wp14:editId="02ED5644">
                <wp:simplePos x="0" y="0"/>
                <wp:positionH relativeFrom="margin">
                  <wp:align>right</wp:align>
                </wp:positionH>
                <wp:positionV relativeFrom="paragraph">
                  <wp:posOffset>3175</wp:posOffset>
                </wp:positionV>
                <wp:extent cx="1964055" cy="1622425"/>
                <wp:effectExtent l="0" t="0" r="0" b="0"/>
                <wp:wrapSquare wrapText="bothSides"/>
                <wp:docPr id="507" name="Text Box 7"/>
                <wp:cNvGraphicFramePr/>
                <a:graphic xmlns:a="http://schemas.openxmlformats.org/drawingml/2006/main">
                  <a:graphicData uri="http://schemas.microsoft.com/office/word/2010/wordprocessingShape">
                    <wps:wsp>
                      <wps:cNvSpPr txBox="1"/>
                      <wps:spPr>
                        <a:xfrm>
                          <a:off x="0" y="0"/>
                          <a:ext cx="1964055" cy="162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9FD74" w14:textId="7EA4FF3D" w:rsidR="005120D5" w:rsidRPr="00CA17C8" w:rsidRDefault="005120D5" w:rsidP="0080609A">
                            <w:pPr>
                              <w:pStyle w:val="Callout"/>
                              <w:jc w:val="right"/>
                              <w:rPr>
                                <w:color w:val="C2400B" w:themeColor="accent2" w:themeShade="BF"/>
                                <w:sz w:val="19"/>
                                <w:szCs w:val="19"/>
                              </w:rPr>
                            </w:pPr>
                            <w:r w:rsidRPr="00CA17C8">
                              <w:rPr>
                                <w:color w:val="C2400B" w:themeColor="accent2" w:themeShade="BF"/>
                                <w:sz w:val="19"/>
                                <w:szCs w:val="19"/>
                              </w:rPr>
                              <w:t>“As the native title services provider for Victorian Traditional Owners, FNLRS has a responsibility to Traditional Owners that is legal, statutory and cultural. Today we have shown our commitment to realise change in their interests.”</w:t>
                            </w:r>
                          </w:p>
                          <w:p w14:paraId="498A86B0" w14:textId="0F4FE372" w:rsidR="005120D5" w:rsidRDefault="005120D5" w:rsidP="0080609A">
                            <w:pPr>
                              <w:pStyle w:val="Callout"/>
                              <w:jc w:val="right"/>
                              <w:rPr>
                                <w:color w:val="F25E21" w:themeColor="accent2"/>
                              </w:rPr>
                            </w:pPr>
                            <w:r w:rsidRPr="0080609A">
                              <w:rPr>
                                <w:color w:val="00264D" w:themeColor="background2"/>
                                <w:sz w:val="19"/>
                                <w:szCs w:val="19"/>
                              </w:rPr>
                              <w:t>Tony Kelly, CEO, First Nations</w:t>
                            </w:r>
                          </w:p>
                          <w:p w14:paraId="625DF75C" w14:textId="77777777" w:rsidR="005120D5" w:rsidRPr="00885462" w:rsidRDefault="005120D5" w:rsidP="00A62B3A">
                            <w:pPr>
                              <w:pStyle w:val="Callout"/>
                              <w:rPr>
                                <w:color w:val="F25E21" w:themeColor="accent2"/>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1C64AA" id="Text Box 7" o:spid="_x0000_s1030" type="#_x0000_t202" style="position:absolute;margin-left:103.45pt;margin-top:.25pt;width:154.65pt;height:127.7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" fillcolor="white [3201]" stroked="f" strokeweight=".5pt">
                <v:textbox inset="0,,1mm">
                  <w:txbxContent>
                    <w:p w14:paraId="1199FD74" w14:textId="7EA4FF3D" w:rsidR="005120D5" w:rsidRPr="00CA17C8" w:rsidRDefault="005120D5" w:rsidP="0080609A">
                      <w:pPr>
                        <w:pStyle w:val="Callout"/>
                        <w:jc w:val="right"/>
                        <w:rPr>
                          <w:color w:val="C2400B" w:themeColor="accent2" w:themeShade="BF"/>
                          <w:sz w:val="19"/>
                          <w:szCs w:val="19"/>
                        </w:rPr>
                      </w:pPr>
                      <w:r w:rsidRPr="00CA17C8">
                        <w:rPr>
                          <w:color w:val="C2400B" w:themeColor="accent2" w:themeShade="BF"/>
                          <w:sz w:val="19"/>
                          <w:szCs w:val="19"/>
                        </w:rPr>
                        <w:t>“As the native title services provider for Victorian Traditional Owners, FNLRS has a responsibility to Traditional Owners that is legal, statutory and cultural. Today we have shown our commitment to realise change in their interests.”</w:t>
                      </w:r>
                    </w:p>
                    <w:p w14:paraId="498A86B0" w14:textId="0F4FE372" w:rsidR="005120D5" w:rsidRDefault="005120D5" w:rsidP="0080609A">
                      <w:pPr>
                        <w:pStyle w:val="Callout"/>
                        <w:jc w:val="right"/>
                        <w:rPr>
                          <w:color w:val="F25E21" w:themeColor="accent2"/>
                        </w:rPr>
                      </w:pPr>
                      <w:r w:rsidRPr="0080609A">
                        <w:rPr>
                          <w:color w:val="00264D" w:themeColor="background2"/>
                          <w:sz w:val="19"/>
                          <w:szCs w:val="19"/>
                        </w:rPr>
                        <w:t>Tony Kelly, CEO, First Nations</w:t>
                      </w:r>
                    </w:p>
                    <w:p w14:paraId="625DF75C" w14:textId="77777777" w:rsidR="005120D5" w:rsidRPr="00885462" w:rsidRDefault="005120D5" w:rsidP="00A62B3A">
                      <w:pPr>
                        <w:pStyle w:val="Callout"/>
                        <w:rPr>
                          <w:color w:val="F25E21" w:themeColor="accent2"/>
                        </w:rPr>
                      </w:pPr>
                    </w:p>
                  </w:txbxContent>
                </v:textbox>
                <w10:wrap type="square" anchorx="margin"/>
              </v:shape>
            </w:pict>
          </mc:Fallback>
        </mc:AlternateContent>
      </w:r>
      <w:r w:rsidR="00CA0782">
        <w:rPr>
          <w:lang w:eastAsia="en-AU"/>
        </w:rPr>
        <w:t xml:space="preserve">Going forward, FNLRS and </w:t>
      </w:r>
      <w:r>
        <w:rPr>
          <w:lang w:eastAsia="en-AU"/>
        </w:rPr>
        <w:t>the Federation</w:t>
      </w:r>
      <w:r w:rsidDel="0080609A">
        <w:rPr>
          <w:lang w:eastAsia="en-AU"/>
        </w:rPr>
        <w:t xml:space="preserve"> </w:t>
      </w:r>
      <w:r w:rsidR="00CA0782">
        <w:rPr>
          <w:lang w:eastAsia="en-AU"/>
        </w:rPr>
        <w:t>will maintain some connection</w:t>
      </w:r>
      <w:r w:rsidR="001E1278">
        <w:rPr>
          <w:lang w:eastAsia="en-AU"/>
        </w:rPr>
        <w:t xml:space="preserve"> through the sharing of resources. </w:t>
      </w:r>
      <w:r w:rsidR="00DC5C5A">
        <w:rPr>
          <w:lang w:eastAsia="en-AU"/>
        </w:rPr>
        <w:t xml:space="preserve">For example, they </w:t>
      </w:r>
      <w:r w:rsidR="00654624">
        <w:rPr>
          <w:lang w:eastAsia="en-AU"/>
        </w:rPr>
        <w:t>currently</w:t>
      </w:r>
      <w:r w:rsidR="00DC5C5A">
        <w:rPr>
          <w:lang w:eastAsia="en-AU"/>
        </w:rPr>
        <w:t xml:space="preserve"> </w:t>
      </w:r>
      <w:r w:rsidR="002D1065">
        <w:rPr>
          <w:lang w:eastAsia="en-AU"/>
        </w:rPr>
        <w:t xml:space="preserve">share </w:t>
      </w:r>
      <w:r w:rsidR="00BF59B7">
        <w:rPr>
          <w:lang w:eastAsia="en-AU"/>
        </w:rPr>
        <w:t>HR</w:t>
      </w:r>
      <w:r w:rsidR="002D1065" w:rsidRPr="00A9464D">
        <w:rPr>
          <w:lang w:eastAsia="en-AU"/>
        </w:rPr>
        <w:t xml:space="preserve"> and </w:t>
      </w:r>
      <w:r w:rsidR="00A9464D" w:rsidRPr="00A9464D">
        <w:rPr>
          <w:lang w:eastAsia="en-AU"/>
        </w:rPr>
        <w:t>f</w:t>
      </w:r>
      <w:r w:rsidR="002D1065" w:rsidRPr="00A9464D">
        <w:rPr>
          <w:lang w:eastAsia="en-AU"/>
        </w:rPr>
        <w:t>inancial services</w:t>
      </w:r>
      <w:r w:rsidR="00654624">
        <w:rPr>
          <w:lang w:eastAsia="en-AU"/>
        </w:rPr>
        <w:t xml:space="preserve"> which FNLRS administers on behalf of </w:t>
      </w:r>
      <w:r w:rsidR="00A71466">
        <w:rPr>
          <w:lang w:eastAsia="en-AU"/>
        </w:rPr>
        <w:t>both organisations</w:t>
      </w:r>
      <w:r w:rsidR="00654624">
        <w:rPr>
          <w:lang w:eastAsia="en-AU"/>
        </w:rPr>
        <w:t>.</w:t>
      </w:r>
      <w:r w:rsidR="002D1065" w:rsidRPr="00A9464D">
        <w:rPr>
          <w:lang w:eastAsia="en-AU"/>
        </w:rPr>
        <w:t xml:space="preserve"> </w:t>
      </w:r>
      <w:r w:rsidR="005F2AA5">
        <w:rPr>
          <w:lang w:eastAsia="en-AU"/>
        </w:rPr>
        <w:t>S</w:t>
      </w:r>
      <w:r w:rsidR="005963DD" w:rsidRPr="00A9464D">
        <w:rPr>
          <w:lang w:eastAsia="en-AU"/>
        </w:rPr>
        <w:t xml:space="preserve">taff from both FNLRS and </w:t>
      </w:r>
      <w:r>
        <w:rPr>
          <w:lang w:eastAsia="en-AU"/>
        </w:rPr>
        <w:t>the Federation</w:t>
      </w:r>
      <w:r w:rsidDel="0080609A">
        <w:rPr>
          <w:lang w:eastAsia="en-AU"/>
        </w:rPr>
        <w:t xml:space="preserve"> </w:t>
      </w:r>
      <w:r w:rsidR="005963DD" w:rsidRPr="00A9464D">
        <w:rPr>
          <w:lang w:eastAsia="en-AU"/>
        </w:rPr>
        <w:t>con</w:t>
      </w:r>
      <w:r w:rsidR="005963DD">
        <w:rPr>
          <w:lang w:eastAsia="en-AU"/>
        </w:rPr>
        <w:t xml:space="preserve">tinue to be covered under a joint Enterprise Agreement </w:t>
      </w:r>
      <w:r w:rsidR="009A56FC">
        <w:rPr>
          <w:lang w:eastAsia="en-AU"/>
        </w:rPr>
        <w:t>that came into effect</w:t>
      </w:r>
      <w:r w:rsidR="00700729">
        <w:rPr>
          <w:lang w:eastAsia="en-AU"/>
        </w:rPr>
        <w:t xml:space="preserve"> </w:t>
      </w:r>
      <w:r w:rsidR="00913732">
        <w:rPr>
          <w:lang w:eastAsia="en-AU"/>
        </w:rPr>
        <w:t xml:space="preserve">from </w:t>
      </w:r>
      <w:r w:rsidR="00700729">
        <w:rPr>
          <w:lang w:eastAsia="en-AU"/>
        </w:rPr>
        <w:t>July 2021.</w:t>
      </w:r>
    </w:p>
    <w:p w14:paraId="5938FFCE" w14:textId="186AA110" w:rsidR="002042EB" w:rsidRPr="00DA1033" w:rsidRDefault="002042EB" w:rsidP="3F43E8F7">
      <w:pPr>
        <w:pStyle w:val="Heading5"/>
        <w:numPr>
          <w:ilvl w:val="4"/>
          <w:numId w:val="0"/>
        </w:numPr>
      </w:pPr>
      <w:r w:rsidRPr="6967B2CC">
        <w:t xml:space="preserve">FNLRS </w:t>
      </w:r>
      <w:r w:rsidR="009C768D" w:rsidRPr="6967B2CC">
        <w:t>is</w:t>
      </w:r>
      <w:r w:rsidRPr="6967B2CC">
        <w:t xml:space="preserve"> governed by a relatively small Board of Directors </w:t>
      </w:r>
    </w:p>
    <w:p w14:paraId="2CE7EBB1" w14:textId="040513B9" w:rsidR="00082E9F" w:rsidRDefault="003E1463" w:rsidP="002042EB">
      <w:pPr>
        <w:rPr>
          <w:lang w:eastAsia="en-AU"/>
        </w:rPr>
      </w:pPr>
      <w:r>
        <w:rPr>
          <w:lang w:eastAsia="en-AU"/>
        </w:rPr>
        <w:t>After the de</w:t>
      </w:r>
      <w:r w:rsidR="0080609A">
        <w:rPr>
          <w:lang w:eastAsia="en-AU"/>
        </w:rPr>
        <w:t>-</w:t>
      </w:r>
      <w:r>
        <w:rPr>
          <w:lang w:eastAsia="en-AU"/>
        </w:rPr>
        <w:t>coupling</w:t>
      </w:r>
      <w:r w:rsidR="002042EB">
        <w:rPr>
          <w:lang w:eastAsia="en-AU"/>
        </w:rPr>
        <w:t>, FNLR</w:t>
      </w:r>
      <w:r w:rsidR="00BD6C3A">
        <w:rPr>
          <w:lang w:eastAsia="en-AU"/>
        </w:rPr>
        <w:t>S</w:t>
      </w:r>
      <w:r w:rsidR="002042EB">
        <w:rPr>
          <w:lang w:eastAsia="en-AU"/>
        </w:rPr>
        <w:t xml:space="preserve"> </w:t>
      </w:r>
      <w:r w:rsidR="00FD61EB">
        <w:rPr>
          <w:lang w:eastAsia="en-AU"/>
        </w:rPr>
        <w:t>has been</w:t>
      </w:r>
      <w:r w:rsidR="002042EB">
        <w:rPr>
          <w:lang w:eastAsia="en-AU"/>
        </w:rPr>
        <w:t xml:space="preserve"> governed by a Board of five Directors, the CEO and the </w:t>
      </w:r>
      <w:r w:rsidR="00382D12">
        <w:rPr>
          <w:lang w:eastAsia="en-AU"/>
        </w:rPr>
        <w:t>rest of the</w:t>
      </w:r>
      <w:r w:rsidR="002042EB">
        <w:rPr>
          <w:lang w:eastAsia="en-AU"/>
        </w:rPr>
        <w:t xml:space="preserve"> management team. The Board is accountable for the strategic direction of the organisation and is not involved in operational activity. The management team comprises the </w:t>
      </w:r>
      <w:r w:rsidR="00AF7833">
        <w:rPr>
          <w:lang w:eastAsia="en-AU"/>
        </w:rPr>
        <w:t>CEO,</w:t>
      </w:r>
      <w:r w:rsidR="002042EB">
        <w:rPr>
          <w:lang w:eastAsia="en-AU"/>
        </w:rPr>
        <w:t xml:space="preserve"> CFO, PLO, </w:t>
      </w:r>
      <w:r w:rsidR="00382D12">
        <w:rPr>
          <w:lang w:eastAsia="en-AU"/>
        </w:rPr>
        <w:t xml:space="preserve">the </w:t>
      </w:r>
      <w:r w:rsidR="002042EB">
        <w:rPr>
          <w:lang w:eastAsia="en-AU"/>
        </w:rPr>
        <w:t xml:space="preserve">Deputy PLO, </w:t>
      </w:r>
      <w:r w:rsidR="00382D12">
        <w:rPr>
          <w:lang w:eastAsia="en-AU"/>
        </w:rPr>
        <w:t xml:space="preserve">the </w:t>
      </w:r>
      <w:r w:rsidR="002042EB">
        <w:rPr>
          <w:lang w:eastAsia="en-AU"/>
        </w:rPr>
        <w:t xml:space="preserve">Research Manager and </w:t>
      </w:r>
      <w:r w:rsidR="00382D12">
        <w:rPr>
          <w:lang w:eastAsia="en-AU"/>
        </w:rPr>
        <w:t xml:space="preserve">the </w:t>
      </w:r>
      <w:r w:rsidR="002042EB">
        <w:rPr>
          <w:lang w:eastAsia="en-AU"/>
        </w:rPr>
        <w:t xml:space="preserve">Corporate Services Manager. </w:t>
      </w:r>
    </w:p>
    <w:p w14:paraId="3A3B8E21" w14:textId="0A820A06" w:rsidR="009B0F77" w:rsidRDefault="002042EB" w:rsidP="002042EB">
      <w:pPr>
        <w:rPr>
          <w:lang w:eastAsia="en-AU"/>
        </w:rPr>
      </w:pPr>
      <w:r>
        <w:rPr>
          <w:lang w:eastAsia="en-AU"/>
        </w:rPr>
        <w:t xml:space="preserve">FNLRS </w:t>
      </w:r>
      <w:r w:rsidR="007C67B7">
        <w:rPr>
          <w:lang w:eastAsia="en-AU"/>
        </w:rPr>
        <w:t xml:space="preserve">retained its </w:t>
      </w:r>
      <w:r w:rsidR="00382D12">
        <w:rPr>
          <w:lang w:eastAsia="en-AU"/>
        </w:rPr>
        <w:t>same</w:t>
      </w:r>
      <w:r w:rsidR="007C67B7">
        <w:rPr>
          <w:lang w:eastAsia="en-AU"/>
        </w:rPr>
        <w:t xml:space="preserve"> organisational structure during the Review period and continued to be</w:t>
      </w:r>
      <w:r>
        <w:rPr>
          <w:lang w:eastAsia="en-AU"/>
        </w:rPr>
        <w:t xml:space="preserve"> organised into three primary functions</w:t>
      </w:r>
      <w:r w:rsidR="009B0F77">
        <w:rPr>
          <w:lang w:eastAsia="en-AU"/>
        </w:rPr>
        <w:t xml:space="preserve"> (see </w:t>
      </w:r>
      <w:r w:rsidR="008175A3">
        <w:rPr>
          <w:lang w:eastAsia="en-AU"/>
        </w:rPr>
        <w:fldChar w:fldCharType="begin"/>
      </w:r>
      <w:r w:rsidR="008175A3">
        <w:rPr>
          <w:lang w:eastAsia="en-AU"/>
        </w:rPr>
        <w:instrText xml:space="preserve"> REF _Ref164772956 \h </w:instrText>
      </w:r>
      <w:r w:rsidR="008175A3">
        <w:rPr>
          <w:lang w:eastAsia="en-AU"/>
        </w:rPr>
      </w:r>
      <w:r w:rsidR="008175A3">
        <w:rPr>
          <w:lang w:eastAsia="en-AU"/>
        </w:rPr>
        <w:fldChar w:fldCharType="separate"/>
      </w:r>
      <w:r w:rsidR="00AB7E95">
        <w:t xml:space="preserve">Figure </w:t>
      </w:r>
      <w:r w:rsidR="00AB7E95">
        <w:rPr>
          <w:noProof/>
        </w:rPr>
        <w:t>3</w:t>
      </w:r>
      <w:r w:rsidR="008175A3">
        <w:rPr>
          <w:lang w:eastAsia="en-AU"/>
        </w:rPr>
        <w:fldChar w:fldCharType="end"/>
      </w:r>
      <w:r w:rsidR="009B0F77">
        <w:rPr>
          <w:lang w:eastAsia="en-AU"/>
        </w:rPr>
        <w:t>)</w:t>
      </w:r>
      <w:r>
        <w:rPr>
          <w:lang w:eastAsia="en-AU"/>
        </w:rPr>
        <w:t xml:space="preserve">: </w:t>
      </w:r>
    </w:p>
    <w:p w14:paraId="22707E4D" w14:textId="27153136" w:rsidR="004538E1" w:rsidRDefault="009B0F77" w:rsidP="004538E1">
      <w:pPr>
        <w:pStyle w:val="Listnumbered"/>
        <w:numPr>
          <w:ilvl w:val="0"/>
          <w:numId w:val="52"/>
        </w:numPr>
      </w:pPr>
      <w:r w:rsidRPr="004538E1">
        <w:t xml:space="preserve">Corporate </w:t>
      </w:r>
      <w:r w:rsidR="002042EB" w:rsidRPr="004538E1">
        <w:t>services</w:t>
      </w:r>
      <w:r w:rsidR="004538E1">
        <w:t>.</w:t>
      </w:r>
    </w:p>
    <w:p w14:paraId="35C6CF8D" w14:textId="730DA80D" w:rsidR="004538E1" w:rsidRDefault="009B0F77" w:rsidP="004538E1">
      <w:pPr>
        <w:pStyle w:val="Listnumbered"/>
        <w:numPr>
          <w:ilvl w:val="0"/>
          <w:numId w:val="52"/>
        </w:numPr>
      </w:pPr>
      <w:r w:rsidRPr="004538E1">
        <w:t>T</w:t>
      </w:r>
      <w:r w:rsidR="002042EB" w:rsidRPr="004538E1">
        <w:t>he research function</w:t>
      </w:r>
      <w:r w:rsidR="004538E1">
        <w:t>.</w:t>
      </w:r>
      <w:r w:rsidR="002042EB" w:rsidRPr="004538E1">
        <w:t xml:space="preserve"> </w:t>
      </w:r>
    </w:p>
    <w:p w14:paraId="53EBB2DD" w14:textId="51C96224" w:rsidR="009B0F77" w:rsidRPr="004538E1" w:rsidRDefault="009B0F77" w:rsidP="004538E1">
      <w:pPr>
        <w:pStyle w:val="Listnumbered"/>
        <w:numPr>
          <w:ilvl w:val="0"/>
          <w:numId w:val="52"/>
        </w:numPr>
      </w:pPr>
      <w:r w:rsidRPr="004538E1">
        <w:t xml:space="preserve">The </w:t>
      </w:r>
      <w:r w:rsidR="002042EB" w:rsidRPr="004538E1">
        <w:t xml:space="preserve">legal function. </w:t>
      </w:r>
    </w:p>
    <w:p w14:paraId="7ABA5C6C" w14:textId="219AF45C" w:rsidR="002042EB" w:rsidRDefault="003E5EEF" w:rsidP="009B0F77">
      <w:pPr>
        <w:rPr>
          <w:lang w:eastAsia="en-AU"/>
        </w:rPr>
      </w:pPr>
      <w:r w:rsidRPr="003E5EEF">
        <w:rPr>
          <w:lang w:eastAsia="en-AU"/>
        </w:rPr>
        <w:t>The Board continued to be a skills-based Board with Aboriginal Director membership consisting of five Aboriginal Directors from across the state at the end of the Review period.</w:t>
      </w:r>
      <w:r w:rsidR="00B438D6">
        <w:rPr>
          <w:lang w:eastAsia="en-AU"/>
        </w:rPr>
        <w:t xml:space="preserve"> </w:t>
      </w:r>
      <w:r w:rsidR="00B438D6" w:rsidRPr="00B438D6">
        <w:rPr>
          <w:lang w:eastAsia="en-AU"/>
        </w:rPr>
        <w:t xml:space="preserve">Board membership requires Directors to have </w:t>
      </w:r>
      <w:r w:rsidR="000555C4">
        <w:rPr>
          <w:lang w:eastAsia="en-AU"/>
        </w:rPr>
        <w:t>“</w:t>
      </w:r>
      <w:r w:rsidR="00B438D6" w:rsidRPr="00B438D6">
        <w:rPr>
          <w:lang w:eastAsia="en-AU"/>
        </w:rPr>
        <w:t>traditional interests</w:t>
      </w:r>
      <w:r w:rsidR="000555C4">
        <w:rPr>
          <w:lang w:eastAsia="en-AU"/>
        </w:rPr>
        <w:t>”</w:t>
      </w:r>
      <w:r w:rsidR="00B438D6" w:rsidRPr="00B438D6">
        <w:rPr>
          <w:lang w:eastAsia="en-AU"/>
        </w:rPr>
        <w:t xml:space="preserve"> in Victoria (</w:t>
      </w:r>
      <w:r w:rsidR="003E0180">
        <w:rPr>
          <w:lang w:eastAsia="en-AU"/>
        </w:rPr>
        <w:t>that is</w:t>
      </w:r>
      <w:r w:rsidR="00B438D6" w:rsidRPr="00B438D6">
        <w:rPr>
          <w:lang w:eastAsia="en-AU"/>
        </w:rPr>
        <w:t xml:space="preserve">, it is not necessary to be a Traditional Owner), </w:t>
      </w:r>
      <w:r w:rsidR="00B438D6" w:rsidRPr="00B438D6">
        <w:rPr>
          <w:lang w:eastAsia="en-AU"/>
        </w:rPr>
        <w:lastRenderedPageBreak/>
        <w:t>experience of native title and corporate governance processes, and be of good standing in the Aboriginal community.</w:t>
      </w:r>
      <w:r w:rsidR="00AB64D9">
        <w:rPr>
          <w:lang w:eastAsia="en-AU"/>
        </w:rPr>
        <w:t xml:space="preserve"> It </w:t>
      </w:r>
      <w:r w:rsidR="00802EF0">
        <w:rPr>
          <w:lang w:eastAsia="en-AU"/>
        </w:rPr>
        <w:t>met</w:t>
      </w:r>
      <w:r w:rsidR="00AB64D9">
        <w:rPr>
          <w:lang w:eastAsia="en-AU"/>
        </w:rPr>
        <w:t xml:space="preserve"> formally four to five times a year and </w:t>
      </w:r>
      <w:r w:rsidR="00F441C6">
        <w:rPr>
          <w:lang w:eastAsia="en-AU"/>
        </w:rPr>
        <w:t>met</w:t>
      </w:r>
      <w:r w:rsidR="00AB64D9">
        <w:rPr>
          <w:lang w:eastAsia="en-AU"/>
        </w:rPr>
        <w:t xml:space="preserve"> for resolutions as needed outside of these meetings.</w:t>
      </w:r>
      <w:r w:rsidR="00386231" w:rsidRPr="00386231">
        <w:rPr>
          <w:lang w:eastAsia="en-AU"/>
        </w:rPr>
        <w:t xml:space="preserve"> </w:t>
      </w:r>
      <w:r w:rsidR="00802EF0">
        <w:rPr>
          <w:lang w:eastAsia="en-AU"/>
        </w:rPr>
        <w:t>The</w:t>
      </w:r>
      <w:r w:rsidR="00386231">
        <w:rPr>
          <w:lang w:eastAsia="en-AU"/>
        </w:rPr>
        <w:t xml:space="preserve"> de</w:t>
      </w:r>
      <w:r w:rsidR="004B51D2">
        <w:rPr>
          <w:lang w:eastAsia="en-AU"/>
        </w:rPr>
        <w:t>-</w:t>
      </w:r>
      <w:r w:rsidR="00386231">
        <w:rPr>
          <w:lang w:eastAsia="en-AU"/>
        </w:rPr>
        <w:t xml:space="preserve">coupling of governance from </w:t>
      </w:r>
      <w:r w:rsidR="004B51D2">
        <w:rPr>
          <w:lang w:eastAsia="en-AU"/>
        </w:rPr>
        <w:t xml:space="preserve">the Federation </w:t>
      </w:r>
      <w:r w:rsidR="00802EF0">
        <w:rPr>
          <w:lang w:eastAsia="en-AU"/>
        </w:rPr>
        <w:t>saw a change in how</w:t>
      </w:r>
      <w:r w:rsidR="00386231">
        <w:rPr>
          <w:lang w:eastAsia="en-AU"/>
        </w:rPr>
        <w:t xml:space="preserve"> Board </w:t>
      </w:r>
      <w:r w:rsidR="002227D1">
        <w:rPr>
          <w:lang w:eastAsia="en-AU"/>
        </w:rPr>
        <w:t>Directors</w:t>
      </w:r>
      <w:r w:rsidR="00386231">
        <w:rPr>
          <w:lang w:eastAsia="en-AU"/>
        </w:rPr>
        <w:t xml:space="preserve"> </w:t>
      </w:r>
      <w:r w:rsidR="00802EF0">
        <w:rPr>
          <w:lang w:eastAsia="en-AU"/>
        </w:rPr>
        <w:t>were</w:t>
      </w:r>
      <w:r w:rsidR="00386231">
        <w:rPr>
          <w:lang w:eastAsia="en-AU"/>
        </w:rPr>
        <w:t xml:space="preserve"> appointed </w:t>
      </w:r>
      <w:r w:rsidR="004B51D2">
        <w:rPr>
          <w:lang w:eastAsia="en-AU"/>
        </w:rPr>
        <w:t xml:space="preserve">– </w:t>
      </w:r>
      <w:r w:rsidR="00386231">
        <w:rPr>
          <w:lang w:eastAsia="en-AU"/>
        </w:rPr>
        <w:t>by the FNLRS Board through a consensus vote.</w:t>
      </w:r>
    </w:p>
    <w:p w14:paraId="603305B4" w14:textId="078F7FAB" w:rsidR="00FD5702" w:rsidRDefault="002042EB" w:rsidP="00B62236">
      <w:pPr>
        <w:rPr>
          <w:lang w:eastAsia="en-AU"/>
        </w:rPr>
      </w:pPr>
      <w:r>
        <w:rPr>
          <w:lang w:eastAsia="en-AU"/>
        </w:rPr>
        <w:t xml:space="preserve">FNLRS had role descriptions for </w:t>
      </w:r>
      <w:r w:rsidR="008D039E">
        <w:rPr>
          <w:lang w:eastAsia="en-AU"/>
        </w:rPr>
        <w:t>Board Directors</w:t>
      </w:r>
      <w:r>
        <w:rPr>
          <w:lang w:eastAsia="en-AU"/>
        </w:rPr>
        <w:t xml:space="preserve"> which clearly identified the legal and ethical responsibilities of the Directors and expectations around governance and strategic leadership, as separate from the CEO. </w:t>
      </w:r>
      <w:r w:rsidR="003341B5">
        <w:rPr>
          <w:lang w:eastAsia="en-AU"/>
        </w:rPr>
        <w:t xml:space="preserve">While the role description sets the expectation to </w:t>
      </w:r>
      <w:r w:rsidR="000555C4">
        <w:rPr>
          <w:lang w:eastAsia="en-AU"/>
        </w:rPr>
        <w:t>“</w:t>
      </w:r>
      <w:r w:rsidR="008D039E">
        <w:rPr>
          <w:lang w:eastAsia="en-AU"/>
        </w:rPr>
        <w:t>b</w:t>
      </w:r>
      <w:r w:rsidR="003341B5" w:rsidRPr="008D039E">
        <w:rPr>
          <w:lang w:eastAsia="en-AU"/>
        </w:rPr>
        <w:t>uild relationships across the Traditional Owner groups, government, community and other</w:t>
      </w:r>
      <w:r w:rsidR="008D039E" w:rsidRPr="008D039E">
        <w:rPr>
          <w:lang w:eastAsia="en-AU"/>
        </w:rPr>
        <w:t xml:space="preserve"> </w:t>
      </w:r>
      <w:r w:rsidR="003341B5" w:rsidRPr="008D039E">
        <w:rPr>
          <w:lang w:eastAsia="en-AU"/>
        </w:rPr>
        <w:t>sectors</w:t>
      </w:r>
      <w:r w:rsidR="000555C4">
        <w:rPr>
          <w:lang w:eastAsia="en-AU"/>
        </w:rPr>
        <w:t>”</w:t>
      </w:r>
      <w:r w:rsidR="00E27A57">
        <w:rPr>
          <w:lang w:eastAsia="en-AU"/>
        </w:rPr>
        <w:t xml:space="preserve">, there is no explicit reference to </w:t>
      </w:r>
      <w:r w:rsidR="00D31EEF">
        <w:rPr>
          <w:lang w:eastAsia="en-AU"/>
        </w:rPr>
        <w:t>hearing and listening to</w:t>
      </w:r>
      <w:r w:rsidR="00E27A57">
        <w:rPr>
          <w:lang w:eastAsia="en-AU"/>
        </w:rPr>
        <w:t xml:space="preserve"> feedback from </w:t>
      </w:r>
      <w:r w:rsidR="00D14CBC">
        <w:rPr>
          <w:lang w:eastAsia="en-AU"/>
        </w:rPr>
        <w:t xml:space="preserve">key stakeholders, </w:t>
      </w:r>
      <w:r w:rsidR="00D14CBC" w:rsidRPr="00D14CBC">
        <w:rPr>
          <w:lang w:eastAsia="en-AU"/>
        </w:rPr>
        <w:t xml:space="preserve">as </w:t>
      </w:r>
      <w:r w:rsidR="0041748C">
        <w:rPr>
          <w:lang w:eastAsia="en-AU"/>
        </w:rPr>
        <w:t>recommended</w:t>
      </w:r>
      <w:r w:rsidR="00D14CBC" w:rsidRPr="00D14CBC">
        <w:rPr>
          <w:lang w:eastAsia="en-AU"/>
        </w:rPr>
        <w:t xml:space="preserve"> by the Australian Institute of Company Directors</w:t>
      </w:r>
      <w:r w:rsidR="00D14CBC">
        <w:rPr>
          <w:lang w:eastAsia="en-AU"/>
        </w:rPr>
        <w:t>.</w:t>
      </w:r>
      <w:r w:rsidR="00D31EEF">
        <w:rPr>
          <w:rStyle w:val="FootnoteReference"/>
          <w:lang w:eastAsia="en-AU"/>
        </w:rPr>
        <w:footnoteReference w:id="27"/>
      </w:r>
      <w:r w:rsidR="00D14CBC">
        <w:rPr>
          <w:lang w:eastAsia="en-AU"/>
        </w:rPr>
        <w:t xml:space="preserve"> </w:t>
      </w:r>
      <w:r w:rsidR="00F35A30">
        <w:rPr>
          <w:lang w:eastAsia="en-AU"/>
        </w:rPr>
        <w:t xml:space="preserve">The Review finds that more frequent reporting to the Board on client </w:t>
      </w:r>
      <w:r w:rsidR="005A1376">
        <w:rPr>
          <w:lang w:eastAsia="en-AU"/>
        </w:rPr>
        <w:t>feedback would be beneficial.</w:t>
      </w:r>
      <w:r>
        <w:rPr>
          <w:lang w:eastAsia="en-AU"/>
        </w:rPr>
        <w:t xml:space="preserve"> </w:t>
      </w:r>
    </w:p>
    <w:p w14:paraId="5A788C3A" w14:textId="1CDCDDBB" w:rsidR="002042EB" w:rsidRDefault="002042EB" w:rsidP="00B62236">
      <w:pPr>
        <w:rPr>
          <w:lang w:eastAsia="en-AU"/>
        </w:rPr>
      </w:pPr>
      <w:r>
        <w:rPr>
          <w:lang w:eastAsia="en-AU"/>
        </w:rPr>
        <w:t xml:space="preserve">The role description for the CEO was included in the CEO’s employment contract rather than existing as a separate document and sets out the duties and responsibilities of the role. </w:t>
      </w:r>
      <w:r w:rsidR="00A05EE8">
        <w:rPr>
          <w:lang w:eastAsia="en-AU"/>
        </w:rPr>
        <w:t xml:space="preserve">FNLRS has adequate role descriptions for senior staff. </w:t>
      </w:r>
    </w:p>
    <w:p w14:paraId="3DB30028" w14:textId="469C4D73" w:rsidR="00681FBB" w:rsidRPr="00064973" w:rsidRDefault="00681FBB" w:rsidP="009C33D0">
      <w:pPr>
        <w:pStyle w:val="Heading5"/>
      </w:pPr>
      <w:r w:rsidRPr="6967B2CC">
        <w:t xml:space="preserve">The Board </w:t>
      </w:r>
      <w:r w:rsidR="006A24B4" w:rsidRPr="6967B2CC">
        <w:t xml:space="preserve">was supported by one </w:t>
      </w:r>
      <w:r w:rsidR="009306A8" w:rsidRPr="6967B2CC">
        <w:t>sub-committee during the Review period, with two additional sub-committees being established post-Review period</w:t>
      </w:r>
    </w:p>
    <w:p w14:paraId="1890AA2D" w14:textId="3BACB99A" w:rsidR="00622C54" w:rsidRDefault="008213EF" w:rsidP="002042EB">
      <w:pPr>
        <w:rPr>
          <w:lang w:eastAsia="en-AU"/>
        </w:rPr>
      </w:pPr>
      <w:r>
        <w:rPr>
          <w:lang w:eastAsia="en-AU"/>
        </w:rPr>
        <w:t xml:space="preserve">The Board </w:t>
      </w:r>
      <w:r w:rsidR="007536FD">
        <w:rPr>
          <w:lang w:eastAsia="en-AU"/>
        </w:rPr>
        <w:t>was</w:t>
      </w:r>
      <w:r>
        <w:rPr>
          <w:lang w:eastAsia="en-AU"/>
        </w:rPr>
        <w:t xml:space="preserve"> supported by </w:t>
      </w:r>
      <w:r w:rsidR="00BF32C7">
        <w:rPr>
          <w:lang w:eastAsia="en-AU"/>
        </w:rPr>
        <w:t>one</w:t>
      </w:r>
      <w:r>
        <w:rPr>
          <w:lang w:eastAsia="en-AU"/>
        </w:rPr>
        <w:t xml:space="preserve"> sub-</w:t>
      </w:r>
      <w:r w:rsidR="00BF32C7">
        <w:rPr>
          <w:lang w:eastAsia="en-AU"/>
        </w:rPr>
        <w:t xml:space="preserve">committee during the Review period </w:t>
      </w:r>
      <w:r w:rsidR="00AE2DBD">
        <w:rPr>
          <w:lang w:eastAsia="en-AU"/>
        </w:rPr>
        <w:t>–</w:t>
      </w:r>
      <w:r>
        <w:rPr>
          <w:lang w:eastAsia="en-AU"/>
        </w:rPr>
        <w:t xml:space="preserve"> the </w:t>
      </w:r>
      <w:r w:rsidR="00651475">
        <w:rPr>
          <w:lang w:eastAsia="en-AU"/>
        </w:rPr>
        <w:t>ARC</w:t>
      </w:r>
      <w:r>
        <w:rPr>
          <w:lang w:eastAsia="en-AU"/>
        </w:rPr>
        <w:t xml:space="preserve">. The ARC’s role </w:t>
      </w:r>
      <w:r w:rsidR="00BF32C7">
        <w:rPr>
          <w:lang w:eastAsia="en-AU"/>
        </w:rPr>
        <w:t>was</w:t>
      </w:r>
      <w:r>
        <w:rPr>
          <w:lang w:eastAsia="en-AU"/>
        </w:rPr>
        <w:t xml:space="preserve"> to assist and advise the Board on areas such as reporting financial information, audits, risk management, corruption and fraud prevention</w:t>
      </w:r>
      <w:r w:rsidR="00913732">
        <w:rPr>
          <w:lang w:eastAsia="en-AU"/>
        </w:rPr>
        <w:t xml:space="preserve">, </w:t>
      </w:r>
      <w:r>
        <w:rPr>
          <w:lang w:eastAsia="en-AU"/>
        </w:rPr>
        <w:t>remuneration and performance of the CEO. The ARC comprise</w:t>
      </w:r>
      <w:r w:rsidR="00BF32C7">
        <w:rPr>
          <w:lang w:eastAsia="en-AU"/>
        </w:rPr>
        <w:t>d</w:t>
      </w:r>
      <w:r>
        <w:rPr>
          <w:lang w:eastAsia="en-AU"/>
        </w:rPr>
        <w:t xml:space="preserve"> three members of the Board and </w:t>
      </w:r>
      <w:r w:rsidR="001E0401">
        <w:rPr>
          <w:lang w:eastAsia="en-AU"/>
        </w:rPr>
        <w:t>d</w:t>
      </w:r>
      <w:r w:rsidR="00BF32C7">
        <w:rPr>
          <w:lang w:eastAsia="en-AU"/>
        </w:rPr>
        <w:t>rew</w:t>
      </w:r>
      <w:r w:rsidR="001E0401">
        <w:rPr>
          <w:lang w:eastAsia="en-AU"/>
        </w:rPr>
        <w:t xml:space="preserve"> on</w:t>
      </w:r>
      <w:r>
        <w:rPr>
          <w:lang w:eastAsia="en-AU"/>
        </w:rPr>
        <w:t xml:space="preserve"> other invitees </w:t>
      </w:r>
      <w:r w:rsidR="007F7718">
        <w:rPr>
          <w:lang w:eastAsia="en-AU"/>
        </w:rPr>
        <w:t xml:space="preserve">as required </w:t>
      </w:r>
      <w:r>
        <w:rPr>
          <w:lang w:eastAsia="en-AU"/>
        </w:rPr>
        <w:t xml:space="preserve">with </w:t>
      </w:r>
      <w:r w:rsidR="007F7718">
        <w:rPr>
          <w:lang w:eastAsia="en-AU"/>
        </w:rPr>
        <w:t>specific</w:t>
      </w:r>
      <w:r>
        <w:rPr>
          <w:lang w:eastAsia="en-AU"/>
        </w:rPr>
        <w:t xml:space="preserve"> qualifications </w:t>
      </w:r>
      <w:r w:rsidR="00AA07BC">
        <w:rPr>
          <w:lang w:eastAsia="en-AU"/>
        </w:rPr>
        <w:t>(</w:t>
      </w:r>
      <w:r w:rsidR="003E0180">
        <w:rPr>
          <w:lang w:eastAsia="en-AU"/>
        </w:rPr>
        <w:t>for example,</w:t>
      </w:r>
      <w:r>
        <w:rPr>
          <w:lang w:eastAsia="en-AU"/>
        </w:rPr>
        <w:t xml:space="preserve"> audit or law</w:t>
      </w:r>
      <w:r w:rsidR="00AA07BC">
        <w:rPr>
          <w:lang w:eastAsia="en-AU"/>
        </w:rPr>
        <w:t>)</w:t>
      </w:r>
      <w:r>
        <w:rPr>
          <w:lang w:eastAsia="en-AU"/>
        </w:rPr>
        <w:t xml:space="preserve">. </w:t>
      </w:r>
    </w:p>
    <w:p w14:paraId="5FB8E76C" w14:textId="64A7CE81" w:rsidR="00B6289D" w:rsidRDefault="006A24B4" w:rsidP="002042EB">
      <w:pPr>
        <w:rPr>
          <w:lang w:eastAsia="en-AU"/>
        </w:rPr>
      </w:pPr>
      <w:r>
        <w:rPr>
          <w:lang w:eastAsia="en-AU"/>
        </w:rPr>
        <w:t xml:space="preserve">Since the </w:t>
      </w:r>
      <w:r w:rsidR="00BF32C7">
        <w:rPr>
          <w:lang w:eastAsia="en-AU"/>
        </w:rPr>
        <w:t>Review</w:t>
      </w:r>
      <w:r>
        <w:rPr>
          <w:lang w:eastAsia="en-AU"/>
        </w:rPr>
        <w:t xml:space="preserve"> period, </w:t>
      </w:r>
      <w:r w:rsidR="009F41FE">
        <w:rPr>
          <w:lang w:eastAsia="en-AU"/>
        </w:rPr>
        <w:t xml:space="preserve">and as discussed </w:t>
      </w:r>
      <w:r w:rsidR="0061688D">
        <w:rPr>
          <w:lang w:eastAsia="en-AU"/>
        </w:rPr>
        <w:t xml:space="preserve">under </w:t>
      </w:r>
      <w:r w:rsidR="009F41FE">
        <w:rPr>
          <w:lang w:eastAsia="en-AU"/>
        </w:rPr>
        <w:t>TOR 1</w:t>
      </w:r>
      <w:r>
        <w:rPr>
          <w:lang w:eastAsia="en-AU"/>
        </w:rPr>
        <w:t>, two additional committees have been established</w:t>
      </w:r>
      <w:r w:rsidR="00994653">
        <w:rPr>
          <w:lang w:eastAsia="en-AU"/>
        </w:rPr>
        <w:t xml:space="preserve">: the </w:t>
      </w:r>
      <w:r w:rsidR="00BC26E3">
        <w:rPr>
          <w:lang w:eastAsia="en-AU"/>
        </w:rPr>
        <w:t>FARAC</w:t>
      </w:r>
      <w:r w:rsidR="00996006">
        <w:rPr>
          <w:lang w:eastAsia="en-AU"/>
        </w:rPr>
        <w:t xml:space="preserve"> and</w:t>
      </w:r>
      <w:r w:rsidR="00994653">
        <w:rPr>
          <w:lang w:eastAsia="en-AU"/>
        </w:rPr>
        <w:t xml:space="preserve"> the Third-Party Provider Panels Assessment Committee.</w:t>
      </w:r>
      <w:r>
        <w:rPr>
          <w:lang w:eastAsia="en-AU"/>
        </w:rPr>
        <w:t xml:space="preserve"> </w:t>
      </w:r>
      <w:r w:rsidR="00360404">
        <w:rPr>
          <w:lang w:eastAsia="en-AU"/>
        </w:rPr>
        <w:t xml:space="preserve">Although established after the Review period, these </w:t>
      </w:r>
      <w:r w:rsidR="00360404" w:rsidRPr="00CB1CE1">
        <w:rPr>
          <w:lang w:eastAsia="en-AU"/>
        </w:rPr>
        <w:t xml:space="preserve">are two important mechanisms which sought to </w:t>
      </w:r>
      <w:r w:rsidR="00FE4948" w:rsidRPr="00CB1CE1">
        <w:rPr>
          <w:lang w:eastAsia="en-AU"/>
        </w:rPr>
        <w:t xml:space="preserve">improve </w:t>
      </w:r>
      <w:r w:rsidR="00B778A1">
        <w:rPr>
          <w:lang w:eastAsia="en-AU"/>
        </w:rPr>
        <w:t>FNLRS’s</w:t>
      </w:r>
      <w:r w:rsidR="00FE4948" w:rsidRPr="00CB1CE1">
        <w:rPr>
          <w:lang w:eastAsia="en-AU"/>
        </w:rPr>
        <w:t xml:space="preserve"> operations</w:t>
      </w:r>
      <w:r w:rsidR="00360404" w:rsidRPr="00CB1CE1">
        <w:rPr>
          <w:lang w:eastAsia="en-AU"/>
        </w:rPr>
        <w:t xml:space="preserve"> as discussed </w:t>
      </w:r>
      <w:r w:rsidR="0061688D">
        <w:rPr>
          <w:lang w:eastAsia="en-AU"/>
        </w:rPr>
        <w:t>under</w:t>
      </w:r>
      <w:r w:rsidR="0061688D" w:rsidRPr="00CB1CE1">
        <w:rPr>
          <w:lang w:eastAsia="en-AU"/>
        </w:rPr>
        <w:t xml:space="preserve"> </w:t>
      </w:r>
      <w:r w:rsidR="00360404" w:rsidRPr="00CB1CE1">
        <w:rPr>
          <w:lang w:eastAsia="en-AU"/>
        </w:rPr>
        <w:t>TOR 2.</w:t>
      </w:r>
      <w:r w:rsidR="00360404">
        <w:rPr>
          <w:lang w:eastAsia="en-AU"/>
        </w:rPr>
        <w:t xml:space="preserve"> </w:t>
      </w:r>
    </w:p>
    <w:p w14:paraId="2ABAAF79" w14:textId="60A530DB" w:rsidR="00BB3E1D" w:rsidRDefault="00BB3E1D" w:rsidP="00BB3E1D">
      <w:pPr>
        <w:pStyle w:val="Caption"/>
      </w:pPr>
      <w:bookmarkStart w:id="38" w:name="_Ref164772956"/>
      <w:r>
        <w:lastRenderedPageBreak/>
        <w:t xml:space="preserve">Figure </w:t>
      </w:r>
      <w:r>
        <w:fldChar w:fldCharType="begin"/>
      </w:r>
      <w:r>
        <w:instrText xml:space="preserve"> SEQ Figure \* ARABIC </w:instrText>
      </w:r>
      <w:r>
        <w:fldChar w:fldCharType="separate"/>
      </w:r>
      <w:r w:rsidR="00AB7E95">
        <w:rPr>
          <w:noProof/>
        </w:rPr>
        <w:t>3</w:t>
      </w:r>
      <w:r>
        <w:fldChar w:fldCharType="end"/>
      </w:r>
      <w:bookmarkEnd w:id="37"/>
      <w:bookmarkEnd w:id="38"/>
      <w:r>
        <w:t xml:space="preserve"> | </w:t>
      </w:r>
      <w:r w:rsidR="0016229A">
        <w:t>FNLRS o</w:t>
      </w:r>
      <w:r>
        <w:t>rganisational chart</w:t>
      </w:r>
      <w:r w:rsidR="0016229A">
        <w:rPr>
          <w:rStyle w:val="FootnoteReference"/>
        </w:rPr>
        <w:footnoteReference w:id="28"/>
      </w:r>
      <w:r>
        <w:t xml:space="preserve"> </w:t>
      </w:r>
    </w:p>
    <w:p w14:paraId="17D03423" w14:textId="6C054EE8" w:rsidR="00BB3E1D" w:rsidRDefault="00BB3E1D" w:rsidP="00B33A47">
      <w:pPr>
        <w:pStyle w:val="Bullet"/>
        <w:numPr>
          <w:ilvl w:val="0"/>
          <w:numId w:val="0"/>
        </w:numPr>
        <w:jc w:val="center"/>
      </w:pPr>
      <w:r>
        <w:rPr>
          <w:noProof/>
        </w:rPr>
        <w:drawing>
          <wp:inline distT="0" distB="0" distL="0" distR="0" wp14:anchorId="22B11192" wp14:editId="2CE31770">
            <wp:extent cx="4430969" cy="3934129"/>
            <wp:effectExtent l="0" t="0" r="8255" b="0"/>
            <wp:docPr id="1212153353" name="Picture 1212153353" descr="Organisational chart of the First Nations Legal and Research Services. It consists of four core levels. The highest level in the chart includes the Board of Directors followed by the Senior Project Officer, Chief Executive Officer and the Executive Ass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53353" name="Picture 1212153353" descr="Organisational chart of the First Nations Legal and Research Services. It consists of four core levels. The highest level in the chart includes the Board of Directors followed by the Senior Project Officer, Chief Executive Officer and the Executive Assistant. "/>
                    <pic:cNvPicPr/>
                  </pic:nvPicPr>
                  <pic:blipFill rotWithShape="1">
                    <a:blip r:embed="rId19"/>
                    <a:srcRect t="4612"/>
                    <a:stretch/>
                  </pic:blipFill>
                  <pic:spPr bwMode="auto">
                    <a:xfrm>
                      <a:off x="0" y="0"/>
                      <a:ext cx="4430969" cy="3934129"/>
                    </a:xfrm>
                    <a:prstGeom prst="rect">
                      <a:avLst/>
                    </a:prstGeom>
                    <a:ln>
                      <a:noFill/>
                    </a:ln>
                    <a:extLst>
                      <a:ext uri="{53640926-AAD7-44D8-BBD7-CCE9431645EC}">
                        <a14:shadowObscured xmlns:a14="http://schemas.microsoft.com/office/drawing/2010/main"/>
                      </a:ext>
                    </a:extLst>
                  </pic:spPr>
                </pic:pic>
              </a:graphicData>
            </a:graphic>
          </wp:inline>
        </w:drawing>
      </w:r>
    </w:p>
    <w:p w14:paraId="7F286828" w14:textId="53E446DD" w:rsidR="006B5DDE" w:rsidRDefault="006B5DDE" w:rsidP="006B5DDE">
      <w:pPr>
        <w:pStyle w:val="Heading4"/>
      </w:pPr>
      <w:r w:rsidRPr="00BF5D6B">
        <w:t>Board integrity</w:t>
      </w:r>
      <w:r>
        <w:t xml:space="preserve"> and capability</w:t>
      </w:r>
    </w:p>
    <w:p w14:paraId="4C9CC82B" w14:textId="37676B9B" w:rsidR="002B525B" w:rsidRPr="002B525B" w:rsidRDefault="000E6C72" w:rsidP="009C33D0">
      <w:pPr>
        <w:pStyle w:val="Heading5"/>
      </w:pPr>
      <w:r>
        <w:t>The Board perform</w:t>
      </w:r>
      <w:r w:rsidR="009F4F2F">
        <w:t>ed</w:t>
      </w:r>
      <w:r>
        <w:t xml:space="preserve"> its function</w:t>
      </w:r>
      <w:r w:rsidR="00D77D1F">
        <w:t>s</w:t>
      </w:r>
      <w:r>
        <w:t xml:space="preserve"> well</w:t>
      </w:r>
      <w:r w:rsidR="008175A3">
        <w:t>, however,</w:t>
      </w:r>
      <w:r>
        <w:t xml:space="preserve"> </w:t>
      </w:r>
      <w:r w:rsidR="00FC726C">
        <w:t>could be more visible in the community</w:t>
      </w:r>
      <w:r>
        <w:t xml:space="preserve"> </w:t>
      </w:r>
    </w:p>
    <w:p w14:paraId="15C91462" w14:textId="5D377380" w:rsidR="005E4BAD" w:rsidRDefault="003C5CEE" w:rsidP="00DA1033">
      <w:pPr>
        <w:rPr>
          <w:lang w:eastAsia="en-AU"/>
        </w:rPr>
      </w:pPr>
      <w:r>
        <w:rPr>
          <w:lang w:eastAsia="en-AU"/>
        </w:rPr>
        <w:t xml:space="preserve">There was </w:t>
      </w:r>
      <w:r w:rsidR="00C74B35">
        <w:rPr>
          <w:lang w:eastAsia="en-AU"/>
        </w:rPr>
        <w:t>consensus</w:t>
      </w:r>
      <w:r>
        <w:rPr>
          <w:lang w:eastAsia="en-AU"/>
        </w:rPr>
        <w:t xml:space="preserve"> among staff and Directors that the FNLRS Board </w:t>
      </w:r>
      <w:r w:rsidR="008712B6">
        <w:rPr>
          <w:lang w:eastAsia="en-AU"/>
        </w:rPr>
        <w:t>fulfilled its duties</w:t>
      </w:r>
      <w:r w:rsidR="00EA3162">
        <w:rPr>
          <w:lang w:eastAsia="en-AU"/>
        </w:rPr>
        <w:t xml:space="preserve"> </w:t>
      </w:r>
      <w:r>
        <w:rPr>
          <w:lang w:eastAsia="en-AU"/>
        </w:rPr>
        <w:t>and provide</w:t>
      </w:r>
      <w:r w:rsidR="00EA3162">
        <w:rPr>
          <w:lang w:eastAsia="en-AU"/>
        </w:rPr>
        <w:t>d</w:t>
      </w:r>
      <w:r>
        <w:rPr>
          <w:lang w:eastAsia="en-AU"/>
        </w:rPr>
        <w:t xml:space="preserve"> sound strategic advice </w:t>
      </w:r>
      <w:r w:rsidR="004536F5">
        <w:rPr>
          <w:lang w:eastAsia="en-AU"/>
        </w:rPr>
        <w:t>on the direction of the organisation</w:t>
      </w:r>
      <w:r w:rsidR="00E65B2A">
        <w:rPr>
          <w:lang w:eastAsia="en-AU"/>
        </w:rPr>
        <w:t xml:space="preserve">. </w:t>
      </w:r>
      <w:r w:rsidR="00386231">
        <w:rPr>
          <w:lang w:eastAsia="en-AU"/>
        </w:rPr>
        <w:t xml:space="preserve">During the Review period, </w:t>
      </w:r>
      <w:r w:rsidR="00386231" w:rsidRPr="00705A95">
        <w:rPr>
          <w:lang w:eastAsia="en-AU"/>
        </w:rPr>
        <w:t xml:space="preserve">there </w:t>
      </w:r>
      <w:r w:rsidR="006E6C4A" w:rsidRPr="00705A95">
        <w:rPr>
          <w:lang w:eastAsia="en-AU"/>
        </w:rPr>
        <w:t>was</w:t>
      </w:r>
      <w:r w:rsidR="00386231" w:rsidRPr="00705A95">
        <w:rPr>
          <w:lang w:eastAsia="en-AU"/>
        </w:rPr>
        <w:t xml:space="preserve"> </w:t>
      </w:r>
      <w:r w:rsidR="008712B6" w:rsidRPr="00705A95">
        <w:rPr>
          <w:lang w:eastAsia="en-AU"/>
        </w:rPr>
        <w:t>turnover</w:t>
      </w:r>
      <w:r w:rsidR="00386231" w:rsidRPr="00705A95">
        <w:rPr>
          <w:lang w:eastAsia="en-AU"/>
        </w:rPr>
        <w:t xml:space="preserve"> </w:t>
      </w:r>
      <w:r w:rsidR="006E6C4A" w:rsidRPr="00705A95">
        <w:rPr>
          <w:lang w:eastAsia="en-AU"/>
        </w:rPr>
        <w:t>in</w:t>
      </w:r>
      <w:r w:rsidR="00386231" w:rsidRPr="00705A95">
        <w:rPr>
          <w:lang w:eastAsia="en-AU"/>
        </w:rPr>
        <w:t xml:space="preserve"> Board membership including four members resigning and five new members joining.</w:t>
      </w:r>
      <w:r w:rsidR="00771253">
        <w:rPr>
          <w:lang w:eastAsia="en-AU"/>
        </w:rPr>
        <w:t xml:space="preserve"> This appeared to be the result of movement </w:t>
      </w:r>
      <w:r w:rsidR="00D05792">
        <w:rPr>
          <w:lang w:eastAsia="en-AU"/>
        </w:rPr>
        <w:t>following</w:t>
      </w:r>
      <w:r w:rsidR="00771253">
        <w:rPr>
          <w:lang w:eastAsia="en-AU"/>
        </w:rPr>
        <w:t xml:space="preserve"> the de-coupling from </w:t>
      </w:r>
      <w:r w:rsidR="008175A3">
        <w:rPr>
          <w:lang w:eastAsia="en-AU"/>
        </w:rPr>
        <w:t xml:space="preserve">the Federation </w:t>
      </w:r>
      <w:r w:rsidR="00D34C5C">
        <w:rPr>
          <w:lang w:eastAsia="en-AU"/>
        </w:rPr>
        <w:t>and</w:t>
      </w:r>
      <w:r w:rsidR="00771253">
        <w:rPr>
          <w:lang w:eastAsia="en-AU"/>
        </w:rPr>
        <w:t xml:space="preserve"> natural attrition.</w:t>
      </w:r>
      <w:r w:rsidR="00386231" w:rsidRPr="00705A95">
        <w:rPr>
          <w:lang w:eastAsia="en-AU"/>
        </w:rPr>
        <w:t xml:space="preserve"> </w:t>
      </w:r>
      <w:r w:rsidR="00F049D2">
        <w:rPr>
          <w:lang w:eastAsia="en-AU"/>
        </w:rPr>
        <w:t xml:space="preserve">This turnover did not appear to disrupt the performance of the Board, and Directors </w:t>
      </w:r>
      <w:r w:rsidR="00110977">
        <w:rPr>
          <w:lang w:eastAsia="en-AU"/>
        </w:rPr>
        <w:t>considered</w:t>
      </w:r>
      <w:r w:rsidR="00F049D2">
        <w:rPr>
          <w:lang w:eastAsia="en-AU"/>
        </w:rPr>
        <w:t xml:space="preserve"> it </w:t>
      </w:r>
      <w:r w:rsidR="00110977">
        <w:rPr>
          <w:lang w:eastAsia="en-AU"/>
        </w:rPr>
        <w:t>to be</w:t>
      </w:r>
      <w:r w:rsidR="00F049D2">
        <w:rPr>
          <w:lang w:eastAsia="en-AU"/>
        </w:rPr>
        <w:t xml:space="preserve"> positive to have</w:t>
      </w:r>
      <w:r w:rsidR="00CB4255">
        <w:rPr>
          <w:lang w:eastAsia="en-AU"/>
        </w:rPr>
        <w:t xml:space="preserve"> a combination of long-tenured Directors and new Directors with</w:t>
      </w:r>
      <w:r w:rsidR="00F049D2">
        <w:rPr>
          <w:lang w:eastAsia="en-AU"/>
        </w:rPr>
        <w:t xml:space="preserve"> </w:t>
      </w:r>
      <w:r w:rsidR="00CB4255">
        <w:rPr>
          <w:lang w:eastAsia="en-AU"/>
        </w:rPr>
        <w:t xml:space="preserve">fresh perspectives. </w:t>
      </w:r>
      <w:r w:rsidR="00D34C5C">
        <w:rPr>
          <w:lang w:eastAsia="en-AU"/>
        </w:rPr>
        <w:t xml:space="preserve">The Chair and the CEO </w:t>
      </w:r>
      <w:r w:rsidR="00110977">
        <w:rPr>
          <w:lang w:eastAsia="en-AU"/>
        </w:rPr>
        <w:t>did not change</w:t>
      </w:r>
      <w:r w:rsidR="00D34C5C">
        <w:rPr>
          <w:lang w:eastAsia="en-AU"/>
        </w:rPr>
        <w:t xml:space="preserve"> over </w:t>
      </w:r>
      <w:r w:rsidR="00110977">
        <w:rPr>
          <w:lang w:eastAsia="en-AU"/>
        </w:rPr>
        <w:t>the Review period</w:t>
      </w:r>
      <w:r w:rsidR="00D34C5C">
        <w:rPr>
          <w:lang w:eastAsia="en-AU"/>
        </w:rPr>
        <w:t>.</w:t>
      </w:r>
    </w:p>
    <w:p w14:paraId="024A651B" w14:textId="651E1530" w:rsidR="005C45D6" w:rsidRDefault="004F3767" w:rsidP="00DA1033">
      <w:pPr>
        <w:rPr>
          <w:lang w:eastAsia="en-AU"/>
        </w:rPr>
      </w:pPr>
      <w:r>
        <w:rPr>
          <w:lang w:eastAsia="en-AU"/>
        </w:rPr>
        <w:t xml:space="preserve">Some stakeholders </w:t>
      </w:r>
      <w:r w:rsidR="006506F1">
        <w:rPr>
          <w:lang w:eastAsia="en-AU"/>
        </w:rPr>
        <w:t>thought</w:t>
      </w:r>
      <w:r>
        <w:rPr>
          <w:lang w:eastAsia="en-AU"/>
        </w:rPr>
        <w:t xml:space="preserve"> that </w:t>
      </w:r>
      <w:r w:rsidR="00A3627B">
        <w:rPr>
          <w:lang w:eastAsia="en-AU"/>
        </w:rPr>
        <w:t xml:space="preserve">FNLRS struggled to recruit for the Board </w:t>
      </w:r>
      <w:r w:rsidR="006746A6">
        <w:rPr>
          <w:lang w:eastAsia="en-AU"/>
        </w:rPr>
        <w:t xml:space="preserve">during the Review period and </w:t>
      </w:r>
      <w:r>
        <w:rPr>
          <w:lang w:eastAsia="en-AU"/>
        </w:rPr>
        <w:t>have struggled</w:t>
      </w:r>
      <w:r w:rsidR="006746A6">
        <w:rPr>
          <w:lang w:eastAsia="en-AU"/>
        </w:rPr>
        <w:t xml:space="preserve"> </w:t>
      </w:r>
      <w:r w:rsidR="00A3627B">
        <w:rPr>
          <w:lang w:eastAsia="en-AU"/>
        </w:rPr>
        <w:t>in the past</w:t>
      </w:r>
      <w:r>
        <w:rPr>
          <w:lang w:eastAsia="en-AU"/>
        </w:rPr>
        <w:t xml:space="preserve"> to recruit</w:t>
      </w:r>
      <w:r w:rsidR="00A3627B">
        <w:rPr>
          <w:lang w:eastAsia="en-AU"/>
        </w:rPr>
        <w:t>.</w:t>
      </w:r>
      <w:r w:rsidR="003D5076">
        <w:rPr>
          <w:lang w:eastAsia="en-AU"/>
        </w:rPr>
        <w:t xml:space="preserve"> </w:t>
      </w:r>
      <w:r w:rsidR="00510122">
        <w:rPr>
          <w:lang w:eastAsia="en-AU"/>
        </w:rPr>
        <w:t xml:space="preserve">When asked about the recruitment process, Directors noted that </w:t>
      </w:r>
      <w:r w:rsidR="00AE0186">
        <w:rPr>
          <w:lang w:eastAsia="en-AU"/>
        </w:rPr>
        <w:t xml:space="preserve">FNLRS historically had not widely advertised for Director positions </w:t>
      </w:r>
      <w:r w:rsidR="003150BF">
        <w:rPr>
          <w:lang w:eastAsia="en-AU"/>
        </w:rPr>
        <w:t>and</w:t>
      </w:r>
      <w:r w:rsidR="00AE0186">
        <w:rPr>
          <w:lang w:eastAsia="en-AU"/>
        </w:rPr>
        <w:t xml:space="preserve"> </w:t>
      </w:r>
      <w:r w:rsidR="00510122">
        <w:rPr>
          <w:lang w:eastAsia="en-AU"/>
        </w:rPr>
        <w:t xml:space="preserve">prospective Board </w:t>
      </w:r>
      <w:r w:rsidR="00985464">
        <w:rPr>
          <w:lang w:eastAsia="en-AU"/>
        </w:rPr>
        <w:t xml:space="preserve">Directors </w:t>
      </w:r>
      <w:r w:rsidR="00510122">
        <w:rPr>
          <w:lang w:eastAsia="en-AU"/>
        </w:rPr>
        <w:t>were generally referred to FNLRS</w:t>
      </w:r>
      <w:r w:rsidR="00AE0186">
        <w:rPr>
          <w:lang w:eastAsia="en-AU"/>
        </w:rPr>
        <w:t xml:space="preserve"> through existing connections or </w:t>
      </w:r>
      <w:r w:rsidR="00AE0A3C">
        <w:rPr>
          <w:lang w:eastAsia="en-AU"/>
        </w:rPr>
        <w:t xml:space="preserve">found through </w:t>
      </w:r>
      <w:r w:rsidR="00AE0186">
        <w:rPr>
          <w:lang w:eastAsia="en-AU"/>
        </w:rPr>
        <w:t>word of mouth</w:t>
      </w:r>
      <w:r w:rsidR="002418C3">
        <w:rPr>
          <w:lang w:eastAsia="en-AU"/>
        </w:rPr>
        <w:t xml:space="preserve">. </w:t>
      </w:r>
      <w:r w:rsidR="0014535D">
        <w:rPr>
          <w:lang w:eastAsia="en-AU"/>
        </w:rPr>
        <w:t xml:space="preserve">Several staff and Directors </w:t>
      </w:r>
      <w:r w:rsidR="003150BF">
        <w:rPr>
          <w:lang w:eastAsia="en-AU"/>
        </w:rPr>
        <w:t xml:space="preserve">reflected that </w:t>
      </w:r>
      <w:r w:rsidR="00C314CB">
        <w:rPr>
          <w:lang w:eastAsia="en-AU"/>
        </w:rPr>
        <w:t>the difficulty of</w:t>
      </w:r>
      <w:r w:rsidR="003150BF">
        <w:rPr>
          <w:lang w:eastAsia="en-AU"/>
        </w:rPr>
        <w:t xml:space="preserve"> recruiting</w:t>
      </w:r>
      <w:r w:rsidR="00274281">
        <w:rPr>
          <w:lang w:eastAsia="en-AU"/>
        </w:rPr>
        <w:t xml:space="preserve"> </w:t>
      </w:r>
      <w:r w:rsidR="00B274EB">
        <w:rPr>
          <w:lang w:eastAsia="en-AU"/>
        </w:rPr>
        <w:t xml:space="preserve">is likely </w:t>
      </w:r>
      <w:r w:rsidR="00985464">
        <w:rPr>
          <w:lang w:eastAsia="en-AU"/>
        </w:rPr>
        <w:t>due to</w:t>
      </w:r>
      <w:r w:rsidR="001618B9">
        <w:rPr>
          <w:lang w:eastAsia="en-AU"/>
        </w:rPr>
        <w:t xml:space="preserve"> a competitive </w:t>
      </w:r>
      <w:r w:rsidR="00C314CB">
        <w:rPr>
          <w:lang w:eastAsia="en-AU"/>
        </w:rPr>
        <w:t xml:space="preserve">landscape in Victoria </w:t>
      </w:r>
      <w:r w:rsidR="008B3BA3">
        <w:rPr>
          <w:lang w:eastAsia="en-AU"/>
        </w:rPr>
        <w:t xml:space="preserve">for </w:t>
      </w:r>
      <w:r w:rsidR="00F2601C">
        <w:rPr>
          <w:lang w:eastAsia="en-AU"/>
        </w:rPr>
        <w:t>skilled Aboriginal Directors</w:t>
      </w:r>
      <w:r w:rsidR="008731E1">
        <w:rPr>
          <w:lang w:eastAsia="en-AU"/>
        </w:rPr>
        <w:t xml:space="preserve">. </w:t>
      </w:r>
      <w:r w:rsidR="009C4ABA">
        <w:rPr>
          <w:lang w:eastAsia="en-AU"/>
        </w:rPr>
        <w:t xml:space="preserve">Several staff </w:t>
      </w:r>
      <w:r w:rsidR="006C684A">
        <w:rPr>
          <w:lang w:eastAsia="en-AU"/>
        </w:rPr>
        <w:t>thought</w:t>
      </w:r>
      <w:r w:rsidR="009C4ABA">
        <w:rPr>
          <w:lang w:eastAsia="en-AU"/>
        </w:rPr>
        <w:t xml:space="preserve"> the Board </w:t>
      </w:r>
      <w:r w:rsidR="006C684A">
        <w:rPr>
          <w:lang w:eastAsia="en-AU"/>
        </w:rPr>
        <w:t>was too small</w:t>
      </w:r>
      <w:r w:rsidR="009C4ABA">
        <w:rPr>
          <w:lang w:eastAsia="en-AU"/>
        </w:rPr>
        <w:t xml:space="preserve"> and believed that it would benefit from having more </w:t>
      </w:r>
      <w:r w:rsidR="005932F3">
        <w:rPr>
          <w:lang w:eastAsia="en-AU"/>
        </w:rPr>
        <w:t>Directors</w:t>
      </w:r>
      <w:r w:rsidR="00602221">
        <w:rPr>
          <w:lang w:eastAsia="en-AU"/>
        </w:rPr>
        <w:t>.</w:t>
      </w:r>
    </w:p>
    <w:p w14:paraId="14E2D76C" w14:textId="1FAC4D43" w:rsidR="00B274EB" w:rsidRDefault="008731E1" w:rsidP="00DA1033">
      <w:pPr>
        <w:rPr>
          <w:lang w:eastAsia="en-AU"/>
        </w:rPr>
      </w:pPr>
      <w:r>
        <w:rPr>
          <w:lang w:eastAsia="en-AU"/>
        </w:rPr>
        <w:t xml:space="preserve">FNLRS </w:t>
      </w:r>
      <w:r w:rsidR="00B23E92">
        <w:rPr>
          <w:lang w:eastAsia="en-AU"/>
        </w:rPr>
        <w:t>competed</w:t>
      </w:r>
      <w:r w:rsidR="009D0C30">
        <w:rPr>
          <w:lang w:eastAsia="en-AU"/>
        </w:rPr>
        <w:t xml:space="preserve"> for </w:t>
      </w:r>
      <w:r w:rsidR="004C5783">
        <w:rPr>
          <w:lang w:eastAsia="en-AU"/>
        </w:rPr>
        <w:t>recruiting</w:t>
      </w:r>
      <w:r w:rsidR="009D0C30">
        <w:rPr>
          <w:lang w:eastAsia="en-AU"/>
        </w:rPr>
        <w:t xml:space="preserve"> talent</w:t>
      </w:r>
      <w:r w:rsidR="002418C3">
        <w:rPr>
          <w:lang w:eastAsia="en-AU"/>
        </w:rPr>
        <w:t xml:space="preserve"> </w:t>
      </w:r>
      <w:r w:rsidR="009D0C30">
        <w:rPr>
          <w:lang w:eastAsia="en-AU"/>
        </w:rPr>
        <w:t xml:space="preserve">with other </w:t>
      </w:r>
      <w:r w:rsidR="00B23E92">
        <w:rPr>
          <w:lang w:eastAsia="en-AU"/>
        </w:rPr>
        <w:t>representative bodies</w:t>
      </w:r>
      <w:r w:rsidR="009D0C30">
        <w:rPr>
          <w:lang w:eastAsia="en-AU"/>
        </w:rPr>
        <w:t xml:space="preserve"> including </w:t>
      </w:r>
      <w:r w:rsidR="00247AD0">
        <w:rPr>
          <w:lang w:eastAsia="en-AU"/>
        </w:rPr>
        <w:t xml:space="preserve">the </w:t>
      </w:r>
      <w:r w:rsidR="00C070D4">
        <w:rPr>
          <w:lang w:eastAsia="en-AU"/>
        </w:rPr>
        <w:t xml:space="preserve">First People’s Assembly of Victoria and the </w:t>
      </w:r>
      <w:proofErr w:type="spellStart"/>
      <w:r w:rsidR="00247AD0">
        <w:rPr>
          <w:lang w:eastAsia="en-AU"/>
        </w:rPr>
        <w:t>Yoorrook</w:t>
      </w:r>
      <w:proofErr w:type="spellEnd"/>
      <w:r w:rsidR="00247AD0">
        <w:rPr>
          <w:lang w:eastAsia="en-AU"/>
        </w:rPr>
        <w:t xml:space="preserve"> Justice Commission</w:t>
      </w:r>
      <w:r w:rsidR="00C070D4">
        <w:rPr>
          <w:lang w:eastAsia="en-AU"/>
        </w:rPr>
        <w:t>.</w:t>
      </w:r>
      <w:r w:rsidR="00AF316A">
        <w:rPr>
          <w:lang w:eastAsia="en-AU"/>
        </w:rPr>
        <w:t xml:space="preserve"> Several stakeholders interviewed </w:t>
      </w:r>
      <w:r w:rsidR="001C3C11">
        <w:rPr>
          <w:lang w:eastAsia="en-AU"/>
        </w:rPr>
        <w:t>believed that</w:t>
      </w:r>
      <w:r w:rsidR="00AF316A">
        <w:rPr>
          <w:lang w:eastAsia="en-AU"/>
        </w:rPr>
        <w:t xml:space="preserve"> these more </w:t>
      </w:r>
      <w:r w:rsidR="00B274EB">
        <w:rPr>
          <w:lang w:eastAsia="en-AU"/>
        </w:rPr>
        <w:t>newly established organisations</w:t>
      </w:r>
      <w:r w:rsidR="001C3C11">
        <w:rPr>
          <w:lang w:eastAsia="en-AU"/>
        </w:rPr>
        <w:t xml:space="preserve"> were more visible and had a higher profile</w:t>
      </w:r>
      <w:r w:rsidR="00B274EB">
        <w:rPr>
          <w:lang w:eastAsia="en-AU"/>
        </w:rPr>
        <w:t xml:space="preserve"> than FNLRS</w:t>
      </w:r>
      <w:r w:rsidR="004D1EA4">
        <w:rPr>
          <w:lang w:eastAsia="en-AU"/>
        </w:rPr>
        <w:t xml:space="preserve"> which help</w:t>
      </w:r>
      <w:r w:rsidR="001066C5">
        <w:rPr>
          <w:lang w:eastAsia="en-AU"/>
        </w:rPr>
        <w:t>ed</w:t>
      </w:r>
      <w:r w:rsidR="004D1EA4">
        <w:rPr>
          <w:lang w:eastAsia="en-AU"/>
        </w:rPr>
        <w:t xml:space="preserve"> to attract talent. </w:t>
      </w:r>
      <w:r w:rsidR="006A4D6E">
        <w:rPr>
          <w:lang w:eastAsia="en-AU"/>
        </w:rPr>
        <w:t>Some</w:t>
      </w:r>
      <w:r w:rsidR="002418C3">
        <w:rPr>
          <w:lang w:eastAsia="en-AU"/>
        </w:rPr>
        <w:t xml:space="preserve"> Traditional Owner groups also mentioned the fact that they were unaware </w:t>
      </w:r>
      <w:r w:rsidR="002418C3">
        <w:rPr>
          <w:lang w:eastAsia="en-AU"/>
        </w:rPr>
        <w:lastRenderedPageBreak/>
        <w:t>of who was on the FNLRS Board and that they would have thought FNLRS’s Directors would be better known amongst the community.</w:t>
      </w:r>
    </w:p>
    <w:p w14:paraId="19681B2C" w14:textId="72D14CEB" w:rsidR="00AB376B" w:rsidRPr="00DA1033" w:rsidRDefault="00741D99" w:rsidP="00DA1033">
      <w:pPr>
        <w:rPr>
          <w:lang w:eastAsia="en-AU"/>
        </w:rPr>
      </w:pPr>
      <w:r>
        <w:rPr>
          <w:lang w:eastAsia="en-AU"/>
        </w:rPr>
        <w:t>All</w:t>
      </w:r>
      <w:r w:rsidR="00E27C78">
        <w:rPr>
          <w:lang w:eastAsia="en-AU"/>
        </w:rPr>
        <w:t xml:space="preserve"> Directors agreed that the Board would benefit from greater gender diversity</w:t>
      </w:r>
      <w:r w:rsidR="00F17159">
        <w:rPr>
          <w:lang w:eastAsia="en-AU"/>
        </w:rPr>
        <w:t xml:space="preserve"> as it currently only has </w:t>
      </w:r>
      <w:r w:rsidR="00E27C78">
        <w:rPr>
          <w:lang w:eastAsia="en-AU"/>
        </w:rPr>
        <w:t xml:space="preserve">one </w:t>
      </w:r>
      <w:r w:rsidR="006A4D6E">
        <w:rPr>
          <w:lang w:eastAsia="en-AU"/>
        </w:rPr>
        <w:t>female</w:t>
      </w:r>
      <w:r w:rsidR="00E27C78">
        <w:rPr>
          <w:lang w:eastAsia="en-AU"/>
        </w:rPr>
        <w:t xml:space="preserve"> Director. </w:t>
      </w:r>
      <w:r w:rsidR="00F2601C">
        <w:rPr>
          <w:lang w:eastAsia="en-AU"/>
        </w:rPr>
        <w:t>R</w:t>
      </w:r>
      <w:r w:rsidR="00C17FA1">
        <w:rPr>
          <w:lang w:eastAsia="en-AU"/>
        </w:rPr>
        <w:t xml:space="preserve">aising the profile of FNLRS, </w:t>
      </w:r>
      <w:r w:rsidR="00B3351B">
        <w:rPr>
          <w:lang w:eastAsia="en-AU"/>
        </w:rPr>
        <w:t>an</w:t>
      </w:r>
      <w:r w:rsidR="00C17FA1">
        <w:rPr>
          <w:lang w:eastAsia="en-AU"/>
        </w:rPr>
        <w:t>d the Board more generally</w:t>
      </w:r>
      <w:r w:rsidR="00EA3162">
        <w:rPr>
          <w:lang w:eastAsia="en-AU"/>
        </w:rPr>
        <w:t>,</w:t>
      </w:r>
      <w:r w:rsidR="00C17FA1">
        <w:rPr>
          <w:lang w:eastAsia="en-AU"/>
        </w:rPr>
        <w:t xml:space="preserve"> would be beneficial to </w:t>
      </w:r>
      <w:r w:rsidR="003A5976">
        <w:rPr>
          <w:lang w:eastAsia="en-AU"/>
        </w:rPr>
        <w:t>ensuring FNLRS is able to recruit</w:t>
      </w:r>
      <w:r w:rsidR="002B2F68">
        <w:rPr>
          <w:lang w:eastAsia="en-AU"/>
        </w:rPr>
        <w:t xml:space="preserve"> skilled</w:t>
      </w:r>
      <w:r w:rsidR="00C17FA1">
        <w:rPr>
          <w:lang w:eastAsia="en-AU"/>
        </w:rPr>
        <w:t xml:space="preserve"> </w:t>
      </w:r>
      <w:r w:rsidR="00F2601C">
        <w:rPr>
          <w:lang w:eastAsia="en-AU"/>
        </w:rPr>
        <w:t>Directors</w:t>
      </w:r>
      <w:r w:rsidR="002B2F68">
        <w:rPr>
          <w:lang w:eastAsia="en-AU"/>
        </w:rPr>
        <w:t xml:space="preserve"> in the future</w:t>
      </w:r>
      <w:r w:rsidR="00C17FA1">
        <w:rPr>
          <w:lang w:eastAsia="en-AU"/>
        </w:rPr>
        <w:t xml:space="preserve">. </w:t>
      </w:r>
      <w:r w:rsidR="00805916">
        <w:rPr>
          <w:lang w:eastAsia="en-AU"/>
        </w:rPr>
        <w:t>Implementing a more formal and transparent process</w:t>
      </w:r>
      <w:r w:rsidR="00C16760">
        <w:rPr>
          <w:lang w:eastAsia="en-AU"/>
        </w:rPr>
        <w:t xml:space="preserve">, including possibly </w:t>
      </w:r>
      <w:r w:rsidR="00A57EF1">
        <w:rPr>
          <w:lang w:eastAsia="en-AU"/>
        </w:rPr>
        <w:t>engaging</w:t>
      </w:r>
      <w:r w:rsidR="00C16760">
        <w:rPr>
          <w:lang w:eastAsia="en-AU"/>
        </w:rPr>
        <w:t xml:space="preserve"> a recruiter,</w:t>
      </w:r>
      <w:r w:rsidR="00805916">
        <w:rPr>
          <w:lang w:eastAsia="en-AU"/>
        </w:rPr>
        <w:t xml:space="preserve"> to</w:t>
      </w:r>
      <w:r w:rsidR="00A57EF1">
        <w:rPr>
          <w:lang w:eastAsia="en-AU"/>
        </w:rPr>
        <w:t xml:space="preserve"> identify and</w:t>
      </w:r>
      <w:r w:rsidR="00805916">
        <w:rPr>
          <w:lang w:eastAsia="en-AU"/>
        </w:rPr>
        <w:t xml:space="preserve"> </w:t>
      </w:r>
      <w:r w:rsidR="00A57EF1">
        <w:rPr>
          <w:lang w:eastAsia="en-AU"/>
        </w:rPr>
        <w:t>hire</w:t>
      </w:r>
      <w:r w:rsidR="00805916">
        <w:rPr>
          <w:lang w:eastAsia="en-AU"/>
        </w:rPr>
        <w:t xml:space="preserve"> </w:t>
      </w:r>
      <w:r w:rsidR="00A57EF1">
        <w:rPr>
          <w:lang w:eastAsia="en-AU"/>
        </w:rPr>
        <w:t>qualified</w:t>
      </w:r>
      <w:r w:rsidR="00805916">
        <w:rPr>
          <w:lang w:eastAsia="en-AU"/>
        </w:rPr>
        <w:t xml:space="preserve"> Directors </w:t>
      </w:r>
      <w:r w:rsidR="00A57EF1">
        <w:rPr>
          <w:lang w:eastAsia="en-AU"/>
        </w:rPr>
        <w:t>would</w:t>
      </w:r>
      <w:r w:rsidR="00805916">
        <w:rPr>
          <w:lang w:eastAsia="en-AU"/>
        </w:rPr>
        <w:t xml:space="preserve"> also help </w:t>
      </w:r>
      <w:r w:rsidR="00C16760">
        <w:rPr>
          <w:lang w:eastAsia="en-AU"/>
        </w:rPr>
        <w:t>with recruitment.</w:t>
      </w:r>
      <w:r w:rsidR="004A0E47">
        <w:rPr>
          <w:lang w:eastAsia="en-AU"/>
        </w:rPr>
        <w:t xml:space="preserve"> </w:t>
      </w:r>
      <w:r w:rsidR="00435A05">
        <w:rPr>
          <w:lang w:eastAsia="en-AU"/>
        </w:rPr>
        <w:t xml:space="preserve">These findings are in line with the findings of the Strategic Review and related recommendations. </w:t>
      </w:r>
      <w:r w:rsidR="00822B85">
        <w:rPr>
          <w:lang w:eastAsia="en-AU"/>
        </w:rPr>
        <w:t>The Review notes that</w:t>
      </w:r>
      <w:r w:rsidR="00406C35">
        <w:rPr>
          <w:lang w:eastAsia="en-AU"/>
        </w:rPr>
        <w:t xml:space="preserve"> t</w:t>
      </w:r>
      <w:r w:rsidR="00FA495E">
        <w:rPr>
          <w:lang w:eastAsia="en-AU"/>
        </w:rPr>
        <w:t xml:space="preserve">he </w:t>
      </w:r>
      <w:r w:rsidR="00FA495E" w:rsidRPr="00FA495E">
        <w:rPr>
          <w:lang w:eastAsia="en-AU"/>
        </w:rPr>
        <w:t xml:space="preserve">Office of the Registrar of Indigenous Corporations </w:t>
      </w:r>
      <w:r w:rsidR="00FA495E">
        <w:rPr>
          <w:lang w:eastAsia="en-AU"/>
        </w:rPr>
        <w:t>(</w:t>
      </w:r>
      <w:r w:rsidR="00226E59">
        <w:rPr>
          <w:lang w:eastAsia="en-AU"/>
        </w:rPr>
        <w:t>ORIC</w:t>
      </w:r>
      <w:r w:rsidR="00FA495E">
        <w:rPr>
          <w:lang w:eastAsia="en-AU"/>
        </w:rPr>
        <w:t>)</w:t>
      </w:r>
      <w:r w:rsidR="00226E59">
        <w:rPr>
          <w:lang w:eastAsia="en-AU"/>
        </w:rPr>
        <w:t xml:space="preserve"> provides </w:t>
      </w:r>
      <w:r w:rsidR="00406C35">
        <w:rPr>
          <w:lang w:eastAsia="en-AU"/>
        </w:rPr>
        <w:t xml:space="preserve">some </w:t>
      </w:r>
      <w:r w:rsidR="004A0E47">
        <w:rPr>
          <w:lang w:eastAsia="en-AU"/>
        </w:rPr>
        <w:t>guidance</w:t>
      </w:r>
      <w:r w:rsidR="00576CF2">
        <w:rPr>
          <w:lang w:eastAsia="en-AU"/>
        </w:rPr>
        <w:t xml:space="preserve"> </w:t>
      </w:r>
      <w:r w:rsidR="00850DF2">
        <w:rPr>
          <w:lang w:eastAsia="en-AU"/>
        </w:rPr>
        <w:t xml:space="preserve">around selection criteria </w:t>
      </w:r>
      <w:r w:rsidR="00FA42C7">
        <w:rPr>
          <w:lang w:eastAsia="en-AU"/>
        </w:rPr>
        <w:t>and</w:t>
      </w:r>
      <w:r w:rsidR="00850DF2">
        <w:rPr>
          <w:lang w:eastAsia="en-AU"/>
        </w:rPr>
        <w:t xml:space="preserve"> </w:t>
      </w:r>
      <w:r w:rsidR="00FA42C7">
        <w:rPr>
          <w:lang w:eastAsia="en-AU"/>
        </w:rPr>
        <w:t>required</w:t>
      </w:r>
      <w:r w:rsidR="00850DF2">
        <w:rPr>
          <w:lang w:eastAsia="en-AU"/>
        </w:rPr>
        <w:t xml:space="preserve"> skills of </w:t>
      </w:r>
      <w:r w:rsidR="00751CCA">
        <w:rPr>
          <w:lang w:eastAsia="en-AU"/>
        </w:rPr>
        <w:t>independent Directors</w:t>
      </w:r>
      <w:r w:rsidR="004A0E47">
        <w:rPr>
          <w:lang w:eastAsia="en-AU"/>
        </w:rPr>
        <w:t xml:space="preserve"> which FNLRS </w:t>
      </w:r>
      <w:r w:rsidR="00406C35">
        <w:rPr>
          <w:lang w:eastAsia="en-AU"/>
        </w:rPr>
        <w:t>might find useful.</w:t>
      </w:r>
      <w:r w:rsidR="00C17FA1">
        <w:rPr>
          <w:lang w:eastAsia="en-AU"/>
        </w:rPr>
        <w:t xml:space="preserve"> </w:t>
      </w:r>
    </w:p>
    <w:p w14:paraId="150728F6" w14:textId="7E583E3C" w:rsidR="006B5DDE" w:rsidRDefault="006B5DDE" w:rsidP="00FA6B9D">
      <w:pPr>
        <w:pStyle w:val="Heading4"/>
      </w:pPr>
      <w:r>
        <w:t>Conflicts of interest</w:t>
      </w:r>
    </w:p>
    <w:p w14:paraId="72CBC72B" w14:textId="02596BD2" w:rsidR="001C1616" w:rsidRPr="008B23C0" w:rsidRDefault="00CD5260" w:rsidP="009C33D0">
      <w:pPr>
        <w:pStyle w:val="Heading5"/>
      </w:pPr>
      <w:r w:rsidRPr="008B23C0">
        <w:t>FNLRS</w:t>
      </w:r>
      <w:r w:rsidR="008B23C0">
        <w:t xml:space="preserve"> operate</w:t>
      </w:r>
      <w:r w:rsidR="001A54DB">
        <w:t>d</w:t>
      </w:r>
      <w:r w:rsidR="008B23C0">
        <w:t xml:space="preserve"> in a highly conflicted environment and</w:t>
      </w:r>
      <w:r w:rsidRPr="008B23C0">
        <w:t xml:space="preserve"> proactively managed conflicts of interest</w:t>
      </w:r>
    </w:p>
    <w:p w14:paraId="66731892" w14:textId="5B7414D8" w:rsidR="00DE03C7" w:rsidRDefault="001A54DB" w:rsidP="000C0256">
      <w:r>
        <w:t>FNLRS continued to operate in a conflicted environment during the Review period</w:t>
      </w:r>
      <w:r w:rsidR="00C8333E">
        <w:t xml:space="preserve"> and was sensitive to how it managed </w:t>
      </w:r>
      <w:r w:rsidR="00D8017F">
        <w:t>its role</w:t>
      </w:r>
      <w:r>
        <w:t xml:space="preserve">. </w:t>
      </w:r>
      <w:r w:rsidR="008F47C5">
        <w:t xml:space="preserve">Conflicts of interest </w:t>
      </w:r>
      <w:r w:rsidR="00095A3B">
        <w:t xml:space="preserve">or perceived conflicts of interest </w:t>
      </w:r>
      <w:r w:rsidR="00AC76B1">
        <w:t xml:space="preserve">were common, primarily </w:t>
      </w:r>
      <w:r w:rsidR="007C25FA">
        <w:t>since</w:t>
      </w:r>
      <w:r w:rsidR="00F87478">
        <w:t xml:space="preserve"> </w:t>
      </w:r>
      <w:r w:rsidR="00DE03C7">
        <w:t>the small number of</w:t>
      </w:r>
      <w:r w:rsidR="008F47C5">
        <w:t xml:space="preserve"> FNLRS staff </w:t>
      </w:r>
      <w:r w:rsidR="00095A3B">
        <w:t>had</w:t>
      </w:r>
      <w:r w:rsidR="003F595F">
        <w:t xml:space="preserve"> historical relationships </w:t>
      </w:r>
      <w:r w:rsidR="006C3641">
        <w:t xml:space="preserve">working with </w:t>
      </w:r>
      <w:r w:rsidR="00EB4F17">
        <w:t>many</w:t>
      </w:r>
      <w:r w:rsidR="006C3641">
        <w:t xml:space="preserve"> Traditional Owners in Victoria</w:t>
      </w:r>
      <w:r w:rsidR="00D91841">
        <w:t xml:space="preserve"> as former clients</w:t>
      </w:r>
      <w:r w:rsidR="009D216A">
        <w:t>.</w:t>
      </w:r>
      <w:r>
        <w:t xml:space="preserve"> </w:t>
      </w:r>
    </w:p>
    <w:p w14:paraId="0048A959" w14:textId="6450C10F" w:rsidR="00B43010" w:rsidRDefault="00135B6B" w:rsidP="000C0256">
      <w:pPr>
        <w:rPr>
          <w:lang w:eastAsia="en-AU"/>
        </w:rPr>
      </w:pPr>
      <w:r>
        <w:t>W</w:t>
      </w:r>
      <w:r w:rsidR="00904665">
        <w:rPr>
          <w:lang w:eastAsia="en-AU"/>
        </w:rPr>
        <w:t xml:space="preserve">hile </w:t>
      </w:r>
      <w:r w:rsidR="00904665" w:rsidRPr="00E6489F">
        <w:rPr>
          <w:lang w:eastAsia="en-AU"/>
        </w:rPr>
        <w:t xml:space="preserve">FNLRS had a dedicated conflicts of interest policy for Directors, it did not have an approved conflicts of interest policy for staff. Staff noted that the development and approval of a staff conflict of interest policy was on the agenda for the Board’s February 2024 meeting. FNLRS </w:t>
      </w:r>
      <w:r>
        <w:rPr>
          <w:lang w:eastAsia="en-AU"/>
        </w:rPr>
        <w:t>did have</w:t>
      </w:r>
      <w:r w:rsidR="00904665" w:rsidRPr="00E6489F">
        <w:rPr>
          <w:lang w:eastAsia="en-AU"/>
        </w:rPr>
        <w:t xml:space="preserve"> a Whistle Blower Policy that applied to staff and outlined protection mechanisms.</w:t>
      </w:r>
      <w:r w:rsidR="00A27B5B">
        <w:rPr>
          <w:lang w:eastAsia="en-AU"/>
        </w:rPr>
        <w:t xml:space="preserve"> </w:t>
      </w:r>
    </w:p>
    <w:p w14:paraId="4C758023" w14:textId="4E1FC60E" w:rsidR="00F173A0" w:rsidRPr="00E6489F" w:rsidRDefault="00A27B5B" w:rsidP="000C0256">
      <w:pPr>
        <w:rPr>
          <w:lang w:eastAsia="en-AU"/>
        </w:rPr>
      </w:pPr>
      <w:r>
        <w:rPr>
          <w:lang w:eastAsia="en-AU"/>
        </w:rPr>
        <w:t>Despite not having an organisation-wide policy, c</w:t>
      </w:r>
      <w:r w:rsidR="00F173A0">
        <w:rPr>
          <w:lang w:eastAsia="en-AU"/>
        </w:rPr>
        <w:t xml:space="preserve">onflicts of interest were </w:t>
      </w:r>
      <w:r>
        <w:rPr>
          <w:lang w:eastAsia="en-AU"/>
        </w:rPr>
        <w:t xml:space="preserve">proactively </w:t>
      </w:r>
      <w:r w:rsidR="00F173A0">
        <w:rPr>
          <w:lang w:eastAsia="en-AU"/>
        </w:rPr>
        <w:t>addressed in various ways during the Review period. Where conflicts of interest arose regarding the representation of claimants, FNLRS briefed matters out to external lawyers</w:t>
      </w:r>
      <w:r w:rsidR="008F47C5">
        <w:rPr>
          <w:lang w:eastAsia="en-AU"/>
        </w:rPr>
        <w:t xml:space="preserve"> if they had represented the applicant</w:t>
      </w:r>
      <w:r w:rsidR="00F173A0">
        <w:rPr>
          <w:lang w:eastAsia="en-AU"/>
        </w:rPr>
        <w:t>. F</w:t>
      </w:r>
      <w:r w:rsidR="005B7CEE">
        <w:rPr>
          <w:lang w:eastAsia="en-AU"/>
        </w:rPr>
        <w:t>or</w:t>
      </w:r>
      <w:r w:rsidR="00F173A0">
        <w:rPr>
          <w:lang w:eastAsia="en-AU"/>
        </w:rPr>
        <w:t xml:space="preserve"> example, in the </w:t>
      </w:r>
      <w:r w:rsidR="005B7CEE">
        <w:rPr>
          <w:lang w:eastAsia="en-AU"/>
        </w:rPr>
        <w:t xml:space="preserve">Eastern Maar native title claim, all respondents were represented by external lawyers, given that FNLRS represented the applicant. </w:t>
      </w:r>
    </w:p>
    <w:p w14:paraId="5324AB35" w14:textId="2ED64C13" w:rsidR="0074437D" w:rsidRDefault="00406473" w:rsidP="000C0256">
      <w:pPr>
        <w:rPr>
          <w:lang w:eastAsia="en-AU"/>
        </w:rPr>
      </w:pPr>
      <w:r>
        <w:rPr>
          <w:lang w:eastAsia="en-AU"/>
        </w:rPr>
        <w:t>The supervision</w:t>
      </w:r>
      <w:r w:rsidR="002C5812">
        <w:rPr>
          <w:lang w:eastAsia="en-AU"/>
        </w:rPr>
        <w:t xml:space="preserve"> of staff and how particular staff members were allocated </w:t>
      </w:r>
      <w:r>
        <w:rPr>
          <w:lang w:eastAsia="en-AU"/>
        </w:rPr>
        <w:t xml:space="preserve">to various matters </w:t>
      </w:r>
      <w:r w:rsidR="00B61EC6">
        <w:rPr>
          <w:lang w:eastAsia="en-AU"/>
        </w:rPr>
        <w:t xml:space="preserve">was </w:t>
      </w:r>
      <w:r w:rsidR="002C5812">
        <w:rPr>
          <w:lang w:eastAsia="en-AU"/>
        </w:rPr>
        <w:t xml:space="preserve">managed carefully to maintain clear boundaries. </w:t>
      </w:r>
      <w:r w:rsidR="00B61EC6">
        <w:rPr>
          <w:lang w:eastAsia="en-AU"/>
        </w:rPr>
        <w:t>For example,</w:t>
      </w:r>
      <w:r w:rsidR="00EE046C">
        <w:rPr>
          <w:lang w:eastAsia="en-AU"/>
        </w:rPr>
        <w:t xml:space="preserve"> </w:t>
      </w:r>
      <w:r w:rsidR="000B085F">
        <w:rPr>
          <w:lang w:eastAsia="en-AU"/>
        </w:rPr>
        <w:t xml:space="preserve">FNLRS </w:t>
      </w:r>
      <w:r w:rsidR="00FD3775">
        <w:rPr>
          <w:lang w:eastAsia="en-AU"/>
        </w:rPr>
        <w:t xml:space="preserve">made sure </w:t>
      </w:r>
      <w:r w:rsidR="001459AC">
        <w:rPr>
          <w:lang w:eastAsia="en-AU"/>
        </w:rPr>
        <w:t>two</w:t>
      </w:r>
      <w:r w:rsidR="00FD3775">
        <w:rPr>
          <w:lang w:eastAsia="en-AU"/>
        </w:rPr>
        <w:t xml:space="preserve"> separate lawyers were</w:t>
      </w:r>
      <w:r w:rsidR="001459AC">
        <w:rPr>
          <w:lang w:eastAsia="en-AU"/>
        </w:rPr>
        <w:t xml:space="preserve"> working for the same Traditional Owner group – one</w:t>
      </w:r>
      <w:r w:rsidR="000B085F">
        <w:rPr>
          <w:lang w:eastAsia="en-AU"/>
        </w:rPr>
        <w:t xml:space="preserve"> providing advice to </w:t>
      </w:r>
      <w:r w:rsidR="001459AC">
        <w:rPr>
          <w:lang w:eastAsia="en-AU"/>
        </w:rPr>
        <w:t>the</w:t>
      </w:r>
      <w:r w:rsidR="000B085F">
        <w:rPr>
          <w:lang w:eastAsia="en-AU"/>
        </w:rPr>
        <w:t xml:space="preserve"> Traditional Owner </w:t>
      </w:r>
      <w:r w:rsidR="006656BE">
        <w:rPr>
          <w:lang w:eastAsia="en-AU"/>
        </w:rPr>
        <w:t>c</w:t>
      </w:r>
      <w:r w:rsidR="000B085F">
        <w:rPr>
          <w:lang w:eastAsia="en-AU"/>
        </w:rPr>
        <w:t>orporation</w:t>
      </w:r>
      <w:r w:rsidR="006E02E8">
        <w:rPr>
          <w:lang w:eastAsia="en-AU"/>
        </w:rPr>
        <w:t xml:space="preserve"> on governance and corporate advice, and another working on the</w:t>
      </w:r>
      <w:r w:rsidR="001459AC">
        <w:rPr>
          <w:lang w:eastAsia="en-AU"/>
        </w:rPr>
        <w:t xml:space="preserve"> pending</w:t>
      </w:r>
      <w:r w:rsidR="006E02E8">
        <w:rPr>
          <w:lang w:eastAsia="en-AU"/>
        </w:rPr>
        <w:t xml:space="preserve"> native title claim for the same group</w:t>
      </w:r>
      <w:r w:rsidR="001459AC">
        <w:rPr>
          <w:lang w:eastAsia="en-AU"/>
        </w:rPr>
        <w:t xml:space="preserve">. FNLRS </w:t>
      </w:r>
      <w:r w:rsidR="006E02E8">
        <w:rPr>
          <w:lang w:eastAsia="en-AU"/>
        </w:rPr>
        <w:t xml:space="preserve">made sure a firewall was established so no information could be shared between them. </w:t>
      </w:r>
      <w:r w:rsidR="00FB544B">
        <w:rPr>
          <w:lang w:eastAsia="en-AU"/>
        </w:rPr>
        <w:t>Additionally, t</w:t>
      </w:r>
      <w:r w:rsidR="0047233D">
        <w:rPr>
          <w:lang w:eastAsia="en-AU"/>
        </w:rPr>
        <w:t>he CEO</w:t>
      </w:r>
      <w:r w:rsidR="00B0753C">
        <w:rPr>
          <w:lang w:eastAsia="en-AU"/>
        </w:rPr>
        <w:t>, rather than the PLO, was responsible for assessing and making decisions on funding applications</w:t>
      </w:r>
      <w:r w:rsidR="0038407E">
        <w:rPr>
          <w:lang w:eastAsia="en-AU"/>
        </w:rPr>
        <w:t xml:space="preserve"> to manage conflicts or perceived conflicts of interest</w:t>
      </w:r>
      <w:r w:rsidR="008467A7">
        <w:rPr>
          <w:lang w:eastAsia="en-AU"/>
        </w:rPr>
        <w:t>.</w:t>
      </w:r>
      <w:r w:rsidR="001A6390">
        <w:rPr>
          <w:lang w:eastAsia="en-AU"/>
        </w:rPr>
        <w:t xml:space="preserve"> </w:t>
      </w:r>
      <w:r w:rsidR="008C7A5F">
        <w:rPr>
          <w:lang w:eastAsia="en-AU"/>
        </w:rPr>
        <w:t>At times FNLRS</w:t>
      </w:r>
      <w:r w:rsidR="008C7A5F" w:rsidRPr="008C7A5F">
        <w:rPr>
          <w:lang w:eastAsia="en-AU"/>
        </w:rPr>
        <w:t xml:space="preserve"> sought external advice on how specific conflict risks should be managed. </w:t>
      </w:r>
      <w:r w:rsidR="00D02002">
        <w:rPr>
          <w:lang w:eastAsia="en-AU"/>
        </w:rPr>
        <w:t>As discussed previous</w:t>
      </w:r>
      <w:r w:rsidR="004D3B76">
        <w:rPr>
          <w:lang w:eastAsia="en-AU"/>
        </w:rPr>
        <w:t>ly, after the Review period in 2022, t</w:t>
      </w:r>
      <w:r w:rsidR="004D3B76" w:rsidRPr="004D3B76">
        <w:rPr>
          <w:lang w:eastAsia="en-AU"/>
        </w:rPr>
        <w:t>he</w:t>
      </w:r>
      <w:r w:rsidR="004D3B76">
        <w:rPr>
          <w:lang w:eastAsia="en-AU"/>
        </w:rPr>
        <w:t xml:space="preserve"> </w:t>
      </w:r>
      <w:r w:rsidR="004D3B76" w:rsidRPr="004D3B76">
        <w:rPr>
          <w:lang w:eastAsia="en-AU"/>
        </w:rPr>
        <w:t>FARAC</w:t>
      </w:r>
      <w:r w:rsidR="004D3B76">
        <w:rPr>
          <w:lang w:eastAsia="en-AU"/>
        </w:rPr>
        <w:t xml:space="preserve"> was established to </w:t>
      </w:r>
      <w:r w:rsidR="0022649D">
        <w:rPr>
          <w:lang w:eastAsia="en-AU"/>
        </w:rPr>
        <w:t xml:space="preserve">address further concerns around perceived conflicts of interest regarding funding decisions. </w:t>
      </w:r>
      <w:r w:rsidR="00D320C4">
        <w:rPr>
          <w:lang w:eastAsia="en-AU"/>
        </w:rPr>
        <w:t xml:space="preserve">FNLRS </w:t>
      </w:r>
      <w:r w:rsidR="0074437D">
        <w:rPr>
          <w:lang w:eastAsia="en-AU"/>
        </w:rPr>
        <w:t>de-coupling from</w:t>
      </w:r>
      <w:r w:rsidR="00D320C4" w:rsidRPr="00D320C4">
        <w:rPr>
          <w:lang w:eastAsia="en-AU"/>
        </w:rPr>
        <w:t xml:space="preserve"> </w:t>
      </w:r>
      <w:r w:rsidR="007159E4">
        <w:rPr>
          <w:lang w:eastAsia="en-AU"/>
        </w:rPr>
        <w:t>the Federation</w:t>
      </w:r>
      <w:r w:rsidR="00D320C4">
        <w:rPr>
          <w:lang w:eastAsia="en-AU"/>
        </w:rPr>
        <w:t xml:space="preserve">, </w:t>
      </w:r>
      <w:r w:rsidR="00C62434">
        <w:rPr>
          <w:lang w:eastAsia="en-AU"/>
        </w:rPr>
        <w:t>was</w:t>
      </w:r>
      <w:r w:rsidR="00D320C4">
        <w:rPr>
          <w:lang w:eastAsia="en-AU"/>
        </w:rPr>
        <w:t xml:space="preserve"> another example of how FNLRS managed perceived conflicts of interest more </w:t>
      </w:r>
      <w:r w:rsidR="006C684A">
        <w:rPr>
          <w:lang w:eastAsia="en-AU"/>
        </w:rPr>
        <w:t>broadly</w:t>
      </w:r>
      <w:r w:rsidR="00D320C4">
        <w:rPr>
          <w:lang w:eastAsia="en-AU"/>
        </w:rPr>
        <w:t xml:space="preserve"> during the Review period.</w:t>
      </w:r>
    </w:p>
    <w:p w14:paraId="380F45A2" w14:textId="58DC5EAC" w:rsidR="00FA6B9D" w:rsidRDefault="00FA6B9D" w:rsidP="00FA6B9D">
      <w:pPr>
        <w:pStyle w:val="Heading4"/>
      </w:pPr>
      <w:r>
        <w:lastRenderedPageBreak/>
        <w:t>Culture and values</w:t>
      </w:r>
    </w:p>
    <w:p w14:paraId="0B779404" w14:textId="77777777" w:rsidR="00372BDA" w:rsidRDefault="00CF78BC" w:rsidP="000C0256">
      <w:pPr>
        <w:pStyle w:val="Heading5"/>
        <w:numPr>
          <w:ilvl w:val="4"/>
          <w:numId w:val="1"/>
        </w:numPr>
      </w:pPr>
      <w:r w:rsidRPr="6967B2CC">
        <w:t>Staff reported that FNLRS was a very</w:t>
      </w:r>
      <w:r w:rsidR="00187F87" w:rsidRPr="6967B2CC">
        <w:t xml:space="preserve"> positive place to work </w:t>
      </w:r>
      <w:r w:rsidR="00D57C85">
        <w:rPr>
          <w:noProof/>
        </w:rPr>
        <mc:AlternateContent>
          <mc:Choice Requires="wps">
            <w:drawing>
              <wp:anchor distT="0" distB="0" distL="114300" distR="114300" simplePos="0" relativeHeight="251658241" behindDoc="0" locked="0" layoutInCell="1" allowOverlap="1" wp14:anchorId="79063D82" wp14:editId="698883F9">
                <wp:simplePos x="0" y="0"/>
                <wp:positionH relativeFrom="margin">
                  <wp:align>right</wp:align>
                </wp:positionH>
                <wp:positionV relativeFrom="paragraph">
                  <wp:posOffset>315595</wp:posOffset>
                </wp:positionV>
                <wp:extent cx="1935480" cy="2066925"/>
                <wp:effectExtent l="0" t="0" r="7620" b="1270"/>
                <wp:wrapSquare wrapText="bothSides"/>
                <wp:docPr id="1544111383" name="Text Box 1544111383"/>
                <wp:cNvGraphicFramePr/>
                <a:graphic xmlns:a="http://schemas.openxmlformats.org/drawingml/2006/main">
                  <a:graphicData uri="http://schemas.microsoft.com/office/word/2010/wordprocessingShape">
                    <wps:wsp>
                      <wps:cNvSpPr txBox="1"/>
                      <wps:spPr>
                        <a:xfrm>
                          <a:off x="0" y="0"/>
                          <a:ext cx="193548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32A65" w14:textId="75E4E5F8" w:rsidR="005120D5" w:rsidRPr="00CA17C8" w:rsidRDefault="005120D5" w:rsidP="00D57C85">
                            <w:pPr>
                              <w:pStyle w:val="Callout"/>
                              <w:rPr>
                                <w:color w:val="C2400B" w:themeColor="accent2" w:themeShade="BF"/>
                                <w:sz w:val="19"/>
                                <w:szCs w:val="19"/>
                              </w:rPr>
                            </w:pPr>
                            <w:r w:rsidRPr="00CA17C8">
                              <w:rPr>
                                <w:color w:val="C2400B" w:themeColor="accent2" w:themeShade="BF"/>
                                <w:sz w:val="19"/>
                                <w:szCs w:val="19"/>
                              </w:rPr>
                              <w:t xml:space="preserve">“FNLRS is the best culture I have worked in… I think FNLRS creates an environment where people </w:t>
                            </w:r>
                            <w:proofErr w:type="gramStart"/>
                            <w:r w:rsidRPr="00CA17C8">
                              <w:rPr>
                                <w:color w:val="C2400B" w:themeColor="accent2" w:themeShade="BF"/>
                                <w:sz w:val="19"/>
                                <w:szCs w:val="19"/>
                              </w:rPr>
                              <w:t>are able to</w:t>
                            </w:r>
                            <w:proofErr w:type="gramEnd"/>
                            <w:r w:rsidRPr="00CA17C8">
                              <w:rPr>
                                <w:color w:val="C2400B" w:themeColor="accent2" w:themeShade="BF"/>
                                <w:sz w:val="19"/>
                                <w:szCs w:val="19"/>
                              </w:rPr>
                              <w:t xml:space="preserve"> respect each other and get along even if they don’t always see eye to eye.”</w:t>
                            </w:r>
                          </w:p>
                          <w:p w14:paraId="7D4E53BB" w14:textId="573F5D48" w:rsidR="005120D5" w:rsidRPr="004F799A" w:rsidRDefault="005120D5" w:rsidP="00D57C85">
                            <w:pPr>
                              <w:pStyle w:val="Callout"/>
                              <w:jc w:val="right"/>
                              <w:rPr>
                                <w:color w:val="00264D" w:themeColor="background2"/>
                                <w:sz w:val="19"/>
                                <w:szCs w:val="19"/>
                              </w:rPr>
                            </w:pPr>
                            <w:r>
                              <w:rPr>
                                <w:color w:val="00264D" w:themeColor="background2"/>
                                <w:sz w:val="19"/>
                                <w:szCs w:val="19"/>
                              </w:rPr>
                              <w:t xml:space="preserve">FNLRS staff member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063D82" id="Text Box 1544111383" o:spid="_x0000_s1031" type="#_x0000_t202" style="position:absolute;left:0;text-align:left;margin-left:101.2pt;margin-top:24.85pt;width:152.4pt;height:162.75pt;z-index:25165824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" fillcolor="white [3201]" stroked="f" strokeweight=".5pt">
                <v:textbox style="mso-fit-shape-to-text:t" inset="0,,1mm">
                  <w:txbxContent>
                    <w:p w14:paraId="5F132A65" w14:textId="75E4E5F8" w:rsidR="005120D5" w:rsidRPr="00CA17C8" w:rsidRDefault="005120D5" w:rsidP="00D57C85">
                      <w:pPr>
                        <w:pStyle w:val="Callout"/>
                        <w:rPr>
                          <w:color w:val="C2400B" w:themeColor="accent2" w:themeShade="BF"/>
                          <w:sz w:val="19"/>
                          <w:szCs w:val="19"/>
                        </w:rPr>
                      </w:pPr>
                      <w:r w:rsidRPr="00CA17C8">
                        <w:rPr>
                          <w:color w:val="C2400B" w:themeColor="accent2" w:themeShade="BF"/>
                          <w:sz w:val="19"/>
                          <w:szCs w:val="19"/>
                        </w:rPr>
                        <w:t xml:space="preserve">“FNLRS is the best culture I have worked in… I think FNLRS creates an environment where people </w:t>
                      </w:r>
                      <w:proofErr w:type="gramStart"/>
                      <w:r w:rsidRPr="00CA17C8">
                        <w:rPr>
                          <w:color w:val="C2400B" w:themeColor="accent2" w:themeShade="BF"/>
                          <w:sz w:val="19"/>
                          <w:szCs w:val="19"/>
                        </w:rPr>
                        <w:t>are able to</w:t>
                      </w:r>
                      <w:proofErr w:type="gramEnd"/>
                      <w:r w:rsidRPr="00CA17C8">
                        <w:rPr>
                          <w:color w:val="C2400B" w:themeColor="accent2" w:themeShade="BF"/>
                          <w:sz w:val="19"/>
                          <w:szCs w:val="19"/>
                        </w:rPr>
                        <w:t xml:space="preserve"> respect each other and get along even if they don’t always see eye to eye.”</w:t>
                      </w:r>
                    </w:p>
                    <w:p w14:paraId="7D4E53BB" w14:textId="573F5D48" w:rsidR="005120D5" w:rsidRPr="004F799A" w:rsidRDefault="005120D5" w:rsidP="00D57C85">
                      <w:pPr>
                        <w:pStyle w:val="Callout"/>
                        <w:jc w:val="right"/>
                        <w:rPr>
                          <w:color w:val="00264D" w:themeColor="background2"/>
                          <w:sz w:val="19"/>
                          <w:szCs w:val="19"/>
                        </w:rPr>
                      </w:pPr>
                      <w:r>
                        <w:rPr>
                          <w:color w:val="00264D" w:themeColor="background2"/>
                          <w:sz w:val="19"/>
                          <w:szCs w:val="19"/>
                        </w:rPr>
                        <w:t xml:space="preserve">FNLRS staff member </w:t>
                      </w:r>
                    </w:p>
                  </w:txbxContent>
                </v:textbox>
                <w10:wrap type="square" anchorx="margin"/>
              </v:shape>
            </w:pict>
          </mc:Fallback>
        </mc:AlternateContent>
      </w:r>
    </w:p>
    <w:p w14:paraId="2CA0EE8D" w14:textId="142E48DF" w:rsidR="00DA5A2B" w:rsidRDefault="00372BDA" w:rsidP="00DA5A2B">
      <w:r>
        <w:t>FNLRS</w:t>
      </w:r>
      <w:r w:rsidR="00783000">
        <w:t xml:space="preserve"> clearly articulates its</w:t>
      </w:r>
      <w:r w:rsidR="00B81749">
        <w:t xml:space="preserve"> </w:t>
      </w:r>
      <w:r w:rsidR="000555C4">
        <w:t>“</w:t>
      </w:r>
      <w:r w:rsidR="00B81749">
        <w:t>vision</w:t>
      </w:r>
      <w:r w:rsidR="000555C4">
        <w:t>”</w:t>
      </w:r>
      <w:r w:rsidR="00B81749">
        <w:t xml:space="preserve"> and </w:t>
      </w:r>
      <w:r w:rsidR="000555C4">
        <w:t>“</w:t>
      </w:r>
      <w:r w:rsidR="00B81749">
        <w:t>mission</w:t>
      </w:r>
      <w:r w:rsidR="000555C4">
        <w:t>”</w:t>
      </w:r>
      <w:r w:rsidR="006E305C">
        <w:t xml:space="preserve"> </w:t>
      </w:r>
      <w:r w:rsidR="00FE1490">
        <w:t xml:space="preserve">to support Traditional Owner </w:t>
      </w:r>
      <w:r w:rsidR="00AE0826">
        <w:t>g</w:t>
      </w:r>
      <w:r w:rsidR="00FE1490">
        <w:t>roups to realise and exercise native title rights and interests in Victoria</w:t>
      </w:r>
      <w:r w:rsidR="00DA5A2B">
        <w:t>.</w:t>
      </w:r>
    </w:p>
    <w:p w14:paraId="315B2D5B" w14:textId="13E0DC4F" w:rsidR="00B81749" w:rsidRDefault="00DC3D4F" w:rsidP="000C0256">
      <w:r>
        <w:t xml:space="preserve">There was </w:t>
      </w:r>
      <w:r w:rsidR="00B81749">
        <w:t xml:space="preserve">a consensus among staff that FNLRS </w:t>
      </w:r>
      <w:r>
        <w:t>was</w:t>
      </w:r>
      <w:r w:rsidR="00B81749">
        <w:t xml:space="preserve"> a </w:t>
      </w:r>
      <w:r w:rsidR="00D844E8">
        <w:t>good</w:t>
      </w:r>
      <w:r w:rsidR="00B81749">
        <w:t xml:space="preserve"> place to work</w:t>
      </w:r>
      <w:r>
        <w:t xml:space="preserve">, that it was a </w:t>
      </w:r>
      <w:r w:rsidR="00D57C85">
        <w:t>well-run</w:t>
      </w:r>
      <w:r>
        <w:t xml:space="preserve"> organisation and had a positive work culture. </w:t>
      </w:r>
      <w:r w:rsidR="00D57C85">
        <w:t xml:space="preserve">Staff </w:t>
      </w:r>
      <w:r w:rsidR="006C684A">
        <w:t>thought that</w:t>
      </w:r>
      <w:r w:rsidR="00296457">
        <w:t xml:space="preserve"> leadership of the organisation fostered a respectful and open workplace and that all staff shared a common passion for achieving outcomes for Aboriginal Victorians. </w:t>
      </w:r>
      <w:r>
        <w:t xml:space="preserve">Staff valued the </w:t>
      </w:r>
      <w:r w:rsidR="00C205E7">
        <w:t>willingness</w:t>
      </w:r>
      <w:r>
        <w:t xml:space="preserve"> of the organisation to </w:t>
      </w:r>
      <w:r w:rsidR="00C205E7">
        <w:t xml:space="preserve">approve part time </w:t>
      </w:r>
      <w:r>
        <w:t xml:space="preserve">work. There were no reports of bullying or harassment by staff. </w:t>
      </w:r>
    </w:p>
    <w:p w14:paraId="5DED29CC" w14:textId="08B9497F" w:rsidR="007A3985" w:rsidRDefault="007A3985" w:rsidP="000C0256">
      <w:pPr>
        <w:rPr>
          <w:lang w:eastAsia="en-AU"/>
        </w:rPr>
      </w:pPr>
      <w:r>
        <w:rPr>
          <w:lang w:eastAsia="en-AU"/>
        </w:rPr>
        <w:t>During the Review period, FNL</w:t>
      </w:r>
      <w:r w:rsidR="007C347E">
        <w:rPr>
          <w:lang w:eastAsia="en-AU"/>
        </w:rPr>
        <w:t>R</w:t>
      </w:r>
      <w:r>
        <w:rPr>
          <w:lang w:eastAsia="en-AU"/>
        </w:rPr>
        <w:t xml:space="preserve">S </w:t>
      </w:r>
      <w:r w:rsidR="00FA748E">
        <w:rPr>
          <w:lang w:eastAsia="en-AU"/>
        </w:rPr>
        <w:t>administered regular hybrid working surveys covering</w:t>
      </w:r>
      <w:r>
        <w:rPr>
          <w:lang w:eastAsia="en-AU"/>
        </w:rPr>
        <w:t xml:space="preserve"> staff culture and engagement</w:t>
      </w:r>
      <w:r w:rsidR="00FA748E">
        <w:rPr>
          <w:lang w:eastAsia="en-AU"/>
        </w:rPr>
        <w:t xml:space="preserve"> </w:t>
      </w:r>
      <w:r w:rsidR="00B340B8">
        <w:rPr>
          <w:lang w:eastAsia="en-AU"/>
        </w:rPr>
        <w:t>throughout and after COVID-19</w:t>
      </w:r>
      <w:r>
        <w:rPr>
          <w:lang w:eastAsia="en-AU"/>
        </w:rPr>
        <w:t xml:space="preserve">. </w:t>
      </w:r>
      <w:r w:rsidR="0006360F">
        <w:rPr>
          <w:lang w:eastAsia="en-AU"/>
        </w:rPr>
        <w:t xml:space="preserve">Collecting this feedback periodically </w:t>
      </w:r>
      <w:r w:rsidR="00B340B8">
        <w:rPr>
          <w:lang w:eastAsia="en-AU"/>
        </w:rPr>
        <w:t>helped</w:t>
      </w:r>
      <w:r w:rsidR="0006360F">
        <w:rPr>
          <w:lang w:eastAsia="en-AU"/>
        </w:rPr>
        <w:t xml:space="preserve"> FNLRS to </w:t>
      </w:r>
      <w:r w:rsidR="00F9438D">
        <w:rPr>
          <w:lang w:eastAsia="en-AU"/>
        </w:rPr>
        <w:t xml:space="preserve">identify </w:t>
      </w:r>
      <w:r w:rsidR="0019219D">
        <w:rPr>
          <w:lang w:eastAsia="en-AU"/>
        </w:rPr>
        <w:t>engagement trend</w:t>
      </w:r>
      <w:r w:rsidR="00F9438D">
        <w:rPr>
          <w:lang w:eastAsia="en-AU"/>
        </w:rPr>
        <w:t xml:space="preserve">s and improvement opportunities. </w:t>
      </w:r>
      <w:r w:rsidR="00077592">
        <w:rPr>
          <w:lang w:eastAsia="en-AU"/>
        </w:rPr>
        <w:t xml:space="preserve">FNLRS </w:t>
      </w:r>
      <w:r w:rsidR="00EC5A11">
        <w:rPr>
          <w:lang w:eastAsia="en-AU"/>
        </w:rPr>
        <w:t>historically provided</w:t>
      </w:r>
      <w:r w:rsidR="00077592">
        <w:rPr>
          <w:lang w:eastAsia="en-AU"/>
        </w:rPr>
        <w:t xml:space="preserve"> a</w:t>
      </w:r>
      <w:r w:rsidR="00AB3C37">
        <w:rPr>
          <w:lang w:eastAsia="en-AU"/>
        </w:rPr>
        <w:t xml:space="preserve"> physical feedback box which </w:t>
      </w:r>
      <w:r w:rsidR="00077592">
        <w:rPr>
          <w:lang w:eastAsia="en-AU"/>
        </w:rPr>
        <w:t>was converted</w:t>
      </w:r>
      <w:r w:rsidR="00AB3C37">
        <w:rPr>
          <w:lang w:eastAsia="en-AU"/>
        </w:rPr>
        <w:t xml:space="preserve"> into an anonymous staff survey during COVID</w:t>
      </w:r>
      <w:r w:rsidR="00EC6A6B">
        <w:rPr>
          <w:lang w:eastAsia="en-AU"/>
        </w:rPr>
        <w:t>-19</w:t>
      </w:r>
      <w:r w:rsidR="00AB3C37">
        <w:rPr>
          <w:lang w:eastAsia="en-AU"/>
        </w:rPr>
        <w:t xml:space="preserve"> that was available for staff to complete to provide </w:t>
      </w:r>
      <w:r w:rsidR="00B061B6">
        <w:rPr>
          <w:lang w:eastAsia="en-AU"/>
        </w:rPr>
        <w:t>feedback</w:t>
      </w:r>
      <w:r w:rsidR="00AB3C37">
        <w:rPr>
          <w:lang w:eastAsia="en-AU"/>
        </w:rPr>
        <w:t xml:space="preserve"> at any time. </w:t>
      </w:r>
      <w:r>
        <w:rPr>
          <w:lang w:eastAsia="en-AU"/>
        </w:rPr>
        <w:t>Staff reported</w:t>
      </w:r>
      <w:r w:rsidR="00AB3C37">
        <w:rPr>
          <w:lang w:eastAsia="en-AU"/>
        </w:rPr>
        <w:t xml:space="preserve"> that this feedback was usually taken on board and addressed through staff meetings. </w:t>
      </w:r>
    </w:p>
    <w:p w14:paraId="28E94B08" w14:textId="7547FA4B" w:rsidR="006371C0" w:rsidRDefault="006371C0" w:rsidP="006371C0">
      <w:pPr>
        <w:rPr>
          <w:lang w:eastAsia="en-AU"/>
        </w:rPr>
      </w:pPr>
      <w:bookmarkStart w:id="39" w:name="_Ref155878778"/>
      <w:r>
        <w:rPr>
          <w:lang w:eastAsia="en-AU"/>
        </w:rPr>
        <w:t>During the Review period</w:t>
      </w:r>
      <w:r w:rsidR="007103DD">
        <w:rPr>
          <w:lang w:eastAsia="en-AU"/>
        </w:rPr>
        <w:t>,</w:t>
      </w:r>
      <w:r>
        <w:rPr>
          <w:lang w:eastAsia="en-AU"/>
        </w:rPr>
        <w:t xml:space="preserve"> the </w:t>
      </w:r>
      <w:r w:rsidR="00BF59B7">
        <w:rPr>
          <w:lang w:eastAsia="en-AU"/>
        </w:rPr>
        <w:t>HR</w:t>
      </w:r>
      <w:r>
        <w:rPr>
          <w:lang w:eastAsia="en-AU"/>
        </w:rPr>
        <w:t xml:space="preserve"> function, comprising one part-time staff member, also provided </w:t>
      </w:r>
      <w:r w:rsidR="00006002">
        <w:rPr>
          <w:lang w:eastAsia="en-AU"/>
        </w:rPr>
        <w:t>HR</w:t>
      </w:r>
      <w:r>
        <w:rPr>
          <w:lang w:eastAsia="en-AU"/>
        </w:rPr>
        <w:t xml:space="preserve"> services to </w:t>
      </w:r>
      <w:r w:rsidR="007103DD">
        <w:rPr>
          <w:lang w:eastAsia="en-AU"/>
        </w:rPr>
        <w:t>the Federation</w:t>
      </w:r>
      <w:r>
        <w:rPr>
          <w:lang w:eastAsia="en-AU"/>
        </w:rPr>
        <w:t xml:space="preserve">. </w:t>
      </w:r>
      <w:r w:rsidR="000F3AF1">
        <w:rPr>
          <w:lang w:eastAsia="en-AU"/>
        </w:rPr>
        <w:t>Staff believed the function was under resourced</w:t>
      </w:r>
      <w:r>
        <w:rPr>
          <w:lang w:eastAsia="en-AU"/>
        </w:rPr>
        <w:t xml:space="preserve"> and </w:t>
      </w:r>
      <w:r w:rsidR="000F3AF1">
        <w:rPr>
          <w:lang w:eastAsia="en-AU"/>
        </w:rPr>
        <w:t>struggled</w:t>
      </w:r>
      <w:r>
        <w:rPr>
          <w:lang w:eastAsia="en-AU"/>
        </w:rPr>
        <w:t xml:space="preserve"> to balance strategic </w:t>
      </w:r>
      <w:r w:rsidR="00BF59B7">
        <w:rPr>
          <w:lang w:eastAsia="en-AU"/>
        </w:rPr>
        <w:t>HR</w:t>
      </w:r>
      <w:r>
        <w:rPr>
          <w:lang w:eastAsia="en-AU"/>
        </w:rPr>
        <w:t xml:space="preserve"> planning above and beyond the operational activity that occurs. </w:t>
      </w:r>
      <w:r w:rsidR="000051FD">
        <w:rPr>
          <w:lang w:eastAsia="en-AU"/>
        </w:rPr>
        <w:t xml:space="preserve">Staff reported that there were plans </w:t>
      </w:r>
      <w:r w:rsidR="003817AF">
        <w:rPr>
          <w:lang w:eastAsia="en-AU"/>
        </w:rPr>
        <w:t xml:space="preserve">for the </w:t>
      </w:r>
      <w:r w:rsidR="00BF59B7">
        <w:rPr>
          <w:lang w:eastAsia="en-AU"/>
        </w:rPr>
        <w:t>HR</w:t>
      </w:r>
      <w:r w:rsidR="003817AF">
        <w:rPr>
          <w:lang w:eastAsia="en-AU"/>
        </w:rPr>
        <w:t xml:space="preserve"> team </w:t>
      </w:r>
      <w:r w:rsidR="000051FD">
        <w:rPr>
          <w:lang w:eastAsia="en-AU"/>
        </w:rPr>
        <w:t xml:space="preserve">to implement internal culture surveys </w:t>
      </w:r>
      <w:proofErr w:type="gramStart"/>
      <w:r w:rsidR="00B72A8E">
        <w:rPr>
          <w:lang w:eastAsia="en-AU"/>
        </w:rPr>
        <w:t>in the near future</w:t>
      </w:r>
      <w:proofErr w:type="gramEnd"/>
      <w:r w:rsidR="000051FD">
        <w:rPr>
          <w:lang w:eastAsia="en-AU"/>
        </w:rPr>
        <w:t xml:space="preserve"> to identify organisational strengths and areas for improvement. </w:t>
      </w:r>
    </w:p>
    <w:p w14:paraId="54D7FF4D" w14:textId="1F2EC10D" w:rsidR="006E305C" w:rsidRDefault="006E305C" w:rsidP="006E305C">
      <w:pPr>
        <w:pStyle w:val="Caption"/>
      </w:pPr>
      <w:r>
        <w:t xml:space="preserve">Figure </w:t>
      </w:r>
      <w:r>
        <w:fldChar w:fldCharType="begin"/>
      </w:r>
      <w:r>
        <w:instrText xml:space="preserve"> SEQ Figure \* ARABIC </w:instrText>
      </w:r>
      <w:r>
        <w:fldChar w:fldCharType="separate"/>
      </w:r>
      <w:r w:rsidR="00AB7E95">
        <w:rPr>
          <w:noProof/>
        </w:rPr>
        <w:t>4</w:t>
      </w:r>
      <w:r>
        <w:fldChar w:fldCharType="end"/>
      </w:r>
      <w:bookmarkEnd w:id="39"/>
      <w:r>
        <w:t xml:space="preserve"> | FNLRS’s vision and mission </w:t>
      </w:r>
    </w:p>
    <w:tbl>
      <w:tblPr>
        <w:tblStyle w:val="TableGrid"/>
        <w:tblW w:w="0" w:type="auto"/>
        <w:tblLook w:val="04A0" w:firstRow="1" w:lastRow="0" w:firstColumn="1" w:lastColumn="0" w:noHBand="0" w:noVBand="1"/>
      </w:tblPr>
      <w:tblGrid>
        <w:gridCol w:w="8930"/>
      </w:tblGrid>
      <w:tr w:rsidR="0000360B" w14:paraId="43A4BCA0" w14:textId="77777777" w:rsidTr="006E305C">
        <w:trPr>
          <w:cnfStyle w:val="100000000000" w:firstRow="1" w:lastRow="0" w:firstColumn="0" w:lastColumn="0" w:oddVBand="0" w:evenVBand="0" w:oddHBand="0" w:evenHBand="0" w:firstRowFirstColumn="0" w:firstRowLastColumn="0" w:lastRowFirstColumn="0" w:lastRowLastColumn="0"/>
        </w:trPr>
        <w:tc>
          <w:tcPr>
            <w:tcW w:w="8930" w:type="dxa"/>
          </w:tcPr>
          <w:p w14:paraId="4186A10C" w14:textId="295ABC62" w:rsidR="006E305C" w:rsidRPr="001837C3" w:rsidRDefault="006E305C" w:rsidP="001837C3">
            <w:pPr>
              <w:jc w:val="center"/>
              <w:rPr>
                <w:rFonts w:asciiTheme="majorHAnsi" w:hAnsiTheme="majorHAnsi" w:cstheme="majorHAnsi"/>
              </w:rPr>
            </w:pPr>
            <w:r w:rsidRPr="001837C3">
              <w:rPr>
                <w:rFonts w:asciiTheme="majorHAnsi" w:hAnsiTheme="majorHAnsi" w:cstheme="majorHAnsi"/>
              </w:rPr>
              <w:t>Vision</w:t>
            </w:r>
          </w:p>
          <w:p w14:paraId="159E43BB" w14:textId="129E7CAC" w:rsidR="006E305C" w:rsidRDefault="001837C3" w:rsidP="001837C3">
            <w:pPr>
              <w:jc w:val="center"/>
            </w:pPr>
            <w:r w:rsidRPr="001837C3">
              <w:t>All Traditional Owner groups in</w:t>
            </w:r>
            <w:r>
              <w:t xml:space="preserve"> </w:t>
            </w:r>
            <w:r w:rsidRPr="001837C3">
              <w:t>Victoria are formally recognised</w:t>
            </w:r>
            <w:r>
              <w:t xml:space="preserve"> </w:t>
            </w:r>
            <w:r w:rsidRPr="001837C3">
              <w:t>and supported</w:t>
            </w:r>
            <w:r w:rsidR="00C9153E">
              <w:t>.</w:t>
            </w:r>
          </w:p>
          <w:p w14:paraId="10F1F1AD" w14:textId="77777777" w:rsidR="001837C3" w:rsidRPr="000E2759" w:rsidRDefault="001837C3" w:rsidP="001837C3">
            <w:pPr>
              <w:jc w:val="center"/>
              <w:rPr>
                <w:rFonts w:asciiTheme="majorHAnsi" w:hAnsiTheme="majorHAnsi" w:cstheme="majorHAnsi"/>
              </w:rPr>
            </w:pPr>
            <w:r w:rsidRPr="000E2759">
              <w:rPr>
                <w:rFonts w:asciiTheme="majorHAnsi" w:hAnsiTheme="majorHAnsi" w:cstheme="majorHAnsi"/>
              </w:rPr>
              <w:t xml:space="preserve">Mission </w:t>
            </w:r>
          </w:p>
          <w:p w14:paraId="132D15A9" w14:textId="65218762" w:rsidR="001837C3" w:rsidRDefault="000E2759" w:rsidP="000E2759">
            <w:pPr>
              <w:jc w:val="center"/>
            </w:pPr>
            <w:r w:rsidRPr="000E2759">
              <w:t>To be the service provider of</w:t>
            </w:r>
            <w:r>
              <w:t xml:space="preserve"> </w:t>
            </w:r>
            <w:r w:rsidRPr="000E2759">
              <w:t>choice for supporting Traditional</w:t>
            </w:r>
            <w:r>
              <w:t xml:space="preserve"> </w:t>
            </w:r>
            <w:r w:rsidRPr="000E2759">
              <w:t>Owner groups to realise and</w:t>
            </w:r>
            <w:r>
              <w:t xml:space="preserve"> </w:t>
            </w:r>
            <w:r w:rsidRPr="000E2759">
              <w:t>exercise</w:t>
            </w:r>
            <w:r>
              <w:t xml:space="preserve"> </w:t>
            </w:r>
            <w:r w:rsidRPr="000E2759">
              <w:t>their native title rights</w:t>
            </w:r>
            <w:r>
              <w:t xml:space="preserve"> </w:t>
            </w:r>
            <w:r w:rsidRPr="000E2759">
              <w:t>and interests</w:t>
            </w:r>
            <w:r w:rsidR="00C9153E">
              <w:t>.</w:t>
            </w:r>
          </w:p>
        </w:tc>
      </w:tr>
    </w:tbl>
    <w:p w14:paraId="5FE8F7F4" w14:textId="2BCEEA85" w:rsidR="007A3985" w:rsidRDefault="007A3985" w:rsidP="3248A9F0">
      <w:pPr>
        <w:pStyle w:val="Heading5"/>
        <w:numPr>
          <w:ilvl w:val="4"/>
          <w:numId w:val="1"/>
        </w:numPr>
      </w:pPr>
      <w:r w:rsidRPr="6967B2CC">
        <w:t xml:space="preserve">FNLRS would benefit from greater </w:t>
      </w:r>
      <w:r w:rsidR="005C29CF" w:rsidRPr="6967B2CC">
        <w:t xml:space="preserve">internal </w:t>
      </w:r>
      <w:r w:rsidRPr="6967B2CC">
        <w:t>team collaboration</w:t>
      </w:r>
    </w:p>
    <w:p w14:paraId="2F32F763" w14:textId="4285B4F2" w:rsidR="000C0256" w:rsidRPr="000C0256" w:rsidRDefault="00FF25A7" w:rsidP="000C0256">
      <w:pPr>
        <w:rPr>
          <w:lang w:eastAsia="en-AU"/>
        </w:rPr>
      </w:pPr>
      <w:r>
        <w:rPr>
          <w:lang w:eastAsia="en-AU"/>
        </w:rPr>
        <w:t>When asked what improvements could be made regarding organisational culture,</w:t>
      </w:r>
      <w:r w:rsidR="00DC3D4F">
        <w:rPr>
          <w:lang w:eastAsia="en-AU"/>
        </w:rPr>
        <w:t xml:space="preserve"> staff </w:t>
      </w:r>
      <w:r w:rsidR="00CC4A67">
        <w:rPr>
          <w:lang w:eastAsia="en-AU"/>
        </w:rPr>
        <w:t>suggested</w:t>
      </w:r>
      <w:r w:rsidR="00DC3D4F">
        <w:rPr>
          <w:lang w:eastAsia="en-AU"/>
        </w:rPr>
        <w:t xml:space="preserve"> that there could be greater collaboration between teams</w:t>
      </w:r>
      <w:r w:rsidR="00AF27EA">
        <w:rPr>
          <w:lang w:eastAsia="en-AU"/>
        </w:rPr>
        <w:t>,</w:t>
      </w:r>
      <w:r w:rsidR="00DC3D4F">
        <w:rPr>
          <w:lang w:eastAsia="en-AU"/>
        </w:rPr>
        <w:t xml:space="preserve"> with teams often working in silos. </w:t>
      </w:r>
      <w:r w:rsidR="002D1269">
        <w:rPr>
          <w:lang w:eastAsia="en-AU"/>
        </w:rPr>
        <w:t xml:space="preserve">During the Review period, COVID-19 had a significant impact on the ways of working </w:t>
      </w:r>
      <w:r>
        <w:rPr>
          <w:lang w:eastAsia="en-AU"/>
        </w:rPr>
        <w:t>which hampered collaboration.</w:t>
      </w:r>
      <w:r w:rsidR="002D1269">
        <w:rPr>
          <w:lang w:eastAsia="en-AU"/>
        </w:rPr>
        <w:t xml:space="preserve"> FNLRS staff were provided with laptops just before COVID-19 restrictions were i</w:t>
      </w:r>
      <w:r w:rsidR="00286C39">
        <w:rPr>
          <w:lang w:eastAsia="en-AU"/>
        </w:rPr>
        <w:t>mplemented</w:t>
      </w:r>
      <w:r w:rsidR="007C347E">
        <w:rPr>
          <w:lang w:eastAsia="en-AU"/>
        </w:rPr>
        <w:t>,</w:t>
      </w:r>
      <w:r w:rsidR="002D1269">
        <w:rPr>
          <w:lang w:eastAsia="en-AU"/>
        </w:rPr>
        <w:t xml:space="preserve"> which helped the organisation to adapt quickly to working from home</w:t>
      </w:r>
      <w:r w:rsidR="00955CF2">
        <w:rPr>
          <w:lang w:eastAsia="en-AU"/>
        </w:rPr>
        <w:t xml:space="preserve"> and continue to work collaboratively</w:t>
      </w:r>
      <w:r w:rsidR="002D1269">
        <w:rPr>
          <w:lang w:eastAsia="en-AU"/>
        </w:rPr>
        <w:t xml:space="preserve">. </w:t>
      </w:r>
      <w:r w:rsidR="00183E93">
        <w:rPr>
          <w:lang w:eastAsia="en-AU"/>
        </w:rPr>
        <w:t xml:space="preserve">Several staff, however, </w:t>
      </w:r>
      <w:r w:rsidR="00FC0C7F">
        <w:rPr>
          <w:lang w:eastAsia="en-AU"/>
        </w:rPr>
        <w:t>acknowledged</w:t>
      </w:r>
      <w:r w:rsidR="00183E93">
        <w:rPr>
          <w:lang w:eastAsia="en-AU"/>
        </w:rPr>
        <w:t xml:space="preserve"> that FNLRS was still trying to find the right balance of hybrid working to </w:t>
      </w:r>
      <w:r w:rsidR="009B70FB">
        <w:rPr>
          <w:lang w:eastAsia="en-AU"/>
        </w:rPr>
        <w:t xml:space="preserve">maintain </w:t>
      </w:r>
      <w:r w:rsidR="00206896">
        <w:rPr>
          <w:lang w:eastAsia="en-AU"/>
        </w:rPr>
        <w:t xml:space="preserve">flexibility </w:t>
      </w:r>
      <w:r w:rsidR="00DC3D4F">
        <w:rPr>
          <w:lang w:eastAsia="en-AU"/>
        </w:rPr>
        <w:t>while encouraging collaboration.</w:t>
      </w:r>
      <w:r w:rsidR="00206896">
        <w:rPr>
          <w:lang w:eastAsia="en-AU"/>
        </w:rPr>
        <w:t xml:space="preserve"> FNLRS implemented designated days for staff to work from the office to improve staff engagement. </w:t>
      </w:r>
      <w:r w:rsidR="00DC6753">
        <w:rPr>
          <w:lang w:eastAsia="en-AU"/>
        </w:rPr>
        <w:t xml:space="preserve">Staff </w:t>
      </w:r>
      <w:r w:rsidR="00152336">
        <w:rPr>
          <w:lang w:eastAsia="en-AU"/>
        </w:rPr>
        <w:t>were</w:t>
      </w:r>
      <w:r w:rsidR="00DC6753">
        <w:rPr>
          <w:lang w:eastAsia="en-AU"/>
        </w:rPr>
        <w:t xml:space="preserve"> hopeful that the move to the new office site which is smaller and </w:t>
      </w:r>
      <w:r w:rsidR="00526DC1">
        <w:rPr>
          <w:lang w:eastAsia="en-AU"/>
        </w:rPr>
        <w:t>on one level</w:t>
      </w:r>
      <w:r w:rsidR="00DC6753">
        <w:rPr>
          <w:lang w:eastAsia="en-AU"/>
        </w:rPr>
        <w:t xml:space="preserve"> will enhance collaboration.</w:t>
      </w:r>
    </w:p>
    <w:p w14:paraId="7177808E" w14:textId="0D7E519F" w:rsidR="00FA6B9D" w:rsidRDefault="00FA6B9D" w:rsidP="6967B2CC">
      <w:pPr>
        <w:pStyle w:val="Heading4"/>
      </w:pPr>
      <w:r w:rsidRPr="6967B2CC">
        <w:lastRenderedPageBreak/>
        <w:t>Financial management</w:t>
      </w:r>
    </w:p>
    <w:p w14:paraId="26E8E1B1" w14:textId="1046B90D" w:rsidR="00187F87" w:rsidRPr="00187F87" w:rsidRDefault="00152336" w:rsidP="005566FF">
      <w:pPr>
        <w:pStyle w:val="Heading5"/>
        <w:numPr>
          <w:ilvl w:val="4"/>
          <w:numId w:val="1"/>
        </w:numPr>
      </w:pPr>
      <w:r w:rsidRPr="6967B2CC">
        <w:t xml:space="preserve">FNLRS had sound policies in place for financial management </w:t>
      </w:r>
    </w:p>
    <w:p w14:paraId="46AEB72F" w14:textId="76BF75AB" w:rsidR="00CC744B" w:rsidRDefault="00CF2CFA" w:rsidP="00CF2CFA">
      <w:pPr>
        <w:rPr>
          <w:lang w:eastAsia="en-AU"/>
        </w:rPr>
      </w:pPr>
      <w:r>
        <w:rPr>
          <w:lang w:eastAsia="en-AU"/>
        </w:rPr>
        <w:t xml:space="preserve">FNLRS </w:t>
      </w:r>
      <w:r w:rsidR="00537E30">
        <w:rPr>
          <w:lang w:eastAsia="en-AU"/>
        </w:rPr>
        <w:t>fulfilled its</w:t>
      </w:r>
      <w:r>
        <w:rPr>
          <w:lang w:eastAsia="en-AU"/>
        </w:rPr>
        <w:t xml:space="preserve"> financial requirements</w:t>
      </w:r>
      <w:r w:rsidR="00537E30">
        <w:rPr>
          <w:lang w:eastAsia="en-AU"/>
        </w:rPr>
        <w:t xml:space="preserve"> to report to the NIAA</w:t>
      </w:r>
      <w:r>
        <w:rPr>
          <w:lang w:eastAsia="en-AU"/>
        </w:rPr>
        <w:t xml:space="preserve"> </w:t>
      </w:r>
      <w:r w:rsidR="00537E30">
        <w:rPr>
          <w:lang w:eastAsia="en-AU"/>
        </w:rPr>
        <w:t xml:space="preserve">in a timely manner. </w:t>
      </w:r>
      <w:r w:rsidR="00B778A1">
        <w:rPr>
          <w:lang w:eastAsia="en-AU"/>
        </w:rPr>
        <w:t>FNLRS’s</w:t>
      </w:r>
      <w:r w:rsidR="00850140">
        <w:rPr>
          <w:lang w:eastAsia="en-AU"/>
        </w:rPr>
        <w:t xml:space="preserve"> </w:t>
      </w:r>
      <w:r w:rsidR="00A13755">
        <w:rPr>
          <w:lang w:eastAsia="en-AU"/>
        </w:rPr>
        <w:t>ARC</w:t>
      </w:r>
      <w:r w:rsidR="00850140" w:rsidRPr="00850140">
        <w:rPr>
          <w:lang w:eastAsia="en-AU"/>
        </w:rPr>
        <w:t xml:space="preserve"> </w:t>
      </w:r>
      <w:r w:rsidR="00850140">
        <w:rPr>
          <w:lang w:eastAsia="en-AU"/>
        </w:rPr>
        <w:t>assists FNLRS</w:t>
      </w:r>
      <w:r w:rsidR="00CC744B">
        <w:rPr>
          <w:lang w:eastAsia="en-AU"/>
        </w:rPr>
        <w:t xml:space="preserve"> with its financial management through advising on accounting policies, internal control systems, risk management systems</w:t>
      </w:r>
      <w:r w:rsidR="005C696E">
        <w:rPr>
          <w:lang w:eastAsia="en-AU"/>
        </w:rPr>
        <w:t>,</w:t>
      </w:r>
      <w:r w:rsidR="00CC744B">
        <w:rPr>
          <w:lang w:eastAsia="en-AU"/>
        </w:rPr>
        <w:t xml:space="preserve"> asset management and act</w:t>
      </w:r>
      <w:r w:rsidR="00CC4A67">
        <w:rPr>
          <w:lang w:eastAsia="en-AU"/>
        </w:rPr>
        <w:t>ed</w:t>
      </w:r>
      <w:r w:rsidR="00CC744B">
        <w:rPr>
          <w:lang w:eastAsia="en-AU"/>
        </w:rPr>
        <w:t xml:space="preserve"> as the Remuneration Committee to review the remuneration and performance of the CEO</w:t>
      </w:r>
      <w:r w:rsidR="00850140" w:rsidRPr="00850140">
        <w:rPr>
          <w:lang w:eastAsia="en-AU"/>
        </w:rPr>
        <w:t>.</w:t>
      </w:r>
    </w:p>
    <w:p w14:paraId="7DF4E68F" w14:textId="6A08866E" w:rsidR="00CF2CFA" w:rsidRPr="00E347AB" w:rsidRDefault="00CC744B" w:rsidP="00CF2CFA">
      <w:pPr>
        <w:rPr>
          <w:lang w:eastAsia="en-AU"/>
        </w:rPr>
      </w:pPr>
      <w:r>
        <w:rPr>
          <w:lang w:eastAsia="en-AU"/>
        </w:rPr>
        <w:t xml:space="preserve">During the Review period, </w:t>
      </w:r>
      <w:r w:rsidR="00CE7CB5">
        <w:rPr>
          <w:lang w:eastAsia="en-AU"/>
        </w:rPr>
        <w:t>FNL</w:t>
      </w:r>
      <w:r w:rsidR="00435633">
        <w:rPr>
          <w:lang w:eastAsia="en-AU"/>
        </w:rPr>
        <w:t>R</w:t>
      </w:r>
      <w:r w:rsidR="00CE7CB5">
        <w:rPr>
          <w:lang w:eastAsia="en-AU"/>
        </w:rPr>
        <w:t>S receive</w:t>
      </w:r>
      <w:r w:rsidR="004B5C12">
        <w:rPr>
          <w:lang w:eastAsia="en-AU"/>
        </w:rPr>
        <w:t>d</w:t>
      </w:r>
      <w:r w:rsidR="00CF2CFA">
        <w:rPr>
          <w:lang w:eastAsia="en-AU"/>
        </w:rPr>
        <w:t xml:space="preserve"> funding from </w:t>
      </w:r>
      <w:r w:rsidR="00F04D7D">
        <w:rPr>
          <w:lang w:eastAsia="en-AU"/>
        </w:rPr>
        <w:t xml:space="preserve">both the </w:t>
      </w:r>
      <w:r w:rsidR="000E3303">
        <w:rPr>
          <w:lang w:eastAsia="en-AU"/>
        </w:rPr>
        <w:t xml:space="preserve">Australian </w:t>
      </w:r>
      <w:r w:rsidR="00F04D7D">
        <w:rPr>
          <w:lang w:eastAsia="en-AU"/>
        </w:rPr>
        <w:t xml:space="preserve">Government and the Victorian Government to deliver </w:t>
      </w:r>
      <w:r w:rsidR="00400811">
        <w:rPr>
          <w:lang w:eastAsia="en-AU"/>
        </w:rPr>
        <w:t>native title and broader</w:t>
      </w:r>
      <w:r w:rsidR="00F04D7D">
        <w:rPr>
          <w:lang w:eastAsia="en-AU"/>
        </w:rPr>
        <w:t xml:space="preserve"> services</w:t>
      </w:r>
      <w:r w:rsidR="00077DC9">
        <w:rPr>
          <w:lang w:eastAsia="en-AU"/>
        </w:rPr>
        <w:t>.</w:t>
      </w:r>
      <w:r w:rsidR="00B47913">
        <w:t xml:space="preserve"> </w:t>
      </w:r>
      <w:r w:rsidR="00D25562">
        <w:t>Staff reported that the</w:t>
      </w:r>
      <w:r w:rsidR="00034E36">
        <w:t xml:space="preserve">y had </w:t>
      </w:r>
      <w:r w:rsidR="001E5BB6">
        <w:t>effective</w:t>
      </w:r>
      <w:r w:rsidR="00034E36">
        <w:t xml:space="preserve"> mechanisms in place to manage the</w:t>
      </w:r>
      <w:r w:rsidR="00CF2CFA">
        <w:rPr>
          <w:lang w:eastAsia="en-AU"/>
        </w:rPr>
        <w:t xml:space="preserve"> attribution of funding </w:t>
      </w:r>
      <w:r w:rsidR="00A5190B">
        <w:rPr>
          <w:lang w:eastAsia="en-AU"/>
        </w:rPr>
        <w:t>to</w:t>
      </w:r>
      <w:r w:rsidR="00CF2CFA">
        <w:rPr>
          <w:lang w:eastAsia="en-AU"/>
        </w:rPr>
        <w:t xml:space="preserve"> </w:t>
      </w:r>
      <w:r w:rsidR="004F7CE8">
        <w:rPr>
          <w:lang w:eastAsia="en-AU"/>
        </w:rPr>
        <w:t xml:space="preserve">support the organisation to </w:t>
      </w:r>
      <w:r w:rsidR="00964D68">
        <w:rPr>
          <w:lang w:eastAsia="en-AU"/>
        </w:rPr>
        <w:t xml:space="preserve">comply with all funding agreements and </w:t>
      </w:r>
      <w:r w:rsidR="00CF2CFA">
        <w:rPr>
          <w:lang w:eastAsia="en-AU"/>
        </w:rPr>
        <w:t>no</w:t>
      </w:r>
      <w:r w:rsidR="00183296">
        <w:rPr>
          <w:lang w:eastAsia="en-AU"/>
        </w:rPr>
        <w:t>t have any</w:t>
      </w:r>
      <w:r w:rsidR="00CF2CFA">
        <w:rPr>
          <w:lang w:eastAsia="en-AU"/>
        </w:rPr>
        <w:t xml:space="preserve"> cross-subsidisation.</w:t>
      </w:r>
      <w:r w:rsidR="00D25562">
        <w:rPr>
          <w:lang w:eastAsia="en-AU"/>
        </w:rPr>
        <w:t xml:space="preserve"> Financial systems improved during the Review period to automate reporting and efficiently track budgets and funding</w:t>
      </w:r>
      <w:r w:rsidR="00E24CD9">
        <w:rPr>
          <w:lang w:eastAsia="en-AU"/>
        </w:rPr>
        <w:t xml:space="preserve">. </w:t>
      </w:r>
      <w:r w:rsidR="00B778A1">
        <w:rPr>
          <w:lang w:eastAsia="en-AU"/>
        </w:rPr>
        <w:t>FNLRS’s</w:t>
      </w:r>
      <w:r w:rsidR="00E24CD9">
        <w:rPr>
          <w:lang w:eastAsia="en-AU"/>
        </w:rPr>
        <w:t xml:space="preserve"> accounting software </w:t>
      </w:r>
      <w:r w:rsidR="004B5C12">
        <w:rPr>
          <w:lang w:eastAsia="en-AU"/>
        </w:rPr>
        <w:t>was</w:t>
      </w:r>
      <w:r w:rsidR="00E24CD9">
        <w:rPr>
          <w:lang w:eastAsia="en-AU"/>
        </w:rPr>
        <w:t xml:space="preserve"> connected to </w:t>
      </w:r>
      <w:proofErr w:type="spellStart"/>
      <w:r w:rsidR="00E24CD9">
        <w:rPr>
          <w:lang w:eastAsia="en-AU"/>
        </w:rPr>
        <w:t>PowerBI</w:t>
      </w:r>
      <w:proofErr w:type="spellEnd"/>
      <w:r w:rsidR="00E24CD9">
        <w:rPr>
          <w:lang w:eastAsia="en-AU"/>
        </w:rPr>
        <w:t xml:space="preserve"> dashboards to monitor budgets in real time,</w:t>
      </w:r>
      <w:r w:rsidR="00D25562">
        <w:rPr>
          <w:lang w:eastAsia="en-AU"/>
        </w:rPr>
        <w:t xml:space="preserve"> which help</w:t>
      </w:r>
      <w:r w:rsidR="004B5C12">
        <w:rPr>
          <w:lang w:eastAsia="en-AU"/>
        </w:rPr>
        <w:t>ed</w:t>
      </w:r>
      <w:r w:rsidR="00D25562">
        <w:rPr>
          <w:lang w:eastAsia="en-AU"/>
        </w:rPr>
        <w:t xml:space="preserve"> to enhance</w:t>
      </w:r>
      <w:r w:rsidR="00E24CD9">
        <w:rPr>
          <w:lang w:eastAsia="en-AU"/>
        </w:rPr>
        <w:t xml:space="preserve"> the</w:t>
      </w:r>
      <w:r w:rsidR="00D25562">
        <w:rPr>
          <w:lang w:eastAsia="en-AU"/>
        </w:rPr>
        <w:t xml:space="preserve"> transparency around funding used from the </w:t>
      </w:r>
      <w:r w:rsidR="000E3303">
        <w:rPr>
          <w:lang w:eastAsia="en-AU"/>
        </w:rPr>
        <w:t xml:space="preserve">Australian </w:t>
      </w:r>
      <w:r w:rsidR="00D25562">
        <w:rPr>
          <w:lang w:eastAsia="en-AU"/>
        </w:rPr>
        <w:t xml:space="preserve">and Victorian </w:t>
      </w:r>
      <w:r w:rsidR="0058168B">
        <w:rPr>
          <w:lang w:eastAsia="en-AU"/>
        </w:rPr>
        <w:t>g</w:t>
      </w:r>
      <w:r w:rsidR="00D25562">
        <w:rPr>
          <w:lang w:eastAsia="en-AU"/>
        </w:rPr>
        <w:t>overnment</w:t>
      </w:r>
      <w:r w:rsidR="0058168B">
        <w:rPr>
          <w:lang w:eastAsia="en-AU"/>
        </w:rPr>
        <w:t>s</w:t>
      </w:r>
      <w:r w:rsidR="00E24CD9">
        <w:rPr>
          <w:lang w:eastAsia="en-AU"/>
        </w:rPr>
        <w:t xml:space="preserve">. </w:t>
      </w:r>
    </w:p>
    <w:p w14:paraId="7BA34C05" w14:textId="00D7B5B0" w:rsidR="00706D12" w:rsidRDefault="009B79B7" w:rsidP="00CF2CFA">
      <w:pPr>
        <w:rPr>
          <w:lang w:eastAsia="en-AU"/>
        </w:rPr>
      </w:pPr>
      <w:r>
        <w:rPr>
          <w:lang w:eastAsia="en-AU"/>
        </w:rPr>
        <w:t>D</w:t>
      </w:r>
      <w:r w:rsidR="00985967">
        <w:rPr>
          <w:lang w:eastAsia="en-AU"/>
        </w:rPr>
        <w:t>espite some of the systems automating processes, there were still too many</w:t>
      </w:r>
      <w:r w:rsidR="00706D12">
        <w:rPr>
          <w:lang w:eastAsia="en-AU"/>
        </w:rPr>
        <w:t xml:space="preserve"> IT systems</w:t>
      </w:r>
      <w:r w:rsidR="00A52A26">
        <w:rPr>
          <w:lang w:eastAsia="en-AU"/>
        </w:rPr>
        <w:t xml:space="preserve">. Different systems </w:t>
      </w:r>
      <w:r w:rsidR="00811DF1">
        <w:rPr>
          <w:lang w:eastAsia="en-AU"/>
        </w:rPr>
        <w:t>were</w:t>
      </w:r>
      <w:r w:rsidR="00A52A26">
        <w:rPr>
          <w:lang w:eastAsia="en-AU"/>
        </w:rPr>
        <w:t xml:space="preserve"> used</w:t>
      </w:r>
      <w:r w:rsidR="00706D12">
        <w:rPr>
          <w:lang w:eastAsia="en-AU"/>
        </w:rPr>
        <w:t xml:space="preserve"> for</w:t>
      </w:r>
      <w:r w:rsidR="00D223AA">
        <w:rPr>
          <w:lang w:eastAsia="en-AU"/>
        </w:rPr>
        <w:t xml:space="preserve"> accounting,</w:t>
      </w:r>
      <w:r w:rsidR="00706D12">
        <w:rPr>
          <w:lang w:eastAsia="en-AU"/>
        </w:rPr>
        <w:t xml:space="preserve"> payroll</w:t>
      </w:r>
      <w:r w:rsidR="00D223AA">
        <w:rPr>
          <w:lang w:eastAsia="en-AU"/>
        </w:rPr>
        <w:t xml:space="preserve"> and</w:t>
      </w:r>
      <w:r w:rsidR="00985967">
        <w:t xml:space="preserve"> a specialised system</w:t>
      </w:r>
      <w:r w:rsidR="00706D12">
        <w:rPr>
          <w:lang w:eastAsia="en-AU"/>
        </w:rPr>
        <w:t xml:space="preserve"> for </w:t>
      </w:r>
      <w:r w:rsidR="00D223AA">
        <w:rPr>
          <w:lang w:eastAsia="en-AU"/>
        </w:rPr>
        <w:t xml:space="preserve">time sheeting and </w:t>
      </w:r>
      <w:r w:rsidR="00706D12">
        <w:rPr>
          <w:lang w:eastAsia="en-AU"/>
        </w:rPr>
        <w:t xml:space="preserve">invoicing </w:t>
      </w:r>
      <w:r w:rsidR="00D223AA">
        <w:rPr>
          <w:lang w:eastAsia="en-AU"/>
        </w:rPr>
        <w:t>from the</w:t>
      </w:r>
      <w:r w:rsidR="00985967">
        <w:rPr>
          <w:lang w:eastAsia="en-AU"/>
        </w:rPr>
        <w:t xml:space="preserve"> legal tea</w:t>
      </w:r>
      <w:r w:rsidR="00D223AA">
        <w:rPr>
          <w:lang w:eastAsia="en-AU"/>
        </w:rPr>
        <w:t>m</w:t>
      </w:r>
      <w:r w:rsidR="00706D12">
        <w:rPr>
          <w:lang w:eastAsia="en-AU"/>
        </w:rPr>
        <w:t xml:space="preserve">. This </w:t>
      </w:r>
      <w:r w:rsidR="00F91257">
        <w:rPr>
          <w:lang w:eastAsia="en-AU"/>
        </w:rPr>
        <w:t>created</w:t>
      </w:r>
      <w:r w:rsidR="00985967">
        <w:rPr>
          <w:lang w:eastAsia="en-AU"/>
        </w:rPr>
        <w:t xml:space="preserve"> </w:t>
      </w:r>
      <w:r w:rsidR="00CF2CFA">
        <w:rPr>
          <w:lang w:eastAsia="en-AU"/>
        </w:rPr>
        <w:t xml:space="preserve">complexity </w:t>
      </w:r>
      <w:r w:rsidR="00F91257">
        <w:rPr>
          <w:lang w:eastAsia="en-AU"/>
        </w:rPr>
        <w:t xml:space="preserve">in </w:t>
      </w:r>
      <w:r w:rsidR="00985967">
        <w:rPr>
          <w:lang w:eastAsia="en-AU"/>
        </w:rPr>
        <w:t xml:space="preserve">the day-to-day financial management and </w:t>
      </w:r>
      <w:r w:rsidR="00F41935">
        <w:rPr>
          <w:lang w:eastAsia="en-AU"/>
        </w:rPr>
        <w:t xml:space="preserve">there was support for consolidating these </w:t>
      </w:r>
      <w:r w:rsidR="00985967">
        <w:rPr>
          <w:lang w:eastAsia="en-AU"/>
        </w:rPr>
        <w:t>systems</w:t>
      </w:r>
      <w:r w:rsidR="00CF2CFA">
        <w:rPr>
          <w:lang w:eastAsia="en-AU"/>
        </w:rPr>
        <w:t>.</w:t>
      </w:r>
      <w:r w:rsidR="00985967">
        <w:rPr>
          <w:lang w:eastAsia="en-AU"/>
        </w:rPr>
        <w:t xml:space="preserve"> </w:t>
      </w:r>
      <w:r w:rsidR="00706D12">
        <w:rPr>
          <w:lang w:eastAsia="en-AU"/>
        </w:rPr>
        <w:t xml:space="preserve">FNLRS </w:t>
      </w:r>
      <w:r w:rsidR="00AF10F1">
        <w:rPr>
          <w:lang w:eastAsia="en-AU"/>
        </w:rPr>
        <w:t xml:space="preserve">spoke to </w:t>
      </w:r>
      <w:r w:rsidR="00CF2CFA">
        <w:rPr>
          <w:lang w:eastAsia="en-AU"/>
        </w:rPr>
        <w:t xml:space="preserve">other NTRB-SPs </w:t>
      </w:r>
      <w:r w:rsidR="00FF53FB">
        <w:rPr>
          <w:lang w:eastAsia="en-AU"/>
        </w:rPr>
        <w:t>to discuss better practice, however it is unclear how helpful these sessions were as other NTRB</w:t>
      </w:r>
      <w:r w:rsidR="00657C57">
        <w:rPr>
          <w:lang w:eastAsia="en-AU"/>
        </w:rPr>
        <w:t>-SP</w:t>
      </w:r>
      <w:r w:rsidR="00FF53FB">
        <w:rPr>
          <w:lang w:eastAsia="en-AU"/>
        </w:rPr>
        <w:t xml:space="preserve">s </w:t>
      </w:r>
      <w:r w:rsidR="00555F61">
        <w:rPr>
          <w:lang w:eastAsia="en-AU"/>
        </w:rPr>
        <w:t>had</w:t>
      </w:r>
      <w:r w:rsidR="00FF53FB">
        <w:rPr>
          <w:lang w:eastAsia="en-AU"/>
        </w:rPr>
        <w:t xml:space="preserve"> similar </w:t>
      </w:r>
      <w:r w:rsidR="00555F61">
        <w:rPr>
          <w:lang w:eastAsia="en-AU"/>
        </w:rPr>
        <w:t>issues</w:t>
      </w:r>
      <w:r w:rsidR="00FF53FB">
        <w:rPr>
          <w:lang w:eastAsia="en-AU"/>
        </w:rPr>
        <w:t xml:space="preserve">. </w:t>
      </w:r>
      <w:r w:rsidR="00573826">
        <w:rPr>
          <w:lang w:eastAsia="en-AU"/>
        </w:rPr>
        <w:t>FNLRS continues to investigate how it could consolidate its financial systems in the future.</w:t>
      </w:r>
    </w:p>
    <w:p w14:paraId="58674F3B" w14:textId="45E6221C" w:rsidR="00FA6B9D" w:rsidRDefault="00FA6B9D" w:rsidP="00FA6B9D">
      <w:pPr>
        <w:pStyle w:val="Heading4"/>
      </w:pPr>
      <w:r>
        <w:t>Training and professional development</w:t>
      </w:r>
    </w:p>
    <w:p w14:paraId="39FAA294" w14:textId="534E971D" w:rsidR="00187F87" w:rsidRPr="00187F87" w:rsidRDefault="00187F87" w:rsidP="00447C8A">
      <w:pPr>
        <w:pStyle w:val="Heading5"/>
      </w:pPr>
      <w:r w:rsidRPr="00187F87">
        <w:t xml:space="preserve">Ample training opportunities were provided to staff during the Review period </w:t>
      </w:r>
    </w:p>
    <w:p w14:paraId="129A4700" w14:textId="73305283" w:rsidR="00802796" w:rsidRDefault="008F71D0" w:rsidP="00F6744D">
      <w:pPr>
        <w:rPr>
          <w:lang w:eastAsia="en-AU"/>
        </w:rPr>
      </w:pPr>
      <w:r>
        <w:rPr>
          <w:lang w:eastAsia="en-AU"/>
        </w:rPr>
        <w:t>FNLRS’s HR function</w:t>
      </w:r>
      <w:r w:rsidR="00245E8B">
        <w:rPr>
          <w:lang w:eastAsia="en-AU"/>
        </w:rPr>
        <w:t xml:space="preserve"> oversaw operations regarding </w:t>
      </w:r>
      <w:r w:rsidR="00CA2A98">
        <w:rPr>
          <w:lang w:eastAsia="en-AU"/>
        </w:rPr>
        <w:t xml:space="preserve">staff training and </w:t>
      </w:r>
      <w:r w:rsidR="00C817FC">
        <w:rPr>
          <w:lang w:eastAsia="en-AU"/>
        </w:rPr>
        <w:t>professional development during the Review period.</w:t>
      </w:r>
      <w:r w:rsidR="00245E8B">
        <w:rPr>
          <w:lang w:eastAsia="en-AU"/>
        </w:rPr>
        <w:t xml:space="preserve"> </w:t>
      </w:r>
      <w:r w:rsidR="00F96D88">
        <w:rPr>
          <w:lang w:eastAsia="en-AU"/>
        </w:rPr>
        <w:t xml:space="preserve">Prior to the Review period </w:t>
      </w:r>
      <w:r w:rsidR="00B9769A">
        <w:rPr>
          <w:lang w:eastAsia="en-AU"/>
        </w:rPr>
        <w:t xml:space="preserve">disruptions due to </w:t>
      </w:r>
      <w:r w:rsidR="00F96D88">
        <w:rPr>
          <w:lang w:eastAsia="en-AU"/>
        </w:rPr>
        <w:t xml:space="preserve">HR staff changes resulted </w:t>
      </w:r>
      <w:r w:rsidR="00F54701">
        <w:rPr>
          <w:lang w:eastAsia="en-AU"/>
        </w:rPr>
        <w:t>in some policies and practices being out of date</w:t>
      </w:r>
      <w:r w:rsidR="00176643">
        <w:rPr>
          <w:lang w:eastAsia="en-AU"/>
        </w:rPr>
        <w:t>. The recruitment of the new HR Manager and the i</w:t>
      </w:r>
      <w:r w:rsidR="00C817FC">
        <w:rPr>
          <w:lang w:eastAsia="en-AU"/>
        </w:rPr>
        <w:t>mplement</w:t>
      </w:r>
      <w:r w:rsidR="00E231D8">
        <w:rPr>
          <w:lang w:eastAsia="en-AU"/>
        </w:rPr>
        <w:t>ation of</w:t>
      </w:r>
      <w:r w:rsidR="00733B1B">
        <w:rPr>
          <w:lang w:eastAsia="en-AU"/>
        </w:rPr>
        <w:t xml:space="preserve"> </w:t>
      </w:r>
      <w:r w:rsidR="00433367">
        <w:rPr>
          <w:lang w:eastAsia="en-AU"/>
        </w:rPr>
        <w:t xml:space="preserve">a digital </w:t>
      </w:r>
      <w:r w:rsidR="00DE6168">
        <w:rPr>
          <w:lang w:eastAsia="en-AU"/>
        </w:rPr>
        <w:t xml:space="preserve">HR </w:t>
      </w:r>
      <w:r w:rsidR="00433367">
        <w:rPr>
          <w:lang w:eastAsia="en-AU"/>
        </w:rPr>
        <w:t>platform</w:t>
      </w:r>
      <w:r w:rsidR="006C392F">
        <w:rPr>
          <w:lang w:eastAsia="en-AU"/>
        </w:rPr>
        <w:t xml:space="preserve"> </w:t>
      </w:r>
      <w:r w:rsidR="00B9769A">
        <w:rPr>
          <w:lang w:eastAsia="en-AU"/>
        </w:rPr>
        <w:t>led</w:t>
      </w:r>
      <w:r w:rsidR="006C392F">
        <w:rPr>
          <w:lang w:eastAsia="en-AU"/>
        </w:rPr>
        <w:t xml:space="preserve"> to an improved HR function</w:t>
      </w:r>
      <w:r w:rsidR="00BC54ED">
        <w:rPr>
          <w:lang w:eastAsia="en-AU"/>
        </w:rPr>
        <w:t>, notably due to improv</w:t>
      </w:r>
      <w:r w:rsidR="00B9769A">
        <w:rPr>
          <w:lang w:eastAsia="en-AU"/>
        </w:rPr>
        <w:t>ed</w:t>
      </w:r>
      <w:r w:rsidR="00BC54ED">
        <w:rPr>
          <w:lang w:eastAsia="en-AU"/>
        </w:rPr>
        <w:t xml:space="preserve"> </w:t>
      </w:r>
      <w:r w:rsidR="008138A6">
        <w:rPr>
          <w:lang w:eastAsia="en-AU"/>
        </w:rPr>
        <w:t>onboarding and</w:t>
      </w:r>
      <w:r w:rsidR="00BC54ED">
        <w:rPr>
          <w:lang w:eastAsia="en-AU"/>
        </w:rPr>
        <w:t xml:space="preserve"> </w:t>
      </w:r>
      <w:r w:rsidR="009E29E0">
        <w:rPr>
          <w:lang w:eastAsia="en-AU"/>
        </w:rPr>
        <w:t>offboarding</w:t>
      </w:r>
      <w:r w:rsidR="008138A6">
        <w:rPr>
          <w:lang w:eastAsia="en-AU"/>
        </w:rPr>
        <w:t xml:space="preserve"> process</w:t>
      </w:r>
      <w:r w:rsidR="00DE6168">
        <w:rPr>
          <w:lang w:eastAsia="en-AU"/>
        </w:rPr>
        <w:t>es</w:t>
      </w:r>
      <w:r w:rsidR="00E231D8">
        <w:rPr>
          <w:lang w:eastAsia="en-AU"/>
        </w:rPr>
        <w:t>, and management of policies</w:t>
      </w:r>
      <w:r w:rsidR="00BC54ED">
        <w:rPr>
          <w:lang w:eastAsia="en-AU"/>
        </w:rPr>
        <w:t xml:space="preserve">. </w:t>
      </w:r>
      <w:r w:rsidR="00802796">
        <w:rPr>
          <w:lang w:eastAsia="en-AU"/>
        </w:rPr>
        <w:t xml:space="preserve">This </w:t>
      </w:r>
      <w:r w:rsidR="0053548A">
        <w:rPr>
          <w:lang w:eastAsia="en-AU"/>
        </w:rPr>
        <w:t>allowed</w:t>
      </w:r>
      <w:r w:rsidR="00E90788">
        <w:rPr>
          <w:lang w:eastAsia="en-AU"/>
        </w:rPr>
        <w:t xml:space="preserve"> </w:t>
      </w:r>
      <w:r w:rsidR="00802796">
        <w:rPr>
          <w:lang w:eastAsia="en-AU"/>
        </w:rPr>
        <w:t xml:space="preserve">FNLRS </w:t>
      </w:r>
      <w:r w:rsidR="003E5DAA">
        <w:rPr>
          <w:lang w:eastAsia="en-AU"/>
        </w:rPr>
        <w:t>to</w:t>
      </w:r>
      <w:r w:rsidR="00802796">
        <w:rPr>
          <w:lang w:eastAsia="en-AU"/>
        </w:rPr>
        <w:t xml:space="preserve"> adequately support its staff through </w:t>
      </w:r>
      <w:r w:rsidR="006F2F62">
        <w:rPr>
          <w:lang w:eastAsia="en-AU"/>
        </w:rPr>
        <w:t>HR</w:t>
      </w:r>
      <w:r w:rsidR="00802796">
        <w:rPr>
          <w:lang w:eastAsia="en-AU"/>
        </w:rPr>
        <w:t xml:space="preserve"> issues, training and professional development. Staff reported</w:t>
      </w:r>
      <w:r w:rsidR="008E7EE4">
        <w:rPr>
          <w:lang w:eastAsia="en-AU"/>
        </w:rPr>
        <w:t xml:space="preserve"> positively about these developments</w:t>
      </w:r>
      <w:r w:rsidR="00802796">
        <w:rPr>
          <w:lang w:eastAsia="en-AU"/>
        </w:rPr>
        <w:t>.</w:t>
      </w:r>
      <w:r w:rsidR="009064B0">
        <w:rPr>
          <w:lang w:eastAsia="en-AU"/>
        </w:rPr>
        <w:t xml:space="preserve"> </w:t>
      </w:r>
    </w:p>
    <w:p w14:paraId="60BAF660" w14:textId="56A95837" w:rsidR="00697D9B" w:rsidRDefault="00531130" w:rsidP="00F6744D">
      <w:pPr>
        <w:rPr>
          <w:lang w:eastAsia="en-AU"/>
        </w:rPr>
      </w:pPr>
      <w:r>
        <w:rPr>
          <w:lang w:eastAsia="en-AU"/>
        </w:rPr>
        <w:t xml:space="preserve">FNLRS staff were </w:t>
      </w:r>
      <w:r w:rsidR="00C947C0">
        <w:rPr>
          <w:lang w:eastAsia="en-AU"/>
        </w:rPr>
        <w:t xml:space="preserve">provided with </w:t>
      </w:r>
      <w:r w:rsidR="00E11C1B">
        <w:rPr>
          <w:lang w:eastAsia="en-AU"/>
        </w:rPr>
        <w:t>several</w:t>
      </w:r>
      <w:r w:rsidR="00F6744D">
        <w:rPr>
          <w:lang w:eastAsia="en-AU"/>
        </w:rPr>
        <w:t xml:space="preserve"> different training</w:t>
      </w:r>
      <w:r>
        <w:rPr>
          <w:lang w:eastAsia="en-AU"/>
        </w:rPr>
        <w:t xml:space="preserve"> </w:t>
      </w:r>
      <w:r w:rsidR="00C947C0">
        <w:rPr>
          <w:lang w:eastAsia="en-AU"/>
        </w:rPr>
        <w:t xml:space="preserve">opportunities both </w:t>
      </w:r>
      <w:r w:rsidR="00E9008D">
        <w:rPr>
          <w:lang w:eastAsia="en-AU"/>
        </w:rPr>
        <w:t>at induction</w:t>
      </w:r>
      <w:r w:rsidR="0084010E">
        <w:rPr>
          <w:lang w:eastAsia="en-AU"/>
        </w:rPr>
        <w:t xml:space="preserve"> </w:t>
      </w:r>
      <w:r w:rsidR="00AD1673">
        <w:rPr>
          <w:lang w:eastAsia="en-AU"/>
        </w:rPr>
        <w:t>and</w:t>
      </w:r>
      <w:r w:rsidR="004024FD">
        <w:rPr>
          <w:lang w:eastAsia="en-AU"/>
        </w:rPr>
        <w:t xml:space="preserve"> </w:t>
      </w:r>
      <w:r w:rsidR="0084010E">
        <w:rPr>
          <w:lang w:eastAsia="en-AU"/>
        </w:rPr>
        <w:t>ongoing</w:t>
      </w:r>
      <w:r w:rsidR="004024FD">
        <w:rPr>
          <w:lang w:eastAsia="en-AU"/>
        </w:rPr>
        <w:t xml:space="preserve"> throughout their employment</w:t>
      </w:r>
      <w:r w:rsidR="0084010E">
        <w:rPr>
          <w:lang w:eastAsia="en-AU"/>
        </w:rPr>
        <w:t xml:space="preserve">. </w:t>
      </w:r>
      <w:r w:rsidR="004024FD">
        <w:rPr>
          <w:lang w:eastAsia="en-AU"/>
        </w:rPr>
        <w:t>Onboarding</w:t>
      </w:r>
      <w:r w:rsidR="00697D9B">
        <w:rPr>
          <w:lang w:eastAsia="en-AU"/>
        </w:rPr>
        <w:t xml:space="preserve"> online</w:t>
      </w:r>
      <w:r w:rsidR="0084010E">
        <w:rPr>
          <w:lang w:eastAsia="en-AU"/>
        </w:rPr>
        <w:t xml:space="preserve"> modules</w:t>
      </w:r>
      <w:r w:rsidR="00697D9B">
        <w:rPr>
          <w:lang w:eastAsia="en-AU"/>
        </w:rPr>
        <w:t xml:space="preserve"> </w:t>
      </w:r>
      <w:r w:rsidR="004024FD">
        <w:rPr>
          <w:lang w:eastAsia="en-AU"/>
        </w:rPr>
        <w:t xml:space="preserve">included </w:t>
      </w:r>
      <w:r w:rsidR="00AD1673">
        <w:rPr>
          <w:lang w:eastAsia="en-AU"/>
        </w:rPr>
        <w:t xml:space="preserve">training around </w:t>
      </w:r>
      <w:r w:rsidR="0084010E">
        <w:rPr>
          <w:lang w:eastAsia="en-AU"/>
        </w:rPr>
        <w:t xml:space="preserve">cultural awareness, </w:t>
      </w:r>
      <w:r w:rsidR="00DE6480">
        <w:rPr>
          <w:lang w:eastAsia="en-AU"/>
        </w:rPr>
        <w:t>vicarious-trauma and</w:t>
      </w:r>
      <w:r w:rsidR="00FC1333">
        <w:rPr>
          <w:lang w:eastAsia="en-AU"/>
        </w:rPr>
        <w:t xml:space="preserve"> facilitation skills. </w:t>
      </w:r>
      <w:r w:rsidR="00AC4F75">
        <w:rPr>
          <w:lang w:eastAsia="en-AU"/>
        </w:rPr>
        <w:t>FNLRS s</w:t>
      </w:r>
      <w:r w:rsidR="00AD1673">
        <w:rPr>
          <w:lang w:eastAsia="en-AU"/>
        </w:rPr>
        <w:t xml:space="preserve">taff </w:t>
      </w:r>
      <w:r w:rsidR="004024FD">
        <w:rPr>
          <w:lang w:eastAsia="en-AU"/>
        </w:rPr>
        <w:t>were</w:t>
      </w:r>
      <w:r w:rsidR="00F83EC8">
        <w:rPr>
          <w:lang w:eastAsia="en-AU"/>
        </w:rPr>
        <w:t xml:space="preserve"> supported to</w:t>
      </w:r>
      <w:r>
        <w:rPr>
          <w:lang w:eastAsia="en-AU"/>
        </w:rPr>
        <w:t xml:space="preserve"> undertake various vocational and tertiary qualifications related to their roles at FNLRS, including </w:t>
      </w:r>
      <w:r w:rsidR="00FB7C81">
        <w:rPr>
          <w:lang w:eastAsia="en-AU"/>
        </w:rPr>
        <w:t>having access to</w:t>
      </w:r>
      <w:r w:rsidR="00A25D40">
        <w:rPr>
          <w:lang w:eastAsia="en-AU"/>
        </w:rPr>
        <w:t xml:space="preserve"> </w:t>
      </w:r>
      <w:r>
        <w:rPr>
          <w:lang w:eastAsia="en-AU"/>
        </w:rPr>
        <w:t xml:space="preserve">study leave. </w:t>
      </w:r>
      <w:r w:rsidR="00746E5C">
        <w:rPr>
          <w:lang w:eastAsia="en-AU"/>
        </w:rPr>
        <w:t xml:space="preserve">Several staff reported that they </w:t>
      </w:r>
      <w:r w:rsidR="00A6606B">
        <w:rPr>
          <w:lang w:eastAsia="en-AU"/>
        </w:rPr>
        <w:t>were</w:t>
      </w:r>
      <w:r>
        <w:rPr>
          <w:lang w:eastAsia="en-AU"/>
        </w:rPr>
        <w:t xml:space="preserve"> supported by FNLRS to undertake </w:t>
      </w:r>
      <w:r w:rsidR="00466DE0">
        <w:rPr>
          <w:lang w:eastAsia="en-AU"/>
        </w:rPr>
        <w:t xml:space="preserve">some </w:t>
      </w:r>
      <w:r>
        <w:rPr>
          <w:lang w:eastAsia="en-AU"/>
        </w:rPr>
        <w:t>additional training related to their role</w:t>
      </w:r>
      <w:r w:rsidR="00466DE0">
        <w:rPr>
          <w:lang w:eastAsia="en-AU"/>
        </w:rPr>
        <w:t>,</w:t>
      </w:r>
      <w:r w:rsidR="00A6606B">
        <w:rPr>
          <w:lang w:eastAsia="en-AU"/>
        </w:rPr>
        <w:t xml:space="preserve"> including </w:t>
      </w:r>
      <w:r w:rsidR="00FB7C81">
        <w:rPr>
          <w:lang w:eastAsia="en-AU"/>
        </w:rPr>
        <w:t xml:space="preserve">payment to attend </w:t>
      </w:r>
      <w:r w:rsidR="00A6606B">
        <w:rPr>
          <w:lang w:eastAsia="en-AU"/>
        </w:rPr>
        <w:t>conferences</w:t>
      </w:r>
      <w:r>
        <w:rPr>
          <w:lang w:eastAsia="en-AU"/>
        </w:rPr>
        <w:t xml:space="preserve">. </w:t>
      </w:r>
      <w:r w:rsidR="002F35E4">
        <w:rPr>
          <w:lang w:eastAsia="en-AU"/>
        </w:rPr>
        <w:t>The Review heard feedback that FNLRS would like to undertake</w:t>
      </w:r>
      <w:r w:rsidR="0051395D">
        <w:rPr>
          <w:lang w:eastAsia="en-AU"/>
        </w:rPr>
        <w:t xml:space="preserve"> more specific training to support roles </w:t>
      </w:r>
      <w:r w:rsidR="005D77FA">
        <w:rPr>
          <w:lang w:eastAsia="en-AU"/>
        </w:rPr>
        <w:t xml:space="preserve">through the year </w:t>
      </w:r>
      <w:r w:rsidR="006E00BC">
        <w:rPr>
          <w:lang w:eastAsia="en-AU"/>
        </w:rPr>
        <w:t>(</w:t>
      </w:r>
      <w:r w:rsidR="003E0180">
        <w:rPr>
          <w:lang w:eastAsia="en-AU"/>
        </w:rPr>
        <w:t>for example,</w:t>
      </w:r>
      <w:r w:rsidR="0051395D">
        <w:rPr>
          <w:lang w:eastAsia="en-AU"/>
        </w:rPr>
        <w:t xml:space="preserve"> managerial training</w:t>
      </w:r>
      <w:r w:rsidR="006E00BC">
        <w:rPr>
          <w:lang w:eastAsia="en-AU"/>
        </w:rPr>
        <w:t>)</w:t>
      </w:r>
      <w:r w:rsidR="0051395D">
        <w:rPr>
          <w:lang w:eastAsia="en-AU"/>
        </w:rPr>
        <w:t>, however</w:t>
      </w:r>
      <w:r w:rsidR="008B0735">
        <w:rPr>
          <w:lang w:eastAsia="en-AU"/>
        </w:rPr>
        <w:t>,</w:t>
      </w:r>
      <w:r w:rsidR="0051395D">
        <w:rPr>
          <w:lang w:eastAsia="en-AU"/>
        </w:rPr>
        <w:t xml:space="preserve"> </w:t>
      </w:r>
      <w:r w:rsidR="005D77FA">
        <w:rPr>
          <w:lang w:eastAsia="en-AU"/>
        </w:rPr>
        <w:t>limited budgets have</w:t>
      </w:r>
      <w:r w:rsidR="0051395D">
        <w:rPr>
          <w:lang w:eastAsia="en-AU"/>
        </w:rPr>
        <w:t xml:space="preserve"> constrained</w:t>
      </w:r>
      <w:r w:rsidR="005C4A2C">
        <w:rPr>
          <w:lang w:eastAsia="en-AU"/>
        </w:rPr>
        <w:t xml:space="preserve"> FNLRS from implementing </w:t>
      </w:r>
      <w:r w:rsidR="005D77FA">
        <w:rPr>
          <w:lang w:eastAsia="en-AU"/>
        </w:rPr>
        <w:t xml:space="preserve">these </w:t>
      </w:r>
      <w:r w:rsidR="006E00BC">
        <w:rPr>
          <w:lang w:eastAsia="en-AU"/>
        </w:rPr>
        <w:t>more targeted</w:t>
      </w:r>
      <w:r w:rsidR="005D77FA">
        <w:rPr>
          <w:lang w:eastAsia="en-AU"/>
        </w:rPr>
        <w:t>, ongoing</w:t>
      </w:r>
      <w:r w:rsidR="00972B75">
        <w:rPr>
          <w:lang w:eastAsia="en-AU"/>
        </w:rPr>
        <w:t xml:space="preserve"> training programs</w:t>
      </w:r>
      <w:r w:rsidR="005D77FA">
        <w:rPr>
          <w:lang w:eastAsia="en-AU"/>
        </w:rPr>
        <w:t>.</w:t>
      </w:r>
    </w:p>
    <w:p w14:paraId="6B9CAA0B" w14:textId="7925434F" w:rsidR="000C0256" w:rsidRPr="000C0256" w:rsidRDefault="00976C74" w:rsidP="000C0256">
      <w:pPr>
        <w:rPr>
          <w:lang w:eastAsia="en-AU"/>
        </w:rPr>
      </w:pPr>
      <w:r>
        <w:rPr>
          <w:lang w:eastAsia="en-AU"/>
        </w:rPr>
        <w:t>Due to the nature of trauma and vicarious trauma that is involved in working in native title and with communities, FNLRS</w:t>
      </w:r>
      <w:r w:rsidR="005D0612">
        <w:rPr>
          <w:lang w:eastAsia="en-AU"/>
        </w:rPr>
        <w:t xml:space="preserve"> </w:t>
      </w:r>
      <w:r>
        <w:rPr>
          <w:lang w:eastAsia="en-AU"/>
        </w:rPr>
        <w:t xml:space="preserve">decided to </w:t>
      </w:r>
      <w:r w:rsidR="005C19FC">
        <w:rPr>
          <w:lang w:eastAsia="en-AU"/>
        </w:rPr>
        <w:t>implement</w:t>
      </w:r>
      <w:r w:rsidR="00037106">
        <w:rPr>
          <w:lang w:eastAsia="en-AU"/>
        </w:rPr>
        <w:t xml:space="preserve"> </w:t>
      </w:r>
      <w:r w:rsidR="000555C4">
        <w:rPr>
          <w:lang w:eastAsia="en-AU"/>
        </w:rPr>
        <w:t>“</w:t>
      </w:r>
      <w:r w:rsidR="00037106">
        <w:rPr>
          <w:lang w:eastAsia="en-AU"/>
        </w:rPr>
        <w:t>healing-informed practice</w:t>
      </w:r>
      <w:r w:rsidR="000555C4">
        <w:rPr>
          <w:lang w:eastAsia="en-AU"/>
        </w:rPr>
        <w:t>”</w:t>
      </w:r>
      <w:r w:rsidR="005C19FC">
        <w:rPr>
          <w:lang w:eastAsia="en-AU"/>
        </w:rPr>
        <w:t xml:space="preserve"> throughout the </w:t>
      </w:r>
      <w:r w:rsidR="009F2D21">
        <w:rPr>
          <w:lang w:eastAsia="en-AU"/>
        </w:rPr>
        <w:t>organisation</w:t>
      </w:r>
      <w:r w:rsidR="005C19FC">
        <w:rPr>
          <w:lang w:eastAsia="en-AU"/>
        </w:rPr>
        <w:t xml:space="preserve">. This </w:t>
      </w:r>
      <w:r w:rsidR="001A40C4">
        <w:rPr>
          <w:lang w:eastAsia="en-AU"/>
        </w:rPr>
        <w:t xml:space="preserve">involved establishing </w:t>
      </w:r>
      <w:r w:rsidR="005C19FC">
        <w:rPr>
          <w:lang w:eastAsia="en-AU"/>
        </w:rPr>
        <w:t>a Healing-informed Committee</w:t>
      </w:r>
      <w:r w:rsidR="006465AF">
        <w:rPr>
          <w:lang w:eastAsia="en-AU"/>
        </w:rPr>
        <w:t xml:space="preserve"> in late 2019</w:t>
      </w:r>
      <w:r w:rsidR="008E7FFE">
        <w:rPr>
          <w:lang w:eastAsia="en-AU"/>
        </w:rPr>
        <w:t>. Throughout 2020</w:t>
      </w:r>
      <w:r w:rsidR="008B0735">
        <w:rPr>
          <w:lang w:eastAsia="en-AU"/>
        </w:rPr>
        <w:t>,</w:t>
      </w:r>
      <w:r w:rsidR="008E7FFE">
        <w:rPr>
          <w:lang w:eastAsia="en-AU"/>
        </w:rPr>
        <w:t xml:space="preserve"> FNLRS ran</w:t>
      </w:r>
      <w:r w:rsidR="001A40C4">
        <w:rPr>
          <w:lang w:eastAsia="en-AU"/>
        </w:rPr>
        <w:t xml:space="preserve"> </w:t>
      </w:r>
      <w:r w:rsidR="005C19FC">
        <w:rPr>
          <w:lang w:eastAsia="en-AU"/>
        </w:rPr>
        <w:t xml:space="preserve">several workshops </w:t>
      </w:r>
      <w:r w:rsidR="001A40C4">
        <w:rPr>
          <w:lang w:eastAsia="en-AU"/>
        </w:rPr>
        <w:t>with external</w:t>
      </w:r>
      <w:r w:rsidR="009F2D21">
        <w:rPr>
          <w:lang w:eastAsia="en-AU"/>
        </w:rPr>
        <w:t xml:space="preserve"> trainers </w:t>
      </w:r>
      <w:r w:rsidR="005C19FC">
        <w:rPr>
          <w:lang w:eastAsia="en-AU"/>
        </w:rPr>
        <w:t>with staff</w:t>
      </w:r>
      <w:r w:rsidR="009F2D21">
        <w:rPr>
          <w:lang w:eastAsia="en-AU"/>
        </w:rPr>
        <w:t xml:space="preserve"> </w:t>
      </w:r>
      <w:r w:rsidR="00E678BE">
        <w:rPr>
          <w:lang w:eastAsia="en-AU"/>
        </w:rPr>
        <w:t xml:space="preserve">and </w:t>
      </w:r>
      <w:r w:rsidR="008E7FFE">
        <w:rPr>
          <w:lang w:eastAsia="en-AU"/>
        </w:rPr>
        <w:t>developed</w:t>
      </w:r>
      <w:r w:rsidR="001A40C4">
        <w:rPr>
          <w:lang w:eastAsia="en-AU"/>
        </w:rPr>
        <w:t xml:space="preserve"> </w:t>
      </w:r>
      <w:r w:rsidR="009F2D21">
        <w:rPr>
          <w:lang w:eastAsia="en-AU"/>
        </w:rPr>
        <w:t>a p</w:t>
      </w:r>
      <w:r w:rsidR="005C19FC">
        <w:rPr>
          <w:lang w:eastAsia="en-AU"/>
        </w:rPr>
        <w:t xml:space="preserve">olicy </w:t>
      </w:r>
      <w:r w:rsidR="00E678BE">
        <w:rPr>
          <w:lang w:eastAsia="en-AU"/>
        </w:rPr>
        <w:t xml:space="preserve">that was implemented </w:t>
      </w:r>
      <w:r w:rsidR="009F2D21">
        <w:rPr>
          <w:lang w:eastAsia="en-AU"/>
        </w:rPr>
        <w:t xml:space="preserve">to </w:t>
      </w:r>
      <w:r w:rsidR="00E678BE">
        <w:rPr>
          <w:lang w:eastAsia="en-AU"/>
        </w:rPr>
        <w:t xml:space="preserve">embed a </w:t>
      </w:r>
      <w:r w:rsidR="009F2D21">
        <w:rPr>
          <w:lang w:eastAsia="en-AU"/>
        </w:rPr>
        <w:t>healing-informed</w:t>
      </w:r>
      <w:r w:rsidR="00E678BE">
        <w:rPr>
          <w:lang w:eastAsia="en-AU"/>
        </w:rPr>
        <w:t xml:space="preserve"> approach across the organisation</w:t>
      </w:r>
      <w:r w:rsidR="0014283A">
        <w:rPr>
          <w:lang w:eastAsia="en-AU"/>
        </w:rPr>
        <w:t xml:space="preserve"> more generally. </w:t>
      </w:r>
    </w:p>
    <w:p w14:paraId="66DD4F60" w14:textId="0387FB61" w:rsidR="00FA6B9D" w:rsidRDefault="00FA6B9D" w:rsidP="00FA6B9D">
      <w:pPr>
        <w:pStyle w:val="Heading4"/>
      </w:pPr>
      <w:r>
        <w:lastRenderedPageBreak/>
        <w:t>Leve</w:t>
      </w:r>
      <w:r w:rsidR="00573C1E">
        <w:t>l</w:t>
      </w:r>
      <w:r>
        <w:t xml:space="preserve"> of staff turnover</w:t>
      </w:r>
    </w:p>
    <w:p w14:paraId="60A9A867" w14:textId="1EEAE5D7" w:rsidR="005F5CCB" w:rsidRPr="005F5CCB" w:rsidRDefault="009A415B" w:rsidP="009C33D0">
      <w:pPr>
        <w:pStyle w:val="Heading5"/>
      </w:pPr>
      <w:r w:rsidRPr="6967B2CC">
        <w:t xml:space="preserve">FNLRS had </w:t>
      </w:r>
      <w:r w:rsidR="00A04D42" w:rsidRPr="6967B2CC">
        <w:t xml:space="preserve">relatively </w:t>
      </w:r>
      <w:r w:rsidRPr="6967B2CC">
        <w:t xml:space="preserve">low turnover during the Review </w:t>
      </w:r>
      <w:r w:rsidR="00365373" w:rsidRPr="6967B2CC">
        <w:t>p</w:t>
      </w:r>
      <w:r w:rsidRPr="6967B2CC">
        <w:t>eriod</w:t>
      </w:r>
    </w:p>
    <w:p w14:paraId="728A456D" w14:textId="2BD5474E" w:rsidR="00230939" w:rsidRPr="001B619E" w:rsidRDefault="00AB64D9" w:rsidP="00AB64D9">
      <w:r w:rsidRPr="001A7C09">
        <w:rPr>
          <w:lang w:eastAsia="en-AU"/>
        </w:rPr>
        <w:t xml:space="preserve">During the Review period, FNLRS had </w:t>
      </w:r>
      <w:r w:rsidR="00B47AB8" w:rsidRPr="001A7C09">
        <w:rPr>
          <w:lang w:eastAsia="en-AU"/>
        </w:rPr>
        <w:t xml:space="preserve">between </w:t>
      </w:r>
      <w:r w:rsidRPr="001A7C09">
        <w:rPr>
          <w:lang w:eastAsia="en-AU"/>
        </w:rPr>
        <w:t xml:space="preserve">26 </w:t>
      </w:r>
      <w:r w:rsidR="004A574B">
        <w:rPr>
          <w:lang w:eastAsia="en-AU"/>
        </w:rPr>
        <w:t>to</w:t>
      </w:r>
      <w:r w:rsidRPr="001A7C09">
        <w:rPr>
          <w:lang w:eastAsia="en-AU"/>
        </w:rPr>
        <w:t xml:space="preserve"> 28 staff</w:t>
      </w:r>
      <w:r w:rsidR="00B47AB8" w:rsidRPr="001A7C09">
        <w:rPr>
          <w:lang w:eastAsia="en-AU"/>
        </w:rPr>
        <w:t xml:space="preserve"> (</w:t>
      </w:r>
      <w:r w:rsidR="0010561D">
        <w:rPr>
          <w:lang w:eastAsia="en-AU"/>
        </w:rPr>
        <w:fldChar w:fldCharType="begin"/>
      </w:r>
      <w:r w:rsidR="0010561D">
        <w:rPr>
          <w:lang w:eastAsia="en-AU"/>
        </w:rPr>
        <w:instrText xml:space="preserve"> REF _Ref155880633 \h </w:instrText>
      </w:r>
      <w:r w:rsidR="0010561D">
        <w:rPr>
          <w:lang w:eastAsia="en-AU"/>
        </w:rPr>
      </w:r>
      <w:r w:rsidR="0010561D">
        <w:rPr>
          <w:lang w:eastAsia="en-AU"/>
        </w:rPr>
        <w:fldChar w:fldCharType="separate"/>
      </w:r>
      <w:r w:rsidR="00AB7E95">
        <w:t xml:space="preserve">Table </w:t>
      </w:r>
      <w:r w:rsidR="00AB7E95">
        <w:rPr>
          <w:noProof/>
        </w:rPr>
        <w:t>9</w:t>
      </w:r>
      <w:r w:rsidR="0010561D">
        <w:rPr>
          <w:lang w:eastAsia="en-AU"/>
        </w:rPr>
        <w:fldChar w:fldCharType="end"/>
      </w:r>
      <w:r w:rsidR="00B47AB8" w:rsidRPr="001A7C09">
        <w:rPr>
          <w:lang w:eastAsia="en-AU"/>
        </w:rPr>
        <w:t>)</w:t>
      </w:r>
      <w:r w:rsidRPr="001A7C09">
        <w:rPr>
          <w:lang w:eastAsia="en-AU"/>
        </w:rPr>
        <w:t xml:space="preserve">. </w:t>
      </w:r>
      <w:r w:rsidR="009B194E">
        <w:rPr>
          <w:lang w:eastAsia="en-AU"/>
        </w:rPr>
        <w:t xml:space="preserve">Turnover was relatively low at </w:t>
      </w:r>
      <w:r w:rsidR="00023ECC">
        <w:rPr>
          <w:lang w:eastAsia="en-AU"/>
        </w:rPr>
        <w:t>approximately</w:t>
      </w:r>
      <w:r w:rsidR="00871812">
        <w:rPr>
          <w:lang w:eastAsia="en-AU"/>
        </w:rPr>
        <w:t xml:space="preserve"> </w:t>
      </w:r>
      <w:r w:rsidR="009B194E">
        <w:rPr>
          <w:lang w:eastAsia="en-AU"/>
        </w:rPr>
        <w:t>2</w:t>
      </w:r>
      <w:r w:rsidR="009950D9">
        <w:rPr>
          <w:lang w:eastAsia="en-AU"/>
        </w:rPr>
        <w:t>2</w:t>
      </w:r>
      <w:r w:rsidR="009B194E">
        <w:rPr>
          <w:lang w:eastAsia="en-AU"/>
        </w:rPr>
        <w:t xml:space="preserve"> per cent. </w:t>
      </w:r>
      <w:r w:rsidR="002543D6" w:rsidRPr="001A7C09">
        <w:t xml:space="preserve">Staff reported that FNLRS </w:t>
      </w:r>
      <w:r w:rsidR="00CE4CD4" w:rsidRPr="001A7C09">
        <w:t>had broadly</w:t>
      </w:r>
      <w:r w:rsidR="002543D6" w:rsidRPr="001A7C09">
        <w:t xml:space="preserve"> been successful in retaining its staff </w:t>
      </w:r>
      <w:r w:rsidR="00CE4CD4" w:rsidRPr="001A7C09">
        <w:t>over the Review period</w:t>
      </w:r>
      <w:r w:rsidR="001323B8" w:rsidRPr="001A7C09">
        <w:t xml:space="preserve"> and believed the low turnover was a testament to FNLRS’s positive work culture</w:t>
      </w:r>
      <w:r w:rsidR="002543D6" w:rsidRPr="001A7C09">
        <w:t xml:space="preserve">. </w:t>
      </w:r>
      <w:r w:rsidR="00B66871" w:rsidRPr="001A7C09">
        <w:t>The legal team was reportedly one of the</w:t>
      </w:r>
      <w:r w:rsidR="00CE4CD4" w:rsidRPr="001A7C09">
        <w:t xml:space="preserve"> most difficult </w:t>
      </w:r>
      <w:r w:rsidR="00B66871" w:rsidRPr="001A7C09">
        <w:t>teams</w:t>
      </w:r>
      <w:r w:rsidR="00CE4CD4" w:rsidRPr="001A7C09">
        <w:t xml:space="preserve"> to recruit for and it</w:t>
      </w:r>
      <w:r w:rsidR="00336AAD" w:rsidRPr="001A7C09">
        <w:t xml:space="preserve"> was not uncommon for FNLRS to recruit legal staff from interstate. </w:t>
      </w:r>
      <w:r w:rsidR="002543D6" w:rsidRPr="001A7C09">
        <w:t xml:space="preserve">Several </w:t>
      </w:r>
      <w:r w:rsidR="00280776" w:rsidRPr="001A7C09">
        <w:t>Traditional Owners</w:t>
      </w:r>
      <w:r w:rsidR="00EA3DA0" w:rsidRPr="001A7C09">
        <w:t xml:space="preserve"> thought FNLRS had been disadvantaged by losing </w:t>
      </w:r>
      <w:r w:rsidR="000C3944">
        <w:t>some</w:t>
      </w:r>
      <w:r w:rsidR="00EA3DA0" w:rsidRPr="001A7C09">
        <w:t xml:space="preserve"> very senior and expert lawyers during the Review period. </w:t>
      </w:r>
      <w:r w:rsidR="00CE4CD4" w:rsidRPr="001A7C09">
        <w:t xml:space="preserve">Some Traditional Owner groups believed </w:t>
      </w:r>
      <w:r w:rsidR="0088403A" w:rsidRPr="001A7C09">
        <w:t xml:space="preserve">that FNLRS has struggled to recruit expert lawyers and </w:t>
      </w:r>
      <w:r w:rsidR="00517991" w:rsidRPr="001A7C09">
        <w:t xml:space="preserve">was too reliant on </w:t>
      </w:r>
      <w:r w:rsidR="0088403A" w:rsidRPr="001A7C09">
        <w:t>junior</w:t>
      </w:r>
      <w:r w:rsidR="005830F4" w:rsidRPr="001A7C09">
        <w:t xml:space="preserve"> legal</w:t>
      </w:r>
      <w:r w:rsidR="0088403A" w:rsidRPr="001A7C09">
        <w:t xml:space="preserve"> </w:t>
      </w:r>
      <w:r w:rsidR="004D2CFE" w:rsidRPr="001A7C09">
        <w:t xml:space="preserve">staff </w:t>
      </w:r>
      <w:r w:rsidR="00517991" w:rsidRPr="001A7C09">
        <w:t xml:space="preserve">who </w:t>
      </w:r>
      <w:r w:rsidR="00BE735B" w:rsidRPr="001A7C09">
        <w:t xml:space="preserve">in their view </w:t>
      </w:r>
      <w:r w:rsidR="00517991" w:rsidRPr="001A7C09">
        <w:t>did</w:t>
      </w:r>
      <w:r w:rsidR="009E195C">
        <w:t xml:space="preserve"> </w:t>
      </w:r>
      <w:r w:rsidR="00517991" w:rsidRPr="001A7C09">
        <w:t>n</w:t>
      </w:r>
      <w:r w:rsidR="009E195C">
        <w:t>o</w:t>
      </w:r>
      <w:r w:rsidR="00517991" w:rsidRPr="001A7C09">
        <w:t xml:space="preserve">t always have the </w:t>
      </w:r>
      <w:r w:rsidR="00A66359" w:rsidRPr="001A7C09">
        <w:t xml:space="preserve">professional experience </w:t>
      </w:r>
      <w:r w:rsidR="009C351A" w:rsidRPr="001A7C09">
        <w:t>or expertis</w:t>
      </w:r>
      <w:r w:rsidR="00745FAF" w:rsidRPr="001A7C09">
        <w:t xml:space="preserve">e. </w:t>
      </w:r>
    </w:p>
    <w:p w14:paraId="67421235" w14:textId="2EAF7640" w:rsidR="00901740" w:rsidRPr="00AB64D9" w:rsidRDefault="00693AA2" w:rsidP="00693AA2">
      <w:pPr>
        <w:pStyle w:val="Caption"/>
        <w:rPr>
          <w:lang w:eastAsia="en-AU"/>
        </w:rPr>
      </w:pPr>
      <w:bookmarkStart w:id="40" w:name="_Ref155880633"/>
      <w:r>
        <w:t xml:space="preserve">Table </w:t>
      </w:r>
      <w:r>
        <w:fldChar w:fldCharType="begin"/>
      </w:r>
      <w:r>
        <w:instrText xml:space="preserve"> SEQ Table \* ARABIC </w:instrText>
      </w:r>
      <w:r>
        <w:fldChar w:fldCharType="separate"/>
      </w:r>
      <w:r w:rsidR="00AB7E95">
        <w:rPr>
          <w:noProof/>
        </w:rPr>
        <w:t>9</w:t>
      </w:r>
      <w:r>
        <w:fldChar w:fldCharType="end"/>
      </w:r>
      <w:bookmarkEnd w:id="40"/>
      <w:r>
        <w:t xml:space="preserve"> | </w:t>
      </w:r>
      <w:r w:rsidR="00E25B7F">
        <w:t>FNLRS s</w:t>
      </w:r>
      <w:r>
        <w:t xml:space="preserve">taff profile June 2019 </w:t>
      </w:r>
      <w:r w:rsidR="007B56D1">
        <w:t>to</w:t>
      </w:r>
      <w:r>
        <w:t xml:space="preserve"> June 2022 </w:t>
      </w:r>
    </w:p>
    <w:tbl>
      <w:tblPr>
        <w:tblStyle w:val="TableGrid"/>
        <w:tblW w:w="5000" w:type="pct"/>
        <w:tblLook w:val="04A0" w:firstRow="1" w:lastRow="0" w:firstColumn="1" w:lastColumn="0" w:noHBand="0" w:noVBand="1"/>
      </w:tblPr>
      <w:tblGrid>
        <w:gridCol w:w="1859"/>
        <w:gridCol w:w="1468"/>
        <w:gridCol w:w="1470"/>
        <w:gridCol w:w="1468"/>
        <w:gridCol w:w="1470"/>
        <w:gridCol w:w="1195"/>
      </w:tblGrid>
      <w:tr w:rsidR="00D64F44" w:rsidRPr="0071572F" w14:paraId="25320C21" w14:textId="77777777" w:rsidTr="006770B0">
        <w:trPr>
          <w:cnfStyle w:val="100000000000" w:firstRow="1" w:lastRow="0" w:firstColumn="0" w:lastColumn="0" w:oddVBand="0" w:evenVBand="0" w:oddHBand="0" w:evenHBand="0" w:firstRowFirstColumn="0" w:firstRowLastColumn="0" w:lastRowFirstColumn="0" w:lastRowLastColumn="0"/>
        </w:trPr>
        <w:tc>
          <w:tcPr>
            <w:tcW w:w="1041" w:type="pct"/>
          </w:tcPr>
          <w:p w14:paraId="642DEB74" w14:textId="6E3153C2" w:rsidR="0071572F" w:rsidRDefault="00C4674E" w:rsidP="00D937C1">
            <w:pPr>
              <w:pStyle w:val="TableNheader"/>
              <w:rPr>
                <w:lang w:eastAsia="en-AU"/>
              </w:rPr>
            </w:pPr>
            <w:r>
              <w:t>Financial year</w:t>
            </w:r>
          </w:p>
        </w:tc>
        <w:tc>
          <w:tcPr>
            <w:tcW w:w="1644" w:type="pct"/>
            <w:gridSpan w:val="2"/>
            <w:vAlign w:val="bottom"/>
          </w:tcPr>
          <w:p w14:paraId="56037AC7" w14:textId="439D34B1" w:rsidR="0071572F" w:rsidRPr="0071572F" w:rsidRDefault="0071572F" w:rsidP="00D937C1">
            <w:pPr>
              <w:pStyle w:val="TableNheader"/>
              <w:rPr>
                <w:lang w:eastAsia="en-AU"/>
              </w:rPr>
            </w:pPr>
            <w:r>
              <w:rPr>
                <w:lang w:eastAsia="en-AU"/>
              </w:rPr>
              <w:t>Indigenous</w:t>
            </w:r>
          </w:p>
        </w:tc>
        <w:tc>
          <w:tcPr>
            <w:tcW w:w="1644" w:type="pct"/>
            <w:gridSpan w:val="2"/>
            <w:vAlign w:val="bottom"/>
          </w:tcPr>
          <w:p w14:paraId="6E8E1408" w14:textId="2D79830E" w:rsidR="0071572F" w:rsidRPr="0071572F" w:rsidRDefault="0071572F" w:rsidP="00D937C1">
            <w:pPr>
              <w:pStyle w:val="TableNheader"/>
              <w:rPr>
                <w:lang w:eastAsia="en-AU"/>
              </w:rPr>
            </w:pPr>
            <w:r>
              <w:rPr>
                <w:lang w:eastAsia="en-AU"/>
              </w:rPr>
              <w:t>Non-Indigenous</w:t>
            </w:r>
          </w:p>
        </w:tc>
        <w:tc>
          <w:tcPr>
            <w:tcW w:w="670" w:type="pct"/>
            <w:vAlign w:val="bottom"/>
          </w:tcPr>
          <w:p w14:paraId="5BA35CF5" w14:textId="29A56E34" w:rsidR="0071572F" w:rsidRPr="0071572F" w:rsidRDefault="00D937C1" w:rsidP="00D937C1">
            <w:pPr>
              <w:pStyle w:val="TableNheader"/>
              <w:rPr>
                <w:lang w:eastAsia="en-AU"/>
              </w:rPr>
            </w:pPr>
            <w:r w:rsidRPr="000316BA">
              <w:t xml:space="preserve">Total </w:t>
            </w:r>
            <w:r w:rsidR="009E195C">
              <w:t>s</w:t>
            </w:r>
            <w:r w:rsidRPr="000316BA">
              <w:t>taff</w:t>
            </w:r>
          </w:p>
        </w:tc>
      </w:tr>
      <w:tr w:rsidR="0071572F" w:rsidRPr="0071572F" w14:paraId="39D18E31" w14:textId="41756981" w:rsidTr="006770B0">
        <w:trPr>
          <w:cnfStyle w:val="000000100000" w:firstRow="0" w:lastRow="0" w:firstColumn="0" w:lastColumn="0" w:oddVBand="0" w:evenVBand="0" w:oddHBand="1" w:evenHBand="0" w:firstRowFirstColumn="0" w:firstRowLastColumn="0" w:lastRowFirstColumn="0" w:lastRowLastColumn="0"/>
          <w:trHeight w:val="23"/>
        </w:trPr>
        <w:tc>
          <w:tcPr>
            <w:tcW w:w="1041" w:type="pct"/>
          </w:tcPr>
          <w:p w14:paraId="3E567F90" w14:textId="00CEB771" w:rsidR="0071572F" w:rsidRPr="000316BA" w:rsidRDefault="0071572F" w:rsidP="000316BA">
            <w:pPr>
              <w:pStyle w:val="TableNbiophoto"/>
            </w:pPr>
          </w:p>
        </w:tc>
        <w:tc>
          <w:tcPr>
            <w:tcW w:w="822" w:type="pct"/>
            <w:vAlign w:val="bottom"/>
          </w:tcPr>
          <w:p w14:paraId="1768871D" w14:textId="1F0CA62E" w:rsidR="0071572F" w:rsidRPr="00482DFF" w:rsidRDefault="0071572F" w:rsidP="00D937C1">
            <w:pPr>
              <w:pStyle w:val="TableNText"/>
              <w:rPr>
                <w:rFonts w:asciiTheme="majorHAnsi" w:hAnsiTheme="majorHAnsi" w:cstheme="majorHAnsi"/>
              </w:rPr>
            </w:pPr>
            <w:r w:rsidRPr="00482DFF">
              <w:rPr>
                <w:rFonts w:asciiTheme="majorHAnsi" w:hAnsiTheme="majorHAnsi" w:cstheme="majorHAnsi"/>
              </w:rPr>
              <w:t>Male</w:t>
            </w:r>
          </w:p>
        </w:tc>
        <w:tc>
          <w:tcPr>
            <w:tcW w:w="823" w:type="pct"/>
            <w:vAlign w:val="bottom"/>
          </w:tcPr>
          <w:p w14:paraId="2014282C" w14:textId="6C722345" w:rsidR="0071572F" w:rsidRPr="00482DFF" w:rsidRDefault="0071572F" w:rsidP="00D937C1">
            <w:pPr>
              <w:pStyle w:val="TableNText"/>
              <w:rPr>
                <w:rFonts w:asciiTheme="majorHAnsi" w:hAnsiTheme="majorHAnsi" w:cstheme="majorHAnsi"/>
              </w:rPr>
            </w:pPr>
            <w:r w:rsidRPr="00482DFF">
              <w:rPr>
                <w:rFonts w:asciiTheme="majorHAnsi" w:hAnsiTheme="majorHAnsi" w:cstheme="majorHAnsi"/>
              </w:rPr>
              <w:t>Female</w:t>
            </w:r>
          </w:p>
        </w:tc>
        <w:tc>
          <w:tcPr>
            <w:tcW w:w="822" w:type="pct"/>
            <w:vAlign w:val="bottom"/>
          </w:tcPr>
          <w:p w14:paraId="4055E225" w14:textId="608D1D38" w:rsidR="0071572F" w:rsidRPr="00482DFF" w:rsidRDefault="0071572F" w:rsidP="00D937C1">
            <w:pPr>
              <w:pStyle w:val="TableNText"/>
              <w:rPr>
                <w:rFonts w:asciiTheme="majorHAnsi" w:hAnsiTheme="majorHAnsi" w:cstheme="majorHAnsi"/>
              </w:rPr>
            </w:pPr>
            <w:r w:rsidRPr="00482DFF">
              <w:rPr>
                <w:rFonts w:asciiTheme="majorHAnsi" w:hAnsiTheme="majorHAnsi" w:cstheme="majorHAnsi"/>
              </w:rPr>
              <w:t>Male</w:t>
            </w:r>
          </w:p>
        </w:tc>
        <w:tc>
          <w:tcPr>
            <w:tcW w:w="823" w:type="pct"/>
            <w:vAlign w:val="bottom"/>
          </w:tcPr>
          <w:p w14:paraId="23867780" w14:textId="69A7973E" w:rsidR="0071572F" w:rsidRPr="00482DFF" w:rsidRDefault="0071572F" w:rsidP="00D937C1">
            <w:pPr>
              <w:pStyle w:val="TableNText"/>
              <w:rPr>
                <w:rFonts w:asciiTheme="majorHAnsi" w:hAnsiTheme="majorHAnsi" w:cstheme="majorHAnsi"/>
              </w:rPr>
            </w:pPr>
            <w:r w:rsidRPr="00482DFF">
              <w:rPr>
                <w:rFonts w:asciiTheme="majorHAnsi" w:hAnsiTheme="majorHAnsi" w:cstheme="majorHAnsi"/>
              </w:rPr>
              <w:t>Female</w:t>
            </w:r>
          </w:p>
        </w:tc>
        <w:tc>
          <w:tcPr>
            <w:tcW w:w="670" w:type="pct"/>
            <w:vAlign w:val="bottom"/>
          </w:tcPr>
          <w:p w14:paraId="505D4A56" w14:textId="25B8DD53" w:rsidR="0071572F" w:rsidRPr="000316BA" w:rsidRDefault="0071572F" w:rsidP="00D937C1">
            <w:pPr>
              <w:pStyle w:val="TableNText"/>
            </w:pPr>
          </w:p>
        </w:tc>
      </w:tr>
      <w:tr w:rsidR="009E45F5" w14:paraId="50388CFD" w14:textId="227D54C6" w:rsidTr="006770B0">
        <w:trPr>
          <w:cnfStyle w:val="000000010000" w:firstRow="0" w:lastRow="0" w:firstColumn="0" w:lastColumn="0" w:oddVBand="0" w:evenVBand="0" w:oddHBand="0" w:evenHBand="1" w:firstRowFirstColumn="0" w:firstRowLastColumn="0" w:lastRowFirstColumn="0" w:lastRowLastColumn="0"/>
        </w:trPr>
        <w:tc>
          <w:tcPr>
            <w:tcW w:w="1041" w:type="pct"/>
          </w:tcPr>
          <w:p w14:paraId="3748C518" w14:textId="2E3E12D8" w:rsidR="009E45F5" w:rsidRPr="000316BA" w:rsidRDefault="00C4674E" w:rsidP="00D937C1">
            <w:pPr>
              <w:pStyle w:val="TableNText"/>
            </w:pPr>
            <w:r>
              <w:t>2018-</w:t>
            </w:r>
            <w:r w:rsidR="009E45F5" w:rsidRPr="000316BA">
              <w:t xml:space="preserve">19 </w:t>
            </w:r>
          </w:p>
        </w:tc>
        <w:tc>
          <w:tcPr>
            <w:tcW w:w="822" w:type="pct"/>
            <w:vAlign w:val="bottom"/>
          </w:tcPr>
          <w:p w14:paraId="7DBDF4A5" w14:textId="07B2C956" w:rsidR="009E45F5" w:rsidRPr="000316BA" w:rsidRDefault="009E45F5" w:rsidP="00D937C1">
            <w:pPr>
              <w:pStyle w:val="TableNText"/>
            </w:pPr>
            <w:r w:rsidRPr="000316BA">
              <w:t>3</w:t>
            </w:r>
          </w:p>
        </w:tc>
        <w:tc>
          <w:tcPr>
            <w:tcW w:w="823" w:type="pct"/>
            <w:vAlign w:val="bottom"/>
          </w:tcPr>
          <w:p w14:paraId="7B5F505B" w14:textId="70E2A0BC" w:rsidR="009E45F5" w:rsidRPr="000316BA" w:rsidRDefault="009E45F5" w:rsidP="00D937C1">
            <w:pPr>
              <w:pStyle w:val="TableNText"/>
            </w:pPr>
            <w:r w:rsidRPr="000316BA">
              <w:t>2</w:t>
            </w:r>
          </w:p>
        </w:tc>
        <w:tc>
          <w:tcPr>
            <w:tcW w:w="822" w:type="pct"/>
            <w:vAlign w:val="bottom"/>
          </w:tcPr>
          <w:p w14:paraId="129A9AFD" w14:textId="413D4ADA" w:rsidR="009E45F5" w:rsidRPr="000316BA" w:rsidRDefault="009E45F5" w:rsidP="00D937C1">
            <w:pPr>
              <w:pStyle w:val="TableNText"/>
            </w:pPr>
            <w:r w:rsidRPr="000316BA">
              <w:t>12</w:t>
            </w:r>
          </w:p>
        </w:tc>
        <w:tc>
          <w:tcPr>
            <w:tcW w:w="823" w:type="pct"/>
            <w:vAlign w:val="bottom"/>
          </w:tcPr>
          <w:p w14:paraId="50FBF51C" w14:textId="676D5F17" w:rsidR="009E45F5" w:rsidRPr="000316BA" w:rsidRDefault="009E45F5" w:rsidP="00D937C1">
            <w:pPr>
              <w:pStyle w:val="TableNText"/>
            </w:pPr>
            <w:r w:rsidRPr="000316BA">
              <w:t>11</w:t>
            </w:r>
          </w:p>
        </w:tc>
        <w:tc>
          <w:tcPr>
            <w:tcW w:w="670" w:type="pct"/>
            <w:vAlign w:val="bottom"/>
          </w:tcPr>
          <w:p w14:paraId="3D29E79A" w14:textId="69E5E3A6" w:rsidR="009E45F5" w:rsidRPr="000316BA" w:rsidRDefault="009E45F5" w:rsidP="00D937C1">
            <w:pPr>
              <w:pStyle w:val="TableNText"/>
            </w:pPr>
            <w:r w:rsidRPr="000316BA">
              <w:t>28</w:t>
            </w:r>
          </w:p>
        </w:tc>
      </w:tr>
      <w:tr w:rsidR="009E45F5" w14:paraId="36870AA7" w14:textId="491177FC" w:rsidTr="006770B0">
        <w:trPr>
          <w:cnfStyle w:val="000000100000" w:firstRow="0" w:lastRow="0" w:firstColumn="0" w:lastColumn="0" w:oddVBand="0" w:evenVBand="0" w:oddHBand="1" w:evenHBand="0" w:firstRowFirstColumn="0" w:firstRowLastColumn="0" w:lastRowFirstColumn="0" w:lastRowLastColumn="0"/>
        </w:trPr>
        <w:tc>
          <w:tcPr>
            <w:tcW w:w="1041" w:type="pct"/>
          </w:tcPr>
          <w:p w14:paraId="24859EC7" w14:textId="1E65B14D" w:rsidR="009E45F5" w:rsidRPr="000316BA" w:rsidRDefault="009E45F5" w:rsidP="00D937C1">
            <w:pPr>
              <w:pStyle w:val="TableNText"/>
            </w:pPr>
            <w:r w:rsidRPr="000316BA">
              <w:t>20</w:t>
            </w:r>
            <w:r w:rsidR="00F94E92">
              <w:t>19-</w:t>
            </w:r>
            <w:r w:rsidRPr="000316BA">
              <w:t xml:space="preserve">20 </w:t>
            </w:r>
          </w:p>
        </w:tc>
        <w:tc>
          <w:tcPr>
            <w:tcW w:w="822" w:type="pct"/>
            <w:vAlign w:val="bottom"/>
          </w:tcPr>
          <w:p w14:paraId="3528FC1B" w14:textId="335B3F88" w:rsidR="009E45F5" w:rsidRPr="000316BA" w:rsidRDefault="009E45F5" w:rsidP="00D937C1">
            <w:pPr>
              <w:pStyle w:val="TableNText"/>
            </w:pPr>
            <w:r w:rsidRPr="000316BA">
              <w:t>3</w:t>
            </w:r>
          </w:p>
        </w:tc>
        <w:tc>
          <w:tcPr>
            <w:tcW w:w="823" w:type="pct"/>
            <w:vAlign w:val="bottom"/>
          </w:tcPr>
          <w:p w14:paraId="005C5A0D" w14:textId="4EA11148" w:rsidR="009E45F5" w:rsidRPr="000316BA" w:rsidRDefault="009E45F5" w:rsidP="00D937C1">
            <w:pPr>
              <w:pStyle w:val="TableNText"/>
            </w:pPr>
            <w:r w:rsidRPr="000316BA">
              <w:t>2</w:t>
            </w:r>
          </w:p>
        </w:tc>
        <w:tc>
          <w:tcPr>
            <w:tcW w:w="822" w:type="pct"/>
            <w:vAlign w:val="bottom"/>
          </w:tcPr>
          <w:p w14:paraId="71F747B6" w14:textId="1420DEEF" w:rsidR="009E45F5" w:rsidRPr="000316BA" w:rsidRDefault="009E45F5" w:rsidP="00D937C1">
            <w:pPr>
              <w:pStyle w:val="TableNText"/>
            </w:pPr>
            <w:r w:rsidRPr="000316BA">
              <w:t>12</w:t>
            </w:r>
          </w:p>
        </w:tc>
        <w:tc>
          <w:tcPr>
            <w:tcW w:w="823" w:type="pct"/>
            <w:vAlign w:val="bottom"/>
          </w:tcPr>
          <w:p w14:paraId="53F7BC5D" w14:textId="4C154041" w:rsidR="009E45F5" w:rsidRPr="000316BA" w:rsidRDefault="009E45F5" w:rsidP="00D937C1">
            <w:pPr>
              <w:pStyle w:val="TableNText"/>
            </w:pPr>
            <w:r w:rsidRPr="000316BA">
              <w:t>9</w:t>
            </w:r>
          </w:p>
        </w:tc>
        <w:tc>
          <w:tcPr>
            <w:tcW w:w="670" w:type="pct"/>
            <w:vAlign w:val="bottom"/>
          </w:tcPr>
          <w:p w14:paraId="3E34EB45" w14:textId="664ED7C0" w:rsidR="009E45F5" w:rsidRPr="000316BA" w:rsidRDefault="009E45F5" w:rsidP="00D937C1">
            <w:pPr>
              <w:pStyle w:val="TableNText"/>
            </w:pPr>
            <w:r w:rsidRPr="000316BA">
              <w:t>26</w:t>
            </w:r>
          </w:p>
        </w:tc>
      </w:tr>
      <w:tr w:rsidR="009E45F5" w14:paraId="5CDF00EB" w14:textId="77777777" w:rsidTr="006770B0">
        <w:trPr>
          <w:cnfStyle w:val="000000010000" w:firstRow="0" w:lastRow="0" w:firstColumn="0" w:lastColumn="0" w:oddVBand="0" w:evenVBand="0" w:oddHBand="0" w:evenHBand="1" w:firstRowFirstColumn="0" w:firstRowLastColumn="0" w:lastRowFirstColumn="0" w:lastRowLastColumn="0"/>
        </w:trPr>
        <w:tc>
          <w:tcPr>
            <w:tcW w:w="1041" w:type="pct"/>
          </w:tcPr>
          <w:p w14:paraId="094F524E" w14:textId="3E4F9FBA" w:rsidR="009E45F5" w:rsidRPr="000316BA" w:rsidRDefault="009E45F5" w:rsidP="00D937C1">
            <w:pPr>
              <w:pStyle w:val="TableNText"/>
            </w:pPr>
            <w:r w:rsidRPr="000316BA">
              <w:t>20</w:t>
            </w:r>
            <w:r w:rsidR="00F94E92">
              <w:t>20-</w:t>
            </w:r>
            <w:r w:rsidRPr="000316BA">
              <w:t xml:space="preserve">21 </w:t>
            </w:r>
          </w:p>
        </w:tc>
        <w:tc>
          <w:tcPr>
            <w:tcW w:w="822" w:type="pct"/>
            <w:vAlign w:val="bottom"/>
          </w:tcPr>
          <w:p w14:paraId="43153D8C" w14:textId="79B7CE4B" w:rsidR="009E45F5" w:rsidRPr="000316BA" w:rsidRDefault="009E45F5" w:rsidP="00D937C1">
            <w:pPr>
              <w:pStyle w:val="TableNText"/>
            </w:pPr>
            <w:r w:rsidRPr="000316BA">
              <w:t>5</w:t>
            </w:r>
          </w:p>
        </w:tc>
        <w:tc>
          <w:tcPr>
            <w:tcW w:w="823" w:type="pct"/>
            <w:vAlign w:val="bottom"/>
          </w:tcPr>
          <w:p w14:paraId="20E6FB14" w14:textId="1B720284" w:rsidR="009E45F5" w:rsidRPr="000316BA" w:rsidRDefault="009E45F5" w:rsidP="00D937C1">
            <w:pPr>
              <w:pStyle w:val="TableNText"/>
            </w:pPr>
            <w:r w:rsidRPr="000316BA">
              <w:t>2</w:t>
            </w:r>
          </w:p>
        </w:tc>
        <w:tc>
          <w:tcPr>
            <w:tcW w:w="822" w:type="pct"/>
            <w:vAlign w:val="bottom"/>
          </w:tcPr>
          <w:p w14:paraId="583AF239" w14:textId="7FD751C0" w:rsidR="009E45F5" w:rsidRPr="000316BA" w:rsidRDefault="009E45F5" w:rsidP="00D937C1">
            <w:pPr>
              <w:pStyle w:val="TableNText"/>
            </w:pPr>
            <w:r w:rsidRPr="000316BA">
              <w:t>9</w:t>
            </w:r>
          </w:p>
        </w:tc>
        <w:tc>
          <w:tcPr>
            <w:tcW w:w="823" w:type="pct"/>
            <w:vAlign w:val="bottom"/>
          </w:tcPr>
          <w:p w14:paraId="686B6B3E" w14:textId="02681DC0" w:rsidR="009E45F5" w:rsidRPr="000316BA" w:rsidRDefault="009E45F5" w:rsidP="00D937C1">
            <w:pPr>
              <w:pStyle w:val="TableNText"/>
            </w:pPr>
            <w:r w:rsidRPr="000316BA">
              <w:t>12</w:t>
            </w:r>
          </w:p>
        </w:tc>
        <w:tc>
          <w:tcPr>
            <w:tcW w:w="670" w:type="pct"/>
            <w:vAlign w:val="bottom"/>
          </w:tcPr>
          <w:p w14:paraId="7BFE10FF" w14:textId="6F4A10E9" w:rsidR="009E45F5" w:rsidRPr="000316BA" w:rsidRDefault="009E45F5" w:rsidP="00D937C1">
            <w:pPr>
              <w:pStyle w:val="TableNText"/>
            </w:pPr>
            <w:r w:rsidRPr="000316BA">
              <w:t>28</w:t>
            </w:r>
          </w:p>
        </w:tc>
      </w:tr>
      <w:tr w:rsidR="009E45F5" w14:paraId="79F7C7DF" w14:textId="77777777" w:rsidTr="006770B0">
        <w:trPr>
          <w:cnfStyle w:val="000000100000" w:firstRow="0" w:lastRow="0" w:firstColumn="0" w:lastColumn="0" w:oddVBand="0" w:evenVBand="0" w:oddHBand="1" w:evenHBand="0" w:firstRowFirstColumn="0" w:firstRowLastColumn="0" w:lastRowFirstColumn="0" w:lastRowLastColumn="0"/>
        </w:trPr>
        <w:tc>
          <w:tcPr>
            <w:tcW w:w="1041" w:type="pct"/>
          </w:tcPr>
          <w:p w14:paraId="27E5FC49" w14:textId="0FAF8AB9" w:rsidR="009E45F5" w:rsidRPr="000316BA" w:rsidRDefault="009E45F5" w:rsidP="00D937C1">
            <w:pPr>
              <w:pStyle w:val="TableNText"/>
            </w:pPr>
            <w:r w:rsidRPr="000316BA">
              <w:t>20</w:t>
            </w:r>
            <w:r w:rsidR="00F94E92">
              <w:t>21-</w:t>
            </w:r>
            <w:r w:rsidRPr="000316BA">
              <w:t xml:space="preserve">22 </w:t>
            </w:r>
          </w:p>
        </w:tc>
        <w:tc>
          <w:tcPr>
            <w:tcW w:w="822" w:type="pct"/>
            <w:vAlign w:val="bottom"/>
          </w:tcPr>
          <w:p w14:paraId="3D0C35C4" w14:textId="0777A367" w:rsidR="009E45F5" w:rsidRPr="000316BA" w:rsidRDefault="009E45F5" w:rsidP="00D937C1">
            <w:pPr>
              <w:pStyle w:val="TableNText"/>
            </w:pPr>
            <w:r w:rsidRPr="000316BA">
              <w:t>4</w:t>
            </w:r>
          </w:p>
        </w:tc>
        <w:tc>
          <w:tcPr>
            <w:tcW w:w="823" w:type="pct"/>
            <w:vAlign w:val="bottom"/>
          </w:tcPr>
          <w:p w14:paraId="1877715A" w14:textId="13C44810" w:rsidR="009E45F5" w:rsidRPr="000316BA" w:rsidRDefault="009E45F5" w:rsidP="00D937C1">
            <w:pPr>
              <w:pStyle w:val="TableNText"/>
            </w:pPr>
            <w:r w:rsidRPr="000316BA">
              <w:t>2</w:t>
            </w:r>
          </w:p>
        </w:tc>
        <w:tc>
          <w:tcPr>
            <w:tcW w:w="822" w:type="pct"/>
            <w:vAlign w:val="bottom"/>
          </w:tcPr>
          <w:p w14:paraId="394458AC" w14:textId="6C0D56A4" w:rsidR="009E45F5" w:rsidRPr="000316BA" w:rsidRDefault="009E45F5" w:rsidP="00D937C1">
            <w:pPr>
              <w:pStyle w:val="TableNText"/>
            </w:pPr>
            <w:r w:rsidRPr="000316BA">
              <w:t>9</w:t>
            </w:r>
          </w:p>
        </w:tc>
        <w:tc>
          <w:tcPr>
            <w:tcW w:w="823" w:type="pct"/>
            <w:vAlign w:val="bottom"/>
          </w:tcPr>
          <w:p w14:paraId="0E0A8332" w14:textId="56C1C0B2" w:rsidR="009E45F5" w:rsidRPr="000316BA" w:rsidRDefault="009E45F5" w:rsidP="00D937C1">
            <w:pPr>
              <w:pStyle w:val="TableNText"/>
            </w:pPr>
            <w:r w:rsidRPr="000316BA">
              <w:t>11</w:t>
            </w:r>
          </w:p>
        </w:tc>
        <w:tc>
          <w:tcPr>
            <w:tcW w:w="670" w:type="pct"/>
            <w:vAlign w:val="bottom"/>
          </w:tcPr>
          <w:p w14:paraId="4457DE4B" w14:textId="620A54E3" w:rsidR="009E45F5" w:rsidRPr="000316BA" w:rsidRDefault="009E45F5" w:rsidP="00D937C1">
            <w:pPr>
              <w:pStyle w:val="TableNText"/>
            </w:pPr>
            <w:r w:rsidRPr="000316BA">
              <w:t>26</w:t>
            </w:r>
          </w:p>
        </w:tc>
      </w:tr>
    </w:tbl>
    <w:p w14:paraId="0D94F18F" w14:textId="20E71AB1" w:rsidR="009E1138" w:rsidRPr="001D351A" w:rsidRDefault="001F166C" w:rsidP="00E85100">
      <w:pPr>
        <w:pStyle w:val="Heading3"/>
      </w:pPr>
      <w:r>
        <w:t>TOR 5</w:t>
      </w:r>
      <w:r w:rsidR="00214A1E">
        <w:t>:</w:t>
      </w:r>
      <w:r>
        <w:t xml:space="preserve"> </w:t>
      </w:r>
      <w:r w:rsidR="009E1138" w:rsidRPr="00E85100">
        <w:t>External</w:t>
      </w:r>
      <w:r w:rsidR="009E1138">
        <w:t xml:space="preserve"> factors </w:t>
      </w:r>
    </w:p>
    <w:p w14:paraId="654E95C2" w14:textId="77777777" w:rsidR="001F166C" w:rsidRDefault="009E1138" w:rsidP="009E1138">
      <w:pPr>
        <w:rPr>
          <w:lang w:eastAsia="en-AU"/>
        </w:rPr>
      </w:pPr>
      <w:r>
        <w:rPr>
          <w:lang w:eastAsia="en-AU"/>
        </w:rPr>
        <w:t xml:space="preserve">No external factors were identified for TOR 5. </w:t>
      </w:r>
    </w:p>
    <w:p w14:paraId="47321FC6" w14:textId="5CF7BCA2" w:rsidR="001F166C" w:rsidRDefault="001F166C" w:rsidP="001F166C">
      <w:pPr>
        <w:pStyle w:val="Heading3"/>
      </w:pPr>
      <w:r>
        <w:t>TOR 5</w:t>
      </w:r>
      <w:r w:rsidR="00214A1E">
        <w:t>:</w:t>
      </w:r>
      <w:r>
        <w:t xml:space="preserve"> Recommendations</w:t>
      </w:r>
    </w:p>
    <w:tbl>
      <w:tblPr>
        <w:tblW w:w="0" w:type="auto"/>
        <w:tblLook w:val="04A0" w:firstRow="1" w:lastRow="0" w:firstColumn="1" w:lastColumn="0" w:noHBand="0" w:noVBand="1"/>
      </w:tblPr>
      <w:tblGrid>
        <w:gridCol w:w="8269"/>
        <w:gridCol w:w="661"/>
      </w:tblGrid>
      <w:tr w:rsidR="00E85100" w14:paraId="58499C73" w14:textId="77777777" w:rsidTr="00CA17C8">
        <w:trPr>
          <w:trHeight w:val="360"/>
        </w:trPr>
        <w:tc>
          <w:tcPr>
            <w:tcW w:w="8223" w:type="dxa"/>
          </w:tcPr>
          <w:p w14:paraId="7756A8DD" w14:textId="77777777" w:rsidR="00E85100" w:rsidRDefault="00E85100" w:rsidP="00665DC6">
            <w:pPr>
              <w:rPr>
                <w:lang w:eastAsia="en-AU"/>
              </w:rPr>
            </w:pPr>
            <w:r w:rsidRPr="00F97AB5">
              <w:rPr>
                <w:noProof/>
                <w:lang w:eastAsia="en-AU"/>
              </w:rPr>
              <w:drawing>
                <wp:inline distT="0" distB="0" distL="0" distR="0" wp14:anchorId="34FCEC43" wp14:editId="5ACCA002">
                  <wp:extent cx="5114199" cy="28765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29925BD" w14:textId="145CBE9E" w:rsidR="00E85100" w:rsidRPr="00F97AB5" w:rsidRDefault="00144FC7" w:rsidP="00665DC6">
            <w:pPr>
              <w:spacing w:after="100" w:afterAutospacing="1"/>
              <w:jc w:val="center"/>
              <w:rPr>
                <w:sz w:val="30"/>
                <w:szCs w:val="30"/>
                <w:lang w:eastAsia="en-AU"/>
              </w:rPr>
            </w:pPr>
            <w:r w:rsidRPr="00CA17C8">
              <w:rPr>
                <w:color w:val="404040" w:themeColor="text1" w:themeTint="BF"/>
                <w:sz w:val="30"/>
                <w:szCs w:val="30"/>
                <w:lang w:eastAsia="en-AU"/>
              </w:rPr>
              <w:t>6</w:t>
            </w:r>
          </w:p>
        </w:tc>
      </w:tr>
      <w:tr w:rsidR="00E85100" w14:paraId="7B8EEBE7" w14:textId="77777777" w:rsidTr="00CA17C8">
        <w:tc>
          <w:tcPr>
            <w:tcW w:w="8930" w:type="dxa"/>
            <w:gridSpan w:val="2"/>
          </w:tcPr>
          <w:p w14:paraId="4E88D99A" w14:textId="0331DF0D" w:rsidR="00593856" w:rsidRDefault="00593856" w:rsidP="00593856">
            <w:pPr>
              <w:pStyle w:val="Bullet"/>
              <w:numPr>
                <w:ilvl w:val="0"/>
                <w:numId w:val="0"/>
              </w:numPr>
              <w:ind w:left="340" w:hanging="340"/>
            </w:pPr>
            <w:r>
              <w:t xml:space="preserve">This Review </w:t>
            </w:r>
            <w:r w:rsidR="002F5993">
              <w:t>endorses</w:t>
            </w:r>
            <w:r>
              <w:t xml:space="preserve"> </w:t>
            </w:r>
            <w:r w:rsidR="00435601">
              <w:t>the following</w:t>
            </w:r>
            <w:r>
              <w:t xml:space="preserve"> recommendations made </w:t>
            </w:r>
            <w:r w:rsidR="00435601">
              <w:t>by</w:t>
            </w:r>
            <w:r>
              <w:t xml:space="preserve"> the Strategic Review: </w:t>
            </w:r>
          </w:p>
          <w:p w14:paraId="4757E2F9" w14:textId="5329B8CA" w:rsidR="00BB7965" w:rsidRPr="001E42D2" w:rsidRDefault="00BB7965" w:rsidP="00447C8A">
            <w:pPr>
              <w:pStyle w:val="TableNBullet"/>
            </w:pPr>
            <w:r w:rsidRPr="6967B2CC">
              <w:rPr>
                <w:sz w:val="19"/>
              </w:rPr>
              <w:t>FNLRS should seek to diversify t</w:t>
            </w:r>
            <w:r w:rsidR="00964A52" w:rsidRPr="6967B2CC">
              <w:rPr>
                <w:sz w:val="19"/>
              </w:rPr>
              <w:t>he</w:t>
            </w:r>
            <w:r w:rsidRPr="6967B2CC">
              <w:rPr>
                <w:sz w:val="19"/>
              </w:rPr>
              <w:t xml:space="preserve"> composition and skills of its Board</w:t>
            </w:r>
            <w:r w:rsidR="00D81381" w:rsidRPr="6967B2CC">
              <w:rPr>
                <w:sz w:val="19"/>
              </w:rPr>
              <w:t xml:space="preserve"> to a wider variety of people and skillsets</w:t>
            </w:r>
            <w:r w:rsidR="004154B8" w:rsidRPr="6967B2CC">
              <w:rPr>
                <w:sz w:val="19"/>
              </w:rPr>
              <w:t xml:space="preserve"> (</w:t>
            </w:r>
            <w:r w:rsidR="00E04D13" w:rsidRPr="6967B2CC">
              <w:rPr>
                <w:sz w:val="19"/>
              </w:rPr>
              <w:t xml:space="preserve">for example, </w:t>
            </w:r>
            <w:r w:rsidR="004154B8" w:rsidRPr="6967B2CC">
              <w:rPr>
                <w:sz w:val="19"/>
              </w:rPr>
              <w:t xml:space="preserve">this could be achieved </w:t>
            </w:r>
            <w:r w:rsidR="00605A3F" w:rsidRPr="6967B2CC">
              <w:rPr>
                <w:sz w:val="19"/>
              </w:rPr>
              <w:t xml:space="preserve">by advertising for </w:t>
            </w:r>
            <w:r w:rsidR="00E06497" w:rsidRPr="6967B2CC">
              <w:rPr>
                <w:sz w:val="19"/>
              </w:rPr>
              <w:t>Directors</w:t>
            </w:r>
            <w:r w:rsidR="00605A3F" w:rsidRPr="6967B2CC">
              <w:rPr>
                <w:sz w:val="19"/>
              </w:rPr>
              <w:t xml:space="preserve"> more </w:t>
            </w:r>
            <w:r w:rsidR="000D76D3" w:rsidRPr="6967B2CC">
              <w:rPr>
                <w:sz w:val="19"/>
              </w:rPr>
              <w:t xml:space="preserve">proactively and </w:t>
            </w:r>
            <w:r w:rsidR="00605A3F" w:rsidRPr="6967B2CC">
              <w:rPr>
                <w:sz w:val="19"/>
              </w:rPr>
              <w:t>widely using formal advertisement channels and possibly recruiters</w:t>
            </w:r>
            <w:r w:rsidR="00B255EA" w:rsidRPr="6967B2CC">
              <w:rPr>
                <w:sz w:val="19"/>
              </w:rPr>
              <w:t>)</w:t>
            </w:r>
            <w:r w:rsidR="00605A3F" w:rsidRPr="6967B2CC">
              <w:rPr>
                <w:sz w:val="19"/>
              </w:rPr>
              <w:t xml:space="preserve">. </w:t>
            </w:r>
          </w:p>
          <w:p w14:paraId="1B03CAFC" w14:textId="4EDAE3BD" w:rsidR="00E85100" w:rsidRPr="00BD37ED" w:rsidRDefault="00593856" w:rsidP="00447C8A">
            <w:pPr>
              <w:pStyle w:val="TableNBullet"/>
            </w:pPr>
            <w:r w:rsidRPr="001E42D2">
              <w:rPr>
                <w:sz w:val="19"/>
              </w:rPr>
              <w:t>FNLRS should b</w:t>
            </w:r>
            <w:r w:rsidR="00BB7965" w:rsidRPr="001E42D2">
              <w:rPr>
                <w:sz w:val="19"/>
              </w:rPr>
              <w:t>etter communicate its</w:t>
            </w:r>
            <w:r w:rsidR="002D36C7" w:rsidRPr="001E42D2">
              <w:rPr>
                <w:sz w:val="19"/>
              </w:rPr>
              <w:t xml:space="preserve"> current governance structure</w:t>
            </w:r>
            <w:r w:rsidR="00E822A2" w:rsidRPr="001E42D2">
              <w:rPr>
                <w:sz w:val="19"/>
              </w:rPr>
              <w:t xml:space="preserve"> and Board membership</w:t>
            </w:r>
            <w:r w:rsidR="00605A3F" w:rsidRPr="001E42D2">
              <w:rPr>
                <w:sz w:val="19"/>
              </w:rPr>
              <w:t xml:space="preserve"> (this could be achieved by </w:t>
            </w:r>
            <w:r w:rsidR="00B749EF" w:rsidRPr="001E42D2">
              <w:rPr>
                <w:sz w:val="19"/>
              </w:rPr>
              <w:t>profiling the current Board members on relevant channels</w:t>
            </w:r>
            <w:r w:rsidR="00605A3F" w:rsidRPr="001E42D2">
              <w:rPr>
                <w:sz w:val="19"/>
              </w:rPr>
              <w:t xml:space="preserve"> including FNLRS’s </w:t>
            </w:r>
            <w:r w:rsidR="00B749EF" w:rsidRPr="001E42D2">
              <w:rPr>
                <w:sz w:val="19"/>
              </w:rPr>
              <w:t>website, social media channels, events)</w:t>
            </w:r>
            <w:r w:rsidR="004364AD" w:rsidRPr="001E42D2">
              <w:rPr>
                <w:sz w:val="19"/>
              </w:rPr>
              <w:t>.</w:t>
            </w:r>
            <w:r w:rsidR="004364AD" w:rsidRPr="00605A3F">
              <w:t xml:space="preserve"> </w:t>
            </w:r>
          </w:p>
        </w:tc>
      </w:tr>
      <w:tr w:rsidR="00C167F0" w14:paraId="3B80B32A" w14:textId="77777777" w:rsidTr="00CA17C8">
        <w:trPr>
          <w:trHeight w:val="360"/>
        </w:trPr>
        <w:tc>
          <w:tcPr>
            <w:tcW w:w="8223" w:type="dxa"/>
          </w:tcPr>
          <w:p w14:paraId="74AF6F13" w14:textId="77777777" w:rsidR="00C167F0" w:rsidRDefault="00C167F0">
            <w:pPr>
              <w:rPr>
                <w:lang w:eastAsia="en-AU"/>
              </w:rPr>
            </w:pPr>
            <w:r w:rsidRPr="00F97AB5">
              <w:rPr>
                <w:noProof/>
                <w:lang w:eastAsia="en-AU"/>
              </w:rPr>
              <w:drawing>
                <wp:inline distT="0" distB="0" distL="0" distR="0" wp14:anchorId="5E4BA1F5" wp14:editId="77235BD8">
                  <wp:extent cx="5114199" cy="287655"/>
                  <wp:effectExtent l="0" t="0" r="0" b="0"/>
                  <wp:docPr id="581162566" name="Picture 581162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62566" name="Picture 58116256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9451D46" w14:textId="17D8AD3A" w:rsidR="00C167F0" w:rsidRPr="00F97AB5" w:rsidRDefault="00144FC7">
            <w:pPr>
              <w:spacing w:after="100" w:afterAutospacing="1"/>
              <w:jc w:val="center"/>
              <w:rPr>
                <w:sz w:val="30"/>
                <w:szCs w:val="30"/>
                <w:lang w:eastAsia="en-AU"/>
              </w:rPr>
            </w:pPr>
            <w:r w:rsidRPr="00CA17C8">
              <w:rPr>
                <w:color w:val="404040" w:themeColor="text1" w:themeTint="BF"/>
                <w:sz w:val="30"/>
                <w:szCs w:val="30"/>
                <w:lang w:eastAsia="en-AU"/>
              </w:rPr>
              <w:t>7</w:t>
            </w:r>
          </w:p>
        </w:tc>
      </w:tr>
      <w:tr w:rsidR="00C167F0" w14:paraId="30CDB2A8" w14:textId="77777777" w:rsidTr="00CA17C8">
        <w:tc>
          <w:tcPr>
            <w:tcW w:w="8930" w:type="dxa"/>
            <w:gridSpan w:val="2"/>
          </w:tcPr>
          <w:p w14:paraId="42AE3901" w14:textId="2E033964" w:rsidR="00025D8C" w:rsidRPr="00C167F0" w:rsidRDefault="00210A10" w:rsidP="000878B9">
            <w:r>
              <w:t>Implement a mechanism for collecting, understanding and responding to community feedback, which should then be reported to the Board.</w:t>
            </w:r>
          </w:p>
        </w:tc>
      </w:tr>
    </w:tbl>
    <w:p w14:paraId="37D44F9A" w14:textId="77777777" w:rsidR="002D2DC2" w:rsidRDefault="002D2DC2">
      <w:r>
        <w:br w:type="page"/>
      </w:r>
    </w:p>
    <w:tbl>
      <w:tblPr>
        <w:tblW w:w="0" w:type="auto"/>
        <w:tblLook w:val="04A0" w:firstRow="1" w:lastRow="0" w:firstColumn="1" w:lastColumn="0" w:noHBand="0" w:noVBand="1"/>
      </w:tblPr>
      <w:tblGrid>
        <w:gridCol w:w="8269"/>
        <w:gridCol w:w="661"/>
      </w:tblGrid>
      <w:tr w:rsidR="00C167F0" w14:paraId="73EF8398" w14:textId="77777777" w:rsidTr="00CA17C8">
        <w:trPr>
          <w:trHeight w:val="360"/>
        </w:trPr>
        <w:tc>
          <w:tcPr>
            <w:tcW w:w="8223" w:type="dxa"/>
          </w:tcPr>
          <w:p w14:paraId="376CCA89" w14:textId="65A9A2B8" w:rsidR="00C167F0" w:rsidRDefault="00C167F0">
            <w:pPr>
              <w:rPr>
                <w:lang w:eastAsia="en-AU"/>
              </w:rPr>
            </w:pPr>
            <w:r w:rsidRPr="00F97AB5">
              <w:rPr>
                <w:noProof/>
                <w:lang w:eastAsia="en-AU"/>
              </w:rPr>
              <w:lastRenderedPageBreak/>
              <w:drawing>
                <wp:inline distT="0" distB="0" distL="0" distR="0" wp14:anchorId="02D72389" wp14:editId="2287559F">
                  <wp:extent cx="5114199" cy="287655"/>
                  <wp:effectExtent l="0" t="0" r="0" b="0"/>
                  <wp:docPr id="938837690" name="Picture 938837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37690" name="Picture 93883769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3A2B465" w14:textId="63EE0624" w:rsidR="00C167F0" w:rsidRPr="00F97AB5" w:rsidRDefault="00144FC7">
            <w:pPr>
              <w:spacing w:after="100" w:afterAutospacing="1"/>
              <w:jc w:val="center"/>
              <w:rPr>
                <w:sz w:val="30"/>
                <w:szCs w:val="30"/>
                <w:lang w:eastAsia="en-AU"/>
              </w:rPr>
            </w:pPr>
            <w:r w:rsidRPr="00CA17C8">
              <w:rPr>
                <w:color w:val="404040" w:themeColor="text1" w:themeTint="BF"/>
                <w:sz w:val="30"/>
                <w:szCs w:val="30"/>
                <w:lang w:eastAsia="en-AU"/>
              </w:rPr>
              <w:t>8</w:t>
            </w:r>
          </w:p>
        </w:tc>
      </w:tr>
      <w:tr w:rsidR="00C167F0" w14:paraId="14E4BCE5" w14:textId="77777777" w:rsidTr="00CA17C8">
        <w:tc>
          <w:tcPr>
            <w:tcW w:w="8930" w:type="dxa"/>
            <w:gridSpan w:val="2"/>
          </w:tcPr>
          <w:p w14:paraId="5D3D54A2" w14:textId="42A8757E" w:rsidR="00C167F0" w:rsidRPr="00BD37ED" w:rsidRDefault="00C167F0" w:rsidP="000878B9">
            <w:r>
              <w:t xml:space="preserve">Enhance organisational collaboration by implementing activities that encourage the different teams </w:t>
            </w:r>
            <w:r w:rsidR="00F73856">
              <w:t xml:space="preserve">within FNLRS </w:t>
            </w:r>
            <w:r>
              <w:t>to work together</w:t>
            </w:r>
            <w:r w:rsidR="00B255EA">
              <w:t>.</w:t>
            </w:r>
          </w:p>
        </w:tc>
      </w:tr>
    </w:tbl>
    <w:p w14:paraId="734B8B76" w14:textId="77777777" w:rsidR="009C33D0" w:rsidRDefault="009C33D0" w:rsidP="009C33D0"/>
    <w:p w14:paraId="0201D29A" w14:textId="77777777" w:rsidR="009C33D0" w:rsidRDefault="009C33D0">
      <w:pPr>
        <w:spacing w:after="165"/>
        <w:rPr>
          <w:rFonts w:ascii="Segoe UI Semibold" w:eastAsia="Times New Roman" w:hAnsi="Segoe UI Semibold" w:cs="Times New Roman"/>
          <w:color w:val="00264D"/>
          <w:sz w:val="30"/>
          <w:szCs w:val="19"/>
          <w:lang w:eastAsia="en-AU"/>
        </w:rPr>
      </w:pPr>
      <w:r>
        <w:br w:type="page"/>
      </w:r>
    </w:p>
    <w:p w14:paraId="6286D0CF" w14:textId="34321FFC" w:rsidR="007C255F" w:rsidRDefault="007C255F" w:rsidP="005567FD">
      <w:pPr>
        <w:pStyle w:val="Heading2"/>
      </w:pPr>
      <w:bookmarkStart w:id="41" w:name="_Toc170469988"/>
      <w:r w:rsidRPr="007C255F">
        <w:lastRenderedPageBreak/>
        <w:t xml:space="preserve">TOR 6 | Extent to which each organisation is adequately supporting </w:t>
      </w:r>
      <w:r w:rsidR="00E108A4" w:rsidRPr="00E108A4">
        <w:t>Prescribed Body Corporates</w:t>
      </w:r>
      <w:r w:rsidRPr="007C255F">
        <w:t xml:space="preserve"> towards self-sufficiency.</w:t>
      </w:r>
      <w:bookmarkEnd w:id="41"/>
    </w:p>
    <w:tbl>
      <w:tblPr>
        <w:tblStyle w:val="TableGrid"/>
        <w:tblW w:w="0" w:type="auto"/>
        <w:tblLook w:val="04A0" w:firstRow="1" w:lastRow="0" w:firstColumn="1" w:lastColumn="0" w:noHBand="0" w:noVBand="1"/>
      </w:tblPr>
      <w:tblGrid>
        <w:gridCol w:w="8930"/>
      </w:tblGrid>
      <w:tr w:rsidR="0000360B" w14:paraId="4FA0CFEC" w14:textId="77777777" w:rsidTr="6967B2CC">
        <w:trPr>
          <w:cnfStyle w:val="100000000000" w:firstRow="1" w:lastRow="0" w:firstColumn="0" w:lastColumn="0" w:oddVBand="0" w:evenVBand="0" w:oddHBand="0" w:evenHBand="0" w:firstRowFirstColumn="0" w:firstRowLastColumn="0" w:lastRowFirstColumn="0" w:lastRowLastColumn="0"/>
        </w:trPr>
        <w:tc>
          <w:tcPr>
            <w:tcW w:w="8930" w:type="dxa"/>
          </w:tcPr>
          <w:p w14:paraId="0F4ECFD9" w14:textId="77777777" w:rsidR="001E64E4" w:rsidRPr="009C33D0" w:rsidRDefault="001E64E4" w:rsidP="009C33D0">
            <w:pPr>
              <w:pStyle w:val="Longformcallout"/>
              <w:rPr>
                <w:rFonts w:ascii="Segoe UI Semibold" w:hAnsi="Segoe UI Semibold" w:cs="Segoe UI Semibold"/>
              </w:rPr>
            </w:pPr>
            <w:r w:rsidRPr="009C33D0">
              <w:rPr>
                <w:rFonts w:ascii="Segoe UI Semibold" w:hAnsi="Segoe UI Semibold" w:cs="Segoe UI Semibold"/>
              </w:rPr>
              <w:t>Summary</w:t>
            </w:r>
          </w:p>
          <w:p w14:paraId="4F61AA3A" w14:textId="705EE286" w:rsidR="00C8091D" w:rsidRDefault="00C8091D" w:rsidP="6967B2CC">
            <w:pPr>
              <w:pStyle w:val="Longformcallout"/>
              <w:rPr>
                <w:rFonts w:eastAsia="Times New Roman" w:cs="Times New Roman"/>
              </w:rPr>
            </w:pPr>
            <w:r w:rsidRPr="6967B2CC">
              <w:t>FNLRS serviced</w:t>
            </w:r>
            <w:r w:rsidR="00D91A5F" w:rsidRPr="6967B2CC">
              <w:t xml:space="preserve"> four PBCs and two TOGEs </w:t>
            </w:r>
            <w:r w:rsidRPr="6967B2CC">
              <w:t>during the Review period</w:t>
            </w:r>
            <w:r w:rsidR="00D91A5F" w:rsidRPr="6967B2CC">
              <w:t xml:space="preserve">. </w:t>
            </w:r>
            <w:r w:rsidR="00D36EBE" w:rsidRPr="6967B2CC">
              <w:t>They</w:t>
            </w:r>
            <w:r w:rsidRPr="6967B2CC">
              <w:t xml:space="preserve"> were all highly functioning organisations, with between 30 to 80 staff</w:t>
            </w:r>
            <w:r w:rsidR="00E8175B" w:rsidRPr="6967B2CC">
              <w:t xml:space="preserve"> with the</w:t>
            </w:r>
            <w:r w:rsidR="00A6558E" w:rsidRPr="6967B2CC">
              <w:t xml:space="preserve"> PBCs</w:t>
            </w:r>
            <w:r w:rsidR="00A941C7" w:rsidRPr="6967B2CC">
              <w:t xml:space="preserve"> </w:t>
            </w:r>
            <w:r w:rsidRPr="6967B2CC">
              <w:t xml:space="preserve">running for over </w:t>
            </w:r>
            <w:r w:rsidR="005567FD" w:rsidRPr="6967B2CC">
              <w:t>ten</w:t>
            </w:r>
            <w:r w:rsidRPr="6967B2CC">
              <w:t xml:space="preserve"> years. Some had multiple funding sources and did not require basic support funding. </w:t>
            </w:r>
            <w:r w:rsidRPr="6967B2CC">
              <w:rPr>
                <w:rFonts w:eastAsia="Times New Roman" w:cs="Times New Roman"/>
              </w:rPr>
              <w:t>FNLRS allocated at least one lawyer, an anthropologist and a CLO to each PBC and TOGE to provide consistent support during the Review period</w:t>
            </w:r>
            <w:r w:rsidRPr="6967B2CC">
              <w:t xml:space="preserve">. </w:t>
            </w:r>
            <w:r w:rsidRPr="6967B2CC">
              <w:rPr>
                <w:rFonts w:eastAsia="Times New Roman" w:cs="Times New Roman"/>
              </w:rPr>
              <w:t xml:space="preserve">Because the PBCs were already well established, FNLRS provided targeted support as required, primarily focused on Future Act support, administrative support for AGMs and ad-hoc legal support. </w:t>
            </w:r>
          </w:p>
          <w:p w14:paraId="70CC4830" w14:textId="7871E373" w:rsidR="00C8091D" w:rsidRDefault="00C8091D" w:rsidP="009C33D0">
            <w:pPr>
              <w:pStyle w:val="Longformcallout"/>
              <w:rPr>
                <w:rFonts w:eastAsia="Times New Roman" w:cs="Times New Roman"/>
              </w:rPr>
            </w:pPr>
            <w:r w:rsidRPr="007A0259">
              <w:rPr>
                <w:rFonts w:eastAsia="Times New Roman" w:cs="Times New Roman"/>
              </w:rPr>
              <w:t>PBCs</w:t>
            </w:r>
            <w:r>
              <w:rPr>
                <w:rFonts w:eastAsia="Times New Roman" w:cs="Times New Roman"/>
              </w:rPr>
              <w:t xml:space="preserve"> and TOGEs</w:t>
            </w:r>
            <w:r w:rsidRPr="007A0259">
              <w:rPr>
                <w:rFonts w:eastAsia="Times New Roman" w:cs="Times New Roman"/>
              </w:rPr>
              <w:t xml:space="preserve"> were mostly satisfied with </w:t>
            </w:r>
            <w:r>
              <w:rPr>
                <w:rFonts w:eastAsia="Times New Roman" w:cs="Times New Roman"/>
              </w:rPr>
              <w:t>FNLRS’s</w:t>
            </w:r>
            <w:r w:rsidRPr="007A0259">
              <w:rPr>
                <w:rFonts w:eastAsia="Times New Roman" w:cs="Times New Roman"/>
              </w:rPr>
              <w:t xml:space="preserve"> support</w:t>
            </w:r>
            <w:r>
              <w:rPr>
                <w:rFonts w:eastAsia="Times New Roman" w:cs="Times New Roman"/>
              </w:rPr>
              <w:t xml:space="preserve">. Clients valued the high </w:t>
            </w:r>
            <w:r w:rsidRPr="006F0D8A">
              <w:t xml:space="preserve">quality of </w:t>
            </w:r>
            <w:r>
              <w:t>FNLRS’s</w:t>
            </w:r>
            <w:r w:rsidRPr="006F0D8A">
              <w:t xml:space="preserve"> legal support</w:t>
            </w:r>
            <w:r>
              <w:t xml:space="preserve"> and the value for money in accessing </w:t>
            </w:r>
            <w:r w:rsidRPr="006F0D8A">
              <w:t>ad-hoc legal advice</w:t>
            </w:r>
            <w:r>
              <w:t xml:space="preserve">. They also cited </w:t>
            </w:r>
            <w:r>
              <w:rPr>
                <w:rFonts w:eastAsia="Times New Roman" w:cs="Times New Roman"/>
              </w:rPr>
              <w:t xml:space="preserve">the </w:t>
            </w:r>
            <w:r>
              <w:t>strong and trusting relationship that they had with FNLRS.</w:t>
            </w:r>
            <w:r w:rsidDel="00735C6B">
              <w:t xml:space="preserve"> </w:t>
            </w:r>
            <w:r>
              <w:t>Some</w:t>
            </w:r>
            <w:r w:rsidRPr="00060CE9">
              <w:t xml:space="preserve"> clients</w:t>
            </w:r>
            <w:r>
              <w:t xml:space="preserve"> </w:t>
            </w:r>
            <w:r w:rsidRPr="00060CE9">
              <w:t xml:space="preserve">believed there </w:t>
            </w:r>
            <w:r>
              <w:t>could be improved</w:t>
            </w:r>
            <w:r w:rsidRPr="00060CE9">
              <w:t xml:space="preserve"> clarity around FNLRS’s service offering </w:t>
            </w:r>
            <w:r>
              <w:t xml:space="preserve">with more consistent </w:t>
            </w:r>
            <w:r w:rsidRPr="00316FBE">
              <w:t>communication</w:t>
            </w:r>
            <w:r>
              <w:t xml:space="preserve"> and greater </w:t>
            </w:r>
            <w:r w:rsidRPr="00316FBE">
              <w:t>transparency</w:t>
            </w:r>
            <w:r>
              <w:t xml:space="preserve"> around decision-making.</w:t>
            </w:r>
          </w:p>
          <w:p w14:paraId="67FA4076" w14:textId="4F3928CD" w:rsidR="00C8091D" w:rsidRDefault="00C8091D" w:rsidP="009C33D0">
            <w:pPr>
              <w:pStyle w:val="Longformcallout"/>
            </w:pPr>
            <w:r w:rsidRPr="6967B2CC">
              <w:rPr>
                <w:rFonts w:eastAsia="Times New Roman" w:cs="Times New Roman"/>
              </w:rPr>
              <w:t xml:space="preserve">Several staff interviewed noted that FNLRS experienced capacity constraints throughout the Review period, which </w:t>
            </w:r>
            <w:r w:rsidR="00895679" w:rsidRPr="6967B2CC">
              <w:rPr>
                <w:rFonts w:eastAsia="Times New Roman" w:cs="Times New Roman"/>
              </w:rPr>
              <w:t xml:space="preserve">they believed </w:t>
            </w:r>
            <w:r w:rsidRPr="6967B2CC">
              <w:rPr>
                <w:rFonts w:eastAsia="Times New Roman" w:cs="Times New Roman"/>
              </w:rPr>
              <w:t xml:space="preserve">contributed to restricted support provision for PBCs and TOGEs. The funding and staffing level decreases in FY2019-20 contributed to this. </w:t>
            </w:r>
          </w:p>
          <w:p w14:paraId="0687E5C8" w14:textId="77777777" w:rsidR="00C8091D" w:rsidRDefault="00C8091D" w:rsidP="009C33D0">
            <w:pPr>
              <w:pStyle w:val="Longformcallout"/>
            </w:pPr>
            <w:r w:rsidRPr="6967B2CC">
              <w:t xml:space="preserve">FNLRS formed a Return of Materials Committee during the Review period, which oversaw a pilot initiative to return cultural materials to the Gunditjmara people. Several staff interviewed reported that learnings from this pilot project would be central to the development of a formal return of materials policy to be used by FNLRS for other PBCs in the future. </w:t>
            </w:r>
          </w:p>
          <w:p w14:paraId="664DBEE2" w14:textId="15BAE1E5" w:rsidR="00214A1E" w:rsidRDefault="00C8091D" w:rsidP="009C33D0">
            <w:pPr>
              <w:pStyle w:val="Longformcallout"/>
            </w:pPr>
            <w:r>
              <w:t xml:space="preserve">FNLRS received $100,000 per annum in PBC support funding during each year of the Review period, with $50,000 being provided to two of the four Victorian PBCs. </w:t>
            </w:r>
            <w:r w:rsidRPr="00930A90">
              <w:t>There would be benefit in</w:t>
            </w:r>
            <w:r>
              <w:t xml:space="preserve"> NIAA clarifying its intentions in relation to PBC</w:t>
            </w:r>
            <w:r w:rsidRPr="00930A90">
              <w:t xml:space="preserve"> </w:t>
            </w:r>
            <w:r>
              <w:t xml:space="preserve">funding in the future. Operational funding or fee-for-service arrangements were also used to fund both PBC and TOGE support. </w:t>
            </w:r>
          </w:p>
        </w:tc>
      </w:tr>
    </w:tbl>
    <w:p w14:paraId="16AA5A8D" w14:textId="1FF299BC" w:rsidR="00FE5711" w:rsidRDefault="00FE5711" w:rsidP="000B2E53">
      <w:pPr>
        <w:pStyle w:val="Heading3"/>
        <w:numPr>
          <w:ilvl w:val="2"/>
          <w:numId w:val="20"/>
        </w:numPr>
      </w:pPr>
      <w:r>
        <w:t>TOR 6</w:t>
      </w:r>
      <w:r w:rsidR="00214A1E">
        <w:t>:</w:t>
      </w:r>
      <w:r>
        <w:t xml:space="preserve"> </w:t>
      </w:r>
      <w:r w:rsidRPr="00E85100">
        <w:t>Assessment</w:t>
      </w:r>
      <w:r>
        <w:t xml:space="preserve"> of performance</w:t>
      </w:r>
    </w:p>
    <w:p w14:paraId="059FDE5A" w14:textId="036122D7" w:rsidR="00627E20" w:rsidRPr="00010FE7" w:rsidRDefault="00627E20" w:rsidP="00627E20">
      <w:pPr>
        <w:rPr>
          <w:lang w:eastAsia="en-AU"/>
        </w:rPr>
      </w:pPr>
      <w:r w:rsidRPr="00010FE7">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_Ref164753157 \n \h </w:instrText>
      </w:r>
      <w:r>
        <w:rPr>
          <w:lang w:eastAsia="en-AU"/>
        </w:rPr>
      </w:r>
      <w:r>
        <w:rPr>
          <w:lang w:eastAsia="en-AU"/>
        </w:rPr>
        <w:fldChar w:fldCharType="separate"/>
      </w:r>
      <w:r w:rsidR="00AB7E95">
        <w:rPr>
          <w:lang w:eastAsia="en-AU"/>
        </w:rPr>
        <w:t>Appendix A</w:t>
      </w:r>
      <w:r>
        <w:rPr>
          <w:lang w:eastAsia="en-AU"/>
        </w:rPr>
        <w:fldChar w:fldCharType="end"/>
      </w:r>
      <w:r w:rsidRPr="00010FE7">
        <w:rPr>
          <w:lang w:eastAsia="en-AU"/>
        </w:rPr>
        <w:t>.</w:t>
      </w:r>
    </w:p>
    <w:p w14:paraId="1B8284E6" w14:textId="77777777" w:rsidR="005D3F74" w:rsidRPr="006F0D8A" w:rsidRDefault="005D3F74" w:rsidP="005D3F74">
      <w:pPr>
        <w:keepNext/>
        <w:spacing w:before="240" w:after="60"/>
        <w:outlineLvl w:val="3"/>
        <w:rPr>
          <w:rFonts w:ascii="Segoe UI Semibold" w:eastAsia="Times New Roman" w:hAnsi="Segoe UI Semibold" w:cs="Times New Roman"/>
          <w:color w:val="00264D" w:themeColor="background2"/>
          <w:sz w:val="22"/>
          <w:szCs w:val="19"/>
          <w:lang w:eastAsia="en-AU"/>
        </w:rPr>
      </w:pPr>
      <w:r w:rsidRPr="006F0D8A">
        <w:rPr>
          <w:rFonts w:ascii="Segoe UI Semibold" w:eastAsia="Times New Roman" w:hAnsi="Segoe UI Semibold" w:cs="Times New Roman"/>
          <w:color w:val="00264D" w:themeColor="background2"/>
          <w:sz w:val="22"/>
          <w:szCs w:val="19"/>
          <w:lang w:eastAsia="en-AU"/>
        </w:rPr>
        <w:t>Satisfaction of PBCs/RNTBCs supported by the NTRB-SP</w:t>
      </w:r>
    </w:p>
    <w:p w14:paraId="7931373B" w14:textId="77777777" w:rsidR="005D3F74" w:rsidRPr="006F0D8A" w:rsidRDefault="005D3F74" w:rsidP="005D3F74">
      <w:pPr>
        <w:keepNext/>
        <w:numPr>
          <w:ilvl w:val="4"/>
          <w:numId w:val="1"/>
        </w:numPr>
        <w:spacing w:before="240"/>
        <w:outlineLvl w:val="4"/>
        <w:rPr>
          <w:rFonts w:eastAsia="Times New Roman" w:cs="Times New Roman"/>
          <w:b/>
          <w:color w:val="000000" w:themeColor="text1"/>
          <w:sz w:val="20"/>
          <w:szCs w:val="24"/>
          <w:lang w:eastAsia="en-AU"/>
        </w:rPr>
      </w:pPr>
      <w:r w:rsidRPr="006F0D8A">
        <w:rPr>
          <w:rFonts w:eastAsia="Times New Roman" w:cs="Times New Roman"/>
          <w:b/>
          <w:color w:val="000000" w:themeColor="text1"/>
          <w:sz w:val="20"/>
          <w:szCs w:val="24"/>
          <w:lang w:eastAsia="en-AU"/>
        </w:rPr>
        <w:t>PBCs</w:t>
      </w:r>
      <w:r>
        <w:rPr>
          <w:rFonts w:eastAsia="Times New Roman" w:cs="Times New Roman"/>
          <w:b/>
          <w:color w:val="000000" w:themeColor="text1"/>
          <w:sz w:val="20"/>
          <w:szCs w:val="24"/>
          <w:lang w:eastAsia="en-AU"/>
        </w:rPr>
        <w:t xml:space="preserve"> and TOGEs</w:t>
      </w:r>
      <w:r w:rsidRPr="006F0D8A">
        <w:rPr>
          <w:rFonts w:eastAsia="Times New Roman" w:cs="Times New Roman"/>
          <w:b/>
          <w:color w:val="000000" w:themeColor="text1"/>
          <w:sz w:val="20"/>
          <w:szCs w:val="24"/>
          <w:lang w:eastAsia="en-AU"/>
        </w:rPr>
        <w:t xml:space="preserve"> were mostly satisfied with </w:t>
      </w:r>
      <w:r>
        <w:rPr>
          <w:rFonts w:eastAsia="Times New Roman" w:cs="Times New Roman"/>
          <w:b/>
          <w:color w:val="000000" w:themeColor="text1"/>
          <w:sz w:val="20"/>
          <w:szCs w:val="24"/>
          <w:lang w:eastAsia="en-AU"/>
        </w:rPr>
        <w:t>FNLRS’s</w:t>
      </w:r>
      <w:r w:rsidRPr="006F0D8A">
        <w:rPr>
          <w:rFonts w:eastAsia="Times New Roman" w:cs="Times New Roman"/>
          <w:b/>
          <w:color w:val="000000" w:themeColor="text1"/>
          <w:sz w:val="20"/>
          <w:szCs w:val="24"/>
          <w:lang w:eastAsia="en-AU"/>
        </w:rPr>
        <w:t xml:space="preserve"> support </w:t>
      </w:r>
    </w:p>
    <w:p w14:paraId="7020BDCE" w14:textId="77777777" w:rsidR="005D3F74" w:rsidRDefault="005D3F74" w:rsidP="005D3F74">
      <w:pPr>
        <w:rPr>
          <w:lang w:eastAsia="en-AU"/>
        </w:rPr>
      </w:pPr>
      <w:r>
        <w:rPr>
          <w:lang w:eastAsia="en-AU"/>
        </w:rPr>
        <w:t>PBC and TOGE clients</w:t>
      </w:r>
      <w:r w:rsidRPr="006F0D8A">
        <w:rPr>
          <w:lang w:eastAsia="en-AU"/>
        </w:rPr>
        <w:t xml:space="preserve"> who spoke to the Review </w:t>
      </w:r>
      <w:r>
        <w:rPr>
          <w:lang w:eastAsia="en-AU"/>
        </w:rPr>
        <w:t xml:space="preserve">were </w:t>
      </w:r>
      <w:r w:rsidRPr="006F0D8A">
        <w:rPr>
          <w:lang w:eastAsia="en-AU"/>
        </w:rPr>
        <w:t xml:space="preserve">generally </w:t>
      </w:r>
      <w:r>
        <w:rPr>
          <w:lang w:eastAsia="en-AU"/>
        </w:rPr>
        <w:t>happy with the</w:t>
      </w:r>
      <w:r w:rsidRPr="006F0D8A">
        <w:rPr>
          <w:lang w:eastAsia="en-AU"/>
        </w:rPr>
        <w:t xml:space="preserve"> support they received from FNLRS throughout the Review period. </w:t>
      </w:r>
      <w:r>
        <w:rPr>
          <w:lang w:eastAsia="en-AU"/>
        </w:rPr>
        <w:t>Observations from interviews included:</w:t>
      </w:r>
    </w:p>
    <w:p w14:paraId="331E6CEA" w14:textId="77777777" w:rsidR="005D3F74" w:rsidRDefault="005D3F74" w:rsidP="005D3F74">
      <w:pPr>
        <w:pStyle w:val="Bullet"/>
      </w:pPr>
      <w:r>
        <w:t>M</w:t>
      </w:r>
      <w:r w:rsidRPr="006F0D8A">
        <w:t xml:space="preserve">ost clients highlighted the </w:t>
      </w:r>
      <w:r>
        <w:t>strong and trusting relationship that they had with FNLRS, including with the management team and the CEO.</w:t>
      </w:r>
    </w:p>
    <w:p w14:paraId="31452832" w14:textId="77777777" w:rsidR="005D3F74" w:rsidRDefault="005D3F74" w:rsidP="005D3F74">
      <w:pPr>
        <w:pStyle w:val="Bullet"/>
      </w:pPr>
      <w:r>
        <w:t xml:space="preserve">Many clients highlighted the </w:t>
      </w:r>
      <w:r w:rsidRPr="006F0D8A">
        <w:t xml:space="preserve">quality of </w:t>
      </w:r>
      <w:r>
        <w:t>FNLRS’s</w:t>
      </w:r>
      <w:r w:rsidRPr="006F0D8A">
        <w:t xml:space="preserve"> legal support</w:t>
      </w:r>
      <w:r>
        <w:t xml:space="preserve"> and the value for money in accessing </w:t>
      </w:r>
      <w:r w:rsidRPr="006F0D8A">
        <w:t>legal advice.</w:t>
      </w:r>
    </w:p>
    <w:p w14:paraId="4523E22D" w14:textId="77777777" w:rsidR="005D3F74" w:rsidRPr="006F0D8A" w:rsidRDefault="005D3F74" w:rsidP="005D3F74">
      <w:pPr>
        <w:pStyle w:val="Bullet"/>
      </w:pPr>
      <w:r w:rsidRPr="6967B2CC">
        <w:t xml:space="preserve">Most clients appreciated the deep expertise and knowledge that FNLRS had developed over time. </w:t>
      </w:r>
    </w:p>
    <w:p w14:paraId="0CA8B44A" w14:textId="77777777" w:rsidR="005D3F74" w:rsidRPr="006F0D8A" w:rsidRDefault="005D3F74" w:rsidP="005D3F74">
      <w:r w:rsidRPr="006F0D8A">
        <w:t xml:space="preserve">Despite most clients being satisfied with </w:t>
      </w:r>
      <w:r>
        <w:t>FNLRS’s</w:t>
      </w:r>
      <w:r w:rsidRPr="006F0D8A">
        <w:t xml:space="preserve"> support during the Review period, </w:t>
      </w:r>
      <w:r>
        <w:t>clients</w:t>
      </w:r>
      <w:r w:rsidRPr="006F0D8A">
        <w:t xml:space="preserve"> </w:t>
      </w:r>
      <w:r>
        <w:t>raised</w:t>
      </w:r>
      <w:r w:rsidRPr="006F0D8A">
        <w:t xml:space="preserve"> areas for improvement</w:t>
      </w:r>
      <w:r>
        <w:t>. Observations from interviews included</w:t>
      </w:r>
      <w:r w:rsidRPr="006F0D8A">
        <w:t>:</w:t>
      </w:r>
    </w:p>
    <w:p w14:paraId="3F19297D" w14:textId="77777777" w:rsidR="005D3F74" w:rsidRPr="006F0D8A" w:rsidRDefault="005D3F74" w:rsidP="005D3F74">
      <w:pPr>
        <w:pStyle w:val="Bullet"/>
      </w:pPr>
      <w:r w:rsidRPr="006F0D8A">
        <w:lastRenderedPageBreak/>
        <w:t xml:space="preserve">Most clients </w:t>
      </w:r>
      <w:r>
        <w:t>believed there could be more clarity around what FNLRS’s service offering was in terms of PBC support. M</w:t>
      </w:r>
      <w:r w:rsidRPr="006F0D8A">
        <w:t xml:space="preserve">ost clients </w:t>
      </w:r>
      <w:r>
        <w:t>were interested in exploring other</w:t>
      </w:r>
      <w:r w:rsidRPr="006F0D8A">
        <w:t xml:space="preserve"> service</w:t>
      </w:r>
      <w:r>
        <w:t>s on offer from FNLRS</w:t>
      </w:r>
      <w:r w:rsidRPr="006F0D8A">
        <w:t xml:space="preserve">, such as </w:t>
      </w:r>
      <w:r>
        <w:t xml:space="preserve">broader </w:t>
      </w:r>
      <w:r w:rsidRPr="006F0D8A">
        <w:t xml:space="preserve">governance and </w:t>
      </w:r>
      <w:r>
        <w:t>strategy</w:t>
      </w:r>
      <w:r w:rsidRPr="006F0D8A">
        <w:t xml:space="preserve"> advice, </w:t>
      </w:r>
      <w:r>
        <w:t>although</w:t>
      </w:r>
      <w:r w:rsidRPr="006F0D8A">
        <w:t xml:space="preserve"> they </w:t>
      </w:r>
      <w:r>
        <w:t xml:space="preserve">did not know whether </w:t>
      </w:r>
      <w:r w:rsidRPr="006F0D8A">
        <w:t xml:space="preserve">this </w:t>
      </w:r>
      <w:r>
        <w:t xml:space="preserve">was in scope. </w:t>
      </w:r>
    </w:p>
    <w:p w14:paraId="43597980" w14:textId="77777777" w:rsidR="005D3F74" w:rsidRPr="006F0D8A" w:rsidRDefault="005D3F74" w:rsidP="005D3F74">
      <w:pPr>
        <w:pStyle w:val="Bullet"/>
      </w:pPr>
      <w:r w:rsidRPr="6967B2CC">
        <w:t xml:space="preserve">Some clients thought that FNLRS could be more consistent in its communications and enhance its transparency regarding its decision-making about the staff allocated to clients for ongoing support. </w:t>
      </w:r>
    </w:p>
    <w:p w14:paraId="5A96FC37" w14:textId="77777777" w:rsidR="005D3F74" w:rsidRDefault="005D3F74" w:rsidP="005D3F74">
      <w:pPr>
        <w:pStyle w:val="Bullet"/>
      </w:pPr>
      <w:r w:rsidRPr="006F0D8A">
        <w:t xml:space="preserve">Some clients felt that </w:t>
      </w:r>
      <w:r>
        <w:t xml:space="preserve">FNLRS’s </w:t>
      </w:r>
      <w:r w:rsidRPr="006F0D8A">
        <w:t xml:space="preserve">legal staff </w:t>
      </w:r>
      <w:r>
        <w:t>could improve</w:t>
      </w:r>
      <w:r w:rsidRPr="006F0D8A">
        <w:t xml:space="preserve"> in some </w:t>
      </w:r>
      <w:r>
        <w:t xml:space="preserve">administrative </w:t>
      </w:r>
      <w:r w:rsidRPr="006F0D8A">
        <w:t>areas (</w:t>
      </w:r>
      <w:r>
        <w:t>for example,</w:t>
      </w:r>
      <w:r w:rsidRPr="006F0D8A">
        <w:t xml:space="preserve"> minute-taking)</w:t>
      </w:r>
      <w:r>
        <w:t xml:space="preserve">. </w:t>
      </w:r>
    </w:p>
    <w:p w14:paraId="6D56A637" w14:textId="77777777" w:rsidR="005D3F74" w:rsidRDefault="005D3F74" w:rsidP="005D3F74">
      <w:pPr>
        <w:rPr>
          <w:lang w:eastAsia="en-AU"/>
        </w:rPr>
      </w:pPr>
      <w:r w:rsidRPr="0028466B">
        <w:t>The Review belie</w:t>
      </w:r>
      <w:r>
        <w:t>ve</w:t>
      </w:r>
      <w:r w:rsidRPr="0028466B">
        <w:t>s that having more purposeful and regular conversations with PBCs</w:t>
      </w:r>
      <w:r>
        <w:t xml:space="preserve"> and TOGEs</w:t>
      </w:r>
      <w:r w:rsidRPr="0028466B">
        <w:t xml:space="preserve"> to understand what level of service they are seeking and to assess what support FNLRS can provide with</w:t>
      </w:r>
      <w:r>
        <w:t>in</w:t>
      </w:r>
      <w:r w:rsidRPr="0028466B">
        <w:t xml:space="preserve"> the resources it has available would benefit </w:t>
      </w:r>
      <w:r>
        <w:t>FNLRS’s</w:t>
      </w:r>
      <w:r w:rsidRPr="0028466B">
        <w:t xml:space="preserve"> relationship with</w:t>
      </w:r>
      <w:r>
        <w:t xml:space="preserve"> them</w:t>
      </w:r>
      <w:r w:rsidRPr="0028466B">
        <w:t>.</w:t>
      </w:r>
      <w:r>
        <w:t xml:space="preserve"> </w:t>
      </w:r>
    </w:p>
    <w:p w14:paraId="3FC7C0F9" w14:textId="30337CD3" w:rsidR="005D3F74" w:rsidRDefault="005D3F74" w:rsidP="00E06004">
      <w:pPr>
        <w:rPr>
          <w:rFonts w:ascii="Segoe UI Semibold" w:eastAsia="Times New Roman" w:hAnsi="Segoe UI Semibold" w:cs="Times New Roman"/>
          <w:color w:val="00264D" w:themeColor="background2"/>
          <w:sz w:val="22"/>
          <w:szCs w:val="19"/>
          <w:lang w:eastAsia="en-AU"/>
        </w:rPr>
      </w:pPr>
      <w:r>
        <w:rPr>
          <w:lang w:eastAsia="en-AU"/>
        </w:rPr>
        <w:t>FNLRS did not have a formal, dedicated mechanism to collect PBC or TOGE feedback in place during the Review period or at the time of staff consultations in November 2023. Staff noted that the Strategic Review (conducted after the Review period) was undertaken with the intention of using feedback to inform FNLRS’s future service delivery. The Review believes that a culturally appropriate feedback mechanism should be introduced by FNLRS to guide refinement of service delivery for PBCs and TOGEs on an ongoing basis. This aligns with staff sentiment observed during interviews, which placed high value on an ongoing feedback mechanism for clients building off the one-off exercise undertaken by the Strategic Review.</w:t>
      </w:r>
    </w:p>
    <w:p w14:paraId="230DDB5A" w14:textId="77777777" w:rsidR="00C63EB0" w:rsidRPr="006F0D8A" w:rsidRDefault="00C63EB0" w:rsidP="00C63EB0">
      <w:pPr>
        <w:keepNext/>
        <w:spacing w:before="240" w:after="60"/>
        <w:outlineLvl w:val="3"/>
        <w:rPr>
          <w:rFonts w:ascii="Segoe UI Semibold" w:eastAsia="Times New Roman" w:hAnsi="Segoe UI Semibold" w:cs="Times New Roman"/>
          <w:color w:val="00264D" w:themeColor="background2"/>
          <w:sz w:val="22"/>
          <w:szCs w:val="19"/>
          <w:lang w:eastAsia="en-AU"/>
        </w:rPr>
      </w:pPr>
      <w:r w:rsidRPr="006F0D8A">
        <w:rPr>
          <w:rFonts w:ascii="Segoe UI Semibold" w:eastAsia="Times New Roman" w:hAnsi="Segoe UI Semibold" w:cs="Times New Roman"/>
          <w:color w:val="00264D" w:themeColor="background2"/>
          <w:sz w:val="22"/>
          <w:szCs w:val="19"/>
          <w:lang w:eastAsia="en-AU"/>
        </w:rPr>
        <w:t xml:space="preserve">Percentage of PBCs/RNTBCs supported by the NTRB-SP who have had intervention from ORIC or </w:t>
      </w:r>
      <w:proofErr w:type="gramStart"/>
      <w:r w:rsidRPr="006F0D8A">
        <w:rPr>
          <w:rFonts w:ascii="Segoe UI Semibold" w:eastAsia="Times New Roman" w:hAnsi="Segoe UI Semibold" w:cs="Times New Roman"/>
          <w:color w:val="00264D" w:themeColor="background2"/>
          <w:sz w:val="22"/>
          <w:szCs w:val="19"/>
          <w:lang w:eastAsia="en-AU"/>
        </w:rPr>
        <w:t>other</w:t>
      </w:r>
      <w:proofErr w:type="gramEnd"/>
      <w:r w:rsidRPr="006F0D8A">
        <w:rPr>
          <w:rFonts w:ascii="Segoe UI Semibold" w:eastAsia="Times New Roman" w:hAnsi="Segoe UI Semibold" w:cs="Times New Roman"/>
          <w:color w:val="00264D" w:themeColor="background2"/>
          <w:sz w:val="22"/>
          <w:szCs w:val="19"/>
          <w:lang w:eastAsia="en-AU"/>
        </w:rPr>
        <w:t xml:space="preserve"> regulator</w:t>
      </w:r>
    </w:p>
    <w:p w14:paraId="65A4C769" w14:textId="77777777" w:rsidR="00C63EB0" w:rsidRPr="006F0D8A" w:rsidRDefault="00C63EB0" w:rsidP="00C63EB0">
      <w:pPr>
        <w:rPr>
          <w:lang w:eastAsia="en-AU"/>
        </w:rPr>
      </w:pPr>
      <w:r>
        <w:rPr>
          <w:lang w:eastAsia="en-AU"/>
        </w:rPr>
        <w:t>No</w:t>
      </w:r>
      <w:r w:rsidRPr="009F49B7">
        <w:rPr>
          <w:lang w:eastAsia="en-AU"/>
        </w:rPr>
        <w:t xml:space="preserve"> PBC</w:t>
      </w:r>
      <w:r>
        <w:rPr>
          <w:lang w:eastAsia="en-AU"/>
        </w:rPr>
        <w:t xml:space="preserve"> or TOGE</w:t>
      </w:r>
      <w:r w:rsidRPr="009F49B7">
        <w:rPr>
          <w:lang w:eastAsia="en-AU"/>
        </w:rPr>
        <w:t xml:space="preserve"> supported by FNLRS during the Review period received intervention from ORIC or other regulator.</w:t>
      </w:r>
      <w:r w:rsidRPr="006F0D8A">
        <w:rPr>
          <w:lang w:eastAsia="en-AU"/>
        </w:rPr>
        <w:t xml:space="preserve"> </w:t>
      </w:r>
    </w:p>
    <w:p w14:paraId="1391B935" w14:textId="6D42F921" w:rsidR="006F0D8A" w:rsidRPr="006F0D8A" w:rsidRDefault="006F0D8A" w:rsidP="006F0D8A">
      <w:pPr>
        <w:keepNext/>
        <w:spacing w:before="240" w:after="60"/>
        <w:outlineLvl w:val="3"/>
        <w:rPr>
          <w:rFonts w:ascii="Segoe UI Semibold" w:eastAsia="Times New Roman" w:hAnsi="Segoe UI Semibold" w:cs="Times New Roman"/>
          <w:color w:val="00264D" w:themeColor="background2"/>
          <w:sz w:val="22"/>
          <w:szCs w:val="19"/>
          <w:lang w:eastAsia="en-AU"/>
        </w:rPr>
      </w:pPr>
      <w:r w:rsidRPr="006F0D8A">
        <w:rPr>
          <w:rFonts w:ascii="Segoe UI Semibold" w:eastAsia="Times New Roman" w:hAnsi="Segoe UI Semibold" w:cs="Times New Roman"/>
          <w:color w:val="00264D" w:themeColor="background2"/>
          <w:sz w:val="22"/>
          <w:szCs w:val="19"/>
          <w:lang w:eastAsia="en-AU"/>
        </w:rPr>
        <w:t>Progress towards self-sufficiency for PBCs/RNTBCs supported by the NTRB-SP</w:t>
      </w:r>
    </w:p>
    <w:p w14:paraId="587AD070" w14:textId="44CC5AB2" w:rsidR="006F0D8A" w:rsidRPr="006F0D8A" w:rsidRDefault="00766BCC" w:rsidP="006F0D8A">
      <w:pPr>
        <w:keepNext/>
        <w:spacing w:before="240"/>
        <w:outlineLvl w:val="4"/>
        <w:rPr>
          <w:rFonts w:eastAsia="Times New Roman" w:cs="Times New Roman"/>
          <w:b/>
          <w:color w:val="000000" w:themeColor="text1"/>
          <w:sz w:val="20"/>
          <w:szCs w:val="24"/>
          <w:lang w:eastAsia="en-AU"/>
        </w:rPr>
      </w:pPr>
      <w:r>
        <w:rPr>
          <w:rFonts w:eastAsia="Times New Roman" w:cs="Times New Roman"/>
          <w:b/>
          <w:color w:val="000000" w:themeColor="text1"/>
          <w:sz w:val="20"/>
          <w:szCs w:val="24"/>
          <w:lang w:eastAsia="en-AU"/>
        </w:rPr>
        <w:t>The</w:t>
      </w:r>
      <w:r w:rsidR="003A498C">
        <w:rPr>
          <w:rFonts w:eastAsia="Times New Roman" w:cs="Times New Roman"/>
          <w:b/>
          <w:color w:val="000000" w:themeColor="text1"/>
          <w:sz w:val="20"/>
          <w:szCs w:val="24"/>
          <w:lang w:eastAsia="en-AU"/>
        </w:rPr>
        <w:t xml:space="preserve"> </w:t>
      </w:r>
      <w:r w:rsidR="006F0D8A" w:rsidRPr="006F0D8A">
        <w:rPr>
          <w:rFonts w:eastAsia="Times New Roman" w:cs="Times New Roman"/>
          <w:b/>
          <w:color w:val="000000" w:themeColor="text1"/>
          <w:sz w:val="20"/>
          <w:szCs w:val="24"/>
          <w:lang w:eastAsia="en-AU"/>
        </w:rPr>
        <w:t xml:space="preserve">PBCs </w:t>
      </w:r>
      <w:r>
        <w:rPr>
          <w:rFonts w:eastAsia="Times New Roman" w:cs="Times New Roman"/>
          <w:b/>
          <w:color w:val="000000" w:themeColor="text1"/>
          <w:sz w:val="20"/>
          <w:szCs w:val="24"/>
          <w:lang w:eastAsia="en-AU"/>
        </w:rPr>
        <w:t>and</w:t>
      </w:r>
      <w:r w:rsidR="003A498C">
        <w:rPr>
          <w:rFonts w:eastAsia="Times New Roman" w:cs="Times New Roman"/>
          <w:b/>
          <w:color w:val="000000" w:themeColor="text1"/>
          <w:sz w:val="20"/>
          <w:szCs w:val="24"/>
          <w:lang w:eastAsia="en-AU"/>
        </w:rPr>
        <w:t xml:space="preserve"> </w:t>
      </w:r>
      <w:r>
        <w:rPr>
          <w:rFonts w:eastAsia="Times New Roman" w:cs="Times New Roman"/>
          <w:b/>
          <w:color w:val="000000" w:themeColor="text1"/>
          <w:sz w:val="20"/>
          <w:szCs w:val="24"/>
          <w:lang w:eastAsia="en-AU"/>
        </w:rPr>
        <w:t xml:space="preserve">TOGEs </w:t>
      </w:r>
      <w:r w:rsidR="006F0D8A" w:rsidRPr="006F0D8A">
        <w:rPr>
          <w:rFonts w:eastAsia="Times New Roman" w:cs="Times New Roman"/>
          <w:b/>
          <w:color w:val="000000" w:themeColor="text1"/>
          <w:sz w:val="20"/>
          <w:szCs w:val="24"/>
          <w:lang w:eastAsia="en-AU"/>
        </w:rPr>
        <w:t xml:space="preserve">were generally self-sufficient during the Review period </w:t>
      </w:r>
    </w:p>
    <w:p w14:paraId="76529F12" w14:textId="730606A5" w:rsidR="00385A09" w:rsidRDefault="006F0D8A" w:rsidP="006F0D8A">
      <w:pPr>
        <w:rPr>
          <w:lang w:eastAsia="en-AU"/>
        </w:rPr>
      </w:pPr>
      <w:r w:rsidRPr="006F0D8A">
        <w:rPr>
          <w:lang w:eastAsia="en-AU"/>
        </w:rPr>
        <w:t xml:space="preserve">The four PBCs </w:t>
      </w:r>
      <w:r w:rsidR="00766BCC">
        <w:rPr>
          <w:lang w:eastAsia="en-AU"/>
        </w:rPr>
        <w:t>and tw</w:t>
      </w:r>
      <w:r w:rsidR="00744930">
        <w:rPr>
          <w:lang w:eastAsia="en-AU"/>
        </w:rPr>
        <w:t>o TOGEs</w:t>
      </w:r>
      <w:r w:rsidR="00D82F27">
        <w:rPr>
          <w:rStyle w:val="FootnoteReference"/>
          <w:lang w:eastAsia="en-AU"/>
        </w:rPr>
        <w:footnoteReference w:id="29"/>
      </w:r>
      <w:r w:rsidR="00744930">
        <w:rPr>
          <w:lang w:eastAsia="en-AU"/>
        </w:rPr>
        <w:t xml:space="preserve"> </w:t>
      </w:r>
      <w:r w:rsidRPr="006F0D8A">
        <w:rPr>
          <w:lang w:eastAsia="en-AU"/>
        </w:rPr>
        <w:t xml:space="preserve">that FNLRS </w:t>
      </w:r>
      <w:r w:rsidR="00E2329B">
        <w:rPr>
          <w:lang w:eastAsia="en-AU"/>
        </w:rPr>
        <w:t>serviced</w:t>
      </w:r>
      <w:r w:rsidRPr="006F0D8A">
        <w:rPr>
          <w:lang w:eastAsia="en-AU"/>
        </w:rPr>
        <w:t xml:space="preserve"> during the Review period were </w:t>
      </w:r>
      <w:r w:rsidR="000400A9">
        <w:rPr>
          <w:lang w:eastAsia="en-AU"/>
        </w:rPr>
        <w:t xml:space="preserve">all </w:t>
      </w:r>
      <w:r w:rsidR="008F5680">
        <w:rPr>
          <w:lang w:eastAsia="en-AU"/>
        </w:rPr>
        <w:t xml:space="preserve">fully functioning organisations that had been </w:t>
      </w:r>
      <w:r w:rsidR="000400A9">
        <w:rPr>
          <w:lang w:eastAsia="en-AU"/>
        </w:rPr>
        <w:t>running</w:t>
      </w:r>
      <w:r w:rsidR="00166D7B">
        <w:rPr>
          <w:lang w:eastAsia="en-AU"/>
        </w:rPr>
        <w:t xml:space="preserve"> for</w:t>
      </w:r>
      <w:r w:rsidR="008F5680">
        <w:rPr>
          <w:lang w:eastAsia="en-AU"/>
        </w:rPr>
        <w:t xml:space="preserve"> over </w:t>
      </w:r>
      <w:r w:rsidR="00DB4B0C">
        <w:rPr>
          <w:lang w:eastAsia="en-AU"/>
        </w:rPr>
        <w:t xml:space="preserve">ten </w:t>
      </w:r>
      <w:r w:rsidR="008F5680">
        <w:rPr>
          <w:lang w:eastAsia="en-AU"/>
        </w:rPr>
        <w:t>years</w:t>
      </w:r>
      <w:r w:rsidR="003A498C">
        <w:rPr>
          <w:lang w:eastAsia="en-AU"/>
        </w:rPr>
        <w:t>.</w:t>
      </w:r>
      <w:r w:rsidR="008F5680">
        <w:rPr>
          <w:lang w:eastAsia="en-AU"/>
        </w:rPr>
        <w:t xml:space="preserve"> </w:t>
      </w:r>
      <w:r w:rsidR="00166D7B">
        <w:rPr>
          <w:lang w:eastAsia="en-AU"/>
        </w:rPr>
        <w:t>The</w:t>
      </w:r>
      <w:r w:rsidR="00744930">
        <w:rPr>
          <w:lang w:eastAsia="en-AU"/>
        </w:rPr>
        <w:t xml:space="preserve">y </w:t>
      </w:r>
      <w:r w:rsidR="00166D7B">
        <w:rPr>
          <w:lang w:eastAsia="en-AU"/>
        </w:rPr>
        <w:t>had well</w:t>
      </w:r>
      <w:r w:rsidR="008F5680">
        <w:rPr>
          <w:lang w:eastAsia="en-AU"/>
        </w:rPr>
        <w:t xml:space="preserve"> established governance</w:t>
      </w:r>
      <w:r w:rsidR="00166D7B">
        <w:rPr>
          <w:lang w:eastAsia="en-AU"/>
        </w:rPr>
        <w:t xml:space="preserve"> mechanisms </w:t>
      </w:r>
      <w:r w:rsidR="00744930">
        <w:rPr>
          <w:lang w:eastAsia="en-AU"/>
        </w:rPr>
        <w:t>with</w:t>
      </w:r>
      <w:r w:rsidR="00B22B17" w:rsidRPr="006F0D8A">
        <w:rPr>
          <w:lang w:eastAsia="en-AU"/>
        </w:rPr>
        <w:t xml:space="preserve"> approximately 30</w:t>
      </w:r>
      <w:r w:rsidR="000A0510">
        <w:rPr>
          <w:lang w:eastAsia="en-AU"/>
        </w:rPr>
        <w:t xml:space="preserve"> to </w:t>
      </w:r>
      <w:r w:rsidR="003337D5">
        <w:rPr>
          <w:lang w:eastAsia="en-AU"/>
        </w:rPr>
        <w:t>8</w:t>
      </w:r>
      <w:r w:rsidR="00B22B17" w:rsidRPr="006F0D8A">
        <w:rPr>
          <w:lang w:eastAsia="en-AU"/>
        </w:rPr>
        <w:t>0 staff</w:t>
      </w:r>
      <w:r w:rsidR="0040000D">
        <w:rPr>
          <w:lang w:eastAsia="en-AU"/>
        </w:rPr>
        <w:t xml:space="preserve"> each</w:t>
      </w:r>
      <w:r w:rsidR="00CD3003">
        <w:rPr>
          <w:lang w:eastAsia="en-AU"/>
        </w:rPr>
        <w:t>. The PBCs</w:t>
      </w:r>
      <w:r w:rsidR="001B2099">
        <w:rPr>
          <w:lang w:eastAsia="en-AU"/>
        </w:rPr>
        <w:t xml:space="preserve"> and TOGEs</w:t>
      </w:r>
      <w:r w:rsidR="00CD3003">
        <w:rPr>
          <w:lang w:eastAsia="en-AU"/>
        </w:rPr>
        <w:t xml:space="preserve"> </w:t>
      </w:r>
      <w:r w:rsidR="00E30266">
        <w:rPr>
          <w:lang w:eastAsia="en-AU"/>
        </w:rPr>
        <w:t xml:space="preserve">have grown over time to take on more responsibilities and work with government to achieve outcomes for </w:t>
      </w:r>
      <w:r w:rsidR="00627D30">
        <w:rPr>
          <w:lang w:eastAsia="en-AU"/>
        </w:rPr>
        <w:t>Traditional Owners</w:t>
      </w:r>
      <w:r w:rsidR="00E93C03">
        <w:rPr>
          <w:lang w:eastAsia="en-AU"/>
        </w:rPr>
        <w:t xml:space="preserve">. </w:t>
      </w:r>
    </w:p>
    <w:p w14:paraId="30724542" w14:textId="5C69A11D" w:rsidR="006F0D8A" w:rsidRPr="006F0D8A" w:rsidRDefault="00CD1F04" w:rsidP="006F0D8A">
      <w:pPr>
        <w:rPr>
          <w:lang w:eastAsia="en-AU"/>
        </w:rPr>
      </w:pPr>
      <w:r>
        <w:rPr>
          <w:lang w:eastAsia="en-AU"/>
        </w:rPr>
        <w:t xml:space="preserve">The </w:t>
      </w:r>
      <w:r w:rsidR="00E93C03">
        <w:rPr>
          <w:lang w:eastAsia="en-AU"/>
        </w:rPr>
        <w:t xml:space="preserve">four PBCs </w:t>
      </w:r>
      <w:r w:rsidR="0059653F">
        <w:rPr>
          <w:lang w:eastAsia="en-AU"/>
        </w:rPr>
        <w:t>had</w:t>
      </w:r>
      <w:r w:rsidR="001D37E8">
        <w:rPr>
          <w:lang w:eastAsia="en-AU"/>
        </w:rPr>
        <w:t xml:space="preserve"> </w:t>
      </w:r>
      <w:r w:rsidR="006F0D8A" w:rsidRPr="006F0D8A">
        <w:rPr>
          <w:lang w:eastAsia="en-AU"/>
        </w:rPr>
        <w:t>RAP</w:t>
      </w:r>
      <w:r w:rsidR="0059653F">
        <w:rPr>
          <w:lang w:eastAsia="en-AU"/>
        </w:rPr>
        <w:t xml:space="preserve"> status</w:t>
      </w:r>
      <w:r w:rsidR="006F0D8A" w:rsidRPr="006F0D8A">
        <w:rPr>
          <w:lang w:eastAsia="en-AU"/>
        </w:rPr>
        <w:t xml:space="preserve"> prior to </w:t>
      </w:r>
      <w:r w:rsidR="00377E20">
        <w:rPr>
          <w:lang w:eastAsia="en-AU"/>
        </w:rPr>
        <w:t>achieving</w:t>
      </w:r>
      <w:r w:rsidR="006F0D8A" w:rsidRPr="006F0D8A">
        <w:rPr>
          <w:lang w:eastAsia="en-AU"/>
        </w:rPr>
        <w:t xml:space="preserve"> a positive determination of native title</w:t>
      </w:r>
      <w:r w:rsidR="006F0D8A" w:rsidRPr="006F0D8A">
        <w:rPr>
          <w:vertAlign w:val="superscript"/>
          <w:lang w:eastAsia="en-AU"/>
        </w:rPr>
        <w:footnoteReference w:id="30"/>
      </w:r>
      <w:r w:rsidR="00A17D6D">
        <w:rPr>
          <w:lang w:eastAsia="en-AU"/>
        </w:rPr>
        <w:t xml:space="preserve"> and one was also a TOGE</w:t>
      </w:r>
      <w:r w:rsidR="006F0D8A" w:rsidRPr="006F0D8A">
        <w:rPr>
          <w:lang w:eastAsia="en-AU"/>
        </w:rPr>
        <w:t xml:space="preserve">. </w:t>
      </w:r>
      <w:r w:rsidR="008B5934">
        <w:rPr>
          <w:lang w:eastAsia="en-AU"/>
        </w:rPr>
        <w:t>RAP status</w:t>
      </w:r>
      <w:r w:rsidR="008B5934" w:rsidRPr="006F0D8A">
        <w:rPr>
          <w:lang w:eastAsia="en-AU"/>
        </w:rPr>
        <w:t xml:space="preserve"> </w:t>
      </w:r>
      <w:r w:rsidR="002A2B0C">
        <w:rPr>
          <w:lang w:eastAsia="en-AU"/>
        </w:rPr>
        <w:t xml:space="preserve">meant that they </w:t>
      </w:r>
      <w:r w:rsidR="000F1D7A">
        <w:rPr>
          <w:lang w:eastAsia="en-AU"/>
        </w:rPr>
        <w:t>could</w:t>
      </w:r>
      <w:r w:rsidR="002A2B0C">
        <w:rPr>
          <w:lang w:eastAsia="en-AU"/>
        </w:rPr>
        <w:t xml:space="preserve"> receive </w:t>
      </w:r>
      <w:r w:rsidR="006F0D8A" w:rsidRPr="006F0D8A">
        <w:rPr>
          <w:lang w:eastAsia="en-AU"/>
        </w:rPr>
        <w:t xml:space="preserve">funding </w:t>
      </w:r>
      <w:r w:rsidR="002A2B0C">
        <w:rPr>
          <w:lang w:eastAsia="en-AU"/>
        </w:rPr>
        <w:t xml:space="preserve">from the </w:t>
      </w:r>
      <w:r w:rsidR="000E3303">
        <w:rPr>
          <w:lang w:eastAsia="en-AU"/>
        </w:rPr>
        <w:t>s</w:t>
      </w:r>
      <w:r w:rsidR="002A2B0C">
        <w:rPr>
          <w:lang w:eastAsia="en-AU"/>
        </w:rPr>
        <w:t xml:space="preserve">tate government </w:t>
      </w:r>
      <w:r w:rsidR="006F0D8A" w:rsidRPr="006F0D8A">
        <w:rPr>
          <w:lang w:eastAsia="en-AU"/>
        </w:rPr>
        <w:t xml:space="preserve">and generate revenue prior to PBC incorporation. </w:t>
      </w:r>
      <w:r w:rsidR="00E93C03">
        <w:rPr>
          <w:lang w:eastAsia="en-AU"/>
        </w:rPr>
        <w:t>The</w:t>
      </w:r>
      <w:r w:rsidR="009955BD">
        <w:rPr>
          <w:lang w:eastAsia="en-AU"/>
        </w:rPr>
        <w:t xml:space="preserve"> PBCs</w:t>
      </w:r>
      <w:r w:rsidR="00541E40">
        <w:rPr>
          <w:lang w:eastAsia="en-AU"/>
        </w:rPr>
        <w:t xml:space="preserve"> were </w:t>
      </w:r>
      <w:r w:rsidR="00FA422B">
        <w:rPr>
          <w:lang w:eastAsia="en-AU"/>
        </w:rPr>
        <w:t xml:space="preserve">therefore </w:t>
      </w:r>
      <w:r w:rsidR="006F0D8A" w:rsidRPr="006F0D8A">
        <w:rPr>
          <w:lang w:eastAsia="en-AU"/>
        </w:rPr>
        <w:t>well</w:t>
      </w:r>
      <w:r w:rsidR="004133B6">
        <w:rPr>
          <w:lang w:eastAsia="en-AU"/>
        </w:rPr>
        <w:t xml:space="preserve"> </w:t>
      </w:r>
      <w:r w:rsidR="006F0D8A" w:rsidRPr="006F0D8A">
        <w:rPr>
          <w:lang w:eastAsia="en-AU"/>
        </w:rPr>
        <w:t xml:space="preserve">placed to </w:t>
      </w:r>
      <w:r w:rsidR="0059653F">
        <w:rPr>
          <w:lang w:eastAsia="en-AU"/>
        </w:rPr>
        <w:t>take on additional responsibilities under the</w:t>
      </w:r>
      <w:r w:rsidR="006F0D8A" w:rsidRPr="006F0D8A">
        <w:rPr>
          <w:lang w:eastAsia="en-AU"/>
        </w:rPr>
        <w:t xml:space="preserve"> </w:t>
      </w:r>
      <w:r w:rsidR="00981879" w:rsidRPr="00447C8A">
        <w:rPr>
          <w:lang w:eastAsia="en-AU"/>
        </w:rPr>
        <w:t>Aboriginal</w:t>
      </w:r>
      <w:r w:rsidR="00981879" w:rsidRPr="00E60FAD">
        <w:rPr>
          <w:lang w:eastAsia="en-AU"/>
        </w:rPr>
        <w:t xml:space="preserve"> </w:t>
      </w:r>
      <w:r w:rsidR="004A0D44" w:rsidRPr="00447C8A">
        <w:rPr>
          <w:lang w:eastAsia="en-AU"/>
        </w:rPr>
        <w:t>Heritage Act</w:t>
      </w:r>
      <w:r w:rsidR="00E60FAD">
        <w:rPr>
          <w:lang w:eastAsia="en-AU"/>
        </w:rPr>
        <w:t>,</w:t>
      </w:r>
      <w:r w:rsidR="00B8151A">
        <w:rPr>
          <w:lang w:eastAsia="en-AU"/>
        </w:rPr>
        <w:t xml:space="preserve"> </w:t>
      </w:r>
      <w:r w:rsidR="004A0D44">
        <w:rPr>
          <w:lang w:eastAsia="en-AU"/>
        </w:rPr>
        <w:t xml:space="preserve">the </w:t>
      </w:r>
      <w:r w:rsidR="0009158B" w:rsidRPr="001B6D65">
        <w:rPr>
          <w:lang w:eastAsia="en-AU"/>
        </w:rPr>
        <w:t>NTA</w:t>
      </w:r>
      <w:r w:rsidR="006F0D8A" w:rsidRPr="006F0D8A">
        <w:rPr>
          <w:lang w:eastAsia="en-AU"/>
        </w:rPr>
        <w:t xml:space="preserve"> </w:t>
      </w:r>
      <w:r w:rsidR="005D4729">
        <w:rPr>
          <w:lang w:eastAsia="en-AU"/>
        </w:rPr>
        <w:t>and</w:t>
      </w:r>
      <w:r w:rsidR="00E66F1F">
        <w:rPr>
          <w:lang w:eastAsia="en-AU"/>
        </w:rPr>
        <w:t xml:space="preserve"> the </w:t>
      </w:r>
      <w:r w:rsidR="00E66F1F" w:rsidRPr="0010561D">
        <w:rPr>
          <w:lang w:eastAsia="en-AU"/>
        </w:rPr>
        <w:t>Settlement Act</w:t>
      </w:r>
      <w:r w:rsidR="00E60FAD">
        <w:rPr>
          <w:lang w:eastAsia="en-AU"/>
        </w:rPr>
        <w:t>,</w:t>
      </w:r>
      <w:r w:rsidR="00E66F1F">
        <w:rPr>
          <w:lang w:eastAsia="en-AU"/>
        </w:rPr>
        <w:t xml:space="preserve"> </w:t>
      </w:r>
      <w:r w:rsidR="00195070">
        <w:rPr>
          <w:lang w:eastAsia="en-AU"/>
        </w:rPr>
        <w:t xml:space="preserve">and </w:t>
      </w:r>
      <w:r w:rsidR="006F0D8A" w:rsidRPr="006F0D8A">
        <w:rPr>
          <w:lang w:eastAsia="en-AU"/>
        </w:rPr>
        <w:t xml:space="preserve">develop their organisation post-determination. These factors </w:t>
      </w:r>
      <w:r w:rsidR="007C2F64">
        <w:rPr>
          <w:lang w:eastAsia="en-AU"/>
        </w:rPr>
        <w:t xml:space="preserve">markedly </w:t>
      </w:r>
      <w:r w:rsidR="006F0D8A" w:rsidRPr="006F0D8A">
        <w:rPr>
          <w:lang w:eastAsia="en-AU"/>
        </w:rPr>
        <w:t xml:space="preserve">contributed to the PBCs </w:t>
      </w:r>
      <w:r w:rsidR="000C22B2">
        <w:rPr>
          <w:lang w:eastAsia="en-AU"/>
        </w:rPr>
        <w:t>displaying</w:t>
      </w:r>
      <w:r w:rsidR="006F0D8A" w:rsidRPr="006F0D8A">
        <w:rPr>
          <w:lang w:eastAsia="en-AU"/>
        </w:rPr>
        <w:t xml:space="preserve"> a high degree of autonomy during the Review period.</w:t>
      </w:r>
      <w:r w:rsidR="00233E3D">
        <w:rPr>
          <w:lang w:eastAsia="en-AU"/>
        </w:rPr>
        <w:t xml:space="preserve"> </w:t>
      </w:r>
      <w:r w:rsidR="00F554EE">
        <w:rPr>
          <w:lang w:eastAsia="en-AU"/>
        </w:rPr>
        <w:t xml:space="preserve">This </w:t>
      </w:r>
      <w:r w:rsidR="00233E3D">
        <w:rPr>
          <w:lang w:eastAsia="en-AU"/>
        </w:rPr>
        <w:t xml:space="preserve">high degree of autonomy was </w:t>
      </w:r>
      <w:r w:rsidR="00F554EE">
        <w:rPr>
          <w:lang w:eastAsia="en-AU"/>
        </w:rPr>
        <w:t>mirrored for the two</w:t>
      </w:r>
      <w:r w:rsidR="008B1119">
        <w:rPr>
          <w:lang w:eastAsia="en-AU"/>
        </w:rPr>
        <w:t xml:space="preserve"> TOGEs</w:t>
      </w:r>
      <w:r w:rsidR="000C62AF">
        <w:rPr>
          <w:lang w:eastAsia="en-AU"/>
        </w:rPr>
        <w:t xml:space="preserve"> (which also had RAP status),</w:t>
      </w:r>
      <w:r w:rsidR="00134AF2">
        <w:rPr>
          <w:lang w:eastAsia="en-AU"/>
        </w:rPr>
        <w:t xml:space="preserve"> </w:t>
      </w:r>
      <w:proofErr w:type="spellStart"/>
      <w:r w:rsidR="00423284" w:rsidRPr="00423284">
        <w:rPr>
          <w:lang w:eastAsia="en-AU"/>
        </w:rPr>
        <w:t>Taungurung</w:t>
      </w:r>
      <w:proofErr w:type="spellEnd"/>
      <w:r w:rsidR="00423284" w:rsidRPr="00423284">
        <w:rPr>
          <w:lang w:eastAsia="en-AU"/>
        </w:rPr>
        <w:t xml:space="preserve"> Land and Waters Council (</w:t>
      </w:r>
      <w:proofErr w:type="spellStart"/>
      <w:r w:rsidR="00423284" w:rsidRPr="00423284">
        <w:rPr>
          <w:lang w:eastAsia="en-AU"/>
        </w:rPr>
        <w:t>TLaWC</w:t>
      </w:r>
      <w:proofErr w:type="spellEnd"/>
      <w:r w:rsidR="00423284">
        <w:rPr>
          <w:lang w:eastAsia="en-AU"/>
        </w:rPr>
        <w:t xml:space="preserve">) and Dja </w:t>
      </w:r>
      <w:proofErr w:type="spellStart"/>
      <w:r w:rsidR="00423284">
        <w:rPr>
          <w:lang w:eastAsia="en-AU"/>
        </w:rPr>
        <w:t>Dja</w:t>
      </w:r>
      <w:proofErr w:type="spellEnd"/>
      <w:r w:rsidR="00423284">
        <w:rPr>
          <w:lang w:eastAsia="en-AU"/>
        </w:rPr>
        <w:t xml:space="preserve"> Wurrung Aboriginal </w:t>
      </w:r>
      <w:r w:rsidR="00E60FAD">
        <w:rPr>
          <w:lang w:eastAsia="en-AU"/>
        </w:rPr>
        <w:t>Corporation</w:t>
      </w:r>
      <w:r w:rsidR="00423284">
        <w:rPr>
          <w:lang w:eastAsia="en-AU"/>
        </w:rPr>
        <w:t>).</w:t>
      </w:r>
    </w:p>
    <w:p w14:paraId="2AD7BB30" w14:textId="29CF203A" w:rsidR="006F0D8A" w:rsidRPr="006F0D8A" w:rsidRDefault="004970B7" w:rsidP="006F0D8A">
      <w:pPr>
        <w:keepNext/>
        <w:spacing w:before="240"/>
        <w:outlineLvl w:val="4"/>
        <w:rPr>
          <w:rFonts w:eastAsia="Times New Roman" w:cs="Times New Roman"/>
          <w:b/>
          <w:color w:val="000000" w:themeColor="text1"/>
          <w:sz w:val="20"/>
          <w:szCs w:val="24"/>
          <w:lang w:eastAsia="en-AU"/>
        </w:rPr>
      </w:pPr>
      <w:r>
        <w:rPr>
          <w:rFonts w:eastAsia="Times New Roman" w:cs="Times New Roman"/>
          <w:b/>
          <w:color w:val="000000" w:themeColor="text1"/>
          <w:sz w:val="20"/>
          <w:szCs w:val="24"/>
          <w:lang w:eastAsia="en-AU"/>
        </w:rPr>
        <w:t xml:space="preserve">FNLRS provided targeted support to </w:t>
      </w:r>
      <w:r w:rsidR="0016171C">
        <w:rPr>
          <w:rFonts w:eastAsia="Times New Roman" w:cs="Times New Roman"/>
          <w:b/>
          <w:color w:val="000000" w:themeColor="text1"/>
          <w:sz w:val="20"/>
          <w:szCs w:val="24"/>
          <w:lang w:eastAsia="en-AU"/>
        </w:rPr>
        <w:t xml:space="preserve">the </w:t>
      </w:r>
      <w:r w:rsidR="006F0D8A" w:rsidRPr="006F0D8A">
        <w:rPr>
          <w:rFonts w:eastAsia="Times New Roman" w:cs="Times New Roman"/>
          <w:b/>
          <w:color w:val="000000" w:themeColor="text1"/>
          <w:sz w:val="20"/>
          <w:szCs w:val="24"/>
          <w:lang w:eastAsia="en-AU"/>
        </w:rPr>
        <w:t>PBC</w:t>
      </w:r>
      <w:r w:rsidR="009A794E">
        <w:rPr>
          <w:rFonts w:eastAsia="Times New Roman" w:cs="Times New Roman"/>
          <w:b/>
          <w:color w:val="000000" w:themeColor="text1"/>
          <w:sz w:val="20"/>
          <w:szCs w:val="24"/>
          <w:lang w:eastAsia="en-AU"/>
        </w:rPr>
        <w:t>s</w:t>
      </w:r>
      <w:r w:rsidR="0016171C">
        <w:rPr>
          <w:rFonts w:eastAsia="Times New Roman" w:cs="Times New Roman"/>
          <w:b/>
          <w:color w:val="000000" w:themeColor="text1"/>
          <w:sz w:val="20"/>
          <w:szCs w:val="24"/>
          <w:lang w:eastAsia="en-AU"/>
        </w:rPr>
        <w:t>/TOGEs</w:t>
      </w:r>
      <w:r w:rsidR="009A794E">
        <w:rPr>
          <w:rFonts w:eastAsia="Times New Roman" w:cs="Times New Roman"/>
          <w:b/>
          <w:color w:val="000000" w:themeColor="text1"/>
          <w:sz w:val="20"/>
          <w:szCs w:val="24"/>
          <w:lang w:eastAsia="en-AU"/>
        </w:rPr>
        <w:t xml:space="preserve"> due to </w:t>
      </w:r>
      <w:r w:rsidR="006F0D8A" w:rsidRPr="006F0D8A">
        <w:rPr>
          <w:rFonts w:eastAsia="Times New Roman" w:cs="Times New Roman"/>
          <w:b/>
          <w:color w:val="000000" w:themeColor="text1"/>
          <w:sz w:val="20"/>
          <w:szCs w:val="24"/>
          <w:lang w:eastAsia="en-AU"/>
        </w:rPr>
        <w:t xml:space="preserve">internal capacity constraints </w:t>
      </w:r>
      <w:r w:rsidR="009A794E">
        <w:rPr>
          <w:rFonts w:eastAsia="Times New Roman" w:cs="Times New Roman"/>
          <w:b/>
          <w:color w:val="000000" w:themeColor="text1"/>
          <w:sz w:val="20"/>
          <w:szCs w:val="24"/>
          <w:lang w:eastAsia="en-AU"/>
        </w:rPr>
        <w:t xml:space="preserve">and </w:t>
      </w:r>
      <w:r w:rsidR="00AF752B">
        <w:rPr>
          <w:rFonts w:eastAsia="Times New Roman" w:cs="Times New Roman"/>
          <w:b/>
          <w:color w:val="000000" w:themeColor="text1"/>
          <w:sz w:val="20"/>
          <w:szCs w:val="24"/>
          <w:lang w:eastAsia="en-AU"/>
        </w:rPr>
        <w:t>PBC</w:t>
      </w:r>
      <w:r w:rsidR="009A794E">
        <w:rPr>
          <w:rFonts w:eastAsia="Times New Roman" w:cs="Times New Roman"/>
          <w:b/>
          <w:color w:val="000000" w:themeColor="text1"/>
          <w:sz w:val="20"/>
          <w:szCs w:val="24"/>
          <w:lang w:eastAsia="en-AU"/>
        </w:rPr>
        <w:t xml:space="preserve"> </w:t>
      </w:r>
      <w:r w:rsidR="00AF752B">
        <w:rPr>
          <w:rFonts w:eastAsia="Times New Roman" w:cs="Times New Roman"/>
          <w:b/>
          <w:color w:val="000000" w:themeColor="text1"/>
          <w:sz w:val="20"/>
          <w:szCs w:val="24"/>
          <w:lang w:eastAsia="en-AU"/>
        </w:rPr>
        <w:t>autonomy</w:t>
      </w:r>
    </w:p>
    <w:p w14:paraId="76537DA6" w14:textId="4E41CA0C" w:rsidR="00AB38DA" w:rsidRDefault="00B778A1" w:rsidP="00C4468D">
      <w:pPr>
        <w:rPr>
          <w:lang w:eastAsia="en-AU"/>
        </w:rPr>
      </w:pPr>
      <w:r>
        <w:rPr>
          <w:lang w:eastAsia="en-AU"/>
        </w:rPr>
        <w:t>FNLRS’s</w:t>
      </w:r>
      <w:r w:rsidR="00E84A22" w:rsidRPr="00B06A1F">
        <w:rPr>
          <w:lang w:eastAsia="en-AU"/>
        </w:rPr>
        <w:t xml:space="preserve"> Strategic Plan (2021</w:t>
      </w:r>
      <w:r w:rsidR="00E60FAD">
        <w:rPr>
          <w:lang w:eastAsia="en-AU"/>
        </w:rPr>
        <w:t>-</w:t>
      </w:r>
      <w:r w:rsidR="00E84A22" w:rsidRPr="00B06A1F">
        <w:rPr>
          <w:lang w:eastAsia="en-AU"/>
        </w:rPr>
        <w:t xml:space="preserve">2024) was underpinned by yearly operational plans during the Review </w:t>
      </w:r>
      <w:r w:rsidR="00E60FAD">
        <w:rPr>
          <w:lang w:eastAsia="en-AU"/>
        </w:rPr>
        <w:t>p</w:t>
      </w:r>
      <w:r w:rsidR="00E84A22" w:rsidRPr="00B06A1F">
        <w:rPr>
          <w:lang w:eastAsia="en-AU"/>
        </w:rPr>
        <w:t>eriod which outline</w:t>
      </w:r>
      <w:r w:rsidR="002C4CE5">
        <w:rPr>
          <w:lang w:eastAsia="en-AU"/>
        </w:rPr>
        <w:t>d</w:t>
      </w:r>
      <w:r w:rsidR="00E84A22" w:rsidRPr="00B06A1F">
        <w:rPr>
          <w:lang w:eastAsia="en-AU"/>
        </w:rPr>
        <w:t xml:space="preserve"> the detailed activities undertaken for PBCs each quarter as aligned to their post-</w:t>
      </w:r>
      <w:r w:rsidR="00E84A22" w:rsidRPr="00B06A1F">
        <w:rPr>
          <w:lang w:eastAsia="en-AU"/>
        </w:rPr>
        <w:lastRenderedPageBreak/>
        <w:t>determination goals and the progress made</w:t>
      </w:r>
      <w:r w:rsidR="00944DBC">
        <w:rPr>
          <w:lang w:eastAsia="en-AU"/>
        </w:rPr>
        <w:t xml:space="preserve"> to date</w:t>
      </w:r>
      <w:r w:rsidR="00E84A22" w:rsidRPr="00B06A1F">
        <w:rPr>
          <w:lang w:eastAsia="en-AU"/>
        </w:rPr>
        <w:t>.</w:t>
      </w:r>
      <w:r w:rsidR="00AB38DA" w:rsidRPr="00AB38DA">
        <w:rPr>
          <w:lang w:eastAsia="en-AU"/>
        </w:rPr>
        <w:t xml:space="preserve"> </w:t>
      </w:r>
      <w:r w:rsidR="00AB38DA" w:rsidRPr="00B13DA0">
        <w:rPr>
          <w:rFonts w:eastAsia="Times New Roman" w:cs="Times New Roman"/>
          <w:szCs w:val="19"/>
          <w:lang w:eastAsia="en-AU"/>
        </w:rPr>
        <w:t>Each PBC</w:t>
      </w:r>
      <w:r w:rsidR="00902526">
        <w:rPr>
          <w:rFonts w:eastAsia="Times New Roman" w:cs="Times New Roman"/>
          <w:szCs w:val="19"/>
          <w:lang w:eastAsia="en-AU"/>
        </w:rPr>
        <w:t>/TOGE</w:t>
      </w:r>
      <w:r w:rsidR="00AB38DA" w:rsidRPr="00B13DA0">
        <w:rPr>
          <w:rFonts w:eastAsia="Times New Roman" w:cs="Times New Roman"/>
          <w:szCs w:val="19"/>
          <w:lang w:eastAsia="en-AU"/>
        </w:rPr>
        <w:t xml:space="preserve"> was allocated at least one </w:t>
      </w:r>
      <w:r w:rsidR="00DE40D0">
        <w:rPr>
          <w:rFonts w:eastAsia="Times New Roman" w:cs="Times New Roman"/>
          <w:szCs w:val="19"/>
          <w:lang w:eastAsia="en-AU"/>
        </w:rPr>
        <w:t>FNLRS</w:t>
      </w:r>
      <w:r w:rsidR="00AB38DA" w:rsidRPr="00B13DA0">
        <w:rPr>
          <w:rFonts w:eastAsia="Times New Roman" w:cs="Times New Roman"/>
          <w:szCs w:val="19"/>
          <w:lang w:eastAsia="en-AU"/>
        </w:rPr>
        <w:t xml:space="preserve"> lawyer, an anthropologist and a CLO to provide </w:t>
      </w:r>
      <w:r w:rsidR="00CE6160">
        <w:rPr>
          <w:rFonts w:eastAsia="Times New Roman" w:cs="Times New Roman"/>
          <w:szCs w:val="19"/>
          <w:lang w:eastAsia="en-AU"/>
        </w:rPr>
        <w:t xml:space="preserve">consistent </w:t>
      </w:r>
      <w:r w:rsidR="00AB38DA" w:rsidRPr="00B13DA0">
        <w:rPr>
          <w:rFonts w:eastAsia="Times New Roman" w:cs="Times New Roman"/>
          <w:szCs w:val="19"/>
          <w:lang w:eastAsia="en-AU"/>
        </w:rPr>
        <w:t>PBC support during the Review period</w:t>
      </w:r>
      <w:r w:rsidR="00AB38DA">
        <w:rPr>
          <w:lang w:eastAsia="en-AU"/>
        </w:rPr>
        <w:t xml:space="preserve">. Planning for </w:t>
      </w:r>
      <w:r w:rsidR="00AC2609">
        <w:rPr>
          <w:lang w:eastAsia="en-AU"/>
        </w:rPr>
        <w:t>the</w:t>
      </w:r>
      <w:r w:rsidR="00AB38DA">
        <w:rPr>
          <w:lang w:eastAsia="en-AU"/>
        </w:rPr>
        <w:t xml:space="preserve"> services to be provided to PBCs was undertaken within teams, at weekly managers meetings and through ad</w:t>
      </w:r>
      <w:r w:rsidR="0009158B">
        <w:rPr>
          <w:lang w:eastAsia="en-AU"/>
        </w:rPr>
        <w:t>-</w:t>
      </w:r>
      <w:r w:rsidR="00AB38DA">
        <w:rPr>
          <w:lang w:eastAsia="en-AU"/>
        </w:rPr>
        <w:t xml:space="preserve">hoc planning sessions throughout the year. </w:t>
      </w:r>
    </w:p>
    <w:p w14:paraId="3134DB7B" w14:textId="2E788DE0" w:rsidR="006F0D8A" w:rsidRPr="006F0D8A" w:rsidRDefault="00B778A1" w:rsidP="00C4468D">
      <w:pPr>
        <w:rPr>
          <w:lang w:eastAsia="en-AU"/>
        </w:rPr>
      </w:pPr>
      <w:r>
        <w:rPr>
          <w:lang w:eastAsia="en-AU"/>
        </w:rPr>
        <w:t>FNLRS’s</w:t>
      </w:r>
      <w:r w:rsidR="00085E44">
        <w:rPr>
          <w:lang w:eastAsia="en-AU"/>
        </w:rPr>
        <w:t xml:space="preserve"> annual reports and documents provided to the Review </w:t>
      </w:r>
      <w:r w:rsidR="006F0D8A" w:rsidRPr="006F0D8A">
        <w:rPr>
          <w:lang w:eastAsia="en-AU"/>
        </w:rPr>
        <w:t>outline</w:t>
      </w:r>
      <w:r w:rsidR="008A699F">
        <w:rPr>
          <w:lang w:eastAsia="en-AU"/>
        </w:rPr>
        <w:t>d</w:t>
      </w:r>
      <w:r w:rsidR="006F0D8A" w:rsidRPr="006F0D8A">
        <w:rPr>
          <w:lang w:eastAsia="en-AU"/>
        </w:rPr>
        <w:t xml:space="preserve"> the types of support FNLRS provided to client PBCs</w:t>
      </w:r>
      <w:r w:rsidR="00F73882">
        <w:rPr>
          <w:lang w:eastAsia="en-AU"/>
        </w:rPr>
        <w:t>/TOGEs</w:t>
      </w:r>
      <w:r w:rsidR="006F0D8A" w:rsidRPr="006F0D8A">
        <w:rPr>
          <w:lang w:eastAsia="en-AU"/>
        </w:rPr>
        <w:t xml:space="preserve"> during the Review period. This included but was not limited to: </w:t>
      </w:r>
    </w:p>
    <w:p w14:paraId="53D4DC9E" w14:textId="766A780A" w:rsidR="006F0D8A" w:rsidRPr="006F0D8A" w:rsidRDefault="0054548C" w:rsidP="00961FF9">
      <w:pPr>
        <w:pStyle w:val="Bullet"/>
      </w:pPr>
      <w:r>
        <w:rPr>
          <w:rFonts w:eastAsiaTheme="majorEastAsia"/>
        </w:rPr>
        <w:t>n</w:t>
      </w:r>
      <w:r w:rsidR="006F0D8A" w:rsidRPr="006F0D8A">
        <w:rPr>
          <w:rFonts w:eastAsiaTheme="majorEastAsia"/>
        </w:rPr>
        <w:t xml:space="preserve">otification of activities on Crown land under the </w:t>
      </w:r>
      <w:r w:rsidR="006F0D8A" w:rsidRPr="001B6D65">
        <w:t>NTA</w:t>
      </w:r>
    </w:p>
    <w:p w14:paraId="2820788F" w14:textId="428CDF15" w:rsidR="006F0D8A" w:rsidRPr="006F0D8A" w:rsidRDefault="0054548C" w:rsidP="00961FF9">
      <w:pPr>
        <w:pStyle w:val="Bullet"/>
      </w:pPr>
      <w:r>
        <w:rPr>
          <w:rFonts w:eastAsiaTheme="majorEastAsia"/>
        </w:rPr>
        <w:t>n</w:t>
      </w:r>
      <w:r w:rsidR="006F0D8A" w:rsidRPr="006F0D8A">
        <w:rPr>
          <w:rFonts w:eastAsiaTheme="majorEastAsia"/>
        </w:rPr>
        <w:t xml:space="preserve">egotiation and agreement-making under the </w:t>
      </w:r>
      <w:r w:rsidR="006F0D8A" w:rsidRPr="001B6D65">
        <w:t>NTA</w:t>
      </w:r>
      <w:r w:rsidR="006F0D8A" w:rsidRPr="006F0D8A">
        <w:rPr>
          <w:rFonts w:eastAsiaTheme="majorEastAsia"/>
        </w:rPr>
        <w:t xml:space="preserve"> </w:t>
      </w:r>
      <w:r w:rsidR="006F0D8A" w:rsidRPr="006F0D8A">
        <w:t>(</w:t>
      </w:r>
      <w:r w:rsidR="006F0D8A" w:rsidRPr="006F0D8A">
        <w:rPr>
          <w:rFonts w:eastAsiaTheme="majorEastAsia"/>
        </w:rPr>
        <w:t xml:space="preserve">and the </w:t>
      </w:r>
      <w:r w:rsidR="009B379A" w:rsidRPr="0010561D">
        <w:t>Settlement Act</w:t>
      </w:r>
      <w:r w:rsidR="006F0D8A" w:rsidRPr="00447C8A">
        <w:t>)</w:t>
      </w:r>
    </w:p>
    <w:p w14:paraId="00BDD3A7" w14:textId="77FE1429" w:rsidR="006F0D8A" w:rsidRPr="00085E44" w:rsidRDefault="0054548C">
      <w:pPr>
        <w:pStyle w:val="Bullet"/>
      </w:pPr>
      <w:r>
        <w:rPr>
          <w:rFonts w:eastAsiaTheme="majorEastAsia"/>
        </w:rPr>
        <w:t>p</w:t>
      </w:r>
      <w:r w:rsidR="006F0D8A" w:rsidRPr="006F0D8A">
        <w:rPr>
          <w:rFonts w:eastAsiaTheme="majorEastAsia"/>
        </w:rPr>
        <w:t xml:space="preserve">rofessional services to support native title agreement-making and self-determination, including technical advice and planning support, corporation development and governance </w:t>
      </w:r>
    </w:p>
    <w:p w14:paraId="753C2853" w14:textId="75E94525" w:rsidR="00085E44" w:rsidRPr="001E42D2" w:rsidRDefault="00085E44" w:rsidP="6967B2CC">
      <w:pPr>
        <w:pStyle w:val="TableNBullet"/>
        <w:rPr>
          <w:sz w:val="19"/>
        </w:rPr>
      </w:pPr>
      <w:r w:rsidRPr="6967B2CC">
        <w:rPr>
          <w:sz w:val="19"/>
        </w:rPr>
        <w:t>ad-hoc advice for general commercial matters, with FNLRS directing the client to external counsel in instances where specialist knowledge would be required</w:t>
      </w:r>
    </w:p>
    <w:p w14:paraId="0D6D6F02" w14:textId="07955D98" w:rsidR="006F0D8A" w:rsidRPr="001E42D2" w:rsidRDefault="0054548C" w:rsidP="00447C8A">
      <w:pPr>
        <w:pStyle w:val="TableNBullet"/>
      </w:pPr>
      <w:r w:rsidRPr="6967B2CC">
        <w:rPr>
          <w:rFonts w:eastAsiaTheme="majorEastAsia"/>
          <w:sz w:val="19"/>
        </w:rPr>
        <w:t>s</w:t>
      </w:r>
      <w:r w:rsidR="006F0D8A" w:rsidRPr="6967B2CC">
        <w:rPr>
          <w:rFonts w:eastAsiaTheme="majorEastAsia"/>
          <w:sz w:val="19"/>
        </w:rPr>
        <w:t xml:space="preserve">ecretariat services, including policy, governance and technical advice to </w:t>
      </w:r>
      <w:r w:rsidR="006F0D8A" w:rsidRPr="6967B2CC">
        <w:rPr>
          <w:sz w:val="19"/>
        </w:rPr>
        <w:t>PBCs</w:t>
      </w:r>
      <w:r w:rsidR="006F0D8A" w:rsidRPr="6967B2CC">
        <w:rPr>
          <w:rFonts w:eastAsiaTheme="majorEastAsia"/>
          <w:sz w:val="19"/>
        </w:rPr>
        <w:t xml:space="preserve"> and </w:t>
      </w:r>
      <w:r w:rsidR="001F5363" w:rsidRPr="6967B2CC">
        <w:rPr>
          <w:sz w:val="19"/>
        </w:rPr>
        <w:t>TOGE</w:t>
      </w:r>
      <w:r w:rsidR="0092083F" w:rsidRPr="6967B2CC">
        <w:rPr>
          <w:sz w:val="19"/>
        </w:rPr>
        <w:t>s</w:t>
      </w:r>
      <w:r w:rsidR="006F0D8A" w:rsidRPr="6967B2CC">
        <w:rPr>
          <w:rFonts w:eastAsiaTheme="majorEastAsia"/>
          <w:sz w:val="19"/>
        </w:rPr>
        <w:t>.</w:t>
      </w:r>
    </w:p>
    <w:p w14:paraId="4EA23195" w14:textId="77777777" w:rsidR="00D7234D" w:rsidRDefault="00BF0302" w:rsidP="006F0D8A">
      <w:pPr>
        <w:suppressAutoHyphens/>
        <w:rPr>
          <w:rFonts w:eastAsia="Times New Roman" w:cs="Times New Roman"/>
          <w:szCs w:val="19"/>
          <w:lang w:eastAsia="en-AU"/>
        </w:rPr>
      </w:pPr>
      <w:r>
        <w:rPr>
          <w:rFonts w:eastAsia="Times New Roman" w:cs="Times New Roman"/>
          <w:szCs w:val="19"/>
          <w:lang w:eastAsia="en-AU"/>
        </w:rPr>
        <w:t>Because the PBCs</w:t>
      </w:r>
      <w:r w:rsidR="005B0EF5">
        <w:rPr>
          <w:rFonts w:eastAsia="Times New Roman" w:cs="Times New Roman"/>
          <w:szCs w:val="19"/>
          <w:lang w:eastAsia="en-AU"/>
        </w:rPr>
        <w:t>/TOGEs</w:t>
      </w:r>
      <w:r>
        <w:rPr>
          <w:rFonts w:eastAsia="Times New Roman" w:cs="Times New Roman"/>
          <w:szCs w:val="19"/>
          <w:lang w:eastAsia="en-AU"/>
        </w:rPr>
        <w:t xml:space="preserve"> were </w:t>
      </w:r>
      <w:r w:rsidR="007C54A1">
        <w:rPr>
          <w:rFonts w:eastAsia="Times New Roman" w:cs="Times New Roman"/>
          <w:szCs w:val="19"/>
          <w:lang w:eastAsia="en-AU"/>
        </w:rPr>
        <w:t xml:space="preserve">already </w:t>
      </w:r>
      <w:r>
        <w:rPr>
          <w:rFonts w:eastAsia="Times New Roman" w:cs="Times New Roman"/>
          <w:szCs w:val="19"/>
          <w:lang w:eastAsia="en-AU"/>
        </w:rPr>
        <w:t xml:space="preserve">well </w:t>
      </w:r>
      <w:r w:rsidRPr="007D4734">
        <w:rPr>
          <w:rFonts w:eastAsia="Times New Roman" w:cs="Times New Roman"/>
          <w:szCs w:val="19"/>
          <w:lang w:eastAsia="en-AU"/>
        </w:rPr>
        <w:t xml:space="preserve">established, </w:t>
      </w:r>
      <w:r w:rsidR="00F10960" w:rsidRPr="007D4734">
        <w:rPr>
          <w:rFonts w:eastAsia="Times New Roman" w:cs="Times New Roman"/>
          <w:szCs w:val="19"/>
          <w:lang w:eastAsia="en-AU"/>
        </w:rPr>
        <w:t>FNLRS</w:t>
      </w:r>
      <w:r w:rsidR="007C54A1" w:rsidRPr="007D4734">
        <w:rPr>
          <w:rFonts w:eastAsia="Times New Roman" w:cs="Times New Roman"/>
          <w:szCs w:val="19"/>
          <w:lang w:eastAsia="en-AU"/>
        </w:rPr>
        <w:t xml:space="preserve"> provided</w:t>
      </w:r>
      <w:r w:rsidR="00281DF8" w:rsidRPr="007D4734">
        <w:rPr>
          <w:rFonts w:eastAsia="Times New Roman" w:cs="Times New Roman"/>
          <w:szCs w:val="19"/>
          <w:lang w:eastAsia="en-AU"/>
        </w:rPr>
        <w:t xml:space="preserve"> </w:t>
      </w:r>
      <w:r w:rsidR="00D67D34">
        <w:rPr>
          <w:rFonts w:eastAsia="Times New Roman" w:cs="Times New Roman"/>
          <w:szCs w:val="19"/>
          <w:lang w:eastAsia="en-AU"/>
        </w:rPr>
        <w:t>basic</w:t>
      </w:r>
      <w:r w:rsidR="00D67D34" w:rsidRPr="007D4734">
        <w:rPr>
          <w:rFonts w:eastAsia="Times New Roman" w:cs="Times New Roman"/>
          <w:szCs w:val="19"/>
          <w:lang w:eastAsia="en-AU"/>
        </w:rPr>
        <w:t xml:space="preserve"> </w:t>
      </w:r>
      <w:r w:rsidR="00EF1B00">
        <w:rPr>
          <w:rFonts w:eastAsia="Times New Roman" w:cs="Times New Roman"/>
          <w:szCs w:val="19"/>
          <w:lang w:eastAsia="en-AU"/>
        </w:rPr>
        <w:t xml:space="preserve">administrative </w:t>
      </w:r>
      <w:r w:rsidR="00281DF8" w:rsidRPr="007D4734">
        <w:rPr>
          <w:rFonts w:eastAsia="Times New Roman" w:cs="Times New Roman"/>
          <w:szCs w:val="19"/>
          <w:lang w:eastAsia="en-AU"/>
        </w:rPr>
        <w:t>support</w:t>
      </w:r>
      <w:r w:rsidR="00961112" w:rsidRPr="007D4734">
        <w:rPr>
          <w:rFonts w:eastAsia="Times New Roman" w:cs="Times New Roman"/>
          <w:szCs w:val="19"/>
          <w:lang w:eastAsia="en-AU"/>
        </w:rPr>
        <w:t xml:space="preserve">, </w:t>
      </w:r>
      <w:r w:rsidR="002E0AA9">
        <w:rPr>
          <w:rFonts w:eastAsia="Times New Roman" w:cs="Times New Roman"/>
          <w:szCs w:val="19"/>
          <w:lang w:eastAsia="en-AU"/>
        </w:rPr>
        <w:t>such as</w:t>
      </w:r>
      <w:r w:rsidR="007D4734">
        <w:rPr>
          <w:rFonts w:eastAsia="Times New Roman" w:cs="Times New Roman"/>
          <w:szCs w:val="19"/>
          <w:lang w:eastAsia="en-AU"/>
        </w:rPr>
        <w:t xml:space="preserve"> for </w:t>
      </w:r>
      <w:r w:rsidR="00C34CCB">
        <w:rPr>
          <w:rFonts w:eastAsia="Times New Roman" w:cs="Times New Roman"/>
          <w:szCs w:val="19"/>
          <w:lang w:eastAsia="en-AU"/>
        </w:rPr>
        <w:t>AGMs</w:t>
      </w:r>
      <w:r w:rsidR="00F54C63">
        <w:rPr>
          <w:rFonts w:eastAsia="Times New Roman" w:cs="Times New Roman"/>
          <w:szCs w:val="19"/>
          <w:lang w:eastAsia="en-AU"/>
        </w:rPr>
        <w:t>.</w:t>
      </w:r>
      <w:r w:rsidR="00C34CCB">
        <w:rPr>
          <w:rFonts w:eastAsia="Times New Roman" w:cs="Times New Roman"/>
          <w:szCs w:val="19"/>
          <w:lang w:eastAsia="en-AU"/>
        </w:rPr>
        <w:t xml:space="preserve"> </w:t>
      </w:r>
      <w:r w:rsidR="007C54A1">
        <w:rPr>
          <w:rFonts w:eastAsia="Times New Roman" w:cs="Times New Roman"/>
          <w:szCs w:val="19"/>
          <w:lang w:eastAsia="en-AU"/>
        </w:rPr>
        <w:t xml:space="preserve">FNLRS did not provide </w:t>
      </w:r>
      <w:r w:rsidR="00F10960">
        <w:rPr>
          <w:rFonts w:eastAsia="Times New Roman" w:cs="Times New Roman"/>
          <w:szCs w:val="19"/>
          <w:lang w:eastAsia="en-AU"/>
        </w:rPr>
        <w:t>any training to the PBCs</w:t>
      </w:r>
      <w:r w:rsidR="00F27F8B">
        <w:rPr>
          <w:rFonts w:eastAsia="Times New Roman" w:cs="Times New Roman"/>
          <w:szCs w:val="19"/>
          <w:lang w:eastAsia="en-AU"/>
        </w:rPr>
        <w:t>/TOGEs</w:t>
      </w:r>
      <w:r w:rsidR="00F05C41">
        <w:rPr>
          <w:rFonts w:eastAsia="Times New Roman" w:cs="Times New Roman"/>
          <w:szCs w:val="19"/>
          <w:lang w:eastAsia="en-AU"/>
        </w:rPr>
        <w:t xml:space="preserve"> throughout the Review period.</w:t>
      </w:r>
      <w:r w:rsidR="0081137F">
        <w:rPr>
          <w:rFonts w:eastAsia="Times New Roman" w:cs="Times New Roman"/>
          <w:szCs w:val="19"/>
          <w:lang w:eastAsia="en-AU"/>
        </w:rPr>
        <w:t xml:space="preserve"> </w:t>
      </w:r>
    </w:p>
    <w:p w14:paraId="51AC28F4" w14:textId="0ACBFC7E" w:rsidR="0099091B" w:rsidRDefault="00DD541F" w:rsidP="006F0D8A">
      <w:pPr>
        <w:suppressAutoHyphens/>
        <w:rPr>
          <w:rFonts w:eastAsia="Times New Roman" w:cs="Times New Roman"/>
          <w:szCs w:val="19"/>
          <w:lang w:eastAsia="en-AU"/>
        </w:rPr>
      </w:pPr>
      <w:r>
        <w:rPr>
          <w:rFonts w:eastAsia="Times New Roman" w:cs="Times New Roman"/>
          <w:szCs w:val="19"/>
          <w:lang w:eastAsia="en-AU"/>
        </w:rPr>
        <w:t>FNLRS provided a mix of free</w:t>
      </w:r>
      <w:r w:rsidR="004D0D39">
        <w:rPr>
          <w:rFonts w:eastAsia="Times New Roman" w:cs="Times New Roman"/>
          <w:szCs w:val="19"/>
          <w:lang w:eastAsia="en-AU"/>
        </w:rPr>
        <w:t xml:space="preserve"> </w:t>
      </w:r>
      <w:r>
        <w:rPr>
          <w:rFonts w:eastAsia="Times New Roman" w:cs="Times New Roman"/>
          <w:szCs w:val="19"/>
          <w:lang w:eastAsia="en-AU"/>
        </w:rPr>
        <w:t xml:space="preserve">and fee-for-service support. </w:t>
      </w:r>
      <w:r w:rsidR="0099091B">
        <w:rPr>
          <w:rFonts w:eastAsia="Times New Roman" w:cs="Times New Roman"/>
          <w:szCs w:val="19"/>
          <w:lang w:eastAsia="en-AU"/>
        </w:rPr>
        <w:t>Areas in which FNLRS provided</w:t>
      </w:r>
      <w:r w:rsidR="00402488">
        <w:rPr>
          <w:rFonts w:eastAsia="Times New Roman" w:cs="Times New Roman"/>
          <w:szCs w:val="19"/>
          <w:lang w:eastAsia="en-AU"/>
        </w:rPr>
        <w:t xml:space="preserve"> fee-for-service support include: </w:t>
      </w:r>
    </w:p>
    <w:p w14:paraId="55A9F9AB" w14:textId="011A51F7" w:rsidR="009C1B40" w:rsidRDefault="00CB15D5" w:rsidP="009C1B40">
      <w:pPr>
        <w:pStyle w:val="Bullet"/>
        <w:rPr>
          <w:rFonts w:ascii="Aptos" w:hAnsi="Aptos"/>
          <w:sz w:val="22"/>
        </w:rPr>
      </w:pPr>
      <w:r>
        <w:t>a</w:t>
      </w:r>
      <w:r w:rsidR="009C1B40">
        <w:t>dvice on Future Act related agreement making and implementation</w:t>
      </w:r>
    </w:p>
    <w:p w14:paraId="5A5AB2AF" w14:textId="77777777" w:rsidR="0099091B" w:rsidRDefault="0099091B" w:rsidP="00447C8A">
      <w:pPr>
        <w:pStyle w:val="Bullet"/>
      </w:pPr>
      <w:r>
        <w:t xml:space="preserve">Land Use Activity Agreement compliance </w:t>
      </w:r>
    </w:p>
    <w:p w14:paraId="6485B9D1" w14:textId="71710E3C" w:rsidR="0099091B" w:rsidRDefault="00E56F62" w:rsidP="00447C8A">
      <w:pPr>
        <w:pStyle w:val="Bullet"/>
      </w:pPr>
      <w:r>
        <w:t>non</w:t>
      </w:r>
      <w:r w:rsidR="0099091B">
        <w:t>-F</w:t>
      </w:r>
      <w:r w:rsidR="00147BAB">
        <w:t xml:space="preserve">uture Act </w:t>
      </w:r>
      <w:r w:rsidR="0099091B">
        <w:t xml:space="preserve">native title related agreement drafting and implementation </w:t>
      </w:r>
    </w:p>
    <w:p w14:paraId="79366362" w14:textId="600C67F9" w:rsidR="0099091B" w:rsidRDefault="00E56F62" w:rsidP="00447C8A">
      <w:pPr>
        <w:pStyle w:val="Bullet"/>
      </w:pPr>
      <w:r>
        <w:t xml:space="preserve">governance </w:t>
      </w:r>
      <w:r w:rsidR="008013EE">
        <w:t>a</w:t>
      </w:r>
      <w:r w:rsidR="0099091B">
        <w:t xml:space="preserve">dvice to </w:t>
      </w:r>
      <w:r w:rsidR="008013EE">
        <w:t>B</w:t>
      </w:r>
      <w:r w:rsidR="0099091B">
        <w:t>oards and their sub-committees</w:t>
      </w:r>
      <w:r w:rsidR="008013EE">
        <w:t xml:space="preserve"> including </w:t>
      </w:r>
      <w:r w:rsidR="0099091B">
        <w:t>meeting notifications, attendance, minute taking</w:t>
      </w:r>
    </w:p>
    <w:p w14:paraId="368FAC59" w14:textId="36552BC8" w:rsidR="0099091B" w:rsidRDefault="00E56F62" w:rsidP="00447C8A">
      <w:pPr>
        <w:pStyle w:val="Bullet"/>
      </w:pPr>
      <w:r>
        <w:t xml:space="preserve">general </w:t>
      </w:r>
      <w:r w:rsidR="0099091B">
        <w:t xml:space="preserve">legal advice, within </w:t>
      </w:r>
      <w:r w:rsidR="006452B4">
        <w:t xml:space="preserve">FNLRS </w:t>
      </w:r>
      <w:r w:rsidR="0099091B">
        <w:t xml:space="preserve">areas of practice </w:t>
      </w:r>
    </w:p>
    <w:p w14:paraId="02DE26E7" w14:textId="67E4BE6A" w:rsidR="0099091B" w:rsidRPr="0099091B" w:rsidRDefault="00E56F62" w:rsidP="00447C8A">
      <w:pPr>
        <w:pStyle w:val="Bullet"/>
      </w:pPr>
      <w:r w:rsidRPr="6967B2CC">
        <w:t>anthropological</w:t>
      </w:r>
      <w:r w:rsidR="0099091B" w:rsidRPr="6967B2CC">
        <w:t xml:space="preserve">, historical and other research support for membership applications and other native title purposes </w:t>
      </w:r>
      <w:r w:rsidR="004F7F68" w:rsidRPr="6967B2CC">
        <w:t>upon request</w:t>
      </w:r>
      <w:r w:rsidR="006452B4" w:rsidRPr="6967B2CC">
        <w:t>.</w:t>
      </w:r>
    </w:p>
    <w:p w14:paraId="008AE6CD" w14:textId="3FC83776" w:rsidR="00CD5BB7" w:rsidRPr="001742BF" w:rsidRDefault="00CD5BB7" w:rsidP="006F0D8A">
      <w:pPr>
        <w:suppressAutoHyphens/>
        <w:rPr>
          <w:rFonts w:eastAsia="Times New Roman" w:cs="Times New Roman"/>
          <w:szCs w:val="19"/>
          <w:lang w:eastAsia="en-AU"/>
        </w:rPr>
      </w:pPr>
      <w:r>
        <w:rPr>
          <w:rFonts w:eastAsia="Times New Roman" w:cs="Times New Roman"/>
          <w:szCs w:val="19"/>
          <w:lang w:eastAsia="en-AU"/>
        </w:rPr>
        <w:t xml:space="preserve">For example, FNLRS </w:t>
      </w:r>
      <w:r w:rsidR="00863E7A">
        <w:rPr>
          <w:rFonts w:eastAsia="Times New Roman" w:cs="Times New Roman"/>
          <w:szCs w:val="19"/>
          <w:lang w:eastAsia="en-AU"/>
        </w:rPr>
        <w:t xml:space="preserve">worked with </w:t>
      </w:r>
      <w:proofErr w:type="spellStart"/>
      <w:r w:rsidRPr="00CD5BB7">
        <w:rPr>
          <w:rFonts w:eastAsia="Times New Roman" w:cs="Times New Roman"/>
          <w:szCs w:val="19"/>
          <w:lang w:eastAsia="en-AU"/>
        </w:rPr>
        <w:t>Gunaikurnai</w:t>
      </w:r>
      <w:proofErr w:type="spellEnd"/>
      <w:r w:rsidRPr="00CD5BB7">
        <w:rPr>
          <w:rFonts w:eastAsia="Times New Roman" w:cs="Times New Roman"/>
          <w:szCs w:val="19"/>
          <w:lang w:eastAsia="en-AU"/>
        </w:rPr>
        <w:t xml:space="preserve"> </w:t>
      </w:r>
      <w:r w:rsidR="00863E7A">
        <w:rPr>
          <w:rFonts w:eastAsia="Times New Roman" w:cs="Times New Roman"/>
          <w:szCs w:val="19"/>
          <w:lang w:eastAsia="en-AU"/>
        </w:rPr>
        <w:t>to expand</w:t>
      </w:r>
      <w:r w:rsidRPr="00CD5BB7">
        <w:rPr>
          <w:rFonts w:eastAsia="Times New Roman" w:cs="Times New Roman"/>
          <w:szCs w:val="19"/>
          <w:lang w:eastAsia="en-AU"/>
        </w:rPr>
        <w:t xml:space="preserve"> their settlement outcomes from the partial settlement negotiated when they </w:t>
      </w:r>
      <w:r w:rsidR="00863E7A">
        <w:rPr>
          <w:rFonts w:eastAsia="Times New Roman" w:cs="Times New Roman"/>
          <w:szCs w:val="19"/>
          <w:lang w:eastAsia="en-AU"/>
        </w:rPr>
        <w:t>received their native title determination to i</w:t>
      </w:r>
      <w:r w:rsidRPr="00CD5BB7">
        <w:rPr>
          <w:rFonts w:eastAsia="Times New Roman" w:cs="Times New Roman"/>
          <w:szCs w:val="19"/>
          <w:lang w:eastAsia="en-AU"/>
        </w:rPr>
        <w:t>nclude a Land Use Activity Agreement</w:t>
      </w:r>
      <w:r w:rsidR="009E6ECD">
        <w:rPr>
          <w:rFonts w:eastAsia="Times New Roman" w:cs="Times New Roman"/>
          <w:szCs w:val="19"/>
          <w:lang w:eastAsia="en-AU"/>
        </w:rPr>
        <w:t>,</w:t>
      </w:r>
      <w:r w:rsidRPr="00CD5BB7">
        <w:rPr>
          <w:rFonts w:eastAsia="Times New Roman" w:cs="Times New Roman"/>
          <w:szCs w:val="19"/>
          <w:lang w:eastAsia="en-AU"/>
        </w:rPr>
        <w:t xml:space="preserve"> in place of the </w:t>
      </w:r>
      <w:r w:rsidR="002368D4">
        <w:rPr>
          <w:rFonts w:eastAsia="Times New Roman" w:cs="Times New Roman"/>
          <w:szCs w:val="19"/>
          <w:lang w:eastAsia="en-AU"/>
        </w:rPr>
        <w:t>Future Act</w:t>
      </w:r>
      <w:r w:rsidRPr="00CD5BB7">
        <w:rPr>
          <w:rFonts w:eastAsia="Times New Roman" w:cs="Times New Roman"/>
          <w:szCs w:val="19"/>
          <w:lang w:eastAsia="en-AU"/>
        </w:rPr>
        <w:t xml:space="preserve"> regime.</w:t>
      </w:r>
      <w:r w:rsidR="002368D4">
        <w:rPr>
          <w:rFonts w:eastAsia="Times New Roman" w:cs="Times New Roman"/>
          <w:szCs w:val="19"/>
          <w:lang w:eastAsia="en-AU"/>
        </w:rPr>
        <w:t xml:space="preserve"> Part of this work </w:t>
      </w:r>
      <w:r w:rsidR="002E0AA9">
        <w:rPr>
          <w:rFonts w:eastAsia="Times New Roman" w:cs="Times New Roman"/>
          <w:szCs w:val="19"/>
          <w:lang w:eastAsia="en-AU"/>
        </w:rPr>
        <w:t>was</w:t>
      </w:r>
      <w:r w:rsidR="002368D4">
        <w:rPr>
          <w:rFonts w:eastAsia="Times New Roman" w:cs="Times New Roman"/>
          <w:szCs w:val="19"/>
          <w:lang w:eastAsia="en-AU"/>
        </w:rPr>
        <w:t xml:space="preserve"> undertaken on a fee</w:t>
      </w:r>
      <w:r w:rsidR="006F11E3">
        <w:rPr>
          <w:rFonts w:eastAsia="Times New Roman" w:cs="Times New Roman"/>
          <w:szCs w:val="19"/>
          <w:lang w:eastAsia="en-AU"/>
        </w:rPr>
        <w:t>-</w:t>
      </w:r>
      <w:r w:rsidR="002368D4">
        <w:rPr>
          <w:rFonts w:eastAsia="Times New Roman" w:cs="Times New Roman"/>
          <w:szCs w:val="19"/>
          <w:lang w:eastAsia="en-AU"/>
        </w:rPr>
        <w:t>for</w:t>
      </w:r>
      <w:r w:rsidR="006F11E3">
        <w:rPr>
          <w:rFonts w:eastAsia="Times New Roman" w:cs="Times New Roman"/>
          <w:szCs w:val="19"/>
          <w:lang w:eastAsia="en-AU"/>
        </w:rPr>
        <w:t>-</w:t>
      </w:r>
      <w:r w:rsidR="002368D4">
        <w:rPr>
          <w:rFonts w:eastAsia="Times New Roman" w:cs="Times New Roman"/>
          <w:szCs w:val="19"/>
          <w:lang w:eastAsia="en-AU"/>
        </w:rPr>
        <w:t>service basis</w:t>
      </w:r>
      <w:r w:rsidRPr="00CD5BB7">
        <w:rPr>
          <w:rFonts w:eastAsia="Times New Roman" w:cs="Times New Roman"/>
          <w:szCs w:val="19"/>
          <w:lang w:eastAsia="en-AU"/>
        </w:rPr>
        <w:t xml:space="preserve">, </w:t>
      </w:r>
      <w:r w:rsidR="00863E7A">
        <w:rPr>
          <w:rFonts w:eastAsia="Times New Roman" w:cs="Times New Roman"/>
          <w:szCs w:val="19"/>
          <w:lang w:eastAsia="en-AU"/>
        </w:rPr>
        <w:t xml:space="preserve">while some </w:t>
      </w:r>
      <w:r w:rsidR="002E0AA9">
        <w:rPr>
          <w:rFonts w:eastAsia="Times New Roman" w:cs="Times New Roman"/>
          <w:szCs w:val="19"/>
          <w:lang w:eastAsia="en-AU"/>
        </w:rPr>
        <w:t>was</w:t>
      </w:r>
      <w:r w:rsidR="00863E7A">
        <w:rPr>
          <w:rFonts w:eastAsia="Times New Roman" w:cs="Times New Roman"/>
          <w:szCs w:val="19"/>
          <w:lang w:eastAsia="en-AU"/>
        </w:rPr>
        <w:t xml:space="preserve"> covered </w:t>
      </w:r>
      <w:r w:rsidRPr="00CD5BB7">
        <w:rPr>
          <w:rFonts w:eastAsia="Times New Roman" w:cs="Times New Roman"/>
          <w:szCs w:val="19"/>
          <w:lang w:eastAsia="en-AU"/>
        </w:rPr>
        <w:t>out of operational fundin</w:t>
      </w:r>
      <w:r w:rsidR="00863E7A">
        <w:rPr>
          <w:rFonts w:eastAsia="Times New Roman" w:cs="Times New Roman"/>
          <w:szCs w:val="19"/>
          <w:lang w:eastAsia="en-AU"/>
        </w:rPr>
        <w:t xml:space="preserve">g. </w:t>
      </w:r>
      <w:r w:rsidR="002D097F">
        <w:rPr>
          <w:rFonts w:eastAsia="Times New Roman" w:cs="Times New Roman"/>
          <w:szCs w:val="19"/>
          <w:lang w:eastAsia="en-AU"/>
        </w:rPr>
        <w:t xml:space="preserve">FNLRS previously worked with Eastern Maar to </w:t>
      </w:r>
      <w:r w:rsidR="002A48CA">
        <w:rPr>
          <w:rFonts w:eastAsia="Times New Roman" w:cs="Times New Roman"/>
          <w:szCs w:val="19"/>
          <w:lang w:eastAsia="en-AU"/>
        </w:rPr>
        <w:t>do</w:t>
      </w:r>
      <w:r w:rsidR="002D097F">
        <w:rPr>
          <w:rFonts w:eastAsia="Times New Roman" w:cs="Times New Roman"/>
          <w:szCs w:val="19"/>
          <w:lang w:eastAsia="en-AU"/>
        </w:rPr>
        <w:t xml:space="preserve"> the organisation’s </w:t>
      </w:r>
      <w:r w:rsidR="002A48CA">
        <w:rPr>
          <w:rFonts w:eastAsia="Times New Roman" w:cs="Times New Roman"/>
          <w:szCs w:val="19"/>
          <w:lang w:eastAsia="en-AU"/>
        </w:rPr>
        <w:t>bookkeeping</w:t>
      </w:r>
      <w:r w:rsidR="002D097F">
        <w:rPr>
          <w:rFonts w:eastAsia="Times New Roman" w:cs="Times New Roman"/>
          <w:szCs w:val="19"/>
          <w:lang w:eastAsia="en-AU"/>
        </w:rPr>
        <w:t xml:space="preserve"> under </w:t>
      </w:r>
      <w:r w:rsidR="002A48CA">
        <w:rPr>
          <w:rFonts w:eastAsia="Times New Roman" w:cs="Times New Roman"/>
          <w:szCs w:val="19"/>
          <w:lang w:eastAsia="en-AU"/>
        </w:rPr>
        <w:t xml:space="preserve">a </w:t>
      </w:r>
      <w:r w:rsidR="002D097F">
        <w:rPr>
          <w:rFonts w:eastAsia="Times New Roman" w:cs="Times New Roman"/>
          <w:szCs w:val="19"/>
          <w:lang w:eastAsia="en-AU"/>
        </w:rPr>
        <w:t>fee</w:t>
      </w:r>
      <w:r w:rsidR="004E76E9">
        <w:rPr>
          <w:rFonts w:eastAsia="Times New Roman" w:cs="Times New Roman"/>
          <w:szCs w:val="19"/>
          <w:lang w:eastAsia="en-AU"/>
        </w:rPr>
        <w:t>-</w:t>
      </w:r>
      <w:r w:rsidR="002D097F">
        <w:rPr>
          <w:rFonts w:eastAsia="Times New Roman" w:cs="Times New Roman"/>
          <w:szCs w:val="19"/>
          <w:lang w:eastAsia="en-AU"/>
        </w:rPr>
        <w:t>for</w:t>
      </w:r>
      <w:r w:rsidR="004E76E9">
        <w:rPr>
          <w:rFonts w:eastAsia="Times New Roman" w:cs="Times New Roman"/>
          <w:szCs w:val="19"/>
          <w:lang w:eastAsia="en-AU"/>
        </w:rPr>
        <w:t>-</w:t>
      </w:r>
      <w:r w:rsidR="002D097F">
        <w:rPr>
          <w:rFonts w:eastAsia="Times New Roman" w:cs="Times New Roman"/>
          <w:szCs w:val="19"/>
          <w:lang w:eastAsia="en-AU"/>
        </w:rPr>
        <w:t>service</w:t>
      </w:r>
      <w:r w:rsidR="002A48CA">
        <w:rPr>
          <w:rFonts w:eastAsia="Times New Roman" w:cs="Times New Roman"/>
          <w:szCs w:val="19"/>
          <w:lang w:eastAsia="en-AU"/>
        </w:rPr>
        <w:t xml:space="preserve"> arrangement</w:t>
      </w:r>
      <w:r w:rsidR="004E76E9">
        <w:rPr>
          <w:rFonts w:eastAsia="Times New Roman" w:cs="Times New Roman"/>
          <w:szCs w:val="19"/>
          <w:lang w:eastAsia="en-AU"/>
        </w:rPr>
        <w:t>;</w:t>
      </w:r>
      <w:r w:rsidR="002A48CA">
        <w:rPr>
          <w:rFonts w:eastAsia="Times New Roman" w:cs="Times New Roman"/>
          <w:szCs w:val="19"/>
          <w:lang w:eastAsia="en-AU"/>
        </w:rPr>
        <w:t xml:space="preserve"> however</w:t>
      </w:r>
      <w:r w:rsidR="004E76E9">
        <w:rPr>
          <w:rFonts w:eastAsia="Times New Roman" w:cs="Times New Roman"/>
          <w:szCs w:val="19"/>
          <w:lang w:eastAsia="en-AU"/>
        </w:rPr>
        <w:t>,</w:t>
      </w:r>
      <w:r w:rsidR="002A48CA">
        <w:rPr>
          <w:rFonts w:eastAsia="Times New Roman" w:cs="Times New Roman"/>
          <w:szCs w:val="19"/>
          <w:lang w:eastAsia="en-AU"/>
        </w:rPr>
        <w:t xml:space="preserve"> this stopped just before the Review period when Eastern </w:t>
      </w:r>
      <w:r w:rsidR="002A48CA" w:rsidRPr="001742BF">
        <w:rPr>
          <w:rFonts w:eastAsia="Times New Roman" w:cs="Times New Roman"/>
          <w:szCs w:val="19"/>
          <w:lang w:eastAsia="en-AU"/>
        </w:rPr>
        <w:t xml:space="preserve">Maar </w:t>
      </w:r>
      <w:r w:rsidR="00A6398D">
        <w:rPr>
          <w:rFonts w:eastAsia="Times New Roman" w:cs="Times New Roman"/>
          <w:szCs w:val="19"/>
          <w:lang w:eastAsia="en-AU"/>
        </w:rPr>
        <w:t xml:space="preserve">had the funding to </w:t>
      </w:r>
      <w:r w:rsidR="00272084">
        <w:rPr>
          <w:rFonts w:eastAsia="Times New Roman" w:cs="Times New Roman"/>
          <w:szCs w:val="19"/>
          <w:lang w:eastAsia="en-AU"/>
        </w:rPr>
        <w:t xml:space="preserve">hire their own </w:t>
      </w:r>
      <w:r w:rsidR="002A48CA" w:rsidRPr="001742BF">
        <w:rPr>
          <w:rFonts w:eastAsia="Times New Roman" w:cs="Times New Roman"/>
          <w:szCs w:val="19"/>
          <w:lang w:eastAsia="en-AU"/>
        </w:rPr>
        <w:t>accountant.</w:t>
      </w:r>
    </w:p>
    <w:p w14:paraId="2851E048" w14:textId="28C141FD" w:rsidR="007436E9" w:rsidRDefault="006E55EA" w:rsidP="006E55EA">
      <w:pPr>
        <w:suppressAutoHyphens/>
        <w:rPr>
          <w:rFonts w:eastAsia="Times New Roman" w:cs="Times New Roman"/>
          <w:szCs w:val="19"/>
          <w:lang w:eastAsia="en-AU"/>
        </w:rPr>
      </w:pPr>
      <w:r w:rsidRPr="001742BF">
        <w:rPr>
          <w:rFonts w:eastAsia="Times New Roman" w:cs="Times New Roman"/>
          <w:szCs w:val="19"/>
          <w:lang w:eastAsia="en-AU"/>
        </w:rPr>
        <w:t>Several staff interviewed noted that FNLRS experienced capacity constraints throughout the Review period</w:t>
      </w:r>
      <w:r w:rsidR="005B1AEC">
        <w:rPr>
          <w:rFonts w:eastAsia="Times New Roman" w:cs="Times New Roman"/>
          <w:szCs w:val="19"/>
          <w:lang w:eastAsia="en-AU"/>
        </w:rPr>
        <w:t>,</w:t>
      </w:r>
      <w:r w:rsidR="00281DF8">
        <w:rPr>
          <w:rFonts w:eastAsia="Times New Roman" w:cs="Times New Roman"/>
          <w:szCs w:val="19"/>
          <w:lang w:eastAsia="en-AU"/>
        </w:rPr>
        <w:t xml:space="preserve"> </w:t>
      </w:r>
      <w:r w:rsidR="006F093D">
        <w:rPr>
          <w:rFonts w:eastAsia="Times New Roman" w:cs="Times New Roman"/>
          <w:szCs w:val="19"/>
          <w:lang w:eastAsia="en-AU"/>
        </w:rPr>
        <w:t>contributing</w:t>
      </w:r>
      <w:r w:rsidR="00281DF8" w:rsidRPr="001742BF">
        <w:rPr>
          <w:rFonts w:eastAsia="Times New Roman" w:cs="Times New Roman"/>
          <w:szCs w:val="19"/>
          <w:lang w:eastAsia="en-AU"/>
        </w:rPr>
        <w:t xml:space="preserve"> to restricted support for PBCs</w:t>
      </w:r>
      <w:r w:rsidR="00D44ED6">
        <w:rPr>
          <w:rFonts w:eastAsia="Times New Roman" w:cs="Times New Roman"/>
          <w:szCs w:val="19"/>
          <w:lang w:eastAsia="en-AU"/>
        </w:rPr>
        <w:t>/TOGEs</w:t>
      </w:r>
      <w:r w:rsidR="00A02630">
        <w:rPr>
          <w:rFonts w:eastAsia="Times New Roman" w:cs="Times New Roman"/>
          <w:szCs w:val="19"/>
          <w:lang w:eastAsia="en-AU"/>
        </w:rPr>
        <w:t xml:space="preserve">. </w:t>
      </w:r>
      <w:r w:rsidR="00A04FE3">
        <w:rPr>
          <w:rFonts w:eastAsia="Times New Roman" w:cs="Times New Roman"/>
          <w:szCs w:val="19"/>
          <w:lang w:eastAsia="en-AU"/>
        </w:rPr>
        <w:t>T</w:t>
      </w:r>
      <w:r w:rsidR="00542F46">
        <w:rPr>
          <w:rFonts w:eastAsia="Times New Roman" w:cs="Times New Roman"/>
          <w:szCs w:val="19"/>
          <w:lang w:eastAsia="en-AU"/>
        </w:rPr>
        <w:t xml:space="preserve">he </w:t>
      </w:r>
      <w:r w:rsidR="00A04FE3">
        <w:rPr>
          <w:rFonts w:eastAsia="Times New Roman" w:cs="Times New Roman"/>
          <w:szCs w:val="19"/>
          <w:lang w:eastAsia="en-AU"/>
        </w:rPr>
        <w:t xml:space="preserve">Review notes that </w:t>
      </w:r>
      <w:r w:rsidRPr="001742BF">
        <w:rPr>
          <w:rFonts w:eastAsia="Times New Roman" w:cs="Times New Roman"/>
          <w:szCs w:val="19"/>
          <w:lang w:eastAsia="en-AU"/>
        </w:rPr>
        <w:t>funding and staffing level decreases in FY2019-20</w:t>
      </w:r>
      <w:r w:rsidR="00A04FE3">
        <w:rPr>
          <w:rFonts w:eastAsia="Times New Roman" w:cs="Times New Roman"/>
          <w:szCs w:val="19"/>
          <w:lang w:eastAsia="en-AU"/>
        </w:rPr>
        <w:t xml:space="preserve"> likely contributed to this </w:t>
      </w:r>
      <w:r w:rsidR="006555CA">
        <w:rPr>
          <w:rFonts w:eastAsia="Times New Roman" w:cs="Times New Roman"/>
          <w:szCs w:val="19"/>
          <w:lang w:eastAsia="en-AU"/>
        </w:rPr>
        <w:t>by reducing the availability of support.</w:t>
      </w:r>
    </w:p>
    <w:p w14:paraId="6F29C8E2" w14:textId="56C62653" w:rsidR="00A92BB5" w:rsidRPr="00A92BB5" w:rsidRDefault="003D3C50" w:rsidP="006E55EA">
      <w:pPr>
        <w:suppressAutoHyphens/>
        <w:rPr>
          <w:lang w:eastAsia="en-AU"/>
        </w:rPr>
      </w:pPr>
      <w:r>
        <w:rPr>
          <w:lang w:eastAsia="en-AU"/>
        </w:rPr>
        <w:t>P</w:t>
      </w:r>
      <w:r w:rsidR="002524CD">
        <w:rPr>
          <w:lang w:eastAsia="en-AU"/>
        </w:rPr>
        <w:t>B</w:t>
      </w:r>
      <w:r>
        <w:rPr>
          <w:lang w:eastAsia="en-AU"/>
        </w:rPr>
        <w:t>C</w:t>
      </w:r>
      <w:r w:rsidR="002524CD">
        <w:rPr>
          <w:lang w:eastAsia="en-AU"/>
        </w:rPr>
        <w:t>s</w:t>
      </w:r>
      <w:r w:rsidR="00365C70">
        <w:rPr>
          <w:lang w:eastAsia="en-AU"/>
        </w:rPr>
        <w:t>/TOG</w:t>
      </w:r>
      <w:r w:rsidR="00020077">
        <w:rPr>
          <w:lang w:eastAsia="en-AU"/>
        </w:rPr>
        <w:t>Es</w:t>
      </w:r>
      <w:r>
        <w:rPr>
          <w:lang w:eastAsia="en-AU"/>
        </w:rPr>
        <w:t xml:space="preserve"> reported </w:t>
      </w:r>
      <w:r w:rsidR="00A92BB5" w:rsidRPr="001742BF">
        <w:rPr>
          <w:lang w:eastAsia="en-AU"/>
        </w:rPr>
        <w:t xml:space="preserve">starting to consider </w:t>
      </w:r>
      <w:r w:rsidR="002524CD">
        <w:rPr>
          <w:lang w:eastAsia="en-AU"/>
        </w:rPr>
        <w:t xml:space="preserve">developing </w:t>
      </w:r>
      <w:r w:rsidR="00A92BB5" w:rsidRPr="001742BF">
        <w:rPr>
          <w:lang w:eastAsia="en-AU"/>
        </w:rPr>
        <w:t>or</w:t>
      </w:r>
      <w:r w:rsidR="002524CD">
        <w:rPr>
          <w:lang w:eastAsia="en-AU"/>
        </w:rPr>
        <w:t xml:space="preserve"> had already developed</w:t>
      </w:r>
      <w:r w:rsidR="00A92BB5" w:rsidRPr="001742BF">
        <w:rPr>
          <w:lang w:eastAsia="en-AU"/>
        </w:rPr>
        <w:t xml:space="preserve"> their own in-house legal teams to process day-to-day matters</w:t>
      </w:r>
      <w:r w:rsidR="00020077">
        <w:rPr>
          <w:lang w:eastAsia="en-AU"/>
        </w:rPr>
        <w:t xml:space="preserve"> during the Review period</w:t>
      </w:r>
      <w:r w:rsidR="00A92BB5" w:rsidRPr="001742BF">
        <w:rPr>
          <w:lang w:eastAsia="en-AU"/>
        </w:rPr>
        <w:t xml:space="preserve">. Some had </w:t>
      </w:r>
      <w:r w:rsidR="00551B8D" w:rsidRPr="001742BF">
        <w:rPr>
          <w:lang w:eastAsia="en-AU"/>
        </w:rPr>
        <w:t xml:space="preserve">also </w:t>
      </w:r>
      <w:r w:rsidR="00A92BB5" w:rsidRPr="001742BF">
        <w:rPr>
          <w:lang w:eastAsia="en-AU"/>
        </w:rPr>
        <w:t xml:space="preserve">already started to use various external lawyers for some of their work </w:t>
      </w:r>
      <w:r w:rsidR="00FF4FCA">
        <w:rPr>
          <w:lang w:eastAsia="en-AU"/>
        </w:rPr>
        <w:t>not</w:t>
      </w:r>
      <w:r w:rsidR="005F1BC7">
        <w:rPr>
          <w:lang w:eastAsia="en-AU"/>
        </w:rPr>
        <w:t>ing</w:t>
      </w:r>
      <w:r w:rsidR="00FF4FCA">
        <w:rPr>
          <w:lang w:eastAsia="en-AU"/>
        </w:rPr>
        <w:t xml:space="preserve"> that</w:t>
      </w:r>
      <w:r w:rsidR="00A92BB5" w:rsidRPr="001742BF">
        <w:rPr>
          <w:lang w:eastAsia="en-AU"/>
        </w:rPr>
        <w:t xml:space="preserve"> FNLRS did not always have the capacity in their legal team to help them with the broad range of legal advice that they </w:t>
      </w:r>
      <w:r w:rsidR="001742BF" w:rsidRPr="001742BF">
        <w:rPr>
          <w:lang w:eastAsia="en-AU"/>
        </w:rPr>
        <w:t>were seeking</w:t>
      </w:r>
      <w:r w:rsidR="00A92BB5" w:rsidRPr="001742BF">
        <w:rPr>
          <w:lang w:eastAsia="en-AU"/>
        </w:rPr>
        <w:t>.</w:t>
      </w:r>
      <w:r w:rsidR="00A92BB5">
        <w:rPr>
          <w:lang w:eastAsia="en-AU"/>
        </w:rPr>
        <w:t xml:space="preserve"> </w:t>
      </w:r>
    </w:p>
    <w:p w14:paraId="3E933AF2" w14:textId="3F692807" w:rsidR="006F0D8A" w:rsidRPr="006F0D8A" w:rsidRDefault="00166D7B" w:rsidP="004306AD">
      <w:pPr>
        <w:pStyle w:val="Caption"/>
        <w:rPr>
          <w:lang w:eastAsia="en-AU"/>
        </w:rPr>
      </w:pPr>
      <w:bookmarkStart w:id="42" w:name="_Ref158468248"/>
      <w:r>
        <w:lastRenderedPageBreak/>
        <w:t xml:space="preserve">Table </w:t>
      </w:r>
      <w:r>
        <w:fldChar w:fldCharType="begin"/>
      </w:r>
      <w:r>
        <w:instrText xml:space="preserve"> SEQ Table \* ARABIC </w:instrText>
      </w:r>
      <w:r>
        <w:fldChar w:fldCharType="separate"/>
      </w:r>
      <w:r w:rsidR="00AB7E95">
        <w:rPr>
          <w:noProof/>
        </w:rPr>
        <w:t>10</w:t>
      </w:r>
      <w:r>
        <w:fldChar w:fldCharType="end"/>
      </w:r>
      <w:bookmarkEnd w:id="42"/>
      <w:r w:rsidR="004306AD">
        <w:t xml:space="preserve"> </w:t>
      </w:r>
      <w:r w:rsidR="004306AD" w:rsidRPr="008E726B">
        <w:rPr>
          <w:lang w:eastAsia="en-AU"/>
        </w:rPr>
        <w:t xml:space="preserve">| </w:t>
      </w:r>
      <w:r w:rsidR="00B778A1">
        <w:rPr>
          <w:lang w:eastAsia="en-AU"/>
        </w:rPr>
        <w:t>FNLRS’s</w:t>
      </w:r>
      <w:r w:rsidR="00B347DE">
        <w:rPr>
          <w:lang w:eastAsia="en-AU"/>
        </w:rPr>
        <w:t xml:space="preserve"> PBC support during the Review period</w:t>
      </w:r>
      <w:r w:rsidR="001B76B9">
        <w:rPr>
          <w:rStyle w:val="FootnoteReference"/>
          <w:lang w:eastAsia="en-AU"/>
        </w:rPr>
        <w:footnoteReference w:id="31"/>
      </w:r>
    </w:p>
    <w:tbl>
      <w:tblPr>
        <w:tblStyle w:val="TableGrid"/>
        <w:tblW w:w="5000" w:type="pct"/>
        <w:tblLook w:val="04A0" w:firstRow="1" w:lastRow="0" w:firstColumn="1" w:lastColumn="0" w:noHBand="0" w:noVBand="1"/>
      </w:tblPr>
      <w:tblGrid>
        <w:gridCol w:w="2694"/>
        <w:gridCol w:w="1307"/>
        <w:gridCol w:w="4929"/>
      </w:tblGrid>
      <w:tr w:rsidR="00B34949" w:rsidRPr="006F0D8A" w14:paraId="78726C78" w14:textId="77777777" w:rsidTr="006770B0">
        <w:trPr>
          <w:cnfStyle w:val="100000000000" w:firstRow="1" w:lastRow="0" w:firstColumn="0" w:lastColumn="0" w:oddVBand="0" w:evenVBand="0" w:oddHBand="0" w:evenHBand="0" w:firstRowFirstColumn="0" w:firstRowLastColumn="0" w:lastRowFirstColumn="0" w:lastRowLastColumn="0"/>
        </w:trPr>
        <w:tc>
          <w:tcPr>
            <w:tcW w:w="1508" w:type="pct"/>
          </w:tcPr>
          <w:p w14:paraId="31493274" w14:textId="56C46C4E" w:rsidR="00B34949" w:rsidRPr="006F0D8A" w:rsidRDefault="00B34949" w:rsidP="006168B4">
            <w:pPr>
              <w:pStyle w:val="TableNheader"/>
            </w:pPr>
            <w:r>
              <w:t>PBC</w:t>
            </w:r>
            <w:r w:rsidR="00B55F56">
              <w:t>/TOGE</w:t>
            </w:r>
          </w:p>
        </w:tc>
        <w:tc>
          <w:tcPr>
            <w:tcW w:w="732" w:type="pct"/>
          </w:tcPr>
          <w:p w14:paraId="6A3D6640" w14:textId="75419093" w:rsidR="00B34949" w:rsidRDefault="00B34949" w:rsidP="006168B4">
            <w:pPr>
              <w:pStyle w:val="TableNheader"/>
            </w:pPr>
            <w:r>
              <w:t>Date of PBC incorporation</w:t>
            </w:r>
          </w:p>
        </w:tc>
        <w:tc>
          <w:tcPr>
            <w:tcW w:w="2760" w:type="pct"/>
          </w:tcPr>
          <w:p w14:paraId="60214C21" w14:textId="51603B8E" w:rsidR="00B34949" w:rsidRPr="006F0D8A" w:rsidRDefault="00F77526" w:rsidP="006168B4">
            <w:pPr>
              <w:pStyle w:val="TableNheader"/>
            </w:pPr>
            <w:r>
              <w:t>Summary of support</w:t>
            </w:r>
            <w:r w:rsidR="00B34949">
              <w:t xml:space="preserve"> during the Review period</w:t>
            </w:r>
          </w:p>
        </w:tc>
      </w:tr>
      <w:tr w:rsidR="00B34949" w:rsidRPr="006F0D8A" w14:paraId="61BE4F50" w14:textId="77777777" w:rsidTr="006770B0">
        <w:trPr>
          <w:cnfStyle w:val="000000100000" w:firstRow="0" w:lastRow="0" w:firstColumn="0" w:lastColumn="0" w:oddVBand="0" w:evenVBand="0" w:oddHBand="1" w:evenHBand="0" w:firstRowFirstColumn="0" w:firstRowLastColumn="0" w:lastRowFirstColumn="0" w:lastRowLastColumn="0"/>
        </w:trPr>
        <w:tc>
          <w:tcPr>
            <w:tcW w:w="1508" w:type="pct"/>
          </w:tcPr>
          <w:p w14:paraId="58B839AB" w14:textId="7613F6AD" w:rsidR="00B34949" w:rsidRPr="006F0D8A" w:rsidRDefault="00B34949" w:rsidP="006168B4">
            <w:pPr>
              <w:pStyle w:val="TableNText"/>
            </w:pPr>
            <w:proofErr w:type="spellStart"/>
            <w:r w:rsidRPr="001A69D6">
              <w:t>Barengi</w:t>
            </w:r>
            <w:proofErr w:type="spellEnd"/>
            <w:r w:rsidRPr="001A69D6">
              <w:t xml:space="preserve"> </w:t>
            </w:r>
            <w:proofErr w:type="spellStart"/>
            <w:r w:rsidRPr="001A69D6">
              <w:t>Gadjin</w:t>
            </w:r>
            <w:proofErr w:type="spellEnd"/>
            <w:r w:rsidRPr="001A69D6">
              <w:t xml:space="preserve"> Land Council Aboriginal Corporation RNTBC</w:t>
            </w:r>
          </w:p>
        </w:tc>
        <w:tc>
          <w:tcPr>
            <w:tcW w:w="732" w:type="pct"/>
          </w:tcPr>
          <w:p w14:paraId="6904F66C" w14:textId="146DD192" w:rsidR="00B34949" w:rsidRPr="00D937C1" w:rsidRDefault="006168B4" w:rsidP="006168B4">
            <w:pPr>
              <w:pStyle w:val="TableNText"/>
              <w:rPr>
                <w:sz w:val="24"/>
              </w:rPr>
            </w:pPr>
            <w:r>
              <w:t>16</w:t>
            </w:r>
            <w:r w:rsidR="00D7790F">
              <w:t>/03/</w:t>
            </w:r>
            <w:r>
              <w:t>2005</w:t>
            </w:r>
          </w:p>
        </w:tc>
        <w:tc>
          <w:tcPr>
            <w:tcW w:w="2760" w:type="pct"/>
          </w:tcPr>
          <w:p w14:paraId="39CDD662" w14:textId="573A806B" w:rsidR="00B34949" w:rsidRDefault="00B34949" w:rsidP="00901001">
            <w:pPr>
              <w:pStyle w:val="TableNBullet"/>
            </w:pPr>
            <w:r>
              <w:t>A</w:t>
            </w:r>
            <w:r w:rsidRPr="00B23670">
              <w:t>d</w:t>
            </w:r>
            <w:r>
              <w:t>-</w:t>
            </w:r>
            <w:r w:rsidRPr="00B23670">
              <w:t>hoc legal advice</w:t>
            </w:r>
            <w:r w:rsidR="00FA6334">
              <w:t xml:space="preserve"> </w:t>
            </w:r>
          </w:p>
          <w:p w14:paraId="2E893B8D" w14:textId="43EABAE1" w:rsidR="00B34949" w:rsidRPr="006F0D8A" w:rsidRDefault="00B34949" w:rsidP="00191F80">
            <w:pPr>
              <w:pStyle w:val="TableNBullet"/>
            </w:pPr>
            <w:r w:rsidRPr="6967B2CC">
              <w:t xml:space="preserve">Under the Settlement Act: </w:t>
            </w:r>
            <w:r w:rsidR="005B03B3" w:rsidRPr="6967B2CC">
              <w:t>a</w:t>
            </w:r>
            <w:r w:rsidRPr="6967B2CC">
              <w:t>ssistance with negotiation of RSA</w:t>
            </w:r>
            <w:r w:rsidR="00FA6334" w:rsidRPr="6967B2CC">
              <w:t xml:space="preserve"> </w:t>
            </w:r>
          </w:p>
        </w:tc>
      </w:tr>
      <w:tr w:rsidR="00B34949" w:rsidRPr="006F0D8A" w14:paraId="1385F587" w14:textId="77777777" w:rsidTr="006770B0">
        <w:trPr>
          <w:cnfStyle w:val="000000010000" w:firstRow="0" w:lastRow="0" w:firstColumn="0" w:lastColumn="0" w:oddVBand="0" w:evenVBand="0" w:oddHBand="0" w:evenHBand="1" w:firstRowFirstColumn="0" w:firstRowLastColumn="0" w:lastRowFirstColumn="0" w:lastRowLastColumn="0"/>
        </w:trPr>
        <w:tc>
          <w:tcPr>
            <w:tcW w:w="1508" w:type="pct"/>
          </w:tcPr>
          <w:p w14:paraId="5CF587A7" w14:textId="3C7DE9BF" w:rsidR="00B34949" w:rsidRPr="006F0D8A" w:rsidRDefault="00B34949" w:rsidP="006168B4">
            <w:pPr>
              <w:pStyle w:val="TableNText"/>
            </w:pPr>
            <w:r w:rsidRPr="009717AF">
              <w:t>Eastern Maar</w:t>
            </w:r>
            <w:r w:rsidR="00844F53">
              <w:t xml:space="preserve"> Aboriginal Corporation</w:t>
            </w:r>
            <w:r w:rsidRPr="009717AF">
              <w:t xml:space="preserve"> RNTBC</w:t>
            </w:r>
          </w:p>
        </w:tc>
        <w:tc>
          <w:tcPr>
            <w:tcW w:w="732" w:type="pct"/>
          </w:tcPr>
          <w:p w14:paraId="046E380C" w14:textId="0D38C994" w:rsidR="00B34949" w:rsidRPr="00C51248" w:rsidRDefault="00C25BE6" w:rsidP="006168B4">
            <w:pPr>
              <w:pStyle w:val="TableNText"/>
            </w:pPr>
            <w:r>
              <w:t>11/07/</w:t>
            </w:r>
            <w:r w:rsidR="00844F53" w:rsidRPr="00844F53">
              <w:t>2011</w:t>
            </w:r>
          </w:p>
        </w:tc>
        <w:tc>
          <w:tcPr>
            <w:tcW w:w="2760" w:type="pct"/>
          </w:tcPr>
          <w:p w14:paraId="3E6282EF" w14:textId="268B5837" w:rsidR="00197FFD" w:rsidRDefault="00197FFD" w:rsidP="00C51248">
            <w:pPr>
              <w:pStyle w:val="TableNBullet"/>
            </w:pPr>
            <w:r>
              <w:t>Future Act</w:t>
            </w:r>
            <w:r w:rsidR="007A26AB">
              <w:t xml:space="preserve"> support</w:t>
            </w:r>
          </w:p>
          <w:p w14:paraId="1546B289" w14:textId="66452BC7" w:rsidR="007A26AB" w:rsidRDefault="007A26AB" w:rsidP="00C51248">
            <w:pPr>
              <w:pStyle w:val="TableNBullet"/>
            </w:pPr>
            <w:r>
              <w:t>Governance support</w:t>
            </w:r>
          </w:p>
          <w:p w14:paraId="2A62D44D" w14:textId="459AA1D3" w:rsidR="00627390" w:rsidRPr="00191F80" w:rsidRDefault="00627390" w:rsidP="00191F80">
            <w:pPr>
              <w:pStyle w:val="TableNBullet"/>
            </w:pPr>
            <w:r w:rsidRPr="6967B2CC">
              <w:t xml:space="preserve">Assisted </w:t>
            </w:r>
            <w:r w:rsidR="002403B1" w:rsidRPr="6967B2CC">
              <w:t>with expansion of</w:t>
            </w:r>
            <w:r w:rsidR="00A27A3A" w:rsidRPr="6967B2CC">
              <w:t xml:space="preserve"> staffing profile and build</w:t>
            </w:r>
            <w:r w:rsidR="002403B1" w:rsidRPr="6967B2CC">
              <w:t>ing</w:t>
            </w:r>
            <w:r w:rsidR="00A27A3A" w:rsidRPr="6967B2CC">
              <w:t xml:space="preserve"> capacity</w:t>
            </w:r>
            <w:r w:rsidR="00B32B9A" w:rsidRPr="6967B2CC">
              <w:t xml:space="preserve"> </w:t>
            </w:r>
          </w:p>
          <w:p w14:paraId="5261F878" w14:textId="1F10174B" w:rsidR="00B34949" w:rsidRPr="006F0D8A" w:rsidRDefault="00B34949" w:rsidP="00191F80">
            <w:pPr>
              <w:pStyle w:val="TableNBullet"/>
            </w:pPr>
            <w:r w:rsidRPr="6967B2CC">
              <w:t xml:space="preserve">Under the Settlement Act: </w:t>
            </w:r>
            <w:r w:rsidR="005B03B3" w:rsidRPr="6967B2CC">
              <w:t>a</w:t>
            </w:r>
            <w:r w:rsidRPr="6967B2CC">
              <w:t>ssistance with negotiation of RSA</w:t>
            </w:r>
            <w:r w:rsidR="00FA6334" w:rsidRPr="6967B2CC">
              <w:t xml:space="preserve"> </w:t>
            </w:r>
          </w:p>
        </w:tc>
      </w:tr>
      <w:tr w:rsidR="00B34949" w:rsidRPr="006F0D8A" w14:paraId="23F86CAB" w14:textId="77777777" w:rsidTr="006770B0">
        <w:trPr>
          <w:cnfStyle w:val="000000100000" w:firstRow="0" w:lastRow="0" w:firstColumn="0" w:lastColumn="0" w:oddVBand="0" w:evenVBand="0" w:oddHBand="1" w:evenHBand="0" w:firstRowFirstColumn="0" w:firstRowLastColumn="0" w:lastRowFirstColumn="0" w:lastRowLastColumn="0"/>
        </w:trPr>
        <w:tc>
          <w:tcPr>
            <w:tcW w:w="1508" w:type="pct"/>
          </w:tcPr>
          <w:p w14:paraId="1528FF08" w14:textId="3B420E43" w:rsidR="00B34949" w:rsidRPr="006F0D8A" w:rsidRDefault="00B34949" w:rsidP="006168B4">
            <w:pPr>
              <w:pStyle w:val="TableNText"/>
            </w:pPr>
            <w:proofErr w:type="spellStart"/>
            <w:r w:rsidRPr="009717AF">
              <w:t>Gunaikurnai</w:t>
            </w:r>
            <w:proofErr w:type="spellEnd"/>
            <w:r w:rsidRPr="009717AF">
              <w:t xml:space="preserve"> Land and Waters Aboriginal Corporation </w:t>
            </w:r>
            <w:r w:rsidR="005350A5">
              <w:t>(</w:t>
            </w:r>
            <w:proofErr w:type="spellStart"/>
            <w:r w:rsidR="005350A5">
              <w:t>GLaWAC</w:t>
            </w:r>
            <w:proofErr w:type="spellEnd"/>
            <w:r w:rsidR="005350A5">
              <w:t>)</w:t>
            </w:r>
            <w:r w:rsidRPr="009717AF">
              <w:t xml:space="preserve"> RNTBC</w:t>
            </w:r>
          </w:p>
        </w:tc>
        <w:tc>
          <w:tcPr>
            <w:tcW w:w="732" w:type="pct"/>
          </w:tcPr>
          <w:p w14:paraId="0CC5A38A" w14:textId="0A2581F3" w:rsidR="00B34949" w:rsidRPr="00D937C1" w:rsidRDefault="007F6FE6" w:rsidP="006168B4">
            <w:pPr>
              <w:pStyle w:val="TableNText"/>
              <w:rPr>
                <w:sz w:val="24"/>
              </w:rPr>
            </w:pPr>
            <w:r>
              <w:t>15</w:t>
            </w:r>
            <w:r w:rsidR="000C78C4">
              <w:t>/05/</w:t>
            </w:r>
            <w:r>
              <w:t>2007</w:t>
            </w:r>
          </w:p>
        </w:tc>
        <w:tc>
          <w:tcPr>
            <w:tcW w:w="2760" w:type="pct"/>
          </w:tcPr>
          <w:p w14:paraId="6A79BCB6" w14:textId="08D3F739" w:rsidR="00B34949" w:rsidRDefault="00B34949" w:rsidP="0046492E">
            <w:pPr>
              <w:pStyle w:val="TableNBullet"/>
            </w:pPr>
            <w:r>
              <w:t>Future Act support</w:t>
            </w:r>
          </w:p>
          <w:p w14:paraId="5B498249" w14:textId="5BDCEB0C" w:rsidR="00B34949" w:rsidRDefault="00B34949" w:rsidP="0046492E">
            <w:pPr>
              <w:pStyle w:val="TableNBullet"/>
            </w:pPr>
            <w:r>
              <w:t xml:space="preserve">Board and </w:t>
            </w:r>
            <w:r w:rsidR="00CC5865">
              <w:t>s</w:t>
            </w:r>
            <w:r>
              <w:t>ubcommittee support</w:t>
            </w:r>
          </w:p>
          <w:p w14:paraId="60CC9837" w14:textId="475A4BA6" w:rsidR="00B34949" w:rsidRPr="006F0D8A" w:rsidRDefault="00B34949" w:rsidP="0046492E">
            <w:pPr>
              <w:pStyle w:val="TableNBullet"/>
            </w:pPr>
            <w:r w:rsidRPr="00F56333">
              <w:t xml:space="preserve">Under the </w:t>
            </w:r>
            <w:r w:rsidRPr="0010561D">
              <w:t>Settlement Ac</w:t>
            </w:r>
            <w:r w:rsidRPr="00D937C1">
              <w:t>t</w:t>
            </w:r>
            <w:r w:rsidRPr="00F56333">
              <w:t xml:space="preserve">: </w:t>
            </w:r>
            <w:r w:rsidR="00B27D59">
              <w:t>l</w:t>
            </w:r>
            <w:r>
              <w:t xml:space="preserve">egal advice for the re-negotiated </w:t>
            </w:r>
            <w:r w:rsidRPr="00F56333">
              <w:t>RSA</w:t>
            </w:r>
          </w:p>
        </w:tc>
      </w:tr>
      <w:tr w:rsidR="00B34949" w:rsidRPr="006F0D8A" w14:paraId="203D78C5" w14:textId="77777777" w:rsidTr="006770B0">
        <w:trPr>
          <w:cnfStyle w:val="000000010000" w:firstRow="0" w:lastRow="0" w:firstColumn="0" w:lastColumn="0" w:oddVBand="0" w:evenVBand="0" w:oddHBand="0" w:evenHBand="1" w:firstRowFirstColumn="0" w:firstRowLastColumn="0" w:lastRowFirstColumn="0" w:lastRowLastColumn="0"/>
        </w:trPr>
        <w:tc>
          <w:tcPr>
            <w:tcW w:w="1508" w:type="pct"/>
          </w:tcPr>
          <w:p w14:paraId="0C6DAB2D" w14:textId="1FE8E2A9" w:rsidR="00B34949" w:rsidRPr="006F0D8A" w:rsidRDefault="00B34949" w:rsidP="006168B4">
            <w:pPr>
              <w:pStyle w:val="TableNText"/>
            </w:pPr>
            <w:proofErr w:type="spellStart"/>
            <w:r w:rsidRPr="00C61F6C">
              <w:t>Gunditj</w:t>
            </w:r>
            <w:proofErr w:type="spellEnd"/>
            <w:r w:rsidRPr="00C61F6C">
              <w:t xml:space="preserve"> </w:t>
            </w:r>
            <w:proofErr w:type="spellStart"/>
            <w:r w:rsidRPr="00C61F6C">
              <w:t>Mirring</w:t>
            </w:r>
            <w:proofErr w:type="spellEnd"/>
            <w:r w:rsidRPr="00C61F6C">
              <w:t xml:space="preserve"> Traditional Owners Aboriginal Corporation RNTBC</w:t>
            </w:r>
          </w:p>
        </w:tc>
        <w:tc>
          <w:tcPr>
            <w:tcW w:w="732" w:type="pct"/>
          </w:tcPr>
          <w:p w14:paraId="2BE088E1" w14:textId="0DD321A3" w:rsidR="00B34949" w:rsidRDefault="00605C04" w:rsidP="006168B4">
            <w:pPr>
              <w:pStyle w:val="TableNText"/>
            </w:pPr>
            <w:r>
              <w:t>21</w:t>
            </w:r>
            <w:r w:rsidR="000C78C4">
              <w:t>/07/</w:t>
            </w:r>
            <w:r>
              <w:t>2006</w:t>
            </w:r>
          </w:p>
        </w:tc>
        <w:tc>
          <w:tcPr>
            <w:tcW w:w="2760" w:type="pct"/>
          </w:tcPr>
          <w:p w14:paraId="2C85A3E3" w14:textId="46BFFC7B" w:rsidR="00B34949" w:rsidRDefault="00B34949" w:rsidP="0046492E">
            <w:pPr>
              <w:pStyle w:val="TableNBullet"/>
            </w:pPr>
            <w:r>
              <w:t>Future Act support</w:t>
            </w:r>
          </w:p>
          <w:p w14:paraId="664C82A9" w14:textId="1DED05A5" w:rsidR="00B34949" w:rsidRPr="006F0D8A" w:rsidRDefault="00B34949" w:rsidP="0046492E">
            <w:pPr>
              <w:pStyle w:val="TableNBullet"/>
            </w:pPr>
            <w:r>
              <w:t>Native title full group meeting coordination</w:t>
            </w:r>
          </w:p>
        </w:tc>
      </w:tr>
      <w:tr w:rsidR="00B55F56" w:rsidRPr="006F0D8A" w14:paraId="07AE3F4C" w14:textId="77777777" w:rsidTr="006770B0">
        <w:trPr>
          <w:cnfStyle w:val="000000100000" w:firstRow="0" w:lastRow="0" w:firstColumn="0" w:lastColumn="0" w:oddVBand="0" w:evenVBand="0" w:oddHBand="1" w:evenHBand="0" w:firstRowFirstColumn="0" w:firstRowLastColumn="0" w:lastRowFirstColumn="0" w:lastRowLastColumn="0"/>
        </w:trPr>
        <w:tc>
          <w:tcPr>
            <w:tcW w:w="1508" w:type="pct"/>
          </w:tcPr>
          <w:p w14:paraId="18A01BDD" w14:textId="0E441D90" w:rsidR="00B55F56" w:rsidRPr="00C61F6C" w:rsidRDefault="00D8220C" w:rsidP="006168B4">
            <w:pPr>
              <w:pStyle w:val="TableNText"/>
            </w:pPr>
            <w:r w:rsidRPr="00D8220C">
              <w:t xml:space="preserve">Dja </w:t>
            </w:r>
            <w:proofErr w:type="spellStart"/>
            <w:r w:rsidRPr="00D8220C">
              <w:t>Dja</w:t>
            </w:r>
            <w:proofErr w:type="spellEnd"/>
            <w:r w:rsidRPr="00D8220C">
              <w:t xml:space="preserve"> Wurrung Clans Aboriginal Corporation (</w:t>
            </w:r>
            <w:proofErr w:type="spellStart"/>
            <w:r w:rsidRPr="00D8220C">
              <w:t>Djaara</w:t>
            </w:r>
            <w:proofErr w:type="spellEnd"/>
            <w:r w:rsidRPr="00D8220C">
              <w:t>)</w:t>
            </w:r>
          </w:p>
        </w:tc>
        <w:tc>
          <w:tcPr>
            <w:tcW w:w="732" w:type="pct"/>
          </w:tcPr>
          <w:p w14:paraId="5159A4A8" w14:textId="77777777" w:rsidR="00B55F56" w:rsidRDefault="00B55F56" w:rsidP="006168B4">
            <w:pPr>
              <w:pStyle w:val="TableNText"/>
            </w:pPr>
          </w:p>
        </w:tc>
        <w:tc>
          <w:tcPr>
            <w:tcW w:w="2760" w:type="pct"/>
          </w:tcPr>
          <w:p w14:paraId="5D26F21E" w14:textId="54E2F023" w:rsidR="00D8220C" w:rsidRDefault="00D8220C" w:rsidP="0046492E">
            <w:pPr>
              <w:pStyle w:val="TableNBullet"/>
            </w:pPr>
            <w:r w:rsidRPr="00D8220C">
              <w:t>Ad-hoc legal advice</w:t>
            </w:r>
          </w:p>
          <w:p w14:paraId="58235023" w14:textId="71BA3366" w:rsidR="007402D1" w:rsidRDefault="007402D1" w:rsidP="0046492E">
            <w:pPr>
              <w:pStyle w:val="TableNBullet"/>
            </w:pPr>
            <w:r>
              <w:t>Fee for service work</w:t>
            </w:r>
          </w:p>
          <w:p w14:paraId="770EA3C9" w14:textId="33622C3D" w:rsidR="00D8220C" w:rsidRDefault="00D8220C" w:rsidP="00D8220C">
            <w:pPr>
              <w:pStyle w:val="TableNBullet"/>
            </w:pPr>
            <w:r w:rsidRPr="00D8220C">
              <w:t xml:space="preserve">Under the </w:t>
            </w:r>
            <w:r w:rsidRPr="0010561D">
              <w:t>Settlement Act</w:t>
            </w:r>
            <w:r w:rsidRPr="00D8220C">
              <w:t xml:space="preserve">: </w:t>
            </w:r>
            <w:r w:rsidR="008074FC">
              <w:t>L</w:t>
            </w:r>
            <w:r>
              <w:t xml:space="preserve">and </w:t>
            </w:r>
            <w:r w:rsidR="008074FC">
              <w:t>U</w:t>
            </w:r>
            <w:r>
              <w:t xml:space="preserve">se </w:t>
            </w:r>
            <w:r w:rsidR="008074FC">
              <w:t>A</w:t>
            </w:r>
            <w:r>
              <w:t xml:space="preserve">ctivity </w:t>
            </w:r>
            <w:r w:rsidR="008074FC">
              <w:t>A</w:t>
            </w:r>
            <w:r>
              <w:t>greement</w:t>
            </w:r>
            <w:r w:rsidR="00B33054">
              <w:t xml:space="preserve"> </w:t>
            </w:r>
            <w:r>
              <w:t>support</w:t>
            </w:r>
          </w:p>
        </w:tc>
      </w:tr>
      <w:tr w:rsidR="00B55F56" w:rsidRPr="006F0D8A" w14:paraId="3BFEC797" w14:textId="77777777" w:rsidTr="006770B0">
        <w:trPr>
          <w:cnfStyle w:val="000000010000" w:firstRow="0" w:lastRow="0" w:firstColumn="0" w:lastColumn="0" w:oddVBand="0" w:evenVBand="0" w:oddHBand="0" w:evenHBand="1" w:firstRowFirstColumn="0" w:firstRowLastColumn="0" w:lastRowFirstColumn="0" w:lastRowLastColumn="0"/>
        </w:trPr>
        <w:tc>
          <w:tcPr>
            <w:tcW w:w="1508" w:type="pct"/>
          </w:tcPr>
          <w:p w14:paraId="523D99FA" w14:textId="0050B7DA" w:rsidR="00B55F56" w:rsidRPr="00447C8A" w:rsidRDefault="004D3348" w:rsidP="006168B4">
            <w:pPr>
              <w:pStyle w:val="TableNText"/>
              <w:rPr>
                <w:b/>
                <w:bCs/>
              </w:rPr>
            </w:pPr>
            <w:proofErr w:type="spellStart"/>
            <w:r w:rsidRPr="004D3348">
              <w:t>Taungurung</w:t>
            </w:r>
            <w:proofErr w:type="spellEnd"/>
            <w:r w:rsidRPr="004D3348">
              <w:t xml:space="preserve"> Land </w:t>
            </w:r>
            <w:r w:rsidR="00B27D59">
              <w:t>and</w:t>
            </w:r>
            <w:r w:rsidRPr="004D3348">
              <w:t xml:space="preserve"> Waters Aboriginal Corporation </w:t>
            </w:r>
          </w:p>
        </w:tc>
        <w:tc>
          <w:tcPr>
            <w:tcW w:w="732" w:type="pct"/>
          </w:tcPr>
          <w:p w14:paraId="2048F4B9" w14:textId="77777777" w:rsidR="00B55F56" w:rsidRDefault="00B55F56" w:rsidP="006168B4">
            <w:pPr>
              <w:pStyle w:val="TableNText"/>
            </w:pPr>
          </w:p>
        </w:tc>
        <w:tc>
          <w:tcPr>
            <w:tcW w:w="2760" w:type="pct"/>
          </w:tcPr>
          <w:p w14:paraId="49BE5BF8" w14:textId="77777777" w:rsidR="005D2AF2" w:rsidRDefault="005D2AF2" w:rsidP="005D2AF2">
            <w:pPr>
              <w:pStyle w:val="TableNBullet"/>
            </w:pPr>
            <w:r>
              <w:t>Ad-hoc legal advice</w:t>
            </w:r>
          </w:p>
          <w:p w14:paraId="737FEE96" w14:textId="66E35658" w:rsidR="007402D1" w:rsidRDefault="007402D1" w:rsidP="005D2AF2">
            <w:pPr>
              <w:pStyle w:val="TableNBullet"/>
            </w:pPr>
            <w:r>
              <w:t>Fee for service work</w:t>
            </w:r>
          </w:p>
          <w:p w14:paraId="32D6DA92" w14:textId="4228E6B9" w:rsidR="00B262E6" w:rsidRDefault="00B262E6" w:rsidP="005D2AF2">
            <w:pPr>
              <w:pStyle w:val="TableNBullet"/>
            </w:pPr>
            <w:r>
              <w:t>Ongoing litigation support</w:t>
            </w:r>
          </w:p>
          <w:p w14:paraId="29E11C13" w14:textId="2D852293" w:rsidR="00B55F56" w:rsidRDefault="008074FC" w:rsidP="005D2AF2">
            <w:pPr>
              <w:pStyle w:val="TableNBullet"/>
            </w:pPr>
            <w:r w:rsidRPr="00D8220C">
              <w:t xml:space="preserve">Under the </w:t>
            </w:r>
            <w:r w:rsidRPr="0010561D">
              <w:t>Settlement Act</w:t>
            </w:r>
            <w:r w:rsidRPr="00D8220C">
              <w:t xml:space="preserve">: </w:t>
            </w:r>
            <w:r>
              <w:t>Land Use Activity Agreement support</w:t>
            </w:r>
          </w:p>
        </w:tc>
      </w:tr>
    </w:tbl>
    <w:p w14:paraId="4216FE3A" w14:textId="797519C5" w:rsidR="006F0D8A" w:rsidRPr="006F0D8A" w:rsidRDefault="006F0D8A" w:rsidP="009C33D0">
      <w:pPr>
        <w:pStyle w:val="Heading4"/>
      </w:pPr>
      <w:r w:rsidRPr="006F0D8A">
        <w:t>NTRB-SP’s progress in returning cultural materials to PBCs/RNTBCs and Traditional Owners</w:t>
      </w:r>
    </w:p>
    <w:p w14:paraId="0723CDD7" w14:textId="77777777" w:rsidR="006F0D8A" w:rsidRPr="006F0D8A" w:rsidRDefault="006F0D8A" w:rsidP="005566FF">
      <w:pPr>
        <w:keepNext/>
        <w:numPr>
          <w:ilvl w:val="4"/>
          <w:numId w:val="1"/>
        </w:numPr>
        <w:tabs>
          <w:tab w:val="num" w:pos="360"/>
        </w:tabs>
        <w:spacing w:before="240"/>
        <w:outlineLvl w:val="4"/>
        <w:rPr>
          <w:rFonts w:eastAsia="Times New Roman" w:cs="Times New Roman"/>
          <w:b/>
          <w:color w:val="000000" w:themeColor="text1"/>
          <w:sz w:val="20"/>
          <w:szCs w:val="24"/>
          <w:lang w:eastAsia="en-AU"/>
        </w:rPr>
      </w:pPr>
      <w:r w:rsidRPr="006F0D8A">
        <w:rPr>
          <w:rFonts w:eastAsia="Times New Roman" w:cs="Times New Roman"/>
          <w:b/>
          <w:color w:val="000000" w:themeColor="text1"/>
          <w:sz w:val="20"/>
          <w:szCs w:val="24"/>
          <w:lang w:eastAsia="en-AU"/>
        </w:rPr>
        <w:t>FNLRS piloted a formal return of cultural materials and sought to return materials upon request</w:t>
      </w:r>
    </w:p>
    <w:p w14:paraId="15A91CA3" w14:textId="5B56C16E" w:rsidR="00CB248B" w:rsidRPr="0090226E" w:rsidRDefault="00CB248B" w:rsidP="00CB248B">
      <w:pPr>
        <w:rPr>
          <w:lang w:eastAsia="en-AU"/>
        </w:rPr>
      </w:pPr>
      <w:r>
        <w:rPr>
          <w:lang w:eastAsia="en-AU"/>
        </w:rPr>
        <w:t>During the Review period</w:t>
      </w:r>
      <w:r w:rsidR="00471DB0">
        <w:rPr>
          <w:lang w:eastAsia="en-AU"/>
        </w:rPr>
        <w:t>, FNLRS</w:t>
      </w:r>
      <w:r>
        <w:rPr>
          <w:lang w:eastAsia="en-AU"/>
        </w:rPr>
        <w:t xml:space="preserve"> staff received many requests for data and information that was held in their databases. </w:t>
      </w:r>
      <w:r w:rsidR="00471DB0">
        <w:rPr>
          <w:lang w:eastAsia="en-AU"/>
        </w:rPr>
        <w:t>FNLRS s</w:t>
      </w:r>
      <w:r>
        <w:rPr>
          <w:lang w:eastAsia="en-AU"/>
        </w:rPr>
        <w:t xml:space="preserve">taff explained the complexity of providing data as there were many legal and privacy considerations involved in each information request and that greater certainty in this area would help to process these </w:t>
      </w:r>
      <w:r w:rsidR="002B13F3">
        <w:rPr>
          <w:lang w:eastAsia="en-AU"/>
        </w:rPr>
        <w:t>requests</w:t>
      </w:r>
      <w:r>
        <w:rPr>
          <w:lang w:eastAsia="en-AU"/>
        </w:rPr>
        <w:t xml:space="preserve">. FNLRS staff mentioned that these requests take up a considerable amount of time and are likely to grow in the future, particularly for the Treaty negotiations that may occur. </w:t>
      </w:r>
      <w:r w:rsidRPr="00EA0E07">
        <w:rPr>
          <w:lang w:eastAsia="en-AU"/>
        </w:rPr>
        <w:t xml:space="preserve">On </w:t>
      </w:r>
      <w:r>
        <w:rPr>
          <w:lang w:eastAsia="en-AU"/>
        </w:rPr>
        <w:t>at least three</w:t>
      </w:r>
      <w:r w:rsidRPr="00EA0E07">
        <w:rPr>
          <w:lang w:eastAsia="en-AU"/>
        </w:rPr>
        <w:t xml:space="preserve"> occasions</w:t>
      </w:r>
      <w:r>
        <w:rPr>
          <w:lang w:eastAsia="en-AU"/>
        </w:rPr>
        <w:t xml:space="preserve"> when FNLRS has</w:t>
      </w:r>
      <w:r w:rsidRPr="00EA0E07">
        <w:rPr>
          <w:lang w:eastAsia="en-AU"/>
        </w:rPr>
        <w:t xml:space="preserve"> engaged with post-determination/settlement groups to agree a return of materials process the groups have called a pause once they realise the complexities, particularly </w:t>
      </w:r>
      <w:r w:rsidRPr="00EA0E07">
        <w:rPr>
          <w:lang w:eastAsia="en-AU"/>
        </w:rPr>
        <w:lastRenderedPageBreak/>
        <w:t>those relating to their own management of the materials and those relating to on-going litigation.</w:t>
      </w:r>
      <w:r>
        <w:rPr>
          <w:lang w:eastAsia="en-AU"/>
        </w:rPr>
        <w:t xml:space="preserve"> FNLRS is currently developing processes and policies around accessing materials and for the return of cultural mate</w:t>
      </w:r>
      <w:r w:rsidRPr="00060701">
        <w:rPr>
          <w:lang w:eastAsia="en-AU"/>
        </w:rPr>
        <w:t>rials</w:t>
      </w:r>
      <w:r>
        <w:rPr>
          <w:lang w:eastAsia="en-AU"/>
        </w:rPr>
        <w:t>;</w:t>
      </w:r>
      <w:r w:rsidRPr="00060701">
        <w:rPr>
          <w:lang w:eastAsia="en-AU"/>
        </w:rPr>
        <w:t xml:space="preserve"> it remains</w:t>
      </w:r>
      <w:r>
        <w:rPr>
          <w:lang w:eastAsia="en-AU"/>
        </w:rPr>
        <w:t xml:space="preserve"> ongoing.</w:t>
      </w:r>
    </w:p>
    <w:p w14:paraId="2437A8C6" w14:textId="5A539A9C" w:rsidR="005D63EB" w:rsidRDefault="006F0D8A" w:rsidP="002147DB">
      <w:pPr>
        <w:rPr>
          <w:lang w:eastAsia="en-AU"/>
        </w:rPr>
      </w:pPr>
      <w:r w:rsidRPr="006F0D8A">
        <w:rPr>
          <w:lang w:eastAsia="en-AU"/>
        </w:rPr>
        <w:t xml:space="preserve">FNLRS formed a Return of Material Committee during the Review period, </w:t>
      </w:r>
      <w:r w:rsidR="00D127B7">
        <w:rPr>
          <w:lang w:eastAsia="en-AU"/>
        </w:rPr>
        <w:t xml:space="preserve">which </w:t>
      </w:r>
      <w:r w:rsidR="00D602BA">
        <w:rPr>
          <w:lang w:eastAsia="en-AU"/>
        </w:rPr>
        <w:t>oversaw a</w:t>
      </w:r>
      <w:r w:rsidR="00EC239D">
        <w:rPr>
          <w:lang w:eastAsia="en-AU"/>
        </w:rPr>
        <w:t>n initiative to</w:t>
      </w:r>
      <w:r w:rsidR="00907688">
        <w:rPr>
          <w:lang w:eastAsia="en-AU"/>
        </w:rPr>
        <w:t xml:space="preserve"> pilot</w:t>
      </w:r>
      <w:r w:rsidR="00D602BA">
        <w:rPr>
          <w:lang w:eastAsia="en-AU"/>
        </w:rPr>
        <w:t xml:space="preserve"> the return of cultural materials to the </w:t>
      </w:r>
      <w:r w:rsidRPr="006F0D8A">
        <w:rPr>
          <w:lang w:eastAsia="en-AU"/>
        </w:rPr>
        <w:t xml:space="preserve">Gunditjmara people. </w:t>
      </w:r>
      <w:r w:rsidR="00D127B7">
        <w:rPr>
          <w:lang w:eastAsia="en-AU"/>
        </w:rPr>
        <w:t>Several staff interviewed</w:t>
      </w:r>
      <w:r w:rsidRPr="006F0D8A">
        <w:rPr>
          <w:lang w:eastAsia="en-AU"/>
        </w:rPr>
        <w:t xml:space="preserve"> recognised that learnings from this pilot project</w:t>
      </w:r>
      <w:r w:rsidR="003F5724">
        <w:rPr>
          <w:lang w:eastAsia="en-AU"/>
        </w:rPr>
        <w:t xml:space="preserve">, which was </w:t>
      </w:r>
      <w:r w:rsidR="003C04C0">
        <w:rPr>
          <w:lang w:eastAsia="en-AU"/>
        </w:rPr>
        <w:t xml:space="preserve">progressing throughout </w:t>
      </w:r>
      <w:r w:rsidR="003F5724">
        <w:rPr>
          <w:lang w:eastAsia="en-AU"/>
        </w:rPr>
        <w:t>the Review period,</w:t>
      </w:r>
      <w:r w:rsidRPr="006F0D8A">
        <w:rPr>
          <w:lang w:eastAsia="en-AU"/>
        </w:rPr>
        <w:t xml:space="preserve"> would be central to the</w:t>
      </w:r>
      <w:r w:rsidR="007A26AB">
        <w:rPr>
          <w:lang w:eastAsia="en-AU"/>
        </w:rPr>
        <w:t xml:space="preserve"> ongoing</w:t>
      </w:r>
      <w:r w:rsidRPr="006F0D8A">
        <w:rPr>
          <w:lang w:eastAsia="en-AU"/>
        </w:rPr>
        <w:t xml:space="preserve"> development of a formal return of materials policy </w:t>
      </w:r>
      <w:r w:rsidR="006B4FF9">
        <w:rPr>
          <w:lang w:eastAsia="en-AU"/>
        </w:rPr>
        <w:t>that could</w:t>
      </w:r>
      <w:r w:rsidRPr="006F0D8A">
        <w:rPr>
          <w:lang w:eastAsia="en-AU"/>
        </w:rPr>
        <w:t xml:space="preserve"> be used by FNLRS in the future. </w:t>
      </w:r>
    </w:p>
    <w:p w14:paraId="7536AE1E" w14:textId="1547CEE7" w:rsidR="00AD3209" w:rsidRPr="006F0D8A" w:rsidRDefault="00395151" w:rsidP="002147DB">
      <w:pPr>
        <w:rPr>
          <w:lang w:eastAsia="en-AU"/>
        </w:rPr>
      </w:pPr>
      <w:r>
        <w:rPr>
          <w:lang w:eastAsia="en-AU"/>
        </w:rPr>
        <w:t>The pilot</w:t>
      </w:r>
      <w:r w:rsidR="00AD3209">
        <w:rPr>
          <w:lang w:eastAsia="en-AU"/>
        </w:rPr>
        <w:t xml:space="preserve"> involved </w:t>
      </w:r>
      <w:r w:rsidR="006215E9">
        <w:rPr>
          <w:lang w:eastAsia="en-AU"/>
        </w:rPr>
        <w:t>an in-</w:t>
      </w:r>
      <w:r w:rsidR="00AD3209">
        <w:rPr>
          <w:lang w:eastAsia="en-AU"/>
        </w:rPr>
        <w:t xml:space="preserve">depth exercise of </w:t>
      </w:r>
      <w:r w:rsidR="0057737A">
        <w:rPr>
          <w:lang w:eastAsia="en-AU"/>
        </w:rPr>
        <w:t xml:space="preserve">retrieving </w:t>
      </w:r>
      <w:r>
        <w:rPr>
          <w:lang w:eastAsia="en-AU"/>
        </w:rPr>
        <w:t xml:space="preserve">the </w:t>
      </w:r>
      <w:r w:rsidR="0057737A">
        <w:rPr>
          <w:lang w:eastAsia="en-AU"/>
        </w:rPr>
        <w:t xml:space="preserve">materials from the </w:t>
      </w:r>
      <w:proofErr w:type="gramStart"/>
      <w:r w:rsidR="0057737A">
        <w:rPr>
          <w:lang w:eastAsia="en-AU"/>
        </w:rPr>
        <w:t>database, and</w:t>
      </w:r>
      <w:proofErr w:type="gramEnd"/>
      <w:r w:rsidR="0057737A">
        <w:rPr>
          <w:lang w:eastAsia="en-AU"/>
        </w:rPr>
        <w:t xml:space="preserve"> systematically</w:t>
      </w:r>
      <w:r w:rsidR="00F750C0">
        <w:rPr>
          <w:lang w:eastAsia="en-AU"/>
        </w:rPr>
        <w:t xml:space="preserve"> assessing and cataloguing each piece. </w:t>
      </w:r>
      <w:r w:rsidR="00434640">
        <w:rPr>
          <w:lang w:eastAsia="en-AU"/>
        </w:rPr>
        <w:t xml:space="preserve">The exercise raised complex questions regarding the </w:t>
      </w:r>
      <w:r w:rsidR="00D71180">
        <w:rPr>
          <w:lang w:eastAsia="en-AU"/>
        </w:rPr>
        <w:t>privacy</w:t>
      </w:r>
      <w:r w:rsidR="00434640">
        <w:rPr>
          <w:lang w:eastAsia="en-AU"/>
        </w:rPr>
        <w:t xml:space="preserve"> of various </w:t>
      </w:r>
      <w:r w:rsidR="00D71180">
        <w:rPr>
          <w:lang w:eastAsia="en-AU"/>
        </w:rPr>
        <w:t>materials</w:t>
      </w:r>
      <w:r w:rsidR="00434640">
        <w:rPr>
          <w:lang w:eastAsia="en-AU"/>
        </w:rPr>
        <w:t xml:space="preserve">, including interviews with </w:t>
      </w:r>
      <w:r w:rsidR="00D71180">
        <w:rPr>
          <w:lang w:eastAsia="en-AU"/>
        </w:rPr>
        <w:t>deceased</w:t>
      </w:r>
      <w:r w:rsidR="00434640">
        <w:rPr>
          <w:lang w:eastAsia="en-AU"/>
        </w:rPr>
        <w:t xml:space="preserve"> family members, which </w:t>
      </w:r>
      <w:r w:rsidR="005D63EB">
        <w:rPr>
          <w:lang w:eastAsia="en-AU"/>
        </w:rPr>
        <w:t xml:space="preserve">were still </w:t>
      </w:r>
      <w:r w:rsidR="00434640">
        <w:rPr>
          <w:lang w:eastAsia="en-AU"/>
        </w:rPr>
        <w:t>being explored</w:t>
      </w:r>
      <w:r w:rsidR="005D63EB">
        <w:rPr>
          <w:lang w:eastAsia="en-AU"/>
        </w:rPr>
        <w:t xml:space="preserve"> by FNLRS staff</w:t>
      </w:r>
      <w:r w:rsidR="00D71180">
        <w:rPr>
          <w:lang w:eastAsia="en-AU"/>
        </w:rPr>
        <w:t xml:space="preserve">. </w:t>
      </w:r>
      <w:r w:rsidR="006B704E">
        <w:rPr>
          <w:lang w:eastAsia="en-AU"/>
        </w:rPr>
        <w:t xml:space="preserve">FNLRS reported </w:t>
      </w:r>
      <w:r>
        <w:rPr>
          <w:lang w:eastAsia="en-AU"/>
        </w:rPr>
        <w:t>that the next stage</w:t>
      </w:r>
      <w:r w:rsidR="002D36F2">
        <w:rPr>
          <w:lang w:eastAsia="en-AU"/>
        </w:rPr>
        <w:t xml:space="preserve">, transferring the materials </w:t>
      </w:r>
      <w:r w:rsidR="003F5AD3">
        <w:rPr>
          <w:lang w:eastAsia="en-AU"/>
        </w:rPr>
        <w:t>back to the PBC</w:t>
      </w:r>
      <w:r w:rsidR="002D36F2">
        <w:rPr>
          <w:lang w:eastAsia="en-AU"/>
        </w:rPr>
        <w:t xml:space="preserve">, </w:t>
      </w:r>
      <w:r w:rsidR="00C638D9">
        <w:rPr>
          <w:lang w:eastAsia="en-AU"/>
        </w:rPr>
        <w:t xml:space="preserve">would </w:t>
      </w:r>
      <w:r w:rsidR="002D36F2">
        <w:rPr>
          <w:lang w:eastAsia="en-AU"/>
        </w:rPr>
        <w:t>need careful planning</w:t>
      </w:r>
      <w:r w:rsidR="00B05758">
        <w:rPr>
          <w:lang w:eastAsia="en-AU"/>
        </w:rPr>
        <w:t xml:space="preserve">. </w:t>
      </w:r>
      <w:r w:rsidR="00435979">
        <w:rPr>
          <w:lang w:eastAsia="en-AU"/>
        </w:rPr>
        <w:t xml:space="preserve">FNLRS staff </w:t>
      </w:r>
      <w:r w:rsidR="001740B0">
        <w:rPr>
          <w:lang w:eastAsia="en-AU"/>
        </w:rPr>
        <w:t>thought</w:t>
      </w:r>
      <w:r w:rsidR="00435979">
        <w:rPr>
          <w:lang w:eastAsia="en-AU"/>
        </w:rPr>
        <w:t xml:space="preserve"> that they would need to provide</w:t>
      </w:r>
      <w:r w:rsidR="00B05758">
        <w:rPr>
          <w:lang w:eastAsia="en-AU"/>
        </w:rPr>
        <w:t xml:space="preserve"> support to PBCs to </w:t>
      </w:r>
      <w:r w:rsidR="000F739F">
        <w:rPr>
          <w:lang w:eastAsia="en-AU"/>
        </w:rPr>
        <w:t xml:space="preserve">safely catalogue and store these materials </w:t>
      </w:r>
      <w:r w:rsidR="004C2AA1">
        <w:rPr>
          <w:lang w:eastAsia="en-AU"/>
        </w:rPr>
        <w:t xml:space="preserve">in secure databases in line with information security and privacy policies </w:t>
      </w:r>
      <w:r w:rsidR="000F739F">
        <w:rPr>
          <w:lang w:eastAsia="en-AU"/>
        </w:rPr>
        <w:t xml:space="preserve">in the future. </w:t>
      </w:r>
    </w:p>
    <w:p w14:paraId="23BFA34D" w14:textId="6F88E64F" w:rsidR="006F0D8A" w:rsidRDefault="006F0D8A" w:rsidP="002147DB">
      <w:pPr>
        <w:rPr>
          <w:lang w:eastAsia="en-AU"/>
        </w:rPr>
      </w:pPr>
      <w:r w:rsidRPr="006F0D8A">
        <w:rPr>
          <w:lang w:eastAsia="en-AU"/>
        </w:rPr>
        <w:t xml:space="preserve">FNLRS also sought to return cultural materials upon request for </w:t>
      </w:r>
      <w:r w:rsidR="007A26AB">
        <w:rPr>
          <w:lang w:eastAsia="en-AU"/>
        </w:rPr>
        <w:t xml:space="preserve">individual family groups within the </w:t>
      </w:r>
      <w:proofErr w:type="spellStart"/>
      <w:r w:rsidR="007A26AB">
        <w:rPr>
          <w:lang w:eastAsia="en-AU"/>
        </w:rPr>
        <w:t>Gunditjamara</w:t>
      </w:r>
      <w:proofErr w:type="spellEnd"/>
      <w:r w:rsidR="007A26AB">
        <w:rPr>
          <w:lang w:eastAsia="en-AU"/>
        </w:rPr>
        <w:t xml:space="preserve"> native title holding</w:t>
      </w:r>
      <w:r w:rsidR="007A26AB" w:rsidRPr="006F0D8A">
        <w:rPr>
          <w:lang w:eastAsia="en-AU"/>
        </w:rPr>
        <w:t xml:space="preserve"> </w:t>
      </w:r>
      <w:r w:rsidRPr="006F0D8A">
        <w:rPr>
          <w:lang w:eastAsia="en-AU"/>
        </w:rPr>
        <w:t xml:space="preserve">groups during the Review period. However, some FNLRS stakeholders </w:t>
      </w:r>
      <w:r w:rsidR="0040070D">
        <w:rPr>
          <w:lang w:eastAsia="en-AU"/>
        </w:rPr>
        <w:t>said</w:t>
      </w:r>
      <w:r w:rsidRPr="006F0D8A">
        <w:rPr>
          <w:lang w:eastAsia="en-AU"/>
        </w:rPr>
        <w:t xml:space="preserve"> during interviews that these requests </w:t>
      </w:r>
      <w:r w:rsidR="00E31E08">
        <w:rPr>
          <w:lang w:eastAsia="en-AU"/>
        </w:rPr>
        <w:t>were sometimes</w:t>
      </w:r>
      <w:r w:rsidRPr="006F0D8A">
        <w:rPr>
          <w:lang w:eastAsia="en-AU"/>
        </w:rPr>
        <w:t xml:space="preserve"> difficult to fulfill due to</w:t>
      </w:r>
      <w:r w:rsidR="0063316A">
        <w:rPr>
          <w:lang w:eastAsia="en-AU"/>
        </w:rPr>
        <w:t xml:space="preserve"> privacy </w:t>
      </w:r>
      <w:r w:rsidR="00E31E08">
        <w:rPr>
          <w:lang w:eastAsia="en-AU"/>
        </w:rPr>
        <w:t xml:space="preserve">and other </w:t>
      </w:r>
      <w:r w:rsidR="00766498">
        <w:rPr>
          <w:lang w:eastAsia="en-AU"/>
        </w:rPr>
        <w:t>considerations</w:t>
      </w:r>
      <w:r w:rsidR="00E31E08">
        <w:rPr>
          <w:lang w:eastAsia="en-AU"/>
        </w:rPr>
        <w:t xml:space="preserve"> that needed to be worked through on a </w:t>
      </w:r>
      <w:r w:rsidR="009570FC">
        <w:rPr>
          <w:lang w:eastAsia="en-AU"/>
        </w:rPr>
        <w:t>case-by-case</w:t>
      </w:r>
      <w:r w:rsidR="00E31E08">
        <w:rPr>
          <w:lang w:eastAsia="en-AU"/>
        </w:rPr>
        <w:t xml:space="preserve"> basis</w:t>
      </w:r>
      <w:r w:rsidRPr="006F0D8A">
        <w:rPr>
          <w:lang w:eastAsia="en-AU"/>
        </w:rPr>
        <w:t xml:space="preserve">. </w:t>
      </w:r>
    </w:p>
    <w:p w14:paraId="09E87FD7" w14:textId="77777777" w:rsidR="006F0D8A" w:rsidRPr="006F0D8A" w:rsidRDefault="006F0D8A" w:rsidP="006F0D8A">
      <w:pPr>
        <w:keepNext/>
        <w:spacing w:before="240" w:after="60"/>
        <w:outlineLvl w:val="3"/>
        <w:rPr>
          <w:rFonts w:ascii="Segoe UI Semibold" w:eastAsia="Times New Roman" w:hAnsi="Segoe UI Semibold" w:cs="Times New Roman"/>
          <w:color w:val="00264D" w:themeColor="background2"/>
          <w:sz w:val="22"/>
          <w:szCs w:val="19"/>
          <w:lang w:eastAsia="en-AU"/>
        </w:rPr>
      </w:pPr>
      <w:r w:rsidRPr="006F0D8A">
        <w:rPr>
          <w:rFonts w:ascii="Segoe UI Semibold" w:eastAsia="Times New Roman" w:hAnsi="Segoe UI Semibold" w:cs="Times New Roman"/>
          <w:color w:val="00264D" w:themeColor="background2"/>
          <w:sz w:val="22"/>
          <w:szCs w:val="19"/>
          <w:lang w:eastAsia="en-AU"/>
        </w:rPr>
        <w:t>Percentage of PBCs/RNTBCs supported by NTRB-SP with formal service agreements in place with NTRB-SP</w:t>
      </w:r>
    </w:p>
    <w:p w14:paraId="377D1DCB" w14:textId="52925B80" w:rsidR="00CF1B13" w:rsidRPr="006F0D8A" w:rsidRDefault="005E08E9" w:rsidP="005566FF">
      <w:pPr>
        <w:keepNext/>
        <w:numPr>
          <w:ilvl w:val="4"/>
          <w:numId w:val="1"/>
        </w:numPr>
        <w:tabs>
          <w:tab w:val="num" w:pos="360"/>
        </w:tabs>
        <w:spacing w:before="240"/>
        <w:outlineLvl w:val="4"/>
        <w:rPr>
          <w:rFonts w:eastAsia="Times New Roman" w:cs="Times New Roman"/>
          <w:b/>
          <w:color w:val="000000" w:themeColor="text1"/>
          <w:sz w:val="20"/>
          <w:szCs w:val="24"/>
          <w:lang w:eastAsia="en-AU"/>
        </w:rPr>
      </w:pPr>
      <w:r>
        <w:rPr>
          <w:rFonts w:eastAsia="Times New Roman" w:cs="Times New Roman"/>
          <w:b/>
          <w:color w:val="000000" w:themeColor="text1"/>
          <w:sz w:val="20"/>
          <w:szCs w:val="24"/>
          <w:lang w:eastAsia="en-AU"/>
        </w:rPr>
        <w:t>Some f</w:t>
      </w:r>
      <w:r w:rsidR="005368A7" w:rsidRPr="006F0D8A">
        <w:rPr>
          <w:rFonts w:eastAsia="Times New Roman" w:cs="Times New Roman"/>
          <w:b/>
          <w:color w:val="000000" w:themeColor="text1"/>
          <w:sz w:val="20"/>
          <w:szCs w:val="24"/>
          <w:lang w:eastAsia="en-AU"/>
        </w:rPr>
        <w:t xml:space="preserve">ormal service agreements were in place </w:t>
      </w:r>
      <w:r>
        <w:rPr>
          <w:rFonts w:eastAsia="Times New Roman" w:cs="Times New Roman"/>
          <w:b/>
          <w:color w:val="000000" w:themeColor="text1"/>
          <w:sz w:val="20"/>
          <w:szCs w:val="24"/>
          <w:lang w:eastAsia="en-AU"/>
        </w:rPr>
        <w:t>with PBC</w:t>
      </w:r>
      <w:r w:rsidR="00FC635B">
        <w:rPr>
          <w:rFonts w:eastAsia="Times New Roman" w:cs="Times New Roman"/>
          <w:b/>
          <w:color w:val="000000" w:themeColor="text1"/>
          <w:sz w:val="20"/>
          <w:szCs w:val="24"/>
          <w:lang w:eastAsia="en-AU"/>
        </w:rPr>
        <w:t>s</w:t>
      </w:r>
      <w:r>
        <w:rPr>
          <w:rFonts w:eastAsia="Times New Roman" w:cs="Times New Roman"/>
          <w:b/>
          <w:color w:val="000000" w:themeColor="text1"/>
          <w:sz w:val="20"/>
          <w:szCs w:val="24"/>
          <w:lang w:eastAsia="en-AU"/>
        </w:rPr>
        <w:t>/TOGEs</w:t>
      </w:r>
      <w:r w:rsidR="005368A7" w:rsidRPr="006F0D8A">
        <w:rPr>
          <w:rFonts w:eastAsia="Times New Roman" w:cs="Times New Roman"/>
          <w:b/>
          <w:color w:val="000000" w:themeColor="text1"/>
          <w:sz w:val="20"/>
          <w:szCs w:val="24"/>
          <w:lang w:eastAsia="en-AU"/>
        </w:rPr>
        <w:t xml:space="preserve"> as well as </w:t>
      </w:r>
      <w:r w:rsidR="00FC635B">
        <w:rPr>
          <w:rFonts w:eastAsia="Times New Roman" w:cs="Times New Roman"/>
          <w:b/>
          <w:color w:val="000000" w:themeColor="text1"/>
          <w:sz w:val="20"/>
          <w:szCs w:val="24"/>
          <w:lang w:eastAsia="en-AU"/>
        </w:rPr>
        <w:t xml:space="preserve">with </w:t>
      </w:r>
      <w:r w:rsidR="005368A7" w:rsidRPr="006F0D8A">
        <w:rPr>
          <w:rFonts w:eastAsia="Times New Roman" w:cs="Times New Roman"/>
          <w:b/>
          <w:color w:val="000000" w:themeColor="text1"/>
          <w:sz w:val="20"/>
          <w:szCs w:val="24"/>
          <w:lang w:eastAsia="en-AU"/>
        </w:rPr>
        <w:t>the peak body for PBCs in Victoria</w:t>
      </w:r>
    </w:p>
    <w:p w14:paraId="55ECC18C" w14:textId="117B41FC" w:rsidR="006F0D8A" w:rsidRDefault="00D354DE" w:rsidP="006F0D8A">
      <w:pPr>
        <w:rPr>
          <w:lang w:eastAsia="en-AU"/>
        </w:rPr>
      </w:pPr>
      <w:r>
        <w:rPr>
          <w:lang w:eastAsia="en-AU"/>
        </w:rPr>
        <w:t>A formal</w:t>
      </w:r>
      <w:r w:rsidR="006F0D8A" w:rsidRPr="006F0D8A">
        <w:rPr>
          <w:lang w:eastAsia="en-AU"/>
        </w:rPr>
        <w:t xml:space="preserve"> service agreement </w:t>
      </w:r>
      <w:r w:rsidR="00A406D4">
        <w:rPr>
          <w:lang w:eastAsia="en-AU"/>
        </w:rPr>
        <w:t xml:space="preserve">was in place </w:t>
      </w:r>
      <w:r w:rsidR="006F0D8A" w:rsidRPr="006F0D8A">
        <w:rPr>
          <w:lang w:eastAsia="en-AU"/>
        </w:rPr>
        <w:t xml:space="preserve">between FNLRS and </w:t>
      </w:r>
      <w:proofErr w:type="spellStart"/>
      <w:r w:rsidR="006F0D8A" w:rsidRPr="006F0D8A">
        <w:rPr>
          <w:lang w:eastAsia="en-AU"/>
        </w:rPr>
        <w:t>G</w:t>
      </w:r>
      <w:r w:rsidR="00766BE9">
        <w:rPr>
          <w:lang w:eastAsia="en-AU"/>
        </w:rPr>
        <w:t>L</w:t>
      </w:r>
      <w:r w:rsidR="00606E79">
        <w:rPr>
          <w:lang w:eastAsia="en-AU"/>
        </w:rPr>
        <w:t>aWAC</w:t>
      </w:r>
      <w:proofErr w:type="spellEnd"/>
      <w:r w:rsidR="00134073">
        <w:rPr>
          <w:lang w:eastAsia="en-AU"/>
        </w:rPr>
        <w:t xml:space="preserve">, </w:t>
      </w:r>
      <w:proofErr w:type="gramStart"/>
      <w:r w:rsidR="00134073">
        <w:rPr>
          <w:lang w:eastAsia="en-AU"/>
        </w:rPr>
        <w:t>entered into</w:t>
      </w:r>
      <w:proofErr w:type="gramEnd"/>
      <w:r w:rsidR="00134073">
        <w:rPr>
          <w:lang w:eastAsia="en-AU"/>
        </w:rPr>
        <w:t xml:space="preserve"> in February 2021</w:t>
      </w:r>
      <w:r w:rsidR="00A406D4">
        <w:rPr>
          <w:lang w:eastAsia="en-AU"/>
        </w:rPr>
        <w:t xml:space="preserve">. </w:t>
      </w:r>
      <w:r w:rsidR="00B61EAB">
        <w:rPr>
          <w:lang w:eastAsia="en-AU"/>
        </w:rPr>
        <w:t xml:space="preserve">Service agreements were also in place for </w:t>
      </w:r>
      <w:r w:rsidR="00A406D4" w:rsidRPr="003073F9">
        <w:rPr>
          <w:lang w:eastAsia="en-AU"/>
        </w:rPr>
        <w:t xml:space="preserve">each of the two TOGEs </w:t>
      </w:r>
      <w:r w:rsidR="00A406D4">
        <w:rPr>
          <w:lang w:eastAsia="en-AU"/>
        </w:rPr>
        <w:t>(</w:t>
      </w:r>
      <w:r w:rsidR="00A406D4" w:rsidRPr="003073F9">
        <w:rPr>
          <w:lang w:eastAsia="en-AU"/>
        </w:rPr>
        <w:t>that were not also PBCs</w:t>
      </w:r>
      <w:r w:rsidR="00A406D4">
        <w:rPr>
          <w:lang w:eastAsia="en-AU"/>
        </w:rPr>
        <w:t>)</w:t>
      </w:r>
      <w:r w:rsidR="00491AD0">
        <w:rPr>
          <w:lang w:eastAsia="en-AU"/>
        </w:rPr>
        <w:t xml:space="preserve">, </w:t>
      </w:r>
      <w:r w:rsidR="003A6530">
        <w:rPr>
          <w:lang w:eastAsia="en-AU"/>
        </w:rPr>
        <w:t>with</w:t>
      </w:r>
      <w:r w:rsidR="00F03F7E">
        <w:rPr>
          <w:lang w:eastAsia="en-AU"/>
        </w:rPr>
        <w:t xml:space="preserve"> </w:t>
      </w:r>
      <w:proofErr w:type="spellStart"/>
      <w:r w:rsidR="00F03F7E">
        <w:rPr>
          <w:lang w:eastAsia="en-AU"/>
        </w:rPr>
        <w:t>TLaWC</w:t>
      </w:r>
      <w:proofErr w:type="spellEnd"/>
      <w:r w:rsidR="00491AD0">
        <w:rPr>
          <w:lang w:eastAsia="en-AU"/>
        </w:rPr>
        <w:t>,</w:t>
      </w:r>
      <w:r w:rsidR="0016036C">
        <w:rPr>
          <w:lang w:eastAsia="en-AU"/>
        </w:rPr>
        <w:t xml:space="preserve"> </w:t>
      </w:r>
      <w:r w:rsidR="00F03F7E">
        <w:rPr>
          <w:lang w:eastAsia="en-AU"/>
        </w:rPr>
        <w:t xml:space="preserve">and </w:t>
      </w:r>
      <w:r w:rsidR="003A6530">
        <w:rPr>
          <w:lang w:eastAsia="en-AU"/>
        </w:rPr>
        <w:t>two with the</w:t>
      </w:r>
      <w:r w:rsidR="00F03F7E">
        <w:rPr>
          <w:lang w:eastAsia="en-AU"/>
        </w:rPr>
        <w:t xml:space="preserve"> Federation</w:t>
      </w:r>
      <w:r w:rsidR="003A6530">
        <w:rPr>
          <w:lang w:eastAsia="en-AU"/>
        </w:rPr>
        <w:t>.</w:t>
      </w:r>
      <w:r w:rsidR="0016036C">
        <w:rPr>
          <w:lang w:eastAsia="en-AU"/>
        </w:rPr>
        <w:t xml:space="preserve"> </w:t>
      </w:r>
      <w:r w:rsidR="006F0D8A" w:rsidRPr="006F0D8A">
        <w:rPr>
          <w:lang w:eastAsia="en-AU"/>
        </w:rPr>
        <w:t xml:space="preserve">The </w:t>
      </w:r>
      <w:proofErr w:type="spellStart"/>
      <w:r w:rsidR="006A362C" w:rsidRPr="006F0D8A">
        <w:rPr>
          <w:lang w:eastAsia="en-AU"/>
        </w:rPr>
        <w:t>G</w:t>
      </w:r>
      <w:r w:rsidR="006A362C">
        <w:rPr>
          <w:lang w:eastAsia="en-AU"/>
        </w:rPr>
        <w:t>LaWAC</w:t>
      </w:r>
      <w:proofErr w:type="spellEnd"/>
      <w:r w:rsidR="006A362C" w:rsidRPr="006F0D8A">
        <w:rPr>
          <w:lang w:eastAsia="en-AU"/>
        </w:rPr>
        <w:t xml:space="preserve"> </w:t>
      </w:r>
      <w:r w:rsidR="006F0D8A" w:rsidRPr="006F0D8A">
        <w:rPr>
          <w:lang w:eastAsia="en-AU"/>
        </w:rPr>
        <w:t xml:space="preserve">agreement </w:t>
      </w:r>
      <w:r w:rsidR="00C76824">
        <w:rPr>
          <w:lang w:eastAsia="en-AU"/>
        </w:rPr>
        <w:t>outlined</w:t>
      </w:r>
      <w:r w:rsidR="006F0D8A" w:rsidRPr="006F0D8A">
        <w:rPr>
          <w:lang w:eastAsia="en-AU"/>
        </w:rPr>
        <w:t xml:space="preserve"> how FNLRS was to support </w:t>
      </w:r>
      <w:proofErr w:type="spellStart"/>
      <w:r w:rsidR="00606E79" w:rsidRPr="00606E79">
        <w:rPr>
          <w:lang w:eastAsia="en-AU"/>
        </w:rPr>
        <w:t>GLaWAC</w:t>
      </w:r>
      <w:proofErr w:type="spellEnd"/>
      <w:r w:rsidR="006F0D8A" w:rsidRPr="006F0D8A">
        <w:t xml:space="preserve"> </w:t>
      </w:r>
      <w:r w:rsidR="006F0D8A" w:rsidRPr="006F0D8A">
        <w:rPr>
          <w:lang w:eastAsia="en-AU"/>
        </w:rPr>
        <w:t xml:space="preserve">in matters relating to </w:t>
      </w:r>
      <w:r w:rsidR="00695A30">
        <w:rPr>
          <w:lang w:eastAsia="en-AU"/>
        </w:rPr>
        <w:t>F</w:t>
      </w:r>
      <w:r w:rsidR="006F0D8A" w:rsidRPr="006F0D8A">
        <w:rPr>
          <w:lang w:eastAsia="en-AU"/>
        </w:rPr>
        <w:t xml:space="preserve">uture </w:t>
      </w:r>
      <w:r w:rsidR="00695A30">
        <w:rPr>
          <w:lang w:eastAsia="en-AU"/>
        </w:rPr>
        <w:t>A</w:t>
      </w:r>
      <w:r w:rsidR="006F0D8A" w:rsidRPr="006F0D8A">
        <w:rPr>
          <w:lang w:eastAsia="en-AU"/>
        </w:rPr>
        <w:t>ct</w:t>
      </w:r>
      <w:r w:rsidR="00D768BF">
        <w:rPr>
          <w:lang w:eastAsia="en-AU"/>
        </w:rPr>
        <w:t>s</w:t>
      </w:r>
      <w:r w:rsidR="006F0D8A" w:rsidRPr="006F0D8A">
        <w:rPr>
          <w:lang w:eastAsia="en-AU"/>
        </w:rPr>
        <w:t xml:space="preserve"> and PBC governance of the </w:t>
      </w:r>
      <w:r w:rsidR="00491AD0">
        <w:rPr>
          <w:lang w:eastAsia="en-AU"/>
        </w:rPr>
        <w:t>B</w:t>
      </w:r>
      <w:r w:rsidR="006F0D8A" w:rsidRPr="006F0D8A">
        <w:rPr>
          <w:lang w:eastAsia="en-AU"/>
        </w:rPr>
        <w:t>oard and a subcommitte</w:t>
      </w:r>
      <w:r w:rsidR="00B33054">
        <w:rPr>
          <w:lang w:eastAsia="en-AU"/>
        </w:rPr>
        <w:t>e</w:t>
      </w:r>
      <w:r w:rsidR="00D768BF">
        <w:rPr>
          <w:lang w:eastAsia="en-AU"/>
        </w:rPr>
        <w:t>.</w:t>
      </w:r>
      <w:r w:rsidR="00B33054">
        <w:rPr>
          <w:lang w:eastAsia="en-AU"/>
        </w:rPr>
        <w:t xml:space="preserve"> </w:t>
      </w:r>
      <w:r w:rsidR="00D768BF">
        <w:rPr>
          <w:lang w:eastAsia="en-AU"/>
        </w:rPr>
        <w:t>The</w:t>
      </w:r>
      <w:r w:rsidR="00E51150">
        <w:rPr>
          <w:lang w:eastAsia="en-AU"/>
        </w:rPr>
        <w:t xml:space="preserve"> </w:t>
      </w:r>
      <w:r w:rsidR="00EE460D">
        <w:rPr>
          <w:lang w:eastAsia="en-AU"/>
        </w:rPr>
        <w:t>agreement</w:t>
      </w:r>
      <w:r w:rsidR="00B33054">
        <w:rPr>
          <w:lang w:eastAsia="en-AU"/>
        </w:rPr>
        <w:t xml:space="preserve"> with </w:t>
      </w:r>
      <w:proofErr w:type="spellStart"/>
      <w:r w:rsidR="00B33054">
        <w:rPr>
          <w:lang w:eastAsia="en-AU"/>
        </w:rPr>
        <w:t>TLaWC</w:t>
      </w:r>
      <w:proofErr w:type="spellEnd"/>
      <w:r w:rsidR="00EE460D">
        <w:rPr>
          <w:lang w:eastAsia="en-AU"/>
        </w:rPr>
        <w:t xml:space="preserve"> </w:t>
      </w:r>
      <w:r w:rsidR="00EC2EE1">
        <w:rPr>
          <w:lang w:eastAsia="en-AU"/>
        </w:rPr>
        <w:t>centred on</w:t>
      </w:r>
      <w:r w:rsidR="003A6530">
        <w:rPr>
          <w:lang w:eastAsia="en-AU"/>
        </w:rPr>
        <w:t xml:space="preserve"> </w:t>
      </w:r>
      <w:r w:rsidR="00B33054">
        <w:rPr>
          <w:lang w:eastAsia="en-AU"/>
        </w:rPr>
        <w:t xml:space="preserve">FNLRS’s support </w:t>
      </w:r>
      <w:r w:rsidR="00EC2EE1">
        <w:rPr>
          <w:lang w:eastAsia="en-AU"/>
        </w:rPr>
        <w:t>for</w:t>
      </w:r>
      <w:r w:rsidR="00B33054">
        <w:rPr>
          <w:lang w:eastAsia="en-AU"/>
        </w:rPr>
        <w:t xml:space="preserve"> </w:t>
      </w:r>
      <w:r w:rsidR="00B27D59" w:rsidRPr="00B27D59">
        <w:rPr>
          <w:lang w:eastAsia="en-AU"/>
        </w:rPr>
        <w:t xml:space="preserve">Land Use Activity Agreement </w:t>
      </w:r>
      <w:r w:rsidR="00B33054">
        <w:rPr>
          <w:lang w:eastAsia="en-AU"/>
        </w:rPr>
        <w:t>matters</w:t>
      </w:r>
      <w:r w:rsidR="00EC2EE1">
        <w:rPr>
          <w:lang w:eastAsia="en-AU"/>
        </w:rPr>
        <w:t xml:space="preserve"> and</w:t>
      </w:r>
      <w:r w:rsidR="00D768BF">
        <w:rPr>
          <w:lang w:eastAsia="en-AU"/>
        </w:rPr>
        <w:t xml:space="preserve"> ceas</w:t>
      </w:r>
      <w:r w:rsidR="00EC2EE1">
        <w:rPr>
          <w:lang w:eastAsia="en-AU"/>
        </w:rPr>
        <w:t>ed</w:t>
      </w:r>
      <w:r w:rsidR="00D768BF">
        <w:rPr>
          <w:lang w:eastAsia="en-AU"/>
        </w:rPr>
        <w:t xml:space="preserve"> shortly after the Review period.</w:t>
      </w:r>
    </w:p>
    <w:p w14:paraId="3D5585AC" w14:textId="78A2F6A1" w:rsidR="006F0D8A" w:rsidRPr="006F0D8A" w:rsidRDefault="006F0D8A" w:rsidP="006F0D8A">
      <w:pPr>
        <w:rPr>
          <w:lang w:eastAsia="en-AU"/>
        </w:rPr>
      </w:pPr>
      <w:r w:rsidRPr="006F0D8A">
        <w:rPr>
          <w:lang w:eastAsia="en-AU"/>
        </w:rPr>
        <w:t>FNLRS</w:t>
      </w:r>
      <w:r w:rsidR="0016036C">
        <w:rPr>
          <w:lang w:eastAsia="en-AU"/>
        </w:rPr>
        <w:t>’s</w:t>
      </w:r>
      <w:r w:rsidRPr="006F0D8A">
        <w:rPr>
          <w:lang w:eastAsia="en-AU"/>
        </w:rPr>
        <w:t xml:space="preserve"> two service agreements in place with </w:t>
      </w:r>
      <w:r w:rsidR="0016036C">
        <w:rPr>
          <w:lang w:eastAsia="en-AU"/>
        </w:rPr>
        <w:t>the Federation</w:t>
      </w:r>
      <w:r w:rsidRPr="006F0D8A">
        <w:rPr>
          <w:lang w:eastAsia="en-AU"/>
        </w:rPr>
        <w:t xml:space="preserve"> set out terms on:</w:t>
      </w:r>
    </w:p>
    <w:p w14:paraId="14F5F154" w14:textId="77777777" w:rsidR="006F0D8A" w:rsidRPr="006F0D8A" w:rsidRDefault="006F0D8A" w:rsidP="00D10DAB">
      <w:pPr>
        <w:pStyle w:val="Bullet"/>
      </w:pPr>
      <w:r w:rsidRPr="006F0D8A">
        <w:t>administration and finance support on request to FNLRS</w:t>
      </w:r>
    </w:p>
    <w:p w14:paraId="3A37CED3" w14:textId="77777777" w:rsidR="006F0D8A" w:rsidRPr="006F0D8A" w:rsidRDefault="006F0D8A" w:rsidP="00D10DAB">
      <w:pPr>
        <w:pStyle w:val="Bullet"/>
      </w:pPr>
      <w:r w:rsidRPr="006F0D8A">
        <w:t>corporate support</w:t>
      </w:r>
    </w:p>
    <w:p w14:paraId="0A064E0C" w14:textId="71F50EB7" w:rsidR="006F0D8A" w:rsidRPr="006F0D8A" w:rsidRDefault="006F0D8A" w:rsidP="00D10DAB">
      <w:pPr>
        <w:pStyle w:val="Bullet"/>
      </w:pPr>
      <w:r w:rsidRPr="006F0D8A">
        <w:t>ad-hoc legal services charged on an hourly fee at discounted rates</w:t>
      </w:r>
    </w:p>
    <w:p w14:paraId="07B85209" w14:textId="785B1DFF" w:rsidR="002B72CD" w:rsidRPr="00D10DAB" w:rsidRDefault="00BF59B7" w:rsidP="002B72CD">
      <w:pPr>
        <w:pStyle w:val="Bullet"/>
      </w:pPr>
      <w:r>
        <w:t>HR</w:t>
      </w:r>
      <w:r w:rsidR="005B5FC6">
        <w:t>,</w:t>
      </w:r>
      <w:r w:rsidR="006F0D8A" w:rsidRPr="006F0D8A">
        <w:t xml:space="preserve"> and communication and media services.</w:t>
      </w:r>
    </w:p>
    <w:p w14:paraId="4D16B876" w14:textId="77777777" w:rsidR="006F0D8A" w:rsidRPr="006F0D8A" w:rsidRDefault="006F0D8A" w:rsidP="006F0D8A">
      <w:pPr>
        <w:keepNext/>
        <w:spacing w:before="240" w:after="60"/>
        <w:outlineLvl w:val="3"/>
        <w:rPr>
          <w:rFonts w:ascii="Segoe UI Semibold" w:eastAsia="Times New Roman" w:hAnsi="Segoe UI Semibold" w:cs="Times New Roman"/>
          <w:color w:val="00264D" w:themeColor="background2"/>
          <w:sz w:val="22"/>
          <w:szCs w:val="19"/>
          <w:lang w:eastAsia="en-AU"/>
        </w:rPr>
      </w:pPr>
      <w:r w:rsidRPr="006F0D8A">
        <w:rPr>
          <w:rFonts w:ascii="Segoe UI Semibold" w:eastAsia="Times New Roman" w:hAnsi="Segoe UI Semibold" w:cs="Times New Roman"/>
          <w:color w:val="00264D" w:themeColor="background2"/>
          <w:sz w:val="22"/>
          <w:szCs w:val="19"/>
          <w:lang w:eastAsia="en-AU"/>
        </w:rPr>
        <w:t>Satisfaction of PBCs/RNTBCs with the process of negotiating service agreements between the NTRB-SP and the PBC/RNTBC</w:t>
      </w:r>
    </w:p>
    <w:p w14:paraId="7BAF52D7" w14:textId="6DA3DCED" w:rsidR="006F0D8A" w:rsidRPr="006F0D8A" w:rsidRDefault="002B0B87" w:rsidP="006F0D8A">
      <w:pPr>
        <w:rPr>
          <w:lang w:eastAsia="en-AU"/>
        </w:rPr>
      </w:pPr>
      <w:r w:rsidRPr="00442F30">
        <w:rPr>
          <w:lang w:eastAsia="en-AU"/>
        </w:rPr>
        <w:t xml:space="preserve">The </w:t>
      </w:r>
      <w:r w:rsidR="00A37B6F">
        <w:rPr>
          <w:lang w:eastAsia="en-AU"/>
        </w:rPr>
        <w:t>R</w:t>
      </w:r>
      <w:r w:rsidRPr="00442F30">
        <w:rPr>
          <w:lang w:eastAsia="en-AU"/>
        </w:rPr>
        <w:t xml:space="preserve">eview </w:t>
      </w:r>
      <w:r w:rsidR="00A73710">
        <w:rPr>
          <w:lang w:eastAsia="en-AU"/>
        </w:rPr>
        <w:t>did not receive</w:t>
      </w:r>
      <w:r w:rsidR="00CF302A">
        <w:rPr>
          <w:lang w:eastAsia="en-AU"/>
        </w:rPr>
        <w:t xml:space="preserve"> any negative</w:t>
      </w:r>
      <w:r w:rsidRPr="00442F30">
        <w:rPr>
          <w:lang w:eastAsia="en-AU"/>
        </w:rPr>
        <w:t xml:space="preserve"> feedback around the role of FNLRS in negotiating its service agreement</w:t>
      </w:r>
      <w:r w:rsidR="00E51150">
        <w:rPr>
          <w:lang w:eastAsia="en-AU"/>
        </w:rPr>
        <w:t>s.</w:t>
      </w:r>
      <w:r w:rsidRPr="00442F30">
        <w:rPr>
          <w:lang w:eastAsia="en-AU"/>
        </w:rPr>
        <w:t xml:space="preserve"> </w:t>
      </w:r>
    </w:p>
    <w:p w14:paraId="100A095B" w14:textId="77777777" w:rsidR="006F0D8A" w:rsidRDefault="006F0D8A" w:rsidP="005566FF">
      <w:pPr>
        <w:keepNext/>
        <w:numPr>
          <w:ilvl w:val="2"/>
          <w:numId w:val="1"/>
        </w:numPr>
        <w:tabs>
          <w:tab w:val="num" w:pos="360"/>
        </w:tabs>
        <w:spacing w:before="480" w:after="60"/>
        <w:ind w:left="0" w:firstLine="0"/>
        <w:outlineLvl w:val="2"/>
        <w:rPr>
          <w:rFonts w:ascii="Segoe UI Semibold" w:eastAsia="Times New Roman" w:hAnsi="Segoe UI Semibold" w:cs="Times New Roman"/>
          <w:color w:val="00264D"/>
          <w:sz w:val="26"/>
          <w:szCs w:val="19"/>
          <w:lang w:eastAsia="en-AU"/>
        </w:rPr>
      </w:pPr>
      <w:r w:rsidRPr="006F0D8A">
        <w:rPr>
          <w:rFonts w:ascii="Segoe UI Semibold" w:eastAsia="Times New Roman" w:hAnsi="Segoe UI Semibold" w:cs="Times New Roman"/>
          <w:color w:val="00264D"/>
          <w:sz w:val="26"/>
          <w:szCs w:val="19"/>
          <w:lang w:eastAsia="en-AU"/>
        </w:rPr>
        <w:t>TOR 6: External factors</w:t>
      </w:r>
    </w:p>
    <w:p w14:paraId="18A9F2A8" w14:textId="77777777" w:rsidR="004F36A3" w:rsidRPr="004F36A3" w:rsidRDefault="004F36A3" w:rsidP="004F36A3">
      <w:pPr>
        <w:rPr>
          <w:lang w:eastAsia="en-AU"/>
        </w:rPr>
      </w:pPr>
      <w:r w:rsidRPr="004F36A3">
        <w:rPr>
          <w:lang w:eastAsia="en-AU"/>
        </w:rPr>
        <w:t xml:space="preserve">This section presents an analysis of factors that impacted on performance that were beyond </w:t>
      </w:r>
      <w:r>
        <w:rPr>
          <w:lang w:eastAsia="en-AU"/>
        </w:rPr>
        <w:t>FNLRS</w:t>
      </w:r>
      <w:r w:rsidRPr="004F36A3">
        <w:rPr>
          <w:lang w:eastAsia="en-AU"/>
        </w:rPr>
        <w:t>'s control.</w:t>
      </w:r>
    </w:p>
    <w:p w14:paraId="5D41F8DE" w14:textId="22BA43BD" w:rsidR="007E1F9E" w:rsidRPr="00B541E5" w:rsidRDefault="006F0D8A" w:rsidP="00B541E5">
      <w:pPr>
        <w:keepNext/>
        <w:spacing w:before="240" w:after="60"/>
        <w:outlineLvl w:val="3"/>
        <w:rPr>
          <w:rFonts w:ascii="Segoe UI Semibold" w:eastAsia="Times New Roman" w:hAnsi="Segoe UI Semibold" w:cs="Times New Roman"/>
          <w:color w:val="00264D" w:themeColor="background2"/>
          <w:sz w:val="22"/>
          <w:szCs w:val="19"/>
          <w:lang w:eastAsia="en-AU"/>
        </w:rPr>
      </w:pPr>
      <w:r w:rsidRPr="006F0D8A">
        <w:rPr>
          <w:rFonts w:ascii="Segoe UI Semibold" w:eastAsia="Times New Roman" w:hAnsi="Segoe UI Semibold" w:cs="Times New Roman"/>
          <w:color w:val="00264D" w:themeColor="background2"/>
          <w:sz w:val="22"/>
          <w:szCs w:val="19"/>
          <w:lang w:eastAsia="en-AU"/>
        </w:rPr>
        <w:lastRenderedPageBreak/>
        <w:t>Extent to which self-sufficiency for PBCs/RNTBCs is achievable</w:t>
      </w:r>
    </w:p>
    <w:p w14:paraId="226E20C5" w14:textId="1F7C499F" w:rsidR="00B541E5" w:rsidRDefault="00622CC8" w:rsidP="004E3FEB">
      <w:pPr>
        <w:pStyle w:val="Heading5"/>
      </w:pPr>
      <w:r>
        <w:t>Self-sufficiency may be easier to develop for PBCs</w:t>
      </w:r>
      <w:r w:rsidR="00827FA4">
        <w:t xml:space="preserve"> and TOGEs</w:t>
      </w:r>
      <w:r>
        <w:t xml:space="preserve"> in coastal regions compared to those inland</w:t>
      </w:r>
      <w:r w:rsidR="0056315C">
        <w:t xml:space="preserve">, </w:t>
      </w:r>
      <w:r w:rsidR="008D752D">
        <w:t xml:space="preserve">though this </w:t>
      </w:r>
      <w:r w:rsidR="002C7BA3">
        <w:t>did not have much impact during the Review period</w:t>
      </w:r>
    </w:p>
    <w:p w14:paraId="5F25FC54" w14:textId="0D7F5410" w:rsidR="008A6F66" w:rsidRDefault="00756577" w:rsidP="006F0D8A">
      <w:pPr>
        <w:rPr>
          <w:lang w:eastAsia="en-AU"/>
        </w:rPr>
      </w:pPr>
      <w:r>
        <w:t>The s</w:t>
      </w:r>
      <w:r w:rsidRPr="0004342B">
        <w:t xml:space="preserve">ocio-economic profile </w:t>
      </w:r>
      <w:r>
        <w:t xml:space="preserve">of </w:t>
      </w:r>
      <w:r w:rsidR="009F4990">
        <w:t>a</w:t>
      </w:r>
      <w:r w:rsidR="00415EE9">
        <w:t xml:space="preserve"> </w:t>
      </w:r>
      <w:r>
        <w:t xml:space="preserve">region </w:t>
      </w:r>
      <w:r w:rsidRPr="0004342B">
        <w:t xml:space="preserve">can impact </w:t>
      </w:r>
      <w:r>
        <w:t>the extent to which</w:t>
      </w:r>
      <w:r w:rsidR="002A3EFE">
        <w:t xml:space="preserve"> </w:t>
      </w:r>
      <w:r w:rsidR="002A3EFE" w:rsidRPr="0004342B">
        <w:t>self-</w:t>
      </w:r>
      <w:r w:rsidR="00BA473E" w:rsidRPr="0004342B">
        <w:t>sufficiency</w:t>
      </w:r>
      <w:r w:rsidR="002A3EFE">
        <w:t xml:space="preserve"> </w:t>
      </w:r>
      <w:r>
        <w:t>is feasible.</w:t>
      </w:r>
      <w:r w:rsidR="00BF113D">
        <w:rPr>
          <w:lang w:eastAsia="en-AU"/>
        </w:rPr>
        <w:t xml:space="preserve"> </w:t>
      </w:r>
      <w:r w:rsidR="001958AA">
        <w:rPr>
          <w:lang w:eastAsia="en-AU"/>
        </w:rPr>
        <w:t xml:space="preserve">Victorian </w:t>
      </w:r>
      <w:r w:rsidR="00BF113D">
        <w:rPr>
          <w:lang w:eastAsia="en-AU"/>
        </w:rPr>
        <w:t xml:space="preserve">PBCs </w:t>
      </w:r>
      <w:r w:rsidR="00A2617F" w:rsidRPr="00A2617F">
        <w:rPr>
          <w:lang w:eastAsia="en-AU"/>
        </w:rPr>
        <w:t xml:space="preserve">in areas with lower </w:t>
      </w:r>
      <w:r w:rsidR="00474368" w:rsidRPr="00474368">
        <w:rPr>
          <w:lang w:eastAsia="en-AU"/>
        </w:rPr>
        <w:t>Index of Relative Socio-economic Disadvantage (IRSD)</w:t>
      </w:r>
      <w:r w:rsidR="00A2617F" w:rsidRPr="00A2617F">
        <w:rPr>
          <w:lang w:eastAsia="en-AU"/>
        </w:rPr>
        <w:t xml:space="preserve"> scores may </w:t>
      </w:r>
      <w:r w:rsidR="00987699">
        <w:rPr>
          <w:lang w:eastAsia="en-AU"/>
        </w:rPr>
        <w:t>experience</w:t>
      </w:r>
      <w:r w:rsidR="00A2617F" w:rsidRPr="00A2617F">
        <w:rPr>
          <w:lang w:eastAsia="en-AU"/>
        </w:rPr>
        <w:t xml:space="preserve"> limited economic development opportunities</w:t>
      </w:r>
      <w:r w:rsidR="001958AA">
        <w:rPr>
          <w:lang w:eastAsia="en-AU"/>
        </w:rPr>
        <w:t xml:space="preserve"> relative to those </w:t>
      </w:r>
      <w:r w:rsidR="008E7097">
        <w:rPr>
          <w:lang w:eastAsia="en-AU"/>
        </w:rPr>
        <w:t>in areas with</w:t>
      </w:r>
      <w:r w:rsidR="001958AA">
        <w:rPr>
          <w:lang w:eastAsia="en-AU"/>
        </w:rPr>
        <w:t xml:space="preserve"> higher</w:t>
      </w:r>
      <w:r w:rsidR="00385263">
        <w:rPr>
          <w:lang w:eastAsia="en-AU"/>
        </w:rPr>
        <w:t xml:space="preserve"> IRSD scores.</w:t>
      </w:r>
      <w:r w:rsidR="00C32821">
        <w:rPr>
          <w:lang w:eastAsia="en-AU"/>
        </w:rPr>
        <w:t xml:space="preserve"> </w:t>
      </w:r>
      <w:r w:rsidR="0010561D">
        <w:rPr>
          <w:lang w:eastAsia="en-AU"/>
        </w:rPr>
        <w:fldChar w:fldCharType="begin"/>
      </w:r>
      <w:r w:rsidR="0010561D">
        <w:rPr>
          <w:lang w:eastAsia="en-AU"/>
        </w:rPr>
        <w:instrText xml:space="preserve"> REF _Ref158543903 \h </w:instrText>
      </w:r>
      <w:r w:rsidR="0010561D">
        <w:rPr>
          <w:lang w:eastAsia="en-AU"/>
        </w:rPr>
      </w:r>
      <w:r w:rsidR="0010561D">
        <w:rPr>
          <w:lang w:eastAsia="en-AU"/>
        </w:rPr>
        <w:fldChar w:fldCharType="separate"/>
      </w:r>
      <w:r w:rsidR="00AB7E95" w:rsidRPr="00006D0B">
        <w:t xml:space="preserve">Table </w:t>
      </w:r>
      <w:r w:rsidR="00AB7E95">
        <w:rPr>
          <w:noProof/>
        </w:rPr>
        <w:t>11</w:t>
      </w:r>
      <w:r w:rsidR="0010561D">
        <w:rPr>
          <w:lang w:eastAsia="en-AU"/>
        </w:rPr>
        <w:fldChar w:fldCharType="end"/>
      </w:r>
      <w:r w:rsidR="005D2A59">
        <w:rPr>
          <w:lang w:eastAsia="en-AU"/>
        </w:rPr>
        <w:t xml:space="preserve"> data indicates that </w:t>
      </w:r>
      <w:r w:rsidR="003B2885">
        <w:rPr>
          <w:lang w:eastAsia="en-AU"/>
        </w:rPr>
        <w:t xml:space="preserve">coastal regions may </w:t>
      </w:r>
      <w:r w:rsidR="00B77031">
        <w:rPr>
          <w:lang w:eastAsia="en-AU"/>
        </w:rPr>
        <w:t xml:space="preserve">have better economic development opportunities than inland </w:t>
      </w:r>
      <w:r w:rsidR="00B04763">
        <w:rPr>
          <w:lang w:eastAsia="en-AU"/>
        </w:rPr>
        <w:t>areas</w:t>
      </w:r>
      <w:r w:rsidR="00725769">
        <w:rPr>
          <w:lang w:eastAsia="en-AU"/>
        </w:rPr>
        <w:t xml:space="preserve"> in Victoria</w:t>
      </w:r>
      <w:r w:rsidR="00B77031">
        <w:rPr>
          <w:lang w:eastAsia="en-AU"/>
        </w:rPr>
        <w:t>.</w:t>
      </w:r>
      <w:r w:rsidR="003B2885">
        <w:rPr>
          <w:lang w:eastAsia="en-AU"/>
        </w:rPr>
        <w:t xml:space="preserve"> However,</w:t>
      </w:r>
      <w:r w:rsidR="00725769">
        <w:rPr>
          <w:lang w:eastAsia="en-AU"/>
        </w:rPr>
        <w:t xml:space="preserve"> it is unlikely that the four Victorian PBCs</w:t>
      </w:r>
      <w:r w:rsidR="00105C17">
        <w:rPr>
          <w:lang w:eastAsia="en-AU"/>
        </w:rPr>
        <w:t xml:space="preserve"> and two TOGEs</w:t>
      </w:r>
      <w:r w:rsidR="00725769">
        <w:rPr>
          <w:lang w:eastAsia="en-AU"/>
        </w:rPr>
        <w:t xml:space="preserve"> were </w:t>
      </w:r>
      <w:r w:rsidR="00B04763">
        <w:rPr>
          <w:lang w:eastAsia="en-AU"/>
        </w:rPr>
        <w:t>impacted</w:t>
      </w:r>
      <w:r w:rsidR="00F22240">
        <w:rPr>
          <w:lang w:eastAsia="en-AU"/>
        </w:rPr>
        <w:t xml:space="preserve"> </w:t>
      </w:r>
      <w:r w:rsidR="00B04763">
        <w:rPr>
          <w:lang w:eastAsia="en-AU"/>
        </w:rPr>
        <w:t xml:space="preserve">by this during the Review period, </w:t>
      </w:r>
      <w:r w:rsidR="002D4FC6">
        <w:rPr>
          <w:lang w:eastAsia="en-AU"/>
        </w:rPr>
        <w:t>acknowledging they were</w:t>
      </w:r>
      <w:r w:rsidR="00A12B8D">
        <w:rPr>
          <w:lang w:eastAsia="en-AU"/>
        </w:rPr>
        <w:t xml:space="preserve"> all</w:t>
      </w:r>
      <w:r w:rsidR="002D4FC6">
        <w:rPr>
          <w:lang w:eastAsia="en-AU"/>
        </w:rPr>
        <w:t xml:space="preserve"> highly autonomous.</w:t>
      </w:r>
    </w:p>
    <w:p w14:paraId="7F3890D2" w14:textId="0ABEF1CE" w:rsidR="008A6F66" w:rsidRPr="006F0D8A" w:rsidRDefault="00006D0B" w:rsidP="00F53313">
      <w:pPr>
        <w:pStyle w:val="Caption"/>
      </w:pPr>
      <w:bookmarkStart w:id="43" w:name="_Ref158543903"/>
      <w:r w:rsidRPr="00006D0B">
        <w:t xml:space="preserve">Table </w:t>
      </w:r>
      <w:r w:rsidR="00EB3F09">
        <w:fldChar w:fldCharType="begin"/>
      </w:r>
      <w:r w:rsidR="00EB3F09">
        <w:instrText xml:space="preserve"> SEQ Table \* ARABIC </w:instrText>
      </w:r>
      <w:r w:rsidR="00EB3F09">
        <w:fldChar w:fldCharType="separate"/>
      </w:r>
      <w:r w:rsidR="00AB7E95">
        <w:rPr>
          <w:noProof/>
        </w:rPr>
        <w:t>11</w:t>
      </w:r>
      <w:r w:rsidR="00EB3F09">
        <w:fldChar w:fldCharType="end"/>
      </w:r>
      <w:bookmarkEnd w:id="43"/>
      <w:r w:rsidRPr="00006D0B">
        <w:t xml:space="preserve"> |</w:t>
      </w:r>
      <w:r>
        <w:t xml:space="preserve"> </w:t>
      </w:r>
      <w:r w:rsidRPr="00F53313">
        <w:t>Average IRSD decile for</w:t>
      </w:r>
      <w:r w:rsidR="002309C0" w:rsidRPr="00F53313">
        <w:t xml:space="preserve"> Victorian</w:t>
      </w:r>
      <w:r w:rsidRPr="00F53313">
        <w:t xml:space="preserve"> </w:t>
      </w:r>
      <w:r w:rsidR="002309C0" w:rsidRPr="00F53313">
        <w:t xml:space="preserve">PBC </w:t>
      </w:r>
      <w:r w:rsidR="009E6489">
        <w:t>local government areas (</w:t>
      </w:r>
      <w:r w:rsidRPr="00F53313">
        <w:t>LGAs</w:t>
      </w:r>
      <w:r w:rsidR="009E6489">
        <w:t>)</w:t>
      </w:r>
      <w:r w:rsidR="00C957D3">
        <w:rPr>
          <w:rStyle w:val="FootnoteReference"/>
        </w:rPr>
        <w:footnoteReference w:id="32"/>
      </w:r>
      <w:r w:rsidR="005F6906" w:rsidRPr="005F6906">
        <w:rPr>
          <w:vertAlign w:val="superscript"/>
        </w:rPr>
        <w:t>,</w:t>
      </w:r>
      <w:r w:rsidR="005F6906">
        <w:rPr>
          <w:rStyle w:val="FootnoteReference"/>
        </w:rPr>
        <w:footnoteReference w:id="33"/>
      </w:r>
      <w:r w:rsidR="002309C0">
        <w:t xml:space="preserve"> </w:t>
      </w:r>
    </w:p>
    <w:tbl>
      <w:tblPr>
        <w:tblStyle w:val="NOUSSideHeader1"/>
        <w:tblW w:w="5000" w:type="pct"/>
        <w:tblLook w:val="04A0" w:firstRow="1" w:lastRow="0" w:firstColumn="1" w:lastColumn="0" w:noHBand="0" w:noVBand="1"/>
      </w:tblPr>
      <w:tblGrid>
        <w:gridCol w:w="6296"/>
        <w:gridCol w:w="2634"/>
      </w:tblGrid>
      <w:tr w:rsidR="00000015" w:rsidRPr="00075D79" w14:paraId="09DAF394" w14:textId="77777777" w:rsidTr="006770B0">
        <w:trPr>
          <w:cnfStyle w:val="100000000000" w:firstRow="1" w:lastRow="0" w:firstColumn="0" w:lastColumn="0" w:oddVBand="0" w:evenVBand="0" w:oddHBand="0" w:evenHBand="0" w:firstRowFirstColumn="0" w:firstRowLastColumn="0" w:lastRowFirstColumn="0" w:lastRowLastColumn="0"/>
        </w:trPr>
        <w:tc>
          <w:tcPr>
            <w:tcW w:w="3525" w:type="pct"/>
            <w:hideMark/>
          </w:tcPr>
          <w:p w14:paraId="5AB6A1C9" w14:textId="69ACC775" w:rsidR="00075D79" w:rsidRPr="00D937C1" w:rsidRDefault="00075D79" w:rsidP="00D937C1">
            <w:pPr>
              <w:pStyle w:val="TableNheader"/>
              <w:rPr>
                <w:lang w:eastAsia="en-AU"/>
              </w:rPr>
            </w:pPr>
            <w:r w:rsidRPr="00D937C1">
              <w:rPr>
                <w:lang w:eastAsia="en-AU"/>
              </w:rPr>
              <w:t>PBC</w:t>
            </w:r>
          </w:p>
        </w:tc>
        <w:tc>
          <w:tcPr>
            <w:tcW w:w="1475" w:type="pct"/>
            <w:hideMark/>
          </w:tcPr>
          <w:p w14:paraId="2B698333" w14:textId="08823184" w:rsidR="00075D79" w:rsidRPr="00D937C1" w:rsidRDefault="00075D79" w:rsidP="00D937C1">
            <w:pPr>
              <w:pStyle w:val="TableNheader"/>
              <w:rPr>
                <w:lang w:eastAsia="en-AU"/>
              </w:rPr>
            </w:pPr>
            <w:r w:rsidRPr="00D937C1">
              <w:rPr>
                <w:lang w:eastAsia="en-AU"/>
              </w:rPr>
              <w:t xml:space="preserve">Average </w:t>
            </w:r>
            <w:r w:rsidR="00885D65" w:rsidRPr="00D937C1">
              <w:rPr>
                <w:lang w:eastAsia="en-AU"/>
              </w:rPr>
              <w:t xml:space="preserve">LGA IRSD </w:t>
            </w:r>
            <w:r w:rsidR="009E6489">
              <w:rPr>
                <w:lang w:eastAsia="en-AU"/>
              </w:rPr>
              <w:t>d</w:t>
            </w:r>
            <w:r w:rsidRPr="00D937C1">
              <w:rPr>
                <w:lang w:eastAsia="en-AU"/>
              </w:rPr>
              <w:t>ecile</w:t>
            </w:r>
            <w:r w:rsidR="00FF3F69" w:rsidRPr="00D937C1">
              <w:rPr>
                <w:rStyle w:val="FootnoteReference"/>
                <w:lang w:eastAsia="en-AU"/>
              </w:rPr>
              <w:footnoteReference w:id="34"/>
            </w:r>
            <w:r w:rsidR="00885D65" w:rsidRPr="00D937C1">
              <w:rPr>
                <w:lang w:eastAsia="en-AU"/>
              </w:rPr>
              <w:t xml:space="preserve"> </w:t>
            </w:r>
          </w:p>
        </w:tc>
      </w:tr>
      <w:tr w:rsidR="00075D79" w:rsidRPr="00075D79" w14:paraId="652ECAFD" w14:textId="77777777" w:rsidTr="006770B0">
        <w:trPr>
          <w:cnfStyle w:val="000000100000" w:firstRow="0" w:lastRow="0" w:firstColumn="0" w:lastColumn="0" w:oddVBand="0" w:evenVBand="0" w:oddHBand="1" w:evenHBand="0" w:firstRowFirstColumn="0" w:firstRowLastColumn="0" w:lastRowFirstColumn="0" w:lastRowLastColumn="0"/>
        </w:trPr>
        <w:tc>
          <w:tcPr>
            <w:tcW w:w="3525" w:type="pct"/>
            <w:hideMark/>
          </w:tcPr>
          <w:p w14:paraId="2FBF2326" w14:textId="42FE27D0" w:rsidR="00075D79" w:rsidRPr="00075D79" w:rsidRDefault="00075D79" w:rsidP="00D937C1">
            <w:pPr>
              <w:pStyle w:val="TableNText"/>
              <w:rPr>
                <w:lang w:eastAsia="en-AU"/>
              </w:rPr>
            </w:pPr>
            <w:proofErr w:type="spellStart"/>
            <w:r w:rsidRPr="00075D79">
              <w:rPr>
                <w:lang w:eastAsia="en-AU"/>
              </w:rPr>
              <w:t>Barengi</w:t>
            </w:r>
            <w:proofErr w:type="spellEnd"/>
            <w:r w:rsidRPr="00075D79">
              <w:rPr>
                <w:lang w:eastAsia="en-AU"/>
              </w:rPr>
              <w:t xml:space="preserve"> </w:t>
            </w:r>
            <w:proofErr w:type="spellStart"/>
            <w:r w:rsidRPr="00075D79">
              <w:rPr>
                <w:lang w:eastAsia="en-AU"/>
              </w:rPr>
              <w:t>Gadjin</w:t>
            </w:r>
            <w:proofErr w:type="spellEnd"/>
            <w:r w:rsidRPr="00075D79">
              <w:rPr>
                <w:lang w:eastAsia="en-AU"/>
              </w:rPr>
              <w:t xml:space="preserve"> Land Council Aboriginal Corporation</w:t>
            </w:r>
            <w:r w:rsidR="000A44F7">
              <w:rPr>
                <w:lang w:eastAsia="en-AU"/>
              </w:rPr>
              <w:t xml:space="preserve"> RNTBC</w:t>
            </w:r>
          </w:p>
        </w:tc>
        <w:tc>
          <w:tcPr>
            <w:tcW w:w="1475" w:type="pct"/>
            <w:hideMark/>
          </w:tcPr>
          <w:p w14:paraId="52B42CFD" w14:textId="77777777" w:rsidR="00075D79" w:rsidRPr="00075D79" w:rsidRDefault="00075D79" w:rsidP="00D937C1">
            <w:pPr>
              <w:pStyle w:val="TableNText"/>
              <w:rPr>
                <w:lang w:eastAsia="en-AU"/>
              </w:rPr>
            </w:pPr>
            <w:r w:rsidRPr="00075D79">
              <w:rPr>
                <w:lang w:eastAsia="en-AU"/>
              </w:rPr>
              <w:t>4.50</w:t>
            </w:r>
          </w:p>
        </w:tc>
      </w:tr>
      <w:tr w:rsidR="00075D79" w:rsidRPr="00075D79" w14:paraId="4FDBF8C4" w14:textId="77777777" w:rsidTr="006770B0">
        <w:trPr>
          <w:cnfStyle w:val="000000010000" w:firstRow="0" w:lastRow="0" w:firstColumn="0" w:lastColumn="0" w:oddVBand="0" w:evenVBand="0" w:oddHBand="0" w:evenHBand="1" w:firstRowFirstColumn="0" w:firstRowLastColumn="0" w:lastRowFirstColumn="0" w:lastRowLastColumn="0"/>
        </w:trPr>
        <w:tc>
          <w:tcPr>
            <w:tcW w:w="3525" w:type="pct"/>
            <w:hideMark/>
          </w:tcPr>
          <w:p w14:paraId="4F2E2706" w14:textId="346A9869" w:rsidR="00075D79" w:rsidRPr="00075D79" w:rsidRDefault="00075D79" w:rsidP="00D937C1">
            <w:pPr>
              <w:pStyle w:val="TableNText"/>
              <w:rPr>
                <w:lang w:eastAsia="en-AU"/>
              </w:rPr>
            </w:pPr>
            <w:r w:rsidRPr="00075D79">
              <w:rPr>
                <w:lang w:eastAsia="en-AU"/>
              </w:rPr>
              <w:t>Eastern Maar Aboriginal Corporation</w:t>
            </w:r>
            <w:r w:rsidR="000A44F7">
              <w:rPr>
                <w:lang w:eastAsia="en-AU"/>
              </w:rPr>
              <w:t xml:space="preserve"> RNTBC</w:t>
            </w:r>
          </w:p>
        </w:tc>
        <w:tc>
          <w:tcPr>
            <w:tcW w:w="1475" w:type="pct"/>
            <w:hideMark/>
          </w:tcPr>
          <w:p w14:paraId="389BE639" w14:textId="77777777" w:rsidR="00075D79" w:rsidRPr="00075D79" w:rsidRDefault="00075D79" w:rsidP="00D937C1">
            <w:pPr>
              <w:pStyle w:val="TableNText"/>
              <w:rPr>
                <w:lang w:eastAsia="en-AU"/>
              </w:rPr>
            </w:pPr>
            <w:r w:rsidRPr="00075D79">
              <w:rPr>
                <w:lang w:eastAsia="en-AU"/>
              </w:rPr>
              <w:t>6.33</w:t>
            </w:r>
          </w:p>
        </w:tc>
      </w:tr>
      <w:tr w:rsidR="00075D79" w:rsidRPr="00075D79" w14:paraId="4618592A" w14:textId="77777777" w:rsidTr="006770B0">
        <w:trPr>
          <w:cnfStyle w:val="000000100000" w:firstRow="0" w:lastRow="0" w:firstColumn="0" w:lastColumn="0" w:oddVBand="0" w:evenVBand="0" w:oddHBand="1" w:evenHBand="0" w:firstRowFirstColumn="0" w:firstRowLastColumn="0" w:lastRowFirstColumn="0" w:lastRowLastColumn="0"/>
        </w:trPr>
        <w:tc>
          <w:tcPr>
            <w:tcW w:w="3525" w:type="pct"/>
            <w:hideMark/>
          </w:tcPr>
          <w:p w14:paraId="44E34BCC" w14:textId="7778B2D5" w:rsidR="00075D79" w:rsidRPr="00075D79" w:rsidRDefault="00075D79" w:rsidP="00D937C1">
            <w:pPr>
              <w:pStyle w:val="TableNText"/>
              <w:rPr>
                <w:lang w:eastAsia="en-AU"/>
              </w:rPr>
            </w:pPr>
            <w:proofErr w:type="spellStart"/>
            <w:r w:rsidRPr="00075D79">
              <w:rPr>
                <w:lang w:eastAsia="en-AU"/>
              </w:rPr>
              <w:t>Gunaikurnai</w:t>
            </w:r>
            <w:proofErr w:type="spellEnd"/>
            <w:r w:rsidRPr="00075D79">
              <w:rPr>
                <w:lang w:eastAsia="en-AU"/>
              </w:rPr>
              <w:t xml:space="preserve"> Land </w:t>
            </w:r>
            <w:r w:rsidR="00D937C1">
              <w:t>and</w:t>
            </w:r>
            <w:r w:rsidRPr="00075D79">
              <w:rPr>
                <w:lang w:eastAsia="en-AU"/>
              </w:rPr>
              <w:t xml:space="preserve"> Waters Aboriginal Corporation</w:t>
            </w:r>
            <w:r w:rsidR="000A44F7">
              <w:rPr>
                <w:lang w:eastAsia="en-AU"/>
              </w:rPr>
              <w:t xml:space="preserve"> RNTBC</w:t>
            </w:r>
          </w:p>
        </w:tc>
        <w:tc>
          <w:tcPr>
            <w:tcW w:w="1475" w:type="pct"/>
            <w:hideMark/>
          </w:tcPr>
          <w:p w14:paraId="5EDFADB8" w14:textId="77777777" w:rsidR="00075D79" w:rsidRPr="00075D79" w:rsidRDefault="00075D79" w:rsidP="00D937C1">
            <w:pPr>
              <w:pStyle w:val="TableNText"/>
              <w:rPr>
                <w:lang w:eastAsia="en-AU"/>
              </w:rPr>
            </w:pPr>
            <w:r w:rsidRPr="00075D79">
              <w:rPr>
                <w:lang w:eastAsia="en-AU"/>
              </w:rPr>
              <w:t>5.25</w:t>
            </w:r>
          </w:p>
        </w:tc>
      </w:tr>
      <w:tr w:rsidR="00075D79" w:rsidRPr="00075D79" w14:paraId="27D5C4BD" w14:textId="77777777" w:rsidTr="006770B0">
        <w:trPr>
          <w:cnfStyle w:val="000000010000" w:firstRow="0" w:lastRow="0" w:firstColumn="0" w:lastColumn="0" w:oddVBand="0" w:evenVBand="0" w:oddHBand="0" w:evenHBand="1" w:firstRowFirstColumn="0" w:firstRowLastColumn="0" w:lastRowFirstColumn="0" w:lastRowLastColumn="0"/>
        </w:trPr>
        <w:tc>
          <w:tcPr>
            <w:tcW w:w="3525" w:type="pct"/>
            <w:hideMark/>
          </w:tcPr>
          <w:p w14:paraId="2F217A9F" w14:textId="59C89B3D" w:rsidR="00075D79" w:rsidRPr="00075D79" w:rsidRDefault="00075D79" w:rsidP="00D937C1">
            <w:pPr>
              <w:pStyle w:val="TableNText"/>
              <w:rPr>
                <w:lang w:eastAsia="en-AU"/>
              </w:rPr>
            </w:pPr>
            <w:proofErr w:type="spellStart"/>
            <w:r w:rsidRPr="00075D79">
              <w:rPr>
                <w:lang w:eastAsia="en-AU"/>
              </w:rPr>
              <w:t>Gunditj</w:t>
            </w:r>
            <w:proofErr w:type="spellEnd"/>
            <w:r w:rsidRPr="00075D79">
              <w:rPr>
                <w:lang w:eastAsia="en-AU"/>
              </w:rPr>
              <w:t xml:space="preserve"> </w:t>
            </w:r>
            <w:proofErr w:type="spellStart"/>
            <w:r w:rsidRPr="00075D79">
              <w:rPr>
                <w:lang w:eastAsia="en-AU"/>
              </w:rPr>
              <w:t>Mirring</w:t>
            </w:r>
            <w:proofErr w:type="spellEnd"/>
            <w:r w:rsidRPr="00075D79">
              <w:rPr>
                <w:lang w:eastAsia="en-AU"/>
              </w:rPr>
              <w:t xml:space="preserve"> Traditional Owners Aboriginal Corporation</w:t>
            </w:r>
            <w:r w:rsidR="000A44F7">
              <w:rPr>
                <w:lang w:eastAsia="en-AU"/>
              </w:rPr>
              <w:t xml:space="preserve"> RNTBC</w:t>
            </w:r>
          </w:p>
        </w:tc>
        <w:tc>
          <w:tcPr>
            <w:tcW w:w="1475" w:type="pct"/>
            <w:hideMark/>
          </w:tcPr>
          <w:p w14:paraId="326A01DA" w14:textId="77777777" w:rsidR="00075D79" w:rsidRPr="00075D79" w:rsidRDefault="00075D79" w:rsidP="00D937C1">
            <w:pPr>
              <w:pStyle w:val="TableNText"/>
              <w:rPr>
                <w:lang w:eastAsia="en-AU"/>
              </w:rPr>
            </w:pPr>
            <w:r w:rsidRPr="00075D79">
              <w:rPr>
                <w:lang w:eastAsia="en-AU"/>
              </w:rPr>
              <w:t>6.50</w:t>
            </w:r>
          </w:p>
        </w:tc>
      </w:tr>
      <w:tr w:rsidR="00464954" w:rsidRPr="00075D79" w14:paraId="08DEF485" w14:textId="77777777" w:rsidTr="006770B0">
        <w:trPr>
          <w:cnfStyle w:val="000000100000" w:firstRow="0" w:lastRow="0" w:firstColumn="0" w:lastColumn="0" w:oddVBand="0" w:evenVBand="0" w:oddHBand="1" w:evenHBand="0" w:firstRowFirstColumn="0" w:firstRowLastColumn="0" w:lastRowFirstColumn="0" w:lastRowLastColumn="0"/>
        </w:trPr>
        <w:tc>
          <w:tcPr>
            <w:tcW w:w="3525" w:type="pct"/>
          </w:tcPr>
          <w:p w14:paraId="3B73021C" w14:textId="0AE70E73" w:rsidR="00464954" w:rsidRPr="00D937C1" w:rsidRDefault="004C73BF" w:rsidP="00D937C1">
            <w:pPr>
              <w:pStyle w:val="TableNText"/>
            </w:pPr>
            <w:r w:rsidRPr="00D937C1">
              <w:t>Overall</w:t>
            </w:r>
            <w:r w:rsidR="00EB373E" w:rsidRPr="00D937C1">
              <w:t xml:space="preserve"> average</w:t>
            </w:r>
            <w:r w:rsidR="00331764">
              <w:t xml:space="preserve"> (approximation)</w:t>
            </w:r>
          </w:p>
        </w:tc>
        <w:tc>
          <w:tcPr>
            <w:tcW w:w="1475" w:type="pct"/>
          </w:tcPr>
          <w:p w14:paraId="4624B274" w14:textId="285BC9E3" w:rsidR="00464954" w:rsidRPr="00075D79" w:rsidRDefault="00464954" w:rsidP="00D937C1">
            <w:pPr>
              <w:pStyle w:val="TableNText"/>
              <w:rPr>
                <w:lang w:eastAsia="en-AU"/>
              </w:rPr>
            </w:pPr>
            <w:r w:rsidDel="00827FA4">
              <w:rPr>
                <w:lang w:eastAsia="en-AU"/>
              </w:rPr>
              <w:t>5.6</w:t>
            </w:r>
            <w:r w:rsidR="00D16A55" w:rsidDel="00827FA4">
              <w:rPr>
                <w:lang w:eastAsia="en-AU"/>
              </w:rPr>
              <w:t>4</w:t>
            </w:r>
          </w:p>
        </w:tc>
      </w:tr>
    </w:tbl>
    <w:p w14:paraId="20927019" w14:textId="657AB456" w:rsidR="00320B40" w:rsidRDefault="00320B40" w:rsidP="005566FF">
      <w:pPr>
        <w:pStyle w:val="Heading3"/>
        <w:numPr>
          <w:ilvl w:val="2"/>
          <w:numId w:val="1"/>
        </w:numPr>
      </w:pPr>
      <w:r>
        <w:t>TOR 6</w:t>
      </w:r>
      <w:r w:rsidR="00214A1E">
        <w:t>:</w:t>
      </w:r>
      <w:r>
        <w:t xml:space="preserve"> Recommendations</w:t>
      </w:r>
    </w:p>
    <w:tbl>
      <w:tblPr>
        <w:tblW w:w="0" w:type="auto"/>
        <w:tblLook w:val="04A0" w:firstRow="1" w:lastRow="0" w:firstColumn="1" w:lastColumn="0" w:noHBand="0" w:noVBand="1"/>
      </w:tblPr>
      <w:tblGrid>
        <w:gridCol w:w="8269"/>
        <w:gridCol w:w="661"/>
      </w:tblGrid>
      <w:tr w:rsidR="008E6D09" w14:paraId="0DC53F26" w14:textId="77777777" w:rsidTr="00CA17C8">
        <w:trPr>
          <w:trHeight w:val="360"/>
        </w:trPr>
        <w:tc>
          <w:tcPr>
            <w:tcW w:w="8223" w:type="dxa"/>
          </w:tcPr>
          <w:p w14:paraId="4AF2D66C" w14:textId="77777777" w:rsidR="008E6D09" w:rsidRDefault="008E6D09">
            <w:pPr>
              <w:rPr>
                <w:lang w:eastAsia="en-AU"/>
              </w:rPr>
            </w:pPr>
            <w:r w:rsidRPr="00F97AB5">
              <w:rPr>
                <w:noProof/>
                <w:lang w:eastAsia="en-AU"/>
              </w:rPr>
              <w:drawing>
                <wp:inline distT="0" distB="0" distL="0" distR="0" wp14:anchorId="06F14419" wp14:editId="3CEC7AD2">
                  <wp:extent cx="5114199" cy="287655"/>
                  <wp:effectExtent l="0" t="0" r="0" b="0"/>
                  <wp:docPr id="1126662142" name="Picture 1126662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62142" name="Picture 112666214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118C187" w14:textId="5185F755" w:rsidR="008E6D09" w:rsidRPr="00F97AB5" w:rsidRDefault="00144FC7">
            <w:pPr>
              <w:spacing w:after="100" w:afterAutospacing="1"/>
              <w:jc w:val="center"/>
              <w:rPr>
                <w:sz w:val="30"/>
                <w:szCs w:val="30"/>
                <w:lang w:eastAsia="en-AU"/>
              </w:rPr>
            </w:pPr>
            <w:r w:rsidRPr="00CA17C8">
              <w:rPr>
                <w:color w:val="404040" w:themeColor="text1" w:themeTint="BF"/>
                <w:sz w:val="30"/>
                <w:szCs w:val="30"/>
                <w:lang w:eastAsia="en-AU"/>
              </w:rPr>
              <w:t>9</w:t>
            </w:r>
          </w:p>
        </w:tc>
      </w:tr>
      <w:tr w:rsidR="008E6D09" w14:paraId="27D8DE85" w14:textId="77777777" w:rsidTr="00CA17C8">
        <w:tc>
          <w:tcPr>
            <w:tcW w:w="8930" w:type="dxa"/>
            <w:gridSpan w:val="2"/>
          </w:tcPr>
          <w:p w14:paraId="270938E8" w14:textId="04E6AD5C" w:rsidR="008E6D09" w:rsidRPr="00BD37ED" w:rsidRDefault="008E6D09" w:rsidP="008E6D09">
            <w:r>
              <w:t xml:space="preserve">Implement </w:t>
            </w:r>
            <w:r w:rsidRPr="00977D6A">
              <w:t xml:space="preserve">a mechanism </w:t>
            </w:r>
            <w:r>
              <w:t xml:space="preserve">to collect client </w:t>
            </w:r>
            <w:r w:rsidRPr="00977D6A">
              <w:t>feedback</w:t>
            </w:r>
            <w:r>
              <w:t xml:space="preserve"> from PBCs</w:t>
            </w:r>
            <w:r w:rsidR="00CF3261">
              <w:t xml:space="preserve"> and TOGEs</w:t>
            </w:r>
            <w:r>
              <w:t xml:space="preserve"> on an ongoing basis and improve the way </w:t>
            </w:r>
            <w:r w:rsidR="00F341B6">
              <w:t>the organisation</w:t>
            </w:r>
            <w:r>
              <w:t xml:space="preserve"> collects, monitors and responds to informal feedback and issues.</w:t>
            </w:r>
          </w:p>
        </w:tc>
      </w:tr>
      <w:tr w:rsidR="008E6D09" w14:paraId="5E589255" w14:textId="77777777" w:rsidTr="00CA17C8">
        <w:trPr>
          <w:trHeight w:val="360"/>
        </w:trPr>
        <w:tc>
          <w:tcPr>
            <w:tcW w:w="8223" w:type="dxa"/>
          </w:tcPr>
          <w:p w14:paraId="45DD5DAC" w14:textId="77777777" w:rsidR="008E6D09" w:rsidRDefault="008E6D09">
            <w:pPr>
              <w:rPr>
                <w:lang w:eastAsia="en-AU"/>
              </w:rPr>
            </w:pPr>
            <w:r w:rsidRPr="00F97AB5">
              <w:rPr>
                <w:noProof/>
                <w:lang w:eastAsia="en-AU"/>
              </w:rPr>
              <w:drawing>
                <wp:inline distT="0" distB="0" distL="0" distR="0" wp14:anchorId="3095C305" wp14:editId="57309DC2">
                  <wp:extent cx="5114199" cy="287655"/>
                  <wp:effectExtent l="0" t="0" r="0" b="0"/>
                  <wp:docPr id="66785507" name="Picture 66785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5507" name="Picture 6678550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85F62A7" w14:textId="75B729AE" w:rsidR="008E6D09" w:rsidRPr="00F97AB5" w:rsidRDefault="008E6D09">
            <w:pPr>
              <w:spacing w:after="100" w:afterAutospacing="1"/>
              <w:jc w:val="center"/>
              <w:rPr>
                <w:sz w:val="30"/>
                <w:szCs w:val="30"/>
                <w:lang w:eastAsia="en-AU"/>
              </w:rPr>
            </w:pPr>
            <w:r w:rsidRPr="00CA17C8">
              <w:rPr>
                <w:color w:val="404040" w:themeColor="text1" w:themeTint="BF"/>
                <w:sz w:val="30"/>
                <w:szCs w:val="30"/>
                <w:lang w:eastAsia="en-AU"/>
              </w:rPr>
              <w:t>1</w:t>
            </w:r>
            <w:r w:rsidR="00144FC7" w:rsidRPr="00CA17C8">
              <w:rPr>
                <w:color w:val="404040" w:themeColor="text1" w:themeTint="BF"/>
                <w:sz w:val="30"/>
                <w:szCs w:val="30"/>
                <w:lang w:eastAsia="en-AU"/>
              </w:rPr>
              <w:t>0</w:t>
            </w:r>
          </w:p>
        </w:tc>
      </w:tr>
      <w:tr w:rsidR="008E6D09" w14:paraId="2834402D" w14:textId="77777777" w:rsidTr="00CA17C8">
        <w:tc>
          <w:tcPr>
            <w:tcW w:w="8930" w:type="dxa"/>
            <w:gridSpan w:val="2"/>
          </w:tcPr>
          <w:p w14:paraId="06F2B5C7" w14:textId="33BF701D" w:rsidR="008E6D09" w:rsidRPr="00C167F0" w:rsidRDefault="008E6D09">
            <w:r>
              <w:t xml:space="preserve">Develop clear communications around the service offering for PBC </w:t>
            </w:r>
            <w:r w:rsidR="00CF3261">
              <w:t xml:space="preserve">and TOGE </w:t>
            </w:r>
            <w:r>
              <w:t>support that outline which services FNLRS offers on a fee-for-service basis.</w:t>
            </w:r>
          </w:p>
        </w:tc>
      </w:tr>
      <w:tr w:rsidR="008E6D09" w14:paraId="649FF3AD" w14:textId="77777777" w:rsidTr="00CA17C8">
        <w:trPr>
          <w:trHeight w:val="360"/>
        </w:trPr>
        <w:tc>
          <w:tcPr>
            <w:tcW w:w="8223" w:type="dxa"/>
          </w:tcPr>
          <w:p w14:paraId="778ED09E" w14:textId="77777777" w:rsidR="008E6D09" w:rsidRDefault="008E6D09">
            <w:pPr>
              <w:rPr>
                <w:lang w:eastAsia="en-AU"/>
              </w:rPr>
            </w:pPr>
            <w:r w:rsidRPr="00F97AB5">
              <w:rPr>
                <w:noProof/>
                <w:lang w:eastAsia="en-AU"/>
              </w:rPr>
              <w:drawing>
                <wp:inline distT="0" distB="0" distL="0" distR="0" wp14:anchorId="22A26506" wp14:editId="7F2102A6">
                  <wp:extent cx="5114199" cy="287655"/>
                  <wp:effectExtent l="0" t="0" r="0" b="0"/>
                  <wp:docPr id="43235585" name="Picture 43235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5585" name="Picture 4323558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CE6282C" w14:textId="01A512BA" w:rsidR="008E6D09" w:rsidRPr="00F97AB5" w:rsidRDefault="008E6D09">
            <w:pPr>
              <w:spacing w:after="100" w:afterAutospacing="1"/>
              <w:jc w:val="center"/>
              <w:rPr>
                <w:sz w:val="30"/>
                <w:szCs w:val="30"/>
                <w:lang w:eastAsia="en-AU"/>
              </w:rPr>
            </w:pPr>
            <w:r w:rsidRPr="00CA17C8">
              <w:rPr>
                <w:color w:val="404040" w:themeColor="text1" w:themeTint="BF"/>
                <w:sz w:val="30"/>
                <w:szCs w:val="30"/>
                <w:lang w:eastAsia="en-AU"/>
              </w:rPr>
              <w:t>1</w:t>
            </w:r>
            <w:r w:rsidR="00144FC7" w:rsidRPr="00CA17C8">
              <w:rPr>
                <w:color w:val="404040" w:themeColor="text1" w:themeTint="BF"/>
                <w:sz w:val="30"/>
                <w:szCs w:val="30"/>
                <w:lang w:eastAsia="en-AU"/>
              </w:rPr>
              <w:t>1</w:t>
            </w:r>
          </w:p>
        </w:tc>
      </w:tr>
      <w:tr w:rsidR="008E6D09" w14:paraId="23BF8F82" w14:textId="77777777" w:rsidTr="00CA17C8">
        <w:tc>
          <w:tcPr>
            <w:tcW w:w="8930" w:type="dxa"/>
            <w:gridSpan w:val="2"/>
          </w:tcPr>
          <w:p w14:paraId="67542FED" w14:textId="6B945FC5" w:rsidR="008E6D09" w:rsidRPr="00BD37ED" w:rsidRDefault="008E6D09">
            <w:r>
              <w:rPr>
                <w:lang w:eastAsia="en-AU"/>
              </w:rPr>
              <w:t>Clarify with the NIAA its intentions to provide base PBC funding in the future to all PBCs.</w:t>
            </w:r>
          </w:p>
        </w:tc>
      </w:tr>
      <w:tr w:rsidR="008E6D09" w14:paraId="1E6186E3" w14:textId="77777777" w:rsidTr="00CA17C8">
        <w:trPr>
          <w:trHeight w:val="360"/>
        </w:trPr>
        <w:tc>
          <w:tcPr>
            <w:tcW w:w="8223" w:type="dxa"/>
          </w:tcPr>
          <w:p w14:paraId="72880D09" w14:textId="77777777" w:rsidR="008E6D09" w:rsidRDefault="008E6D09">
            <w:pPr>
              <w:rPr>
                <w:lang w:eastAsia="en-AU"/>
              </w:rPr>
            </w:pPr>
            <w:r w:rsidRPr="00F97AB5">
              <w:rPr>
                <w:noProof/>
                <w:lang w:eastAsia="en-AU"/>
              </w:rPr>
              <w:drawing>
                <wp:inline distT="0" distB="0" distL="0" distR="0" wp14:anchorId="45BEB3C6" wp14:editId="306F9F14">
                  <wp:extent cx="5114199" cy="287655"/>
                  <wp:effectExtent l="0" t="0" r="0" b="0"/>
                  <wp:docPr id="1663636154" name="Picture 1663636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36154" name="Picture 166363615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868FA91" w14:textId="12DFA56D" w:rsidR="008E6D09" w:rsidRPr="00F97AB5" w:rsidRDefault="008E6D09">
            <w:pPr>
              <w:spacing w:after="100" w:afterAutospacing="1"/>
              <w:jc w:val="center"/>
              <w:rPr>
                <w:sz w:val="30"/>
                <w:szCs w:val="30"/>
                <w:lang w:eastAsia="en-AU"/>
              </w:rPr>
            </w:pPr>
            <w:r w:rsidRPr="00CA17C8">
              <w:rPr>
                <w:color w:val="404040" w:themeColor="text1" w:themeTint="BF"/>
                <w:sz w:val="30"/>
                <w:szCs w:val="30"/>
                <w:lang w:eastAsia="en-AU"/>
              </w:rPr>
              <w:t>1</w:t>
            </w:r>
            <w:r w:rsidR="00144FC7" w:rsidRPr="00CA17C8">
              <w:rPr>
                <w:color w:val="404040" w:themeColor="text1" w:themeTint="BF"/>
                <w:sz w:val="30"/>
                <w:szCs w:val="30"/>
                <w:lang w:eastAsia="en-AU"/>
              </w:rPr>
              <w:t>2</w:t>
            </w:r>
          </w:p>
        </w:tc>
      </w:tr>
      <w:tr w:rsidR="008E6D09" w14:paraId="404C2F48" w14:textId="77777777" w:rsidTr="00CA17C8">
        <w:tc>
          <w:tcPr>
            <w:tcW w:w="8930" w:type="dxa"/>
            <w:gridSpan w:val="2"/>
          </w:tcPr>
          <w:p w14:paraId="15714AF7" w14:textId="48BA409A" w:rsidR="008E6D09" w:rsidRDefault="008E6D09" w:rsidP="008E6D09">
            <w:r>
              <w:t xml:space="preserve">This Review endorses the </w:t>
            </w:r>
            <w:r w:rsidR="00B014A6">
              <w:t xml:space="preserve">following </w:t>
            </w:r>
            <w:r>
              <w:t>recommendation of the Strategic Review:</w:t>
            </w:r>
          </w:p>
          <w:p w14:paraId="1E806FC2" w14:textId="21BEC86A" w:rsidR="008E6D09" w:rsidRPr="00EC2EE1" w:rsidRDefault="008E6D09" w:rsidP="00447C8A">
            <w:pPr>
              <w:pStyle w:val="TableNBullet"/>
            </w:pPr>
            <w:r w:rsidRPr="6967B2CC">
              <w:rPr>
                <w:sz w:val="19"/>
              </w:rPr>
              <w:t>FNLRS should assess current research practices and consent forms to ensure they provide informants the option for their information to contribute to Treaty negotiations.</w:t>
            </w:r>
          </w:p>
        </w:tc>
      </w:tr>
    </w:tbl>
    <w:p w14:paraId="3DDD8AA0" w14:textId="77777777" w:rsidR="009C33D0" w:rsidRDefault="009C33D0" w:rsidP="009C33D0"/>
    <w:p w14:paraId="067B791F" w14:textId="77777777" w:rsidR="009C33D0" w:rsidRDefault="009C33D0">
      <w:pPr>
        <w:spacing w:after="165"/>
        <w:rPr>
          <w:rFonts w:ascii="Segoe UI Semibold" w:eastAsia="Times New Roman" w:hAnsi="Segoe UI Semibold" w:cs="Times New Roman"/>
          <w:color w:val="00264D"/>
          <w:sz w:val="30"/>
          <w:szCs w:val="19"/>
          <w:lang w:eastAsia="en-AU"/>
        </w:rPr>
      </w:pPr>
      <w:r>
        <w:br w:type="page"/>
      </w:r>
    </w:p>
    <w:p w14:paraId="4A38361E" w14:textId="771BF463" w:rsidR="004E41BE" w:rsidRDefault="004E41BE" w:rsidP="005566FF">
      <w:pPr>
        <w:pStyle w:val="Heading2"/>
        <w:numPr>
          <w:ilvl w:val="1"/>
          <w:numId w:val="1"/>
        </w:numPr>
        <w:ind w:left="578" w:hanging="578"/>
      </w:pPr>
      <w:bookmarkStart w:id="44" w:name="_Toc170469989"/>
      <w:r w:rsidRPr="004E41BE">
        <w:lastRenderedPageBreak/>
        <w:t>TOR 7 | Extent to which each organisation has developed its planning for a post-determination environment</w:t>
      </w:r>
      <w:r w:rsidR="008E6D09">
        <w:t>.</w:t>
      </w:r>
      <w:bookmarkEnd w:id="44"/>
    </w:p>
    <w:tbl>
      <w:tblPr>
        <w:tblStyle w:val="TableGrid"/>
        <w:tblW w:w="0" w:type="auto"/>
        <w:tblLook w:val="04A0" w:firstRow="1" w:lastRow="0" w:firstColumn="1" w:lastColumn="0" w:noHBand="0" w:noVBand="1"/>
      </w:tblPr>
      <w:tblGrid>
        <w:gridCol w:w="8930"/>
      </w:tblGrid>
      <w:tr w:rsidR="0000360B" w14:paraId="3CC0ED22" w14:textId="77777777" w:rsidTr="6967B2CC">
        <w:trPr>
          <w:cnfStyle w:val="100000000000" w:firstRow="1" w:lastRow="0" w:firstColumn="0" w:lastColumn="0" w:oddVBand="0" w:evenVBand="0" w:oddHBand="0" w:evenHBand="0" w:firstRowFirstColumn="0" w:firstRowLastColumn="0" w:lastRowFirstColumn="0" w:lastRowLastColumn="0"/>
        </w:trPr>
        <w:tc>
          <w:tcPr>
            <w:tcW w:w="8930" w:type="dxa"/>
          </w:tcPr>
          <w:p w14:paraId="69D24073" w14:textId="77777777" w:rsidR="001E64E4" w:rsidRPr="009C33D0" w:rsidRDefault="001E64E4" w:rsidP="009C33D0">
            <w:pPr>
              <w:pStyle w:val="Longformcallout"/>
              <w:rPr>
                <w:rFonts w:asciiTheme="majorHAnsi" w:hAnsiTheme="majorHAnsi" w:cstheme="majorHAnsi"/>
              </w:rPr>
            </w:pPr>
            <w:r w:rsidRPr="009C33D0">
              <w:rPr>
                <w:rFonts w:asciiTheme="majorHAnsi" w:hAnsiTheme="majorHAnsi" w:cstheme="majorHAnsi"/>
              </w:rPr>
              <w:t>Summary</w:t>
            </w:r>
          </w:p>
          <w:p w14:paraId="1B6CFB31" w14:textId="79040DC3" w:rsidR="007C1091" w:rsidRDefault="00F44B39" w:rsidP="009C33D0">
            <w:pPr>
              <w:pStyle w:val="Longformcallout"/>
            </w:pPr>
            <w:r w:rsidRPr="6967B2CC">
              <w:t>FNL</w:t>
            </w:r>
            <w:r w:rsidR="00E46FCA" w:rsidRPr="6967B2CC">
              <w:t>R</w:t>
            </w:r>
            <w:r w:rsidRPr="6967B2CC">
              <w:t>S is advanced in its post-determination</w:t>
            </w:r>
            <w:r w:rsidR="00FB2E76" w:rsidRPr="6967B2CC">
              <w:t xml:space="preserve"> </w:t>
            </w:r>
            <w:r w:rsidRPr="6967B2CC">
              <w:t>planning d</w:t>
            </w:r>
            <w:r w:rsidR="007C1091" w:rsidRPr="6967B2CC">
              <w:t xml:space="preserve">espite having a relatively low number of successful determinations and only </w:t>
            </w:r>
            <w:r w:rsidR="0029214B" w:rsidRPr="6967B2CC">
              <w:t>six</w:t>
            </w:r>
            <w:r w:rsidR="007C1091" w:rsidRPr="6967B2CC">
              <w:t xml:space="preserve"> PBCs</w:t>
            </w:r>
            <w:r w:rsidR="0029214B" w:rsidRPr="6967B2CC">
              <w:t>/TOGEs</w:t>
            </w:r>
            <w:r w:rsidR="007C1091" w:rsidRPr="6967B2CC">
              <w:t xml:space="preserve">. </w:t>
            </w:r>
            <w:r w:rsidR="0062225A" w:rsidRPr="6967B2CC">
              <w:t xml:space="preserve">Staff </w:t>
            </w:r>
            <w:r w:rsidR="006A3C27" w:rsidRPr="6967B2CC">
              <w:t>thought</w:t>
            </w:r>
            <w:r w:rsidR="0062225A" w:rsidRPr="6967B2CC">
              <w:t xml:space="preserve"> it </w:t>
            </w:r>
            <w:r w:rsidR="00370F2E" w:rsidRPr="6967B2CC">
              <w:t>was</w:t>
            </w:r>
            <w:r w:rsidR="0062225A" w:rsidRPr="6967B2CC">
              <w:t xml:space="preserve"> possible for all native title claims to be finalised</w:t>
            </w:r>
            <w:r w:rsidR="007C1091" w:rsidRPr="6967B2CC">
              <w:t xml:space="preserve"> in </w:t>
            </w:r>
            <w:r w:rsidR="0062225A" w:rsidRPr="6967B2CC">
              <w:t xml:space="preserve">the next five </w:t>
            </w:r>
            <w:r w:rsidR="005D3CB6" w:rsidRPr="6967B2CC">
              <w:t xml:space="preserve">to ten </w:t>
            </w:r>
            <w:r w:rsidR="0062225A" w:rsidRPr="6967B2CC">
              <w:t xml:space="preserve">years. </w:t>
            </w:r>
            <w:bookmarkStart w:id="45" w:name="_Hlk158581013"/>
            <w:r w:rsidR="00D44AD6" w:rsidRPr="6967B2CC">
              <w:t xml:space="preserve">FNLRS has been very active in supporting Traditional Owners in Victoria achieve their aspirations </w:t>
            </w:r>
            <w:r w:rsidR="007C1091" w:rsidRPr="6967B2CC">
              <w:t>post-recognitio</w:t>
            </w:r>
            <w:r w:rsidR="00123D15" w:rsidRPr="6967B2CC">
              <w:t xml:space="preserve">n, </w:t>
            </w:r>
            <w:r w:rsidR="007C1091" w:rsidRPr="6967B2CC">
              <w:t xml:space="preserve">including </w:t>
            </w:r>
            <w:r w:rsidR="00123D15" w:rsidRPr="6967B2CC">
              <w:t>negotiating and expanding</w:t>
            </w:r>
            <w:r w:rsidR="007C1091" w:rsidRPr="6967B2CC">
              <w:t xml:space="preserve"> settlement </w:t>
            </w:r>
            <w:r w:rsidR="000C27D0" w:rsidRPr="6967B2CC">
              <w:t>ILUAs</w:t>
            </w:r>
            <w:r w:rsidR="00123D15" w:rsidRPr="6967B2CC">
              <w:t xml:space="preserve"> under the Settlement Act</w:t>
            </w:r>
            <w:r w:rsidR="007C1091" w:rsidRPr="6967B2CC">
              <w:t xml:space="preserve">. </w:t>
            </w:r>
            <w:bookmarkEnd w:id="45"/>
          </w:p>
          <w:p w14:paraId="726D8308" w14:textId="38547D3C" w:rsidR="00C9727C" w:rsidRDefault="007E4EE3" w:rsidP="009C33D0">
            <w:pPr>
              <w:pStyle w:val="Longformcallout"/>
            </w:pPr>
            <w:r w:rsidRPr="6967B2CC">
              <w:t xml:space="preserve">The </w:t>
            </w:r>
            <w:r w:rsidR="00697E8F" w:rsidRPr="6967B2CC">
              <w:t xml:space="preserve">priority </w:t>
            </w:r>
            <w:r w:rsidRPr="6967B2CC">
              <w:t>for FNLRS’s leadership team</w:t>
            </w:r>
            <w:r w:rsidR="00697E8F" w:rsidRPr="6967B2CC">
              <w:t xml:space="preserve"> during the Review period was to complete the remaining native title claims for Traditional Owners in Victoria. </w:t>
            </w:r>
            <w:r w:rsidR="00CD6B70" w:rsidRPr="6967B2CC">
              <w:t xml:space="preserve">This </w:t>
            </w:r>
            <w:r w:rsidR="007E10C4" w:rsidRPr="6967B2CC">
              <w:t>was</w:t>
            </w:r>
            <w:r w:rsidR="00CD6B70" w:rsidRPr="6967B2CC">
              <w:t xml:space="preserve"> seen as particularly important ahead of Treaty negotiations. </w:t>
            </w:r>
            <w:r w:rsidR="00697E8F" w:rsidRPr="6967B2CC">
              <w:t xml:space="preserve">However, most staff recognised that </w:t>
            </w:r>
            <w:r w:rsidR="004D12DC" w:rsidRPr="6967B2CC">
              <w:t>once all claims are finalised,</w:t>
            </w:r>
            <w:r w:rsidR="00697E8F" w:rsidRPr="6967B2CC">
              <w:t xml:space="preserve"> FNLRS’s role and operating model was likely to </w:t>
            </w:r>
            <w:r w:rsidR="00246B94" w:rsidRPr="6967B2CC">
              <w:t xml:space="preserve">be influenced </w:t>
            </w:r>
            <w:r w:rsidR="00697E8F" w:rsidRPr="6967B2CC">
              <w:t>in the future</w:t>
            </w:r>
            <w:r w:rsidR="00246B94" w:rsidRPr="6967B2CC">
              <w:t xml:space="preserve"> by</w:t>
            </w:r>
            <w:r w:rsidR="004D5111" w:rsidRPr="6967B2CC">
              <w:t xml:space="preserve"> </w:t>
            </w:r>
            <w:r w:rsidR="00A016E5" w:rsidRPr="6967B2CC">
              <w:t>its</w:t>
            </w:r>
            <w:r w:rsidR="00697E8F" w:rsidRPr="6967B2CC">
              <w:t xml:space="preserve"> contestable environment. FNLRS’s </w:t>
            </w:r>
            <w:r w:rsidR="00B163B3" w:rsidRPr="6967B2CC">
              <w:t>aspiration</w:t>
            </w:r>
            <w:r w:rsidR="00697E8F" w:rsidRPr="6967B2CC">
              <w:t xml:space="preserve"> to be the </w:t>
            </w:r>
            <w:r w:rsidR="00D24C70">
              <w:t>“</w:t>
            </w:r>
            <w:r w:rsidR="00697E8F" w:rsidRPr="6967B2CC">
              <w:t>go</w:t>
            </w:r>
            <w:r w:rsidR="000555C4">
              <w:t xml:space="preserve"> </w:t>
            </w:r>
            <w:r w:rsidR="00697E8F" w:rsidRPr="6967B2CC">
              <w:t>to</w:t>
            </w:r>
            <w:r w:rsidR="00D24C70">
              <w:t>”</w:t>
            </w:r>
            <w:r w:rsidR="00697E8F" w:rsidRPr="6967B2CC">
              <w:t xml:space="preserve"> service provider for post-determination or post-settlement support remains unchanged. However, FNLRS recognises that future support for</w:t>
            </w:r>
            <w:r w:rsidR="00886D20" w:rsidRPr="6967B2CC">
              <w:t xml:space="preserve"> </w:t>
            </w:r>
            <w:r w:rsidR="00697E8F" w:rsidRPr="6967B2CC">
              <w:t xml:space="preserve">PBCs and </w:t>
            </w:r>
            <w:r w:rsidR="008C3FAF" w:rsidRPr="6967B2CC">
              <w:t>TOGEs</w:t>
            </w:r>
            <w:r w:rsidR="00697E8F" w:rsidRPr="6967B2CC">
              <w:t xml:space="preserve"> </w:t>
            </w:r>
            <w:r w:rsidR="00F17E07" w:rsidRPr="6967B2CC">
              <w:t xml:space="preserve">may </w:t>
            </w:r>
            <w:r w:rsidR="00697E8F" w:rsidRPr="6967B2CC">
              <w:t xml:space="preserve">need to be undertaken on a fee-for-service basis. </w:t>
            </w:r>
          </w:p>
          <w:p w14:paraId="39EBF1C4" w14:textId="5BCAF016" w:rsidR="000750FC" w:rsidRPr="000750FC" w:rsidRDefault="000750FC" w:rsidP="6967B2CC">
            <w:pPr>
              <w:pStyle w:val="Longformcallout"/>
              <w:rPr>
                <w:rFonts w:eastAsia="Times New Roman" w:cs="Times New Roman"/>
              </w:rPr>
            </w:pPr>
            <w:r w:rsidRPr="6967B2CC">
              <w:rPr>
                <w:rFonts w:eastAsia="Times New Roman" w:cs="Times New Roman"/>
              </w:rPr>
              <w:t>PBCs</w:t>
            </w:r>
            <w:r w:rsidR="006270E5" w:rsidRPr="6967B2CC">
              <w:rPr>
                <w:rFonts w:eastAsia="Times New Roman" w:cs="Times New Roman"/>
              </w:rPr>
              <w:t xml:space="preserve"> and TOGEs</w:t>
            </w:r>
            <w:r w:rsidRPr="6967B2CC">
              <w:rPr>
                <w:rFonts w:eastAsia="Times New Roman" w:cs="Times New Roman"/>
              </w:rPr>
              <w:t xml:space="preserve"> were eager to work with FNLRS in the future and were interested in receiving specialist advice around commercial deals and compensation. There was a consensus among PBCs</w:t>
            </w:r>
            <w:r w:rsidR="005E62F1" w:rsidRPr="6967B2CC">
              <w:rPr>
                <w:rFonts w:eastAsia="Times New Roman" w:cs="Times New Roman"/>
              </w:rPr>
              <w:t>/</w:t>
            </w:r>
            <w:r w:rsidR="008C3FAF" w:rsidRPr="6967B2CC">
              <w:rPr>
                <w:rFonts w:eastAsia="Times New Roman" w:cs="Times New Roman"/>
              </w:rPr>
              <w:t>TOGEs</w:t>
            </w:r>
            <w:r w:rsidRPr="6967B2CC">
              <w:rPr>
                <w:rFonts w:eastAsia="Times New Roman" w:cs="Times New Roman"/>
              </w:rPr>
              <w:t xml:space="preserve"> that FNLRS would need to continue to play an important role in providing basic legal services to </w:t>
            </w:r>
            <w:r w:rsidR="00036A13" w:rsidRPr="6967B2CC">
              <w:rPr>
                <w:rFonts w:eastAsia="Times New Roman" w:cs="Times New Roman"/>
              </w:rPr>
              <w:t>clients</w:t>
            </w:r>
            <w:r w:rsidRPr="6967B2CC">
              <w:rPr>
                <w:rFonts w:eastAsia="Times New Roman" w:cs="Times New Roman"/>
              </w:rPr>
              <w:t xml:space="preserve"> and that it was still the most obvious go-to service for legal advice in Victoria given FNLRS’s deep knowledge of the area. </w:t>
            </w:r>
          </w:p>
          <w:p w14:paraId="7D078D36" w14:textId="74F8B5CE" w:rsidR="00697E8F" w:rsidRDefault="00F90BBB" w:rsidP="009C33D0">
            <w:pPr>
              <w:pStyle w:val="Longformcallout"/>
            </w:pPr>
            <w:r w:rsidRPr="6967B2CC">
              <w:t xml:space="preserve">The Strategic Review presented options for how FNLRS could be better structured into the future to progress Traditional Owner aspirations given the upcoming Treaty process </w:t>
            </w:r>
            <w:r w:rsidR="002A7D6A" w:rsidRPr="6967B2CC">
              <w:t xml:space="preserve">and the options </w:t>
            </w:r>
            <w:r w:rsidRPr="6967B2CC">
              <w:t xml:space="preserve">which are under consideration by FNLRS. </w:t>
            </w:r>
            <w:r w:rsidR="00697E8F" w:rsidRPr="6967B2CC">
              <w:t>Developing FNLRS’s next strategy post-2024, provides a</w:t>
            </w:r>
            <w:r w:rsidR="005515EA" w:rsidRPr="6967B2CC">
              <w:t>n</w:t>
            </w:r>
            <w:r w:rsidR="00697E8F" w:rsidRPr="6967B2CC">
              <w:t xml:space="preserve"> opportunity to reflect on the optimal operating model for the medium-</w:t>
            </w:r>
            <w:r w:rsidR="00E43798" w:rsidRPr="6967B2CC">
              <w:t xml:space="preserve"> to </w:t>
            </w:r>
            <w:r w:rsidR="00697E8F" w:rsidRPr="6967B2CC">
              <w:t xml:space="preserve">long-term and to consider what capability is required to deliver the services that are </w:t>
            </w:r>
            <w:r w:rsidR="002A7D6A" w:rsidRPr="6967B2CC">
              <w:t>likely to be</w:t>
            </w:r>
            <w:r w:rsidR="00697E8F" w:rsidRPr="6967B2CC">
              <w:t xml:space="preserve"> in demand</w:t>
            </w:r>
            <w:r w:rsidR="00C9727C" w:rsidRPr="6967B2CC">
              <w:t xml:space="preserve">. </w:t>
            </w:r>
          </w:p>
          <w:p w14:paraId="4C7B4860" w14:textId="22766DC4" w:rsidR="00500885" w:rsidRDefault="00500885" w:rsidP="009C33D0">
            <w:pPr>
              <w:pStyle w:val="Longformcallout"/>
            </w:pPr>
            <w:r w:rsidRPr="1832D396">
              <w:t xml:space="preserve">Victoria’s Treaty process was raised throughout most consultations as a key change on the horizon that will </w:t>
            </w:r>
            <w:r w:rsidR="002A7D6A" w:rsidRPr="1832D396">
              <w:t>potentially</w:t>
            </w:r>
            <w:r w:rsidRPr="1832D396">
              <w:t xml:space="preserve"> shape the way self-determination is pursued in Victoria.</w:t>
            </w:r>
            <w:r w:rsidR="002622EB" w:rsidRPr="1832D396">
              <w:t xml:space="preserve"> </w:t>
            </w:r>
            <w:r w:rsidRPr="1832D396">
              <w:t xml:space="preserve">When asked about </w:t>
            </w:r>
            <w:r w:rsidR="00B778A1" w:rsidRPr="1832D396">
              <w:t>FNLRS’s</w:t>
            </w:r>
            <w:r w:rsidRPr="1832D396">
              <w:t xml:space="preserve"> role in Treaty, all stakeholders consulted believe</w:t>
            </w:r>
            <w:r w:rsidR="00005042" w:rsidRPr="1832D396">
              <w:t>d</w:t>
            </w:r>
            <w:r w:rsidRPr="1832D396">
              <w:t xml:space="preserve"> that FNLRS was well-positioned to play a valuable role</w:t>
            </w:r>
            <w:r w:rsidR="006C33F7">
              <w:t>,</w:t>
            </w:r>
            <w:r w:rsidRPr="1832D396">
              <w:t xml:space="preserve"> given </w:t>
            </w:r>
            <w:r w:rsidR="000F2DE2" w:rsidRPr="1832D396">
              <w:t>their</w:t>
            </w:r>
            <w:r w:rsidRPr="1832D396">
              <w:t xml:space="preserve"> organisational knowledge and the intersection between the </w:t>
            </w:r>
            <w:r w:rsidR="0010561D" w:rsidRPr="0010561D">
              <w:t>NTA</w:t>
            </w:r>
            <w:r w:rsidRPr="1832D396">
              <w:t xml:space="preserve">, </w:t>
            </w:r>
            <w:r w:rsidR="00F25F68" w:rsidRPr="1832D396">
              <w:t xml:space="preserve">the </w:t>
            </w:r>
            <w:r w:rsidRPr="0010561D">
              <w:t>Settlement Act</w:t>
            </w:r>
            <w:r w:rsidRPr="1832D396">
              <w:t xml:space="preserve"> and Treaty agreements. Stakeholders reflected on the fact that work for FNLRS might increase as a result</w:t>
            </w:r>
            <w:r w:rsidR="002622EB" w:rsidRPr="1832D396">
              <w:t xml:space="preserve">. This Review </w:t>
            </w:r>
            <w:r w:rsidR="009732A4" w:rsidRPr="1832D396">
              <w:t>acknowledges that, as</w:t>
            </w:r>
            <w:r w:rsidRPr="1832D396">
              <w:t xml:space="preserve"> the </w:t>
            </w:r>
            <w:r w:rsidR="002622EB" w:rsidRPr="1832D396">
              <w:t xml:space="preserve">Strategic </w:t>
            </w:r>
            <w:r w:rsidR="009732A4" w:rsidRPr="1832D396">
              <w:t>Review concluded, that</w:t>
            </w:r>
            <w:r w:rsidR="002622EB" w:rsidRPr="1832D396">
              <w:t xml:space="preserve"> </w:t>
            </w:r>
            <w:r w:rsidR="00EB2C99" w:rsidRPr="1832D396">
              <w:t>it was too early</w:t>
            </w:r>
            <w:r w:rsidRPr="1832D396">
              <w:t xml:space="preserve"> to </w:t>
            </w:r>
            <w:r w:rsidR="00EB2C99" w:rsidRPr="1832D396">
              <w:t>make any major changes to operations given the evolving nature of the process</w:t>
            </w:r>
            <w:r w:rsidR="0065379D" w:rsidRPr="1832D396">
              <w:t>.</w:t>
            </w:r>
          </w:p>
          <w:p w14:paraId="3833F814" w14:textId="19204971" w:rsidR="00675DBB" w:rsidRDefault="00EB2C99" w:rsidP="009C33D0">
            <w:pPr>
              <w:pStyle w:val="Longformcallout"/>
            </w:pPr>
            <w:r>
              <w:t>No compensation claims were made during the Review period</w:t>
            </w:r>
            <w:r w:rsidR="0062538F">
              <w:t>.</w:t>
            </w:r>
            <w:r w:rsidR="002327FD">
              <w:t xml:space="preserve"> </w:t>
            </w:r>
            <w:r>
              <w:t xml:space="preserve">The focus in Victoria around compensation has primarily been through negotiations under the </w:t>
            </w:r>
            <w:r w:rsidRPr="0010561D">
              <w:t>Settlement Act</w:t>
            </w:r>
            <w:r>
              <w:t xml:space="preserve">, where FNLRS </w:t>
            </w:r>
            <w:r w:rsidR="007F1DD6">
              <w:t xml:space="preserve">has achieved many successes for its clients. Despite most of the financial benefits deriving from settlement packages, FNLRS staff believed that </w:t>
            </w:r>
            <w:r w:rsidR="00EA6666">
              <w:t xml:space="preserve">formal </w:t>
            </w:r>
            <w:r w:rsidR="007F1DD6">
              <w:t xml:space="preserve">compensation claims under the </w:t>
            </w:r>
            <w:r w:rsidR="0014178C" w:rsidRPr="0014178C">
              <w:t>NTA</w:t>
            </w:r>
            <w:r w:rsidR="007F1DD6">
              <w:t xml:space="preserve"> </w:t>
            </w:r>
            <w:r w:rsidR="00EA6666">
              <w:t>have</w:t>
            </w:r>
            <w:r w:rsidR="007F1DD6">
              <w:t xml:space="preserve"> not </w:t>
            </w:r>
            <w:r w:rsidR="00EA6666">
              <w:t>been</w:t>
            </w:r>
            <w:r w:rsidR="007F1DD6">
              <w:t xml:space="preserve"> ruled out </w:t>
            </w:r>
            <w:r w:rsidR="009E322B">
              <w:t>for</w:t>
            </w:r>
            <w:r w:rsidR="007F1DD6">
              <w:t xml:space="preserve"> the future</w:t>
            </w:r>
            <w:r w:rsidR="00B06378">
              <w:t>.</w:t>
            </w:r>
          </w:p>
        </w:tc>
      </w:tr>
    </w:tbl>
    <w:p w14:paraId="727C30D6" w14:textId="50C78CBA" w:rsidR="006A1BCE" w:rsidRDefault="006A1BCE" w:rsidP="000B2E53">
      <w:pPr>
        <w:pStyle w:val="Heading3"/>
        <w:numPr>
          <w:ilvl w:val="2"/>
          <w:numId w:val="21"/>
        </w:numPr>
      </w:pPr>
      <w:r>
        <w:t>TOR 7</w:t>
      </w:r>
      <w:r w:rsidR="00214A1E">
        <w:t>:</w:t>
      </w:r>
      <w:r>
        <w:t xml:space="preserve"> </w:t>
      </w:r>
      <w:r w:rsidRPr="00E85100">
        <w:t>Assessment</w:t>
      </w:r>
      <w:r>
        <w:t xml:space="preserve"> of performance</w:t>
      </w:r>
    </w:p>
    <w:p w14:paraId="3024CCB4" w14:textId="6F384D6C" w:rsidR="00627E20" w:rsidRPr="00010FE7" w:rsidRDefault="00627E20" w:rsidP="00627E20">
      <w:pPr>
        <w:rPr>
          <w:lang w:eastAsia="en-AU"/>
        </w:rPr>
      </w:pPr>
      <w:r w:rsidRPr="00010FE7">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_Ref164753157 \n \h </w:instrText>
      </w:r>
      <w:r>
        <w:rPr>
          <w:lang w:eastAsia="en-AU"/>
        </w:rPr>
      </w:r>
      <w:r>
        <w:rPr>
          <w:lang w:eastAsia="en-AU"/>
        </w:rPr>
        <w:fldChar w:fldCharType="separate"/>
      </w:r>
      <w:r w:rsidR="00AB7E95">
        <w:rPr>
          <w:lang w:eastAsia="en-AU"/>
        </w:rPr>
        <w:t>Appendix A</w:t>
      </w:r>
      <w:r>
        <w:rPr>
          <w:lang w:eastAsia="en-AU"/>
        </w:rPr>
        <w:fldChar w:fldCharType="end"/>
      </w:r>
      <w:r w:rsidRPr="00010FE7">
        <w:rPr>
          <w:lang w:eastAsia="en-AU"/>
        </w:rPr>
        <w:t>.</w:t>
      </w:r>
    </w:p>
    <w:p w14:paraId="4E80E9DC" w14:textId="6593C940" w:rsidR="006A6CE5" w:rsidRPr="006A1BCE" w:rsidRDefault="006A6CE5" w:rsidP="006A6CE5">
      <w:pPr>
        <w:pStyle w:val="Heading4"/>
      </w:pPr>
      <w:r w:rsidRPr="006C5B7E">
        <w:t xml:space="preserve">Adequacy of </w:t>
      </w:r>
      <w:r>
        <w:t>post</w:t>
      </w:r>
      <w:r w:rsidR="00DD5862">
        <w:t>-</w:t>
      </w:r>
      <w:r>
        <w:t>determination strategic planning</w:t>
      </w:r>
    </w:p>
    <w:p w14:paraId="5CFD08D1" w14:textId="1C4E0C4E" w:rsidR="00B60553" w:rsidRDefault="00B60553" w:rsidP="00B60553">
      <w:pPr>
        <w:pStyle w:val="Heading5"/>
      </w:pPr>
      <w:r>
        <w:t>FNLRS is mature in its post</w:t>
      </w:r>
      <w:r w:rsidR="00DD5862">
        <w:t>-</w:t>
      </w:r>
      <w:r>
        <w:t>determination strategic planning</w:t>
      </w:r>
    </w:p>
    <w:p w14:paraId="1B7F5E9D" w14:textId="2FB61445" w:rsidR="003A2581" w:rsidRDefault="00E24F94" w:rsidP="00147366">
      <w:pPr>
        <w:rPr>
          <w:lang w:eastAsia="en-AU"/>
        </w:rPr>
      </w:pPr>
      <w:r>
        <w:rPr>
          <w:lang w:eastAsia="en-AU"/>
        </w:rPr>
        <w:t xml:space="preserve">Despite having a relatively low number of successful determinations and only </w:t>
      </w:r>
      <w:r w:rsidR="00A1784D">
        <w:rPr>
          <w:lang w:eastAsia="en-AU"/>
        </w:rPr>
        <w:t>six</w:t>
      </w:r>
      <w:r>
        <w:rPr>
          <w:lang w:eastAsia="en-AU"/>
        </w:rPr>
        <w:t xml:space="preserve"> PBCs</w:t>
      </w:r>
      <w:r w:rsidR="00A1784D">
        <w:rPr>
          <w:lang w:eastAsia="en-AU"/>
        </w:rPr>
        <w:t>/</w:t>
      </w:r>
      <w:r w:rsidR="00C80697">
        <w:rPr>
          <w:lang w:eastAsia="en-AU"/>
        </w:rPr>
        <w:t>TOGEs</w:t>
      </w:r>
      <w:r>
        <w:rPr>
          <w:lang w:eastAsia="en-AU"/>
        </w:rPr>
        <w:t>, FNL</w:t>
      </w:r>
      <w:r w:rsidR="00C80697">
        <w:rPr>
          <w:lang w:eastAsia="en-AU"/>
        </w:rPr>
        <w:t>R</w:t>
      </w:r>
      <w:r>
        <w:rPr>
          <w:lang w:eastAsia="en-AU"/>
        </w:rPr>
        <w:t>S is appropriately advanced in its post-determination</w:t>
      </w:r>
      <w:r w:rsidR="006B7662">
        <w:rPr>
          <w:lang w:eastAsia="en-AU"/>
        </w:rPr>
        <w:t xml:space="preserve"> and post-settlement</w:t>
      </w:r>
      <w:r>
        <w:rPr>
          <w:lang w:eastAsia="en-AU"/>
        </w:rPr>
        <w:t xml:space="preserve"> planning. </w:t>
      </w:r>
      <w:r w:rsidR="00437EEF">
        <w:rPr>
          <w:lang w:eastAsia="en-AU"/>
        </w:rPr>
        <w:t>Staff reported</w:t>
      </w:r>
      <w:r w:rsidR="00780E93">
        <w:rPr>
          <w:lang w:eastAsia="en-AU"/>
        </w:rPr>
        <w:t xml:space="preserve"> it </w:t>
      </w:r>
      <w:r w:rsidR="002D7BD3">
        <w:rPr>
          <w:lang w:eastAsia="en-AU"/>
        </w:rPr>
        <w:t>was</w:t>
      </w:r>
      <w:r w:rsidR="00780E93">
        <w:rPr>
          <w:lang w:eastAsia="en-AU"/>
        </w:rPr>
        <w:t xml:space="preserve"> </w:t>
      </w:r>
      <w:r w:rsidR="00780E93">
        <w:rPr>
          <w:lang w:eastAsia="en-AU"/>
        </w:rPr>
        <w:lastRenderedPageBreak/>
        <w:t xml:space="preserve">possible for </w:t>
      </w:r>
      <w:r w:rsidR="002D7BD3">
        <w:rPr>
          <w:lang w:eastAsia="en-AU"/>
        </w:rPr>
        <w:t xml:space="preserve">all </w:t>
      </w:r>
      <w:r w:rsidR="00780E93">
        <w:rPr>
          <w:lang w:eastAsia="en-AU"/>
        </w:rPr>
        <w:t>native title claims</w:t>
      </w:r>
      <w:r w:rsidR="006B7662">
        <w:rPr>
          <w:lang w:eastAsia="en-AU"/>
        </w:rPr>
        <w:t xml:space="preserve"> in Victoria</w:t>
      </w:r>
      <w:r w:rsidR="00780E93">
        <w:rPr>
          <w:lang w:eastAsia="en-AU"/>
        </w:rPr>
        <w:t xml:space="preserve"> to be finalised in the next five </w:t>
      </w:r>
      <w:r w:rsidR="008C7E7C">
        <w:rPr>
          <w:lang w:eastAsia="en-AU"/>
        </w:rPr>
        <w:t xml:space="preserve">to ten </w:t>
      </w:r>
      <w:r w:rsidR="00780E93">
        <w:rPr>
          <w:lang w:eastAsia="en-AU"/>
        </w:rPr>
        <w:t xml:space="preserve">years. </w:t>
      </w:r>
      <w:r w:rsidR="002D56C7">
        <w:rPr>
          <w:lang w:eastAsia="en-AU"/>
        </w:rPr>
        <w:t>However,</w:t>
      </w:r>
      <w:r w:rsidR="00E860A5">
        <w:rPr>
          <w:lang w:eastAsia="en-AU"/>
        </w:rPr>
        <w:t xml:space="preserve"> </w:t>
      </w:r>
      <w:r w:rsidR="006B5779">
        <w:rPr>
          <w:lang w:eastAsia="en-AU"/>
        </w:rPr>
        <w:t xml:space="preserve">this has been the </w:t>
      </w:r>
      <w:r w:rsidR="009570D9">
        <w:rPr>
          <w:lang w:eastAsia="en-AU"/>
        </w:rPr>
        <w:t xml:space="preserve">optimistic </w:t>
      </w:r>
      <w:r w:rsidR="006B5779">
        <w:rPr>
          <w:lang w:eastAsia="en-AU"/>
        </w:rPr>
        <w:t xml:space="preserve">outlook for </w:t>
      </w:r>
      <w:r w:rsidR="009570D9">
        <w:rPr>
          <w:lang w:eastAsia="en-AU"/>
        </w:rPr>
        <w:t>a while</w:t>
      </w:r>
      <w:r w:rsidR="002D56C7">
        <w:rPr>
          <w:lang w:eastAsia="en-AU"/>
        </w:rPr>
        <w:t xml:space="preserve"> </w:t>
      </w:r>
      <w:r w:rsidR="00150414">
        <w:rPr>
          <w:lang w:eastAsia="en-AU"/>
        </w:rPr>
        <w:t>(</w:t>
      </w:r>
      <w:r w:rsidR="006B5779">
        <w:rPr>
          <w:lang w:eastAsia="en-AU"/>
        </w:rPr>
        <w:t>the</w:t>
      </w:r>
      <w:r w:rsidR="006B5779">
        <w:rPr>
          <w:szCs w:val="19"/>
        </w:rPr>
        <w:t xml:space="preserve"> </w:t>
      </w:r>
      <w:r w:rsidR="00150414">
        <w:rPr>
          <w:szCs w:val="19"/>
        </w:rPr>
        <w:t>2015-</w:t>
      </w:r>
      <w:r w:rsidR="00272689">
        <w:rPr>
          <w:szCs w:val="19"/>
        </w:rPr>
        <w:t>20</w:t>
      </w:r>
      <w:r w:rsidR="00150414">
        <w:rPr>
          <w:szCs w:val="19"/>
        </w:rPr>
        <w:t xml:space="preserve">16 Annual Report stated that FNLRS was </w:t>
      </w:r>
      <w:r w:rsidR="00272689">
        <w:rPr>
          <w:szCs w:val="19"/>
        </w:rPr>
        <w:t>“</w:t>
      </w:r>
      <w:r w:rsidR="00150414">
        <w:rPr>
          <w:szCs w:val="19"/>
        </w:rPr>
        <w:t>On track to resolve native matters across Victoria by 2018-19</w:t>
      </w:r>
      <w:r w:rsidR="000555C4">
        <w:rPr>
          <w:szCs w:val="19"/>
        </w:rPr>
        <w:t>”</w:t>
      </w:r>
      <w:r w:rsidR="00150414">
        <w:rPr>
          <w:szCs w:val="19"/>
        </w:rPr>
        <w:t xml:space="preserve">) </w:t>
      </w:r>
      <w:r w:rsidR="009570D9">
        <w:rPr>
          <w:lang w:eastAsia="en-AU"/>
        </w:rPr>
        <w:t xml:space="preserve">with staff </w:t>
      </w:r>
      <w:r w:rsidR="00234089">
        <w:rPr>
          <w:lang w:eastAsia="en-AU"/>
        </w:rPr>
        <w:t xml:space="preserve">noting </w:t>
      </w:r>
      <w:r w:rsidR="00170458">
        <w:rPr>
          <w:lang w:eastAsia="en-AU"/>
        </w:rPr>
        <w:t>that</w:t>
      </w:r>
      <w:r w:rsidR="002D56C7">
        <w:rPr>
          <w:lang w:eastAsia="en-AU"/>
        </w:rPr>
        <w:t xml:space="preserve"> </w:t>
      </w:r>
      <w:r w:rsidR="00741250">
        <w:rPr>
          <w:lang w:eastAsia="en-AU"/>
        </w:rPr>
        <w:t>progress</w:t>
      </w:r>
      <w:r w:rsidR="002D7BD3">
        <w:rPr>
          <w:lang w:eastAsia="en-AU"/>
        </w:rPr>
        <w:t xml:space="preserve"> heavily depends on</w:t>
      </w:r>
      <w:r w:rsidR="00124015">
        <w:rPr>
          <w:lang w:eastAsia="en-AU"/>
        </w:rPr>
        <w:t xml:space="preserve"> dispute resolution and</w:t>
      </w:r>
      <w:r w:rsidR="002D7BD3">
        <w:rPr>
          <w:lang w:eastAsia="en-AU"/>
        </w:rPr>
        <w:t xml:space="preserve"> the </w:t>
      </w:r>
      <w:r w:rsidR="00A978E1">
        <w:rPr>
          <w:lang w:eastAsia="en-AU"/>
        </w:rPr>
        <w:t xml:space="preserve">aspirations of family groups. </w:t>
      </w:r>
    </w:p>
    <w:p w14:paraId="32C99016" w14:textId="3E603819" w:rsidR="00D073DC" w:rsidRDefault="00161772" w:rsidP="00147366">
      <w:pPr>
        <w:rPr>
          <w:lang w:eastAsia="en-AU"/>
        </w:rPr>
      </w:pPr>
      <w:r>
        <w:rPr>
          <w:lang w:eastAsia="en-AU"/>
        </w:rPr>
        <w:t xml:space="preserve">FNLRS has been </w:t>
      </w:r>
      <w:r w:rsidR="0082433A">
        <w:rPr>
          <w:lang w:eastAsia="en-AU"/>
        </w:rPr>
        <w:t xml:space="preserve">very active in </w:t>
      </w:r>
      <w:r w:rsidR="00ED0D31">
        <w:rPr>
          <w:lang w:eastAsia="en-AU"/>
        </w:rPr>
        <w:t xml:space="preserve">supporting </w:t>
      </w:r>
      <w:r w:rsidR="00937FA3">
        <w:rPr>
          <w:lang w:eastAsia="en-AU"/>
        </w:rPr>
        <w:t>Traditional Owners</w:t>
      </w:r>
      <w:r w:rsidR="00470F06">
        <w:rPr>
          <w:lang w:eastAsia="en-AU"/>
        </w:rPr>
        <w:t xml:space="preserve"> </w:t>
      </w:r>
      <w:r w:rsidR="003A2581">
        <w:rPr>
          <w:lang w:eastAsia="en-AU"/>
        </w:rPr>
        <w:t>in Victoria</w:t>
      </w:r>
      <w:r w:rsidR="00464705">
        <w:rPr>
          <w:lang w:eastAsia="en-AU"/>
        </w:rPr>
        <w:t xml:space="preserve"> achieve their aspirations</w:t>
      </w:r>
      <w:r w:rsidR="00057C3A">
        <w:rPr>
          <w:lang w:eastAsia="en-AU"/>
        </w:rPr>
        <w:t xml:space="preserve"> </w:t>
      </w:r>
      <w:r w:rsidR="001D678A" w:rsidRPr="001D678A">
        <w:rPr>
          <w:lang w:eastAsia="en-AU"/>
        </w:rPr>
        <w:t xml:space="preserve">post-recognition, </w:t>
      </w:r>
      <w:r w:rsidR="005D33A0" w:rsidRPr="00512F6C">
        <w:rPr>
          <w:lang w:eastAsia="en-AU"/>
        </w:rPr>
        <w:t xml:space="preserve">including </w:t>
      </w:r>
      <w:r w:rsidR="001D678A" w:rsidRPr="001D678A">
        <w:rPr>
          <w:lang w:eastAsia="en-AU"/>
        </w:rPr>
        <w:t>negotiating and expanding</w:t>
      </w:r>
      <w:r w:rsidR="005D33A0" w:rsidRPr="00512F6C">
        <w:rPr>
          <w:lang w:eastAsia="en-AU"/>
        </w:rPr>
        <w:t xml:space="preserve"> settlement </w:t>
      </w:r>
      <w:r w:rsidR="001D678A" w:rsidRPr="001D678A">
        <w:rPr>
          <w:lang w:eastAsia="en-AU"/>
        </w:rPr>
        <w:t xml:space="preserve">ILUAs under the </w:t>
      </w:r>
      <w:r w:rsidR="001D678A" w:rsidRPr="0010561D">
        <w:rPr>
          <w:lang w:eastAsia="en-AU"/>
        </w:rPr>
        <w:t>Settlement Act</w:t>
      </w:r>
      <w:r w:rsidR="001D678A" w:rsidRPr="001D678A">
        <w:rPr>
          <w:lang w:eastAsia="en-AU"/>
        </w:rPr>
        <w:t xml:space="preserve">. </w:t>
      </w:r>
      <w:r w:rsidR="00E05884">
        <w:rPr>
          <w:lang w:eastAsia="en-AU"/>
        </w:rPr>
        <w:t xml:space="preserve">FNLRS was guided by </w:t>
      </w:r>
      <w:r w:rsidR="007E0EB5">
        <w:rPr>
          <w:lang w:eastAsia="en-AU"/>
        </w:rPr>
        <w:t>two</w:t>
      </w:r>
      <w:r w:rsidR="00E05884">
        <w:rPr>
          <w:lang w:eastAsia="en-AU"/>
        </w:rPr>
        <w:t xml:space="preserve"> Strategic Plans during the Review period – the Strategic Plan 2017</w:t>
      </w:r>
      <w:r w:rsidR="006C33F7">
        <w:rPr>
          <w:lang w:eastAsia="en-AU"/>
        </w:rPr>
        <w:t>-</w:t>
      </w:r>
      <w:r w:rsidR="00E05884">
        <w:rPr>
          <w:lang w:eastAsia="en-AU"/>
        </w:rPr>
        <w:t>2020 and the Strategic Plan 2021</w:t>
      </w:r>
      <w:r w:rsidR="006C33F7">
        <w:rPr>
          <w:lang w:eastAsia="en-AU"/>
        </w:rPr>
        <w:t>-</w:t>
      </w:r>
      <w:r w:rsidR="00E05884">
        <w:rPr>
          <w:lang w:eastAsia="en-AU"/>
        </w:rPr>
        <w:t>2024</w:t>
      </w:r>
      <w:r w:rsidR="00740A51">
        <w:rPr>
          <w:lang w:eastAsia="en-AU"/>
        </w:rPr>
        <w:t>.</w:t>
      </w:r>
      <w:r w:rsidR="00E05884">
        <w:rPr>
          <w:lang w:eastAsia="en-AU"/>
        </w:rPr>
        <w:t xml:space="preserve"> </w:t>
      </w:r>
      <w:r w:rsidR="000D66D1">
        <w:rPr>
          <w:lang w:eastAsia="en-AU"/>
        </w:rPr>
        <w:t>Both strategic plans outline</w:t>
      </w:r>
      <w:r w:rsidR="00591878">
        <w:rPr>
          <w:lang w:eastAsia="en-AU"/>
        </w:rPr>
        <w:t>d</w:t>
      </w:r>
      <w:r w:rsidR="000D66D1">
        <w:rPr>
          <w:lang w:eastAsia="en-AU"/>
        </w:rPr>
        <w:t xml:space="preserve"> </w:t>
      </w:r>
      <w:r w:rsidR="0035203B">
        <w:rPr>
          <w:lang w:eastAsia="en-AU"/>
        </w:rPr>
        <w:t xml:space="preserve">FNLRS’s </w:t>
      </w:r>
      <w:r w:rsidR="00591878">
        <w:rPr>
          <w:lang w:eastAsia="en-AU"/>
        </w:rPr>
        <w:t xml:space="preserve">commitment to </w:t>
      </w:r>
      <w:r w:rsidR="00E65C1C">
        <w:rPr>
          <w:lang w:eastAsia="en-AU"/>
        </w:rPr>
        <w:t xml:space="preserve">anticipating and servicing the needs of its clients in a </w:t>
      </w:r>
      <w:r w:rsidR="000555C4">
        <w:rPr>
          <w:lang w:eastAsia="en-AU"/>
        </w:rPr>
        <w:t>“</w:t>
      </w:r>
      <w:r w:rsidR="00E65C1C">
        <w:rPr>
          <w:lang w:eastAsia="en-AU"/>
        </w:rPr>
        <w:t>post-settlement</w:t>
      </w:r>
      <w:r w:rsidR="000555C4">
        <w:rPr>
          <w:lang w:eastAsia="en-AU"/>
        </w:rPr>
        <w:t>”</w:t>
      </w:r>
      <w:r w:rsidR="00E65C1C">
        <w:rPr>
          <w:lang w:eastAsia="en-AU"/>
        </w:rPr>
        <w:t xml:space="preserve"> environment</w:t>
      </w:r>
      <w:r w:rsidR="00F235EE">
        <w:rPr>
          <w:lang w:eastAsia="en-AU"/>
        </w:rPr>
        <w:t xml:space="preserve"> (see </w:t>
      </w:r>
      <w:r w:rsidR="00F235EE">
        <w:rPr>
          <w:lang w:eastAsia="en-AU"/>
        </w:rPr>
        <w:fldChar w:fldCharType="begin"/>
      </w:r>
      <w:r w:rsidR="00F235EE">
        <w:rPr>
          <w:lang w:eastAsia="en-AU"/>
        </w:rPr>
        <w:instrText xml:space="preserve"> REF _Ref153365029 \h </w:instrText>
      </w:r>
      <w:r w:rsidR="00272689">
        <w:rPr>
          <w:lang w:eastAsia="en-AU"/>
        </w:rPr>
        <w:instrText xml:space="preserve"> \* MERGEFORMAT </w:instrText>
      </w:r>
      <w:r w:rsidR="00F235EE">
        <w:rPr>
          <w:lang w:eastAsia="en-AU"/>
        </w:rPr>
      </w:r>
      <w:r w:rsidR="00F235EE">
        <w:rPr>
          <w:lang w:eastAsia="en-AU"/>
        </w:rPr>
        <w:fldChar w:fldCharType="separate"/>
      </w:r>
      <w:r w:rsidR="00AB7E95" w:rsidRPr="00AB7E95">
        <w:rPr>
          <w:lang w:eastAsia="en-AU"/>
        </w:rPr>
        <w:t>Figure 5</w:t>
      </w:r>
      <w:r w:rsidR="00F235EE">
        <w:rPr>
          <w:lang w:eastAsia="en-AU"/>
        </w:rPr>
        <w:fldChar w:fldCharType="end"/>
      </w:r>
      <w:r w:rsidR="00F235EE">
        <w:rPr>
          <w:lang w:eastAsia="en-AU"/>
        </w:rPr>
        <w:t>)</w:t>
      </w:r>
      <w:r w:rsidR="00E65C1C">
        <w:rPr>
          <w:lang w:eastAsia="en-AU"/>
        </w:rPr>
        <w:t xml:space="preserve">. </w:t>
      </w:r>
      <w:r w:rsidR="004D7F4A">
        <w:t xml:space="preserve">FNLRS refers to post-settlement rather than </w:t>
      </w:r>
      <w:r w:rsidR="000555C4">
        <w:t>“</w:t>
      </w:r>
      <w:r w:rsidR="004D7F4A">
        <w:t>post-determination</w:t>
      </w:r>
      <w:r w:rsidR="000555C4">
        <w:t>”</w:t>
      </w:r>
      <w:r w:rsidR="004D7F4A">
        <w:t xml:space="preserve"> given the </w:t>
      </w:r>
      <w:r w:rsidR="006C33F7">
        <w:t>s</w:t>
      </w:r>
      <w:r w:rsidR="004D7F4A">
        <w:t xml:space="preserve">tate-based mechanisms for formal recognition </w:t>
      </w:r>
      <w:r w:rsidR="001F1FFF">
        <w:t xml:space="preserve">that </w:t>
      </w:r>
      <w:r w:rsidR="000D676A">
        <w:t xml:space="preserve">often </w:t>
      </w:r>
      <w:r w:rsidR="006C33F7">
        <w:t>precedes native</w:t>
      </w:r>
      <w:r w:rsidR="008514B1">
        <w:t xml:space="preserve"> title </w:t>
      </w:r>
      <w:r w:rsidR="006C33F7">
        <w:t>outcomes in</w:t>
      </w:r>
      <w:r w:rsidR="001F1FFF">
        <w:t xml:space="preserve"> Victoria</w:t>
      </w:r>
      <w:r w:rsidR="00E94F3C">
        <w:t xml:space="preserve">. </w:t>
      </w:r>
    </w:p>
    <w:p w14:paraId="53F41393" w14:textId="0738631E" w:rsidR="009876C3" w:rsidRDefault="00E27FF0" w:rsidP="009876C3">
      <w:r>
        <w:t xml:space="preserve">Given the complexity of the Victorian landscape and the various forms of recognition, </w:t>
      </w:r>
      <w:r w:rsidR="00C725B3">
        <w:t xml:space="preserve">it </w:t>
      </w:r>
      <w:r w:rsidR="00DF28C6">
        <w:t xml:space="preserve">is difficult to </w:t>
      </w:r>
      <w:r w:rsidR="00D77952">
        <w:t>view post</w:t>
      </w:r>
      <w:r w:rsidR="00C725B3">
        <w:t>-</w:t>
      </w:r>
      <w:r w:rsidR="00D77952">
        <w:t xml:space="preserve">determination support </w:t>
      </w:r>
      <w:r w:rsidR="00F23DB8">
        <w:t xml:space="preserve">for PBCs </w:t>
      </w:r>
      <w:r w:rsidR="00D77952">
        <w:t>in isolation from</w:t>
      </w:r>
      <w:r w:rsidR="00F65538">
        <w:t xml:space="preserve"> the </w:t>
      </w:r>
      <w:r w:rsidR="00D77952">
        <w:t xml:space="preserve">other </w:t>
      </w:r>
      <w:r w:rsidR="005A115A">
        <w:t xml:space="preserve">supports that are in place under </w:t>
      </w:r>
      <w:r w:rsidR="006C33F7">
        <w:t>s</w:t>
      </w:r>
      <w:r w:rsidR="005A115A">
        <w:t>tate-based agreements.</w:t>
      </w:r>
      <w:r w:rsidR="00C17831">
        <w:t xml:space="preserve"> </w:t>
      </w:r>
      <w:r w:rsidR="00E94F3C">
        <w:t>FNLRS nevertheless</w:t>
      </w:r>
      <w:r w:rsidR="002E0EEF">
        <w:t xml:space="preserve"> continue</w:t>
      </w:r>
      <w:r w:rsidR="00DF7E62">
        <w:t>d</w:t>
      </w:r>
      <w:r w:rsidR="002E0EEF">
        <w:t xml:space="preserve"> to </w:t>
      </w:r>
      <w:r w:rsidR="002E0EEF">
        <w:rPr>
          <w:lang w:eastAsia="en-AU"/>
        </w:rPr>
        <w:t>support</w:t>
      </w:r>
      <w:r w:rsidR="00733049">
        <w:rPr>
          <w:lang w:eastAsia="en-AU"/>
        </w:rPr>
        <w:t xml:space="preserve"> its </w:t>
      </w:r>
      <w:r w:rsidR="000976E4">
        <w:rPr>
          <w:lang w:eastAsia="en-AU"/>
        </w:rPr>
        <w:t>six</w:t>
      </w:r>
      <w:r w:rsidR="00733049">
        <w:rPr>
          <w:lang w:eastAsia="en-AU"/>
        </w:rPr>
        <w:t xml:space="preserve"> well-established PBCs</w:t>
      </w:r>
      <w:r w:rsidR="000976E4">
        <w:rPr>
          <w:lang w:eastAsia="en-AU"/>
        </w:rPr>
        <w:t xml:space="preserve">/TOGEs </w:t>
      </w:r>
      <w:r w:rsidR="00733049">
        <w:rPr>
          <w:lang w:eastAsia="en-AU"/>
        </w:rPr>
        <w:t xml:space="preserve">to </w:t>
      </w:r>
      <w:r w:rsidR="00472F35">
        <w:rPr>
          <w:lang w:eastAsia="en-AU"/>
        </w:rPr>
        <w:t>navigate</w:t>
      </w:r>
      <w:r w:rsidR="00733049">
        <w:rPr>
          <w:lang w:eastAsia="en-AU"/>
        </w:rPr>
        <w:t xml:space="preserve"> </w:t>
      </w:r>
      <w:r w:rsidR="00173353">
        <w:rPr>
          <w:lang w:eastAsia="en-AU"/>
        </w:rPr>
        <w:t xml:space="preserve">the </w:t>
      </w:r>
      <w:r w:rsidR="00733049">
        <w:rPr>
          <w:lang w:eastAsia="en-AU"/>
        </w:rPr>
        <w:t>post-determination</w:t>
      </w:r>
      <w:r w:rsidR="00B22070">
        <w:rPr>
          <w:lang w:eastAsia="en-AU"/>
        </w:rPr>
        <w:t xml:space="preserve"> and post-settlement</w:t>
      </w:r>
      <w:r w:rsidR="00173353">
        <w:rPr>
          <w:lang w:eastAsia="en-AU"/>
        </w:rPr>
        <w:t xml:space="preserve"> environment</w:t>
      </w:r>
      <w:r w:rsidR="003F2958">
        <w:rPr>
          <w:lang w:eastAsia="en-AU"/>
        </w:rPr>
        <w:t xml:space="preserve"> by supporting them with activities</w:t>
      </w:r>
      <w:r w:rsidR="00DF7E62">
        <w:rPr>
          <w:lang w:eastAsia="en-AU"/>
        </w:rPr>
        <w:t xml:space="preserve"> </w:t>
      </w:r>
      <w:r w:rsidR="000D6833">
        <w:rPr>
          <w:lang w:eastAsia="en-AU"/>
        </w:rPr>
        <w:t xml:space="preserve">as outlined </w:t>
      </w:r>
      <w:r w:rsidR="0061688D">
        <w:rPr>
          <w:lang w:eastAsia="en-AU"/>
        </w:rPr>
        <w:t xml:space="preserve">under </w:t>
      </w:r>
      <w:r w:rsidR="000D6833">
        <w:rPr>
          <w:lang w:eastAsia="en-AU"/>
        </w:rPr>
        <w:t>TOR 6</w:t>
      </w:r>
      <w:r w:rsidR="00DF7E62">
        <w:rPr>
          <w:lang w:eastAsia="en-AU"/>
        </w:rPr>
        <w:t xml:space="preserve"> through the Review period</w:t>
      </w:r>
      <w:r w:rsidR="00733049">
        <w:rPr>
          <w:lang w:eastAsia="en-AU"/>
        </w:rPr>
        <w:t xml:space="preserve">. </w:t>
      </w:r>
      <w:r w:rsidR="00E42774">
        <w:t xml:space="preserve">Emerging Treaty negotiations are likely to </w:t>
      </w:r>
      <w:r w:rsidR="001F2AA0">
        <w:t xml:space="preserve">add further complexity to the </w:t>
      </w:r>
      <w:r w:rsidR="003811DA">
        <w:t xml:space="preserve">type of support </w:t>
      </w:r>
      <w:r w:rsidR="0012769C">
        <w:t>PBCs</w:t>
      </w:r>
      <w:r w:rsidR="00C80697">
        <w:t xml:space="preserve"> and TOGEs</w:t>
      </w:r>
      <w:r w:rsidR="003811DA">
        <w:t xml:space="preserve"> might </w:t>
      </w:r>
      <w:r w:rsidR="0012769C">
        <w:t>require from FNLRS</w:t>
      </w:r>
      <w:r w:rsidR="001372DB">
        <w:t xml:space="preserve"> in the future</w:t>
      </w:r>
      <w:r w:rsidR="00E55A6C">
        <w:t>.</w:t>
      </w:r>
    </w:p>
    <w:p w14:paraId="72D04104" w14:textId="2CD1103E" w:rsidR="007B535C" w:rsidRPr="009876C3" w:rsidRDefault="007B535C" w:rsidP="009876C3">
      <w:pPr>
        <w:rPr>
          <w:rFonts w:ascii="Segoe UI Semibold" w:hAnsi="Segoe UI Semibold"/>
          <w:color w:val="00264D" w:themeColor="background2"/>
          <w:szCs w:val="18"/>
          <w:lang w:eastAsia="en-AU"/>
        </w:rPr>
      </w:pPr>
      <w:bookmarkStart w:id="46" w:name="_Ref153365029"/>
      <w:r w:rsidRPr="009876C3">
        <w:rPr>
          <w:rFonts w:ascii="Segoe UI Semibold" w:hAnsi="Segoe UI Semibold"/>
          <w:color w:val="00264D" w:themeColor="background2"/>
          <w:szCs w:val="18"/>
          <w:lang w:eastAsia="en-AU"/>
        </w:rPr>
        <w:t xml:space="preserve">Figure </w:t>
      </w:r>
      <w:r w:rsidRPr="009876C3">
        <w:rPr>
          <w:rFonts w:ascii="Segoe UI Semibold" w:hAnsi="Segoe UI Semibold"/>
          <w:color w:val="00264D" w:themeColor="background2"/>
          <w:szCs w:val="18"/>
          <w:lang w:eastAsia="en-AU"/>
        </w:rPr>
        <w:fldChar w:fldCharType="begin"/>
      </w:r>
      <w:r w:rsidRPr="009876C3">
        <w:rPr>
          <w:rFonts w:ascii="Segoe UI Semibold" w:hAnsi="Segoe UI Semibold"/>
          <w:color w:val="00264D" w:themeColor="background2"/>
          <w:szCs w:val="18"/>
          <w:lang w:eastAsia="en-AU"/>
        </w:rPr>
        <w:instrText xml:space="preserve"> SEQ Figure \* ARABIC </w:instrText>
      </w:r>
      <w:r w:rsidRPr="009876C3">
        <w:rPr>
          <w:rFonts w:ascii="Segoe UI Semibold" w:hAnsi="Segoe UI Semibold"/>
          <w:color w:val="00264D" w:themeColor="background2"/>
          <w:szCs w:val="18"/>
          <w:lang w:eastAsia="en-AU"/>
        </w:rPr>
        <w:fldChar w:fldCharType="separate"/>
      </w:r>
      <w:r w:rsidR="00AB7E95">
        <w:rPr>
          <w:rFonts w:ascii="Segoe UI Semibold" w:hAnsi="Segoe UI Semibold"/>
          <w:noProof/>
          <w:color w:val="00264D" w:themeColor="background2"/>
          <w:szCs w:val="18"/>
          <w:lang w:eastAsia="en-AU"/>
        </w:rPr>
        <w:t>5</w:t>
      </w:r>
      <w:r w:rsidRPr="009876C3">
        <w:rPr>
          <w:rFonts w:ascii="Segoe UI Semibold" w:hAnsi="Segoe UI Semibold"/>
          <w:color w:val="00264D" w:themeColor="background2"/>
          <w:szCs w:val="18"/>
          <w:lang w:eastAsia="en-AU"/>
        </w:rPr>
        <w:fldChar w:fldCharType="end"/>
      </w:r>
      <w:bookmarkEnd w:id="46"/>
      <w:r w:rsidRPr="009876C3">
        <w:rPr>
          <w:rFonts w:ascii="Segoe UI Semibold" w:hAnsi="Segoe UI Semibold"/>
          <w:color w:val="00264D" w:themeColor="background2"/>
          <w:szCs w:val="18"/>
          <w:lang w:eastAsia="en-AU"/>
        </w:rPr>
        <w:t xml:space="preserve"> | FNLRS’s </w:t>
      </w:r>
      <w:r w:rsidR="007841BB" w:rsidRPr="009876C3">
        <w:rPr>
          <w:rFonts w:ascii="Segoe UI Semibold" w:hAnsi="Segoe UI Semibold"/>
          <w:color w:val="00264D" w:themeColor="background2"/>
          <w:szCs w:val="18"/>
          <w:lang w:eastAsia="en-AU"/>
        </w:rPr>
        <w:t>o</w:t>
      </w:r>
      <w:r w:rsidR="00887DC2" w:rsidRPr="009876C3">
        <w:rPr>
          <w:rFonts w:ascii="Segoe UI Semibold" w:hAnsi="Segoe UI Semibold"/>
          <w:color w:val="00264D" w:themeColor="background2"/>
          <w:szCs w:val="18"/>
          <w:lang w:eastAsia="en-AU"/>
        </w:rPr>
        <w:t>bjectives and</w:t>
      </w:r>
      <w:r w:rsidRPr="009876C3">
        <w:rPr>
          <w:rFonts w:ascii="Segoe UI Semibold" w:hAnsi="Segoe UI Semibold"/>
          <w:color w:val="00264D" w:themeColor="background2"/>
          <w:szCs w:val="18"/>
          <w:lang w:eastAsia="en-AU"/>
        </w:rPr>
        <w:t xml:space="preserve"> </w:t>
      </w:r>
      <w:r w:rsidR="007841BB" w:rsidRPr="009876C3">
        <w:rPr>
          <w:rFonts w:ascii="Segoe UI Semibold" w:hAnsi="Segoe UI Semibold"/>
          <w:color w:val="00264D" w:themeColor="background2"/>
          <w:szCs w:val="18"/>
          <w:lang w:eastAsia="en-AU"/>
        </w:rPr>
        <w:t>p</w:t>
      </w:r>
      <w:r w:rsidRPr="009876C3">
        <w:rPr>
          <w:rFonts w:ascii="Segoe UI Semibold" w:hAnsi="Segoe UI Semibold"/>
          <w:color w:val="00264D" w:themeColor="background2"/>
          <w:szCs w:val="18"/>
          <w:lang w:eastAsia="en-AU"/>
        </w:rPr>
        <w:t>riorit</w:t>
      </w:r>
      <w:r w:rsidR="000F2285" w:rsidRPr="009876C3">
        <w:rPr>
          <w:rFonts w:ascii="Segoe UI Semibold" w:hAnsi="Segoe UI Semibold"/>
          <w:color w:val="00264D" w:themeColor="background2"/>
          <w:szCs w:val="18"/>
          <w:lang w:eastAsia="en-AU"/>
        </w:rPr>
        <w:t>ies</w:t>
      </w:r>
      <w:r w:rsidR="00887DC2" w:rsidRPr="009876C3">
        <w:rPr>
          <w:rFonts w:ascii="Segoe UI Semibold" w:hAnsi="Segoe UI Semibold"/>
          <w:color w:val="00264D" w:themeColor="background2"/>
          <w:szCs w:val="18"/>
          <w:lang w:eastAsia="en-AU"/>
        </w:rPr>
        <w:t xml:space="preserve"> </w:t>
      </w:r>
      <w:r w:rsidR="00B52954" w:rsidRPr="009876C3">
        <w:rPr>
          <w:rFonts w:ascii="Segoe UI Semibold" w:hAnsi="Segoe UI Semibold"/>
          <w:color w:val="00264D" w:themeColor="background2"/>
          <w:szCs w:val="18"/>
          <w:lang w:eastAsia="en-AU"/>
        </w:rPr>
        <w:t>from</w:t>
      </w:r>
      <w:r w:rsidR="00887DC2" w:rsidRPr="009876C3">
        <w:rPr>
          <w:rFonts w:ascii="Segoe UI Semibold" w:hAnsi="Segoe UI Semibold"/>
          <w:color w:val="00264D" w:themeColor="background2"/>
          <w:szCs w:val="18"/>
          <w:lang w:eastAsia="en-AU"/>
        </w:rPr>
        <w:t xml:space="preserve"> its two Strategic Plans that were active during the Review </w:t>
      </w:r>
      <w:r w:rsidR="00EC2EE1">
        <w:rPr>
          <w:rFonts w:ascii="Segoe UI Semibold" w:hAnsi="Segoe UI Semibold"/>
          <w:color w:val="00264D" w:themeColor="background2"/>
          <w:szCs w:val="18"/>
          <w:lang w:eastAsia="en-AU"/>
        </w:rPr>
        <w:t>p</w:t>
      </w:r>
      <w:r w:rsidR="00887DC2" w:rsidRPr="009876C3">
        <w:rPr>
          <w:rFonts w:ascii="Segoe UI Semibold" w:hAnsi="Segoe UI Semibold"/>
          <w:color w:val="00264D" w:themeColor="background2"/>
          <w:szCs w:val="18"/>
          <w:lang w:eastAsia="en-AU"/>
        </w:rPr>
        <w:t>eriod</w:t>
      </w:r>
      <w:r w:rsidR="000F2285" w:rsidRPr="009876C3">
        <w:rPr>
          <w:rFonts w:ascii="Segoe UI Semibold" w:hAnsi="Segoe UI Semibold"/>
          <w:color w:val="00264D" w:themeColor="background2"/>
          <w:szCs w:val="18"/>
          <w:lang w:eastAsia="en-AU"/>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8930"/>
      </w:tblGrid>
      <w:tr w:rsidR="0000360B" w14:paraId="6FE6718F" w14:textId="77777777" w:rsidTr="6967B2CC">
        <w:trPr>
          <w:cnfStyle w:val="100000000000" w:firstRow="1" w:lastRow="0" w:firstColumn="0" w:lastColumn="0" w:oddVBand="0" w:evenVBand="0" w:oddHBand="0" w:evenHBand="0" w:firstRowFirstColumn="0" w:firstRowLastColumn="0" w:lastRowFirstColumn="0" w:lastRowLastColumn="0"/>
          <w:cantSplit w:val="0"/>
          <w:tblHeader w:val="0"/>
        </w:trPr>
        <w:tc>
          <w:tcPr>
            <w:tcW w:w="8930" w:type="dxa"/>
          </w:tcPr>
          <w:p w14:paraId="1AA1182A" w14:textId="15AC6EF8" w:rsidR="00C458A7" w:rsidRPr="002910C7" w:rsidRDefault="00C458A7" w:rsidP="002910C7">
            <w:pPr>
              <w:pStyle w:val="Listnumbered"/>
              <w:numPr>
                <w:ilvl w:val="0"/>
                <w:numId w:val="56"/>
              </w:numPr>
              <w:rPr>
                <w:rFonts w:ascii="Segoe UI Semibold" w:hAnsi="Segoe UI Semibold"/>
                <w:szCs w:val="19"/>
              </w:rPr>
            </w:pPr>
            <w:r w:rsidRPr="002910C7">
              <w:rPr>
                <w:rFonts w:ascii="Segoe UI Semibold" w:hAnsi="Segoe UI Semibold"/>
                <w:szCs w:val="19"/>
              </w:rPr>
              <w:t>Objectives (20</w:t>
            </w:r>
            <w:r w:rsidR="00887DC2" w:rsidRPr="002910C7">
              <w:rPr>
                <w:rFonts w:ascii="Segoe UI Semibold" w:hAnsi="Segoe UI Semibold"/>
                <w:szCs w:val="19"/>
              </w:rPr>
              <w:t xml:space="preserve">17 </w:t>
            </w:r>
            <w:r w:rsidR="008E6D09" w:rsidRPr="002910C7">
              <w:rPr>
                <w:rFonts w:ascii="Segoe UI Semibold" w:hAnsi="Segoe UI Semibold"/>
                <w:szCs w:val="19"/>
              </w:rPr>
              <w:t>to</w:t>
            </w:r>
            <w:r w:rsidR="00887DC2" w:rsidRPr="002910C7">
              <w:rPr>
                <w:rFonts w:ascii="Segoe UI Semibold" w:hAnsi="Segoe UI Semibold"/>
                <w:szCs w:val="19"/>
              </w:rPr>
              <w:t xml:space="preserve"> 2020)</w:t>
            </w:r>
          </w:p>
          <w:p w14:paraId="473E7B0B" w14:textId="06AE25BB" w:rsidR="00C458A7" w:rsidRPr="00EC2EE1" w:rsidRDefault="00C458A7" w:rsidP="009876C3">
            <w:pPr>
              <w:pStyle w:val="Bullet"/>
            </w:pPr>
            <w:r w:rsidRPr="00EC2EE1">
              <w:t xml:space="preserve">Working to resolve outstanding native title issues and to create new Traditional Owner </w:t>
            </w:r>
            <w:r w:rsidR="001F495E">
              <w:t>c</w:t>
            </w:r>
            <w:r w:rsidRPr="00EC2EE1">
              <w:t>orporations (and Federation members).</w:t>
            </w:r>
          </w:p>
          <w:p w14:paraId="23A7FEC8" w14:textId="0CBBF49A" w:rsidR="00C458A7" w:rsidRPr="00EC2EE1" w:rsidRDefault="00C458A7" w:rsidP="009876C3">
            <w:pPr>
              <w:pStyle w:val="Bullet"/>
            </w:pPr>
            <w:r w:rsidRPr="00EC2EE1">
              <w:t>To become the service provider of choice for Traditional Owner Corporation Development</w:t>
            </w:r>
            <w:r w:rsidR="006C33F7">
              <w:t>.</w:t>
            </w:r>
          </w:p>
          <w:p w14:paraId="0CFE268F" w14:textId="4DA6F470" w:rsidR="00C458A7" w:rsidRPr="00EC2EE1" w:rsidRDefault="00C458A7" w:rsidP="6967B2CC">
            <w:pPr>
              <w:pStyle w:val="TableNBullet"/>
              <w:rPr>
                <w:sz w:val="19"/>
              </w:rPr>
            </w:pPr>
            <w:r w:rsidRPr="6967B2CC">
              <w:rPr>
                <w:sz w:val="19"/>
              </w:rPr>
              <w:t>To anticipate and service our client</w:t>
            </w:r>
            <w:r w:rsidR="006C33F7" w:rsidRPr="6967B2CC">
              <w:rPr>
                <w:sz w:val="19"/>
              </w:rPr>
              <w:t>’</w:t>
            </w:r>
            <w:r w:rsidRPr="6967B2CC">
              <w:rPr>
                <w:sz w:val="19"/>
              </w:rPr>
              <w:t>s legal, research, financial and governance needs in the post-settlement environment</w:t>
            </w:r>
            <w:r w:rsidR="006C33F7" w:rsidRPr="6967B2CC">
              <w:rPr>
                <w:sz w:val="19"/>
              </w:rPr>
              <w:t>.</w:t>
            </w:r>
          </w:p>
          <w:p w14:paraId="2788BFF7" w14:textId="18FC500C" w:rsidR="00C458A7" w:rsidRPr="00EC2EE1" w:rsidRDefault="00C458A7" w:rsidP="6967B2CC">
            <w:pPr>
              <w:pStyle w:val="TableNBullet"/>
              <w:rPr>
                <w:sz w:val="19"/>
              </w:rPr>
            </w:pPr>
            <w:r w:rsidRPr="6967B2CC">
              <w:rPr>
                <w:sz w:val="19"/>
              </w:rPr>
              <w:t>Return research materials and evidence in a culturally appropriate way</w:t>
            </w:r>
            <w:r w:rsidR="006C33F7" w:rsidRPr="6967B2CC">
              <w:rPr>
                <w:sz w:val="19"/>
              </w:rPr>
              <w:t>.</w:t>
            </w:r>
          </w:p>
          <w:p w14:paraId="14632DE0" w14:textId="0CD50BC7" w:rsidR="00C458A7" w:rsidRPr="00EC2EE1" w:rsidRDefault="00C458A7" w:rsidP="009876C3">
            <w:pPr>
              <w:pStyle w:val="Bullet"/>
            </w:pPr>
            <w:r w:rsidRPr="00EC2EE1">
              <w:t xml:space="preserve">Seek continuous improvement to agreement-making processes including the </w:t>
            </w:r>
            <w:r w:rsidRPr="0010561D">
              <w:t>Settlement Act</w:t>
            </w:r>
            <w:r w:rsidR="006C33F7">
              <w:t>.</w:t>
            </w:r>
          </w:p>
          <w:p w14:paraId="53723527" w14:textId="4B7F7DD1" w:rsidR="007B535C" w:rsidRPr="00EC2EE1" w:rsidRDefault="007B535C" w:rsidP="007B535C">
            <w:pPr>
              <w:pStyle w:val="Listnumbered"/>
              <w:rPr>
                <w:rFonts w:ascii="Segoe UI Semibold" w:hAnsi="Segoe UI Semibold"/>
                <w:szCs w:val="19"/>
              </w:rPr>
            </w:pPr>
            <w:r w:rsidRPr="00EC2EE1">
              <w:rPr>
                <w:rFonts w:ascii="Segoe UI Semibold" w:hAnsi="Segoe UI Semibold"/>
                <w:szCs w:val="19"/>
              </w:rPr>
              <w:t xml:space="preserve">Strategic priorities </w:t>
            </w:r>
            <w:r w:rsidR="00C458A7" w:rsidRPr="00EC2EE1">
              <w:rPr>
                <w:rFonts w:ascii="Segoe UI Semibold" w:hAnsi="Segoe UI Semibold"/>
                <w:szCs w:val="19"/>
              </w:rPr>
              <w:t xml:space="preserve">(2021 </w:t>
            </w:r>
            <w:r w:rsidR="008E6D09" w:rsidRPr="00EC2EE1">
              <w:rPr>
                <w:rFonts w:ascii="Segoe UI Semibold" w:hAnsi="Segoe UI Semibold"/>
                <w:szCs w:val="19"/>
              </w:rPr>
              <w:t>to</w:t>
            </w:r>
            <w:r w:rsidR="00C458A7" w:rsidRPr="00EC2EE1">
              <w:rPr>
                <w:rFonts w:ascii="Segoe UI Semibold" w:hAnsi="Segoe UI Semibold"/>
                <w:szCs w:val="19"/>
              </w:rPr>
              <w:t xml:space="preserve"> 2024)</w:t>
            </w:r>
          </w:p>
          <w:p w14:paraId="5B8044BA" w14:textId="6431951B" w:rsidR="007B535C" w:rsidRPr="00EC2EE1" w:rsidRDefault="007B535C" w:rsidP="009876C3">
            <w:pPr>
              <w:pStyle w:val="Bullet"/>
            </w:pPr>
            <w:r w:rsidRPr="00EC2EE1">
              <w:t>Achieve formal recognition across Victoria</w:t>
            </w:r>
            <w:r w:rsidR="006C33F7">
              <w:t>.</w:t>
            </w:r>
          </w:p>
          <w:p w14:paraId="62D972CD" w14:textId="6AB77456" w:rsidR="007B535C" w:rsidRPr="00EC2EE1" w:rsidRDefault="007B535C" w:rsidP="009876C3">
            <w:pPr>
              <w:pStyle w:val="Bullet"/>
            </w:pPr>
            <w:r w:rsidRPr="00EC2EE1">
              <w:t>Provide professional legal, research and corporate support to groups post</w:t>
            </w:r>
            <w:r w:rsidR="0030630E">
              <w:t>-</w:t>
            </w:r>
            <w:r w:rsidRPr="00EC2EE1">
              <w:t>settlement</w:t>
            </w:r>
            <w:r w:rsidR="006C33F7">
              <w:t>.</w:t>
            </w:r>
          </w:p>
          <w:p w14:paraId="4B161D81" w14:textId="7DA6D461" w:rsidR="007B535C" w:rsidRPr="00EC2EE1" w:rsidRDefault="007B535C" w:rsidP="009876C3">
            <w:pPr>
              <w:pStyle w:val="Bullet"/>
            </w:pPr>
            <w:r w:rsidRPr="00EC2EE1">
              <w:t>First Nations has the capacity to support Traditional Owner groups prepare for and negotiate treaties and other future agreements, upon request</w:t>
            </w:r>
            <w:r w:rsidR="006C33F7">
              <w:t>.</w:t>
            </w:r>
          </w:p>
          <w:p w14:paraId="2A76C172" w14:textId="0C84391F" w:rsidR="007B535C" w:rsidRPr="00EC2EE1" w:rsidRDefault="007B535C" w:rsidP="6967B2CC">
            <w:pPr>
              <w:pStyle w:val="TableNBullet"/>
              <w:rPr>
                <w:sz w:val="19"/>
              </w:rPr>
            </w:pPr>
            <w:r w:rsidRPr="6967B2CC">
              <w:rPr>
                <w:sz w:val="19"/>
              </w:rPr>
              <w:t>Victorian Traditional Owners benefit from improved settlement outcomes, including in relation to rights recognition, compensation and cultural heritage protection</w:t>
            </w:r>
            <w:r w:rsidR="00893B7F" w:rsidRPr="6967B2CC">
              <w:rPr>
                <w:sz w:val="19"/>
              </w:rPr>
              <w:t>.</w:t>
            </w:r>
          </w:p>
          <w:p w14:paraId="28E7F540" w14:textId="47901920" w:rsidR="007B535C" w:rsidRPr="00EC2EE1" w:rsidRDefault="007B535C" w:rsidP="6967B2CC">
            <w:pPr>
              <w:pStyle w:val="TableNBullet"/>
              <w:rPr>
                <w:sz w:val="19"/>
              </w:rPr>
            </w:pPr>
            <w:r w:rsidRPr="6967B2CC">
              <w:rPr>
                <w:sz w:val="19"/>
              </w:rPr>
              <w:t>A collaborative process for the return of research materials to Traditional Owner clients is established within legal and ethical frameworks</w:t>
            </w:r>
            <w:r w:rsidR="00893B7F" w:rsidRPr="6967B2CC">
              <w:rPr>
                <w:sz w:val="19"/>
              </w:rPr>
              <w:t>.</w:t>
            </w:r>
          </w:p>
          <w:p w14:paraId="65B872FC" w14:textId="7E20C9AC" w:rsidR="007B535C" w:rsidRPr="00EC2EE1" w:rsidRDefault="007B535C" w:rsidP="009876C3">
            <w:pPr>
              <w:pStyle w:val="Bullet"/>
            </w:pPr>
            <w:r w:rsidRPr="00EC2EE1">
              <w:t>First Nations has an increased profile within the Traditional Owner community</w:t>
            </w:r>
            <w:r w:rsidR="00893B7F">
              <w:t>.</w:t>
            </w:r>
          </w:p>
          <w:p w14:paraId="6968ADF5" w14:textId="0ADD5763" w:rsidR="007B535C" w:rsidRPr="000F2285" w:rsidRDefault="007B535C" w:rsidP="009876C3">
            <w:pPr>
              <w:pStyle w:val="Bullet"/>
            </w:pPr>
            <w:r w:rsidRPr="6967B2CC">
              <w:t>A heathy, nurturing, culturally safe and responsive work environment with a diverse staff group is established</w:t>
            </w:r>
            <w:r w:rsidR="00893B7F" w:rsidRPr="6967B2CC">
              <w:rPr>
                <w:sz w:val="18"/>
                <w:szCs w:val="18"/>
              </w:rPr>
              <w:t>.</w:t>
            </w:r>
          </w:p>
        </w:tc>
      </w:tr>
    </w:tbl>
    <w:p w14:paraId="7CEFBA7D" w14:textId="20F6B9A0" w:rsidR="000750FC" w:rsidRPr="00C17242" w:rsidRDefault="000750FC" w:rsidP="00893B7F">
      <w:pPr>
        <w:pStyle w:val="Heading5"/>
      </w:pPr>
      <w:r w:rsidRPr="00C17242">
        <w:t>PBCs</w:t>
      </w:r>
      <w:r w:rsidR="00FA73CE" w:rsidRPr="00C17242">
        <w:t xml:space="preserve"> and TOGEs</w:t>
      </w:r>
      <w:r w:rsidRPr="00C17242">
        <w:t xml:space="preserve"> were keen to work with FNLRS in the future and explore additional services </w:t>
      </w:r>
    </w:p>
    <w:p w14:paraId="64FAF2AE" w14:textId="61EA3AD1" w:rsidR="000750FC" w:rsidRPr="000750FC" w:rsidRDefault="000750FC" w:rsidP="000750FC">
      <w:pPr>
        <w:rPr>
          <w:lang w:eastAsia="en-AU"/>
        </w:rPr>
      </w:pPr>
      <w:r w:rsidRPr="000750FC">
        <w:rPr>
          <w:lang w:eastAsia="en-AU"/>
        </w:rPr>
        <w:t>PBCs</w:t>
      </w:r>
      <w:r w:rsidR="00FA73CE">
        <w:rPr>
          <w:lang w:eastAsia="en-AU"/>
        </w:rPr>
        <w:t xml:space="preserve"> and TOGEs</w:t>
      </w:r>
      <w:r w:rsidRPr="000750FC">
        <w:rPr>
          <w:lang w:eastAsia="en-AU"/>
        </w:rPr>
        <w:t xml:space="preserve"> who were consulted as part of the Review were interested in the role FNLRS was likely to play in the future. There was a consensus among</w:t>
      </w:r>
      <w:r w:rsidR="00FA73CE">
        <w:rPr>
          <w:lang w:eastAsia="en-AU"/>
        </w:rPr>
        <w:t xml:space="preserve"> both</w:t>
      </w:r>
      <w:r w:rsidRPr="000750FC">
        <w:rPr>
          <w:lang w:eastAsia="en-AU"/>
        </w:rPr>
        <w:t xml:space="preserve"> PBCs</w:t>
      </w:r>
      <w:r w:rsidR="00FA73CE">
        <w:rPr>
          <w:lang w:eastAsia="en-AU"/>
        </w:rPr>
        <w:t xml:space="preserve"> and TOGEs</w:t>
      </w:r>
      <w:r w:rsidRPr="000750FC">
        <w:rPr>
          <w:lang w:eastAsia="en-AU"/>
        </w:rPr>
        <w:t xml:space="preserve"> that FNLRS would continue to play </w:t>
      </w:r>
      <w:r w:rsidRPr="000750FC">
        <w:rPr>
          <w:lang w:eastAsia="en-AU"/>
        </w:rPr>
        <w:lastRenderedPageBreak/>
        <w:t>an important role in providing basic legal services to those PBCs</w:t>
      </w:r>
      <w:r w:rsidR="00FA73CE">
        <w:rPr>
          <w:lang w:eastAsia="en-AU"/>
        </w:rPr>
        <w:t xml:space="preserve"> and TOGEs</w:t>
      </w:r>
      <w:r w:rsidRPr="000750FC">
        <w:rPr>
          <w:lang w:eastAsia="en-AU"/>
        </w:rPr>
        <w:t xml:space="preserve"> that wanted to use FNLRS’s services. </w:t>
      </w:r>
      <w:r w:rsidR="00955D05">
        <w:rPr>
          <w:lang w:eastAsia="en-AU"/>
        </w:rPr>
        <w:t xml:space="preserve">Clients </w:t>
      </w:r>
      <w:r w:rsidRPr="000750FC">
        <w:rPr>
          <w:lang w:eastAsia="en-AU"/>
        </w:rPr>
        <w:t xml:space="preserve">believed that FNLRS’s historical knowledge and experience working under the </w:t>
      </w:r>
      <w:proofErr w:type="gramStart"/>
      <w:r w:rsidRPr="00447C8A">
        <w:rPr>
          <w:lang w:eastAsia="en-AU"/>
        </w:rPr>
        <w:t>NTA</w:t>
      </w:r>
      <w:proofErr w:type="gramEnd"/>
      <w:r w:rsidRPr="00FA73CE">
        <w:rPr>
          <w:i/>
          <w:iCs/>
          <w:lang w:eastAsia="en-AU"/>
        </w:rPr>
        <w:t xml:space="preserve"> </w:t>
      </w:r>
      <w:r w:rsidRPr="000750FC">
        <w:rPr>
          <w:lang w:eastAsia="en-AU"/>
        </w:rPr>
        <w:t xml:space="preserve">and the </w:t>
      </w:r>
      <w:r w:rsidRPr="0010561D">
        <w:rPr>
          <w:lang w:eastAsia="en-AU"/>
        </w:rPr>
        <w:t>Settlement Act</w:t>
      </w:r>
      <w:r w:rsidRPr="000750FC">
        <w:rPr>
          <w:lang w:eastAsia="en-AU"/>
        </w:rPr>
        <w:t xml:space="preserve"> resulted in FNLRS still being the most obvious go-to service for legal advice in Victoria. All </w:t>
      </w:r>
      <w:r w:rsidR="00955D05">
        <w:rPr>
          <w:lang w:eastAsia="en-AU"/>
        </w:rPr>
        <w:t>clients</w:t>
      </w:r>
      <w:r w:rsidRPr="000750FC">
        <w:rPr>
          <w:lang w:eastAsia="en-AU"/>
        </w:rPr>
        <w:t xml:space="preserve"> agreed that it was important for new PBCs</w:t>
      </w:r>
      <w:r w:rsidR="00955D05">
        <w:rPr>
          <w:lang w:eastAsia="en-AU"/>
        </w:rPr>
        <w:t xml:space="preserve"> and TOGEs</w:t>
      </w:r>
      <w:r w:rsidRPr="000750FC">
        <w:rPr>
          <w:lang w:eastAsia="en-AU"/>
        </w:rPr>
        <w:t xml:space="preserve"> to have access to FNLRS’s services as more areas are determined across Victoria in the future.</w:t>
      </w:r>
    </w:p>
    <w:p w14:paraId="43A67C4A" w14:textId="40552AD5" w:rsidR="000750FC" w:rsidRDefault="000750FC" w:rsidP="000750FC">
      <w:pPr>
        <w:rPr>
          <w:lang w:eastAsia="en-AU"/>
        </w:rPr>
      </w:pPr>
      <w:r w:rsidRPr="000750FC">
        <w:rPr>
          <w:lang w:eastAsia="en-AU"/>
        </w:rPr>
        <w:t xml:space="preserve">When asked what additional advice they would like to receive from FNLRS in the future, </w:t>
      </w:r>
      <w:r w:rsidR="00955D05">
        <w:rPr>
          <w:lang w:eastAsia="en-AU"/>
        </w:rPr>
        <w:t>clients</w:t>
      </w:r>
      <w:r w:rsidRPr="000750FC">
        <w:rPr>
          <w:lang w:eastAsia="en-AU"/>
        </w:rPr>
        <w:t xml:space="preserve"> thought it would be valuable to access specialist advice as it related to native title or </w:t>
      </w:r>
      <w:r w:rsidRPr="0010561D">
        <w:rPr>
          <w:lang w:eastAsia="en-AU"/>
        </w:rPr>
        <w:t>Settlement Act</w:t>
      </w:r>
      <w:r w:rsidRPr="000750FC">
        <w:rPr>
          <w:lang w:eastAsia="en-AU"/>
        </w:rPr>
        <w:t xml:space="preserve"> agreements. Examples provided included legal advice around commercial deals and compensation. While </w:t>
      </w:r>
      <w:r w:rsidR="00955D05">
        <w:rPr>
          <w:lang w:eastAsia="en-AU"/>
        </w:rPr>
        <w:t>clients</w:t>
      </w:r>
      <w:r w:rsidRPr="000750FC">
        <w:rPr>
          <w:lang w:eastAsia="en-AU"/>
        </w:rPr>
        <w:t xml:space="preserve"> noted that they were able to access private law firms for this kind of work, they believed that having lawyers with a native title background would be beneficial.</w:t>
      </w:r>
    </w:p>
    <w:p w14:paraId="2A103D05" w14:textId="7A1646C9" w:rsidR="005A3EED" w:rsidRDefault="005A3EED" w:rsidP="00264915">
      <w:pPr>
        <w:pStyle w:val="Heading5"/>
      </w:pPr>
      <w:r>
        <w:t xml:space="preserve">FNLRS </w:t>
      </w:r>
      <w:r w:rsidR="00AD239B">
        <w:t>recognise</w:t>
      </w:r>
      <w:r w:rsidR="005B1DD0">
        <w:t>d</w:t>
      </w:r>
      <w:r>
        <w:t xml:space="preserve"> that its operating model </w:t>
      </w:r>
      <w:r w:rsidR="00721FDE">
        <w:t xml:space="preserve">will need to evolve </w:t>
      </w:r>
      <w:r w:rsidR="00AD239B">
        <w:t xml:space="preserve">to </w:t>
      </w:r>
      <w:r w:rsidR="00B9717E">
        <w:t>adapt to</w:t>
      </w:r>
      <w:r w:rsidR="00AD239B">
        <w:t xml:space="preserve"> changing client </w:t>
      </w:r>
      <w:r w:rsidR="00A16F37">
        <w:t xml:space="preserve">needs </w:t>
      </w:r>
    </w:p>
    <w:p w14:paraId="03BC50EB" w14:textId="0E30263D" w:rsidR="004D4E27" w:rsidRDefault="00E73C92" w:rsidP="00264915">
      <w:pPr>
        <w:rPr>
          <w:lang w:eastAsia="en-AU"/>
        </w:rPr>
      </w:pPr>
      <w:r w:rsidRPr="00C91ED7">
        <w:rPr>
          <w:lang w:eastAsia="en-AU"/>
        </w:rPr>
        <w:t>FNLRS</w:t>
      </w:r>
      <w:r w:rsidR="00E2075E">
        <w:rPr>
          <w:lang w:eastAsia="en-AU"/>
        </w:rPr>
        <w:t>s</w:t>
      </w:r>
      <w:r w:rsidR="00C4754A">
        <w:rPr>
          <w:lang w:eastAsia="en-AU"/>
        </w:rPr>
        <w:t>’</w:t>
      </w:r>
      <w:r w:rsidRPr="00C91ED7">
        <w:rPr>
          <w:lang w:eastAsia="en-AU"/>
        </w:rPr>
        <w:t xml:space="preserve"> </w:t>
      </w:r>
      <w:r w:rsidR="00AB033F" w:rsidRPr="00C91ED7">
        <w:rPr>
          <w:lang w:eastAsia="en-AU"/>
        </w:rPr>
        <w:t>leadership</w:t>
      </w:r>
      <w:r w:rsidR="00C91ED7">
        <w:rPr>
          <w:lang w:eastAsia="en-AU"/>
        </w:rPr>
        <w:t>’s</w:t>
      </w:r>
      <w:r w:rsidR="00684AC6" w:rsidRPr="00C91ED7">
        <w:rPr>
          <w:lang w:eastAsia="en-AU"/>
        </w:rPr>
        <w:t xml:space="preserve"> priority</w:t>
      </w:r>
      <w:r w:rsidR="00896A21">
        <w:rPr>
          <w:lang w:eastAsia="en-AU"/>
        </w:rPr>
        <w:t xml:space="preserve"> during the Review period</w:t>
      </w:r>
      <w:r w:rsidR="00684AC6" w:rsidRPr="00C91ED7">
        <w:rPr>
          <w:lang w:eastAsia="en-AU"/>
        </w:rPr>
        <w:t xml:space="preserve"> was to </w:t>
      </w:r>
      <w:r w:rsidR="00175DD7" w:rsidRPr="00C91ED7">
        <w:rPr>
          <w:lang w:eastAsia="en-AU"/>
        </w:rPr>
        <w:t>complete the</w:t>
      </w:r>
      <w:r w:rsidR="00684AC6" w:rsidRPr="00C91ED7">
        <w:rPr>
          <w:lang w:eastAsia="en-AU"/>
        </w:rPr>
        <w:t xml:space="preserve"> remaining native title claims for </w:t>
      </w:r>
      <w:r w:rsidR="00516904" w:rsidRPr="00C91ED7">
        <w:rPr>
          <w:lang w:eastAsia="en-AU"/>
        </w:rPr>
        <w:t xml:space="preserve">Traditional Owners </w:t>
      </w:r>
      <w:r w:rsidR="00CC04D2">
        <w:rPr>
          <w:lang w:eastAsia="en-AU"/>
        </w:rPr>
        <w:t>in Victoria</w:t>
      </w:r>
      <w:r w:rsidR="00516904" w:rsidRPr="00C91ED7">
        <w:rPr>
          <w:lang w:eastAsia="en-AU"/>
        </w:rPr>
        <w:t xml:space="preserve">. </w:t>
      </w:r>
      <w:r w:rsidR="001605D5">
        <w:rPr>
          <w:lang w:eastAsia="en-AU"/>
        </w:rPr>
        <w:t xml:space="preserve">However, </w:t>
      </w:r>
      <w:r w:rsidR="00897151">
        <w:rPr>
          <w:lang w:eastAsia="en-AU"/>
        </w:rPr>
        <w:t>most staff recognised that</w:t>
      </w:r>
      <w:r w:rsidR="00001488">
        <w:rPr>
          <w:lang w:eastAsia="en-AU"/>
        </w:rPr>
        <w:t xml:space="preserve"> </w:t>
      </w:r>
      <w:r w:rsidR="00D64C41">
        <w:rPr>
          <w:lang w:eastAsia="en-AU"/>
        </w:rPr>
        <w:t>once the claims are finalised</w:t>
      </w:r>
      <w:r w:rsidR="003207B5">
        <w:rPr>
          <w:lang w:eastAsia="en-AU"/>
        </w:rPr>
        <w:t xml:space="preserve">, </w:t>
      </w:r>
      <w:r w:rsidR="00001488">
        <w:rPr>
          <w:lang w:eastAsia="en-AU"/>
        </w:rPr>
        <w:t xml:space="preserve">FNLRS’s role </w:t>
      </w:r>
      <w:r w:rsidR="00897151">
        <w:rPr>
          <w:lang w:eastAsia="en-AU"/>
        </w:rPr>
        <w:t xml:space="preserve">and operating model </w:t>
      </w:r>
      <w:r w:rsidR="008F31EC">
        <w:rPr>
          <w:lang w:eastAsia="en-AU"/>
        </w:rPr>
        <w:t>was</w:t>
      </w:r>
      <w:r w:rsidR="00001488">
        <w:rPr>
          <w:lang w:eastAsia="en-AU"/>
        </w:rPr>
        <w:t xml:space="preserve"> likely to change </w:t>
      </w:r>
      <w:r w:rsidR="004E7E42">
        <w:rPr>
          <w:lang w:eastAsia="en-AU"/>
        </w:rPr>
        <w:t xml:space="preserve">and would also need to respond to </w:t>
      </w:r>
      <w:r w:rsidR="008154B1">
        <w:rPr>
          <w:lang w:eastAsia="en-AU"/>
        </w:rPr>
        <w:t>the</w:t>
      </w:r>
      <w:r w:rsidR="008154B1" w:rsidRPr="008154B1">
        <w:rPr>
          <w:lang w:eastAsia="en-AU"/>
        </w:rPr>
        <w:t xml:space="preserve"> contestable environment</w:t>
      </w:r>
      <w:r w:rsidR="00B44C18">
        <w:rPr>
          <w:lang w:eastAsia="en-AU"/>
        </w:rPr>
        <w:t xml:space="preserve"> it exists in. </w:t>
      </w:r>
      <w:r w:rsidR="003C292A">
        <w:rPr>
          <w:lang w:eastAsia="en-AU"/>
        </w:rPr>
        <w:t xml:space="preserve">FNLRS’s position </w:t>
      </w:r>
      <w:r w:rsidR="00881EE4">
        <w:rPr>
          <w:lang w:eastAsia="en-AU"/>
        </w:rPr>
        <w:t xml:space="preserve">to be the go-to service provider for post-determination or post-settlement support remains unchanged. However, FNLRS recognises that future support for PBCs and </w:t>
      </w:r>
      <w:r w:rsidR="00955D05">
        <w:rPr>
          <w:lang w:eastAsia="en-AU"/>
        </w:rPr>
        <w:t xml:space="preserve">TOGEs </w:t>
      </w:r>
      <w:r w:rsidR="00881EE4">
        <w:rPr>
          <w:lang w:eastAsia="en-AU"/>
        </w:rPr>
        <w:t>will need to be undertaken on a fee-for-service basis</w:t>
      </w:r>
      <w:r w:rsidR="005C688A">
        <w:rPr>
          <w:lang w:eastAsia="en-AU"/>
        </w:rPr>
        <w:t>.</w:t>
      </w:r>
      <w:r w:rsidR="00881EE4">
        <w:rPr>
          <w:lang w:eastAsia="en-AU"/>
        </w:rPr>
        <w:t xml:space="preserve"> This aligns with </w:t>
      </w:r>
      <w:r w:rsidR="00955D05">
        <w:rPr>
          <w:lang w:eastAsia="en-AU"/>
        </w:rPr>
        <w:t xml:space="preserve">clients’ </w:t>
      </w:r>
      <w:r w:rsidR="00180C9B">
        <w:rPr>
          <w:lang w:eastAsia="en-AU"/>
        </w:rPr>
        <w:t xml:space="preserve">aspirations to be self-sufficient and able to choose their own providers. </w:t>
      </w:r>
    </w:p>
    <w:p w14:paraId="2420E559" w14:textId="392334CF" w:rsidR="00A31499" w:rsidRDefault="008E311D" w:rsidP="00264915">
      <w:pPr>
        <w:rPr>
          <w:lang w:eastAsia="en-AU"/>
        </w:rPr>
      </w:pPr>
      <w:r w:rsidRPr="00DE4300">
        <w:rPr>
          <w:lang w:eastAsia="en-AU"/>
        </w:rPr>
        <w:t xml:space="preserve">Developing FNLRS’s next strategy </w:t>
      </w:r>
      <w:r w:rsidR="00557068">
        <w:rPr>
          <w:lang w:eastAsia="en-AU"/>
        </w:rPr>
        <w:t>(</w:t>
      </w:r>
      <w:r w:rsidRPr="00DE4300">
        <w:rPr>
          <w:lang w:eastAsia="en-AU"/>
        </w:rPr>
        <w:t>post-2024</w:t>
      </w:r>
      <w:r w:rsidR="00557068">
        <w:rPr>
          <w:lang w:eastAsia="en-AU"/>
        </w:rPr>
        <w:t>)</w:t>
      </w:r>
      <w:r w:rsidRPr="00DE4300">
        <w:rPr>
          <w:lang w:eastAsia="en-AU"/>
        </w:rPr>
        <w:t xml:space="preserve">, provides </w:t>
      </w:r>
      <w:r w:rsidR="005C688A" w:rsidRPr="00DE4300">
        <w:rPr>
          <w:lang w:eastAsia="en-AU"/>
        </w:rPr>
        <w:t xml:space="preserve">a valuable opportunity to reflect on </w:t>
      </w:r>
      <w:r w:rsidRPr="00DE4300">
        <w:rPr>
          <w:lang w:eastAsia="en-AU"/>
        </w:rPr>
        <w:t>the optimal</w:t>
      </w:r>
      <w:r w:rsidR="005C688A" w:rsidRPr="00DE4300">
        <w:rPr>
          <w:lang w:eastAsia="en-AU"/>
        </w:rPr>
        <w:t xml:space="preserve"> operating model for the medium-</w:t>
      </w:r>
      <w:r w:rsidR="001D7439">
        <w:rPr>
          <w:lang w:eastAsia="en-AU"/>
        </w:rPr>
        <w:t xml:space="preserve"> to </w:t>
      </w:r>
      <w:r w:rsidR="00EC5344">
        <w:rPr>
          <w:lang w:eastAsia="en-AU"/>
        </w:rPr>
        <w:t>long-</w:t>
      </w:r>
      <w:r w:rsidR="005C688A" w:rsidRPr="00DE4300">
        <w:rPr>
          <w:lang w:eastAsia="en-AU"/>
        </w:rPr>
        <w:t>term and to consider</w:t>
      </w:r>
      <w:r w:rsidRPr="00DE4300">
        <w:rPr>
          <w:lang w:eastAsia="en-AU"/>
        </w:rPr>
        <w:t xml:space="preserve"> what capability is required to deliver </w:t>
      </w:r>
      <w:r w:rsidR="00427C85" w:rsidRPr="00DE4300">
        <w:rPr>
          <w:lang w:eastAsia="en-AU"/>
        </w:rPr>
        <w:t>the services that are in demand</w:t>
      </w:r>
      <w:r w:rsidR="005C688A" w:rsidRPr="00DE4300">
        <w:rPr>
          <w:lang w:eastAsia="en-AU"/>
        </w:rPr>
        <w:t xml:space="preserve">. </w:t>
      </w:r>
      <w:r w:rsidR="00427C85" w:rsidRPr="00DE4300">
        <w:rPr>
          <w:lang w:eastAsia="en-AU"/>
        </w:rPr>
        <w:t xml:space="preserve">Key to this will be to explore how FNLRS </w:t>
      </w:r>
      <w:r w:rsidR="00452E2A">
        <w:rPr>
          <w:lang w:eastAsia="en-AU"/>
        </w:rPr>
        <w:t>could</w:t>
      </w:r>
      <w:r w:rsidR="00427C85" w:rsidRPr="00DE4300">
        <w:rPr>
          <w:lang w:eastAsia="en-AU"/>
        </w:rPr>
        <w:t xml:space="preserve"> pursue a model where</w:t>
      </w:r>
      <w:r w:rsidR="00572C59">
        <w:rPr>
          <w:lang w:eastAsia="en-AU"/>
        </w:rPr>
        <w:t>, in line with the endorsed recommendations of the Strategic Review, FNLRS</w:t>
      </w:r>
      <w:r w:rsidR="00452E2A">
        <w:rPr>
          <w:lang w:eastAsia="en-AU"/>
        </w:rPr>
        <w:t xml:space="preserve"> adopts more neutral positioning and</w:t>
      </w:r>
      <w:r w:rsidR="00427C85" w:rsidRPr="00DE4300">
        <w:rPr>
          <w:lang w:eastAsia="en-AU"/>
        </w:rPr>
        <w:t xml:space="preserve"> briefs out more cases to external lawyers, </w:t>
      </w:r>
      <w:r w:rsidR="00445542" w:rsidRPr="00DE4300">
        <w:rPr>
          <w:lang w:eastAsia="en-AU"/>
        </w:rPr>
        <w:t xml:space="preserve">while retaining </w:t>
      </w:r>
      <w:r w:rsidR="00ED4820">
        <w:rPr>
          <w:lang w:eastAsia="en-AU"/>
        </w:rPr>
        <w:t>its</w:t>
      </w:r>
      <w:r w:rsidR="00445542" w:rsidRPr="00DE4300">
        <w:rPr>
          <w:lang w:eastAsia="en-AU"/>
        </w:rPr>
        <w:t xml:space="preserve"> valuable and knowledgeable staff, </w:t>
      </w:r>
      <w:r w:rsidR="00ED4820">
        <w:rPr>
          <w:lang w:eastAsia="en-AU"/>
        </w:rPr>
        <w:t>particularly</w:t>
      </w:r>
      <w:r w:rsidR="00445542" w:rsidRPr="00DE4300">
        <w:rPr>
          <w:lang w:eastAsia="en-AU"/>
        </w:rPr>
        <w:t xml:space="preserve"> lawyers</w:t>
      </w:r>
      <w:r w:rsidR="000067FA" w:rsidRPr="00DE4300">
        <w:rPr>
          <w:lang w:eastAsia="en-AU"/>
        </w:rPr>
        <w:t xml:space="preserve">. While experienced lawyers may </w:t>
      </w:r>
      <w:r w:rsidR="00445542" w:rsidRPr="00DE4300">
        <w:rPr>
          <w:lang w:eastAsia="en-AU"/>
        </w:rPr>
        <w:t xml:space="preserve">no longer be needed to represent clients, </w:t>
      </w:r>
      <w:r w:rsidR="000067FA" w:rsidRPr="00DE4300">
        <w:rPr>
          <w:lang w:eastAsia="en-AU"/>
        </w:rPr>
        <w:t>their</w:t>
      </w:r>
      <w:r w:rsidR="00445542" w:rsidRPr="00DE4300">
        <w:rPr>
          <w:lang w:eastAsia="en-AU"/>
        </w:rPr>
        <w:t xml:space="preserve"> skills and </w:t>
      </w:r>
      <w:r w:rsidR="000067FA" w:rsidRPr="00DE4300">
        <w:rPr>
          <w:lang w:eastAsia="en-AU"/>
        </w:rPr>
        <w:t>historical knowledge</w:t>
      </w:r>
      <w:r w:rsidR="00445542" w:rsidRPr="00DE4300">
        <w:rPr>
          <w:lang w:eastAsia="en-AU"/>
        </w:rPr>
        <w:t xml:space="preserve"> </w:t>
      </w:r>
      <w:r w:rsidR="00ED4820">
        <w:rPr>
          <w:lang w:eastAsia="en-AU"/>
        </w:rPr>
        <w:t>will be</w:t>
      </w:r>
      <w:r w:rsidR="00445542" w:rsidRPr="00DE4300">
        <w:rPr>
          <w:lang w:eastAsia="en-AU"/>
        </w:rPr>
        <w:t xml:space="preserve"> critical to helping</w:t>
      </w:r>
      <w:r w:rsidR="00955D05">
        <w:rPr>
          <w:lang w:eastAsia="en-AU"/>
        </w:rPr>
        <w:t xml:space="preserve"> the</w:t>
      </w:r>
      <w:r w:rsidR="00445542" w:rsidRPr="00DE4300">
        <w:rPr>
          <w:lang w:eastAsia="en-AU"/>
        </w:rPr>
        <w:t xml:space="preserve"> PBCs</w:t>
      </w:r>
      <w:r w:rsidR="00955D05">
        <w:rPr>
          <w:lang w:eastAsia="en-AU"/>
        </w:rPr>
        <w:t xml:space="preserve"> and TOGEs</w:t>
      </w:r>
      <w:r w:rsidR="00445542" w:rsidRPr="00DE4300">
        <w:rPr>
          <w:lang w:eastAsia="en-AU"/>
        </w:rPr>
        <w:t xml:space="preserve"> execute their strategies over the long term. </w:t>
      </w:r>
    </w:p>
    <w:p w14:paraId="1AB87518" w14:textId="7D73DE52" w:rsidR="00896A21" w:rsidRPr="00D10DFF" w:rsidRDefault="007A7F11" w:rsidP="00264915">
      <w:pPr>
        <w:rPr>
          <w:lang w:eastAsia="en-AU"/>
        </w:rPr>
      </w:pPr>
      <w:r w:rsidRPr="00DE4300">
        <w:t xml:space="preserve">Undertaking an in-depth planning </w:t>
      </w:r>
      <w:r w:rsidRPr="00D10DFF">
        <w:t xml:space="preserve">exercise that </w:t>
      </w:r>
      <w:r w:rsidR="006B4B48">
        <w:t>considers</w:t>
      </w:r>
      <w:r w:rsidRPr="00D10DFF">
        <w:t xml:space="preserve"> </w:t>
      </w:r>
      <w:r w:rsidR="00764C73">
        <w:t xml:space="preserve">the </w:t>
      </w:r>
      <w:r w:rsidRPr="00D10DFF">
        <w:t>leadership’s view</w:t>
      </w:r>
      <w:r w:rsidR="009C0E84">
        <w:t xml:space="preserve"> and that of</w:t>
      </w:r>
      <w:r w:rsidRPr="00D10DFF">
        <w:t xml:space="preserve"> staff and other relevant stakeholders including clients, </w:t>
      </w:r>
      <w:r w:rsidR="002D1164" w:rsidRPr="00D10DFF">
        <w:t>would be valuable.</w:t>
      </w:r>
      <w:r w:rsidR="00ED4820" w:rsidRPr="00D10DFF">
        <w:t xml:space="preserve"> </w:t>
      </w:r>
      <w:r w:rsidR="009D4A25" w:rsidRPr="00D10DFF">
        <w:t xml:space="preserve">A clear vision for the future will </w:t>
      </w:r>
      <w:r w:rsidR="00ED4820" w:rsidRPr="00D10DFF">
        <w:t xml:space="preserve">help to </w:t>
      </w:r>
      <w:r w:rsidR="009D4A25" w:rsidRPr="00D10DFF">
        <w:t xml:space="preserve">provide clarity to </w:t>
      </w:r>
      <w:r w:rsidR="00ED4820" w:rsidRPr="00D10DFF">
        <w:t>client</w:t>
      </w:r>
      <w:r w:rsidR="009D4A25" w:rsidRPr="00D10DFF">
        <w:t>s</w:t>
      </w:r>
      <w:r w:rsidR="009C0E84">
        <w:t xml:space="preserve"> and</w:t>
      </w:r>
      <w:r w:rsidR="00D536C3" w:rsidRPr="00D10DFF">
        <w:t xml:space="preserve"> to staff</w:t>
      </w:r>
      <w:r w:rsidR="00ED4820" w:rsidRPr="00D10DFF">
        <w:t xml:space="preserve"> to ensure that </w:t>
      </w:r>
      <w:r w:rsidR="00EA6950">
        <w:t>FNL</w:t>
      </w:r>
      <w:r w:rsidR="00955D05">
        <w:t>R</w:t>
      </w:r>
      <w:r w:rsidR="00EA6950">
        <w:t>S</w:t>
      </w:r>
      <w:r w:rsidR="00A779BC">
        <w:t>’s</w:t>
      </w:r>
      <w:r w:rsidR="00EA6950" w:rsidRPr="00D10DFF">
        <w:t xml:space="preserve"> </w:t>
      </w:r>
      <w:r w:rsidR="00ED4820" w:rsidRPr="00D10DFF">
        <w:t xml:space="preserve">employee value proposition </w:t>
      </w:r>
      <w:r w:rsidR="009F4A49" w:rsidRPr="00D10DFF">
        <w:t>to attract and retain staff remains strong</w:t>
      </w:r>
      <w:r w:rsidR="00ED4820" w:rsidRPr="00D10DFF">
        <w:t xml:space="preserve">. </w:t>
      </w:r>
      <w:r w:rsidR="00E35B3D" w:rsidRPr="00D10DFF">
        <w:t xml:space="preserve">While uncertainty around future funding decisions from both </w:t>
      </w:r>
      <w:r w:rsidR="00F94832">
        <w:t>state and federal</w:t>
      </w:r>
      <w:r w:rsidR="00E35B3D" w:rsidRPr="00D10DFF">
        <w:t xml:space="preserve"> sources</w:t>
      </w:r>
      <w:r w:rsidR="00D10DFF" w:rsidRPr="00D10DFF">
        <w:t xml:space="preserve"> and the Treaty process</w:t>
      </w:r>
      <w:r w:rsidR="00E35B3D" w:rsidRPr="00D10DFF">
        <w:t xml:space="preserve"> </w:t>
      </w:r>
      <w:r w:rsidR="00D10DFF">
        <w:t xml:space="preserve">(see below) </w:t>
      </w:r>
      <w:r w:rsidR="00E35B3D" w:rsidRPr="00D10DFF">
        <w:t>is a</w:t>
      </w:r>
      <w:r w:rsidR="00C06A63">
        <w:t>n obstacle</w:t>
      </w:r>
      <w:r w:rsidR="00E35B3D" w:rsidRPr="00D10DFF">
        <w:t xml:space="preserve"> to effective</w:t>
      </w:r>
      <w:r w:rsidR="009F4A49" w:rsidRPr="00D10DFF">
        <w:t xml:space="preserve"> </w:t>
      </w:r>
      <w:r w:rsidR="00992439" w:rsidRPr="00D10DFF">
        <w:t>planning</w:t>
      </w:r>
      <w:r w:rsidR="009F4A49" w:rsidRPr="00D10DFF">
        <w:t>, s</w:t>
      </w:r>
      <w:r w:rsidR="00D536C3" w:rsidRPr="00D10DFF">
        <w:rPr>
          <w:lang w:eastAsia="en-AU"/>
        </w:rPr>
        <w:t xml:space="preserve">cenario-planning exercises </w:t>
      </w:r>
      <w:r w:rsidR="00992439" w:rsidRPr="00D10DFF">
        <w:rPr>
          <w:lang w:eastAsia="en-AU"/>
        </w:rPr>
        <w:t>would</w:t>
      </w:r>
      <w:r w:rsidR="00D536C3" w:rsidRPr="00D10DFF">
        <w:rPr>
          <w:lang w:eastAsia="en-AU"/>
        </w:rPr>
        <w:t xml:space="preserve"> be valuable</w:t>
      </w:r>
      <w:r w:rsidR="004D1996" w:rsidRPr="00D10DFF">
        <w:rPr>
          <w:lang w:eastAsia="en-AU"/>
        </w:rPr>
        <w:t xml:space="preserve"> to investigate options</w:t>
      </w:r>
      <w:r w:rsidR="00D536C3" w:rsidRPr="00D10DFF">
        <w:rPr>
          <w:lang w:eastAsia="en-AU"/>
        </w:rPr>
        <w:t>.</w:t>
      </w:r>
    </w:p>
    <w:p w14:paraId="6F3C442B" w14:textId="6C6E3F4C" w:rsidR="00264915" w:rsidRPr="00264915" w:rsidRDefault="005B424A" w:rsidP="00264915">
      <w:pPr>
        <w:rPr>
          <w:lang w:eastAsia="en-AU"/>
        </w:rPr>
      </w:pPr>
      <w:r w:rsidRPr="00D10DFF">
        <w:rPr>
          <w:lang w:eastAsia="en-AU"/>
        </w:rPr>
        <w:t>The Strategic Review</w:t>
      </w:r>
      <w:r w:rsidR="008E140D">
        <w:rPr>
          <w:lang w:eastAsia="en-AU"/>
        </w:rPr>
        <w:t xml:space="preserve"> present</w:t>
      </w:r>
      <w:r w:rsidR="00802967">
        <w:rPr>
          <w:lang w:eastAsia="en-AU"/>
        </w:rPr>
        <w:t>ed</w:t>
      </w:r>
      <w:r w:rsidRPr="00D10DFF">
        <w:rPr>
          <w:lang w:eastAsia="en-AU"/>
        </w:rPr>
        <w:t xml:space="preserve"> </w:t>
      </w:r>
      <w:r w:rsidR="004D1996" w:rsidRPr="00D10DFF">
        <w:rPr>
          <w:lang w:eastAsia="en-AU"/>
        </w:rPr>
        <w:t>options for</w:t>
      </w:r>
      <w:r w:rsidRPr="00D10DFF">
        <w:rPr>
          <w:lang w:eastAsia="en-AU"/>
        </w:rPr>
        <w:t xml:space="preserve"> how FNLRS could be better structured into the future to progress Traditional Owner aspirations</w:t>
      </w:r>
      <w:r w:rsidRPr="00FD4102">
        <w:rPr>
          <w:lang w:eastAsia="en-AU"/>
        </w:rPr>
        <w:t xml:space="preserve"> given the upcoming Treaty process. </w:t>
      </w:r>
      <w:r w:rsidR="004D1996">
        <w:rPr>
          <w:lang w:eastAsia="en-AU"/>
        </w:rPr>
        <w:t>The</w:t>
      </w:r>
      <w:r w:rsidRPr="00FD4102">
        <w:rPr>
          <w:lang w:eastAsia="en-AU"/>
        </w:rPr>
        <w:t xml:space="preserve"> Strategic Review proposed that it was still too early to make any significant re-structuring decisions until after there was more clarity around the Treaty process and after its associated mechanisms were fully established. </w:t>
      </w:r>
      <w:r w:rsidR="00AE77F8">
        <w:rPr>
          <w:lang w:eastAsia="en-AU"/>
        </w:rPr>
        <w:t xml:space="preserve">This Review agrees but </w:t>
      </w:r>
      <w:r w:rsidR="001F5071">
        <w:rPr>
          <w:lang w:eastAsia="en-AU"/>
        </w:rPr>
        <w:t>urges</w:t>
      </w:r>
      <w:r w:rsidR="00AE77F8">
        <w:rPr>
          <w:lang w:eastAsia="en-AU"/>
        </w:rPr>
        <w:t xml:space="preserve"> FNLRS </w:t>
      </w:r>
      <w:r w:rsidR="00AD5E02">
        <w:rPr>
          <w:lang w:eastAsia="en-AU"/>
        </w:rPr>
        <w:t xml:space="preserve">not </w:t>
      </w:r>
      <w:r w:rsidR="001F5071">
        <w:rPr>
          <w:lang w:eastAsia="en-AU"/>
        </w:rPr>
        <w:t>to</w:t>
      </w:r>
      <w:r w:rsidR="00AE77F8">
        <w:rPr>
          <w:lang w:eastAsia="en-AU"/>
        </w:rPr>
        <w:t xml:space="preserve"> </w:t>
      </w:r>
      <w:r w:rsidR="00D10DFF">
        <w:rPr>
          <w:lang w:eastAsia="en-AU"/>
        </w:rPr>
        <w:t>wait</w:t>
      </w:r>
      <w:r w:rsidR="00AE77F8">
        <w:rPr>
          <w:lang w:eastAsia="en-AU"/>
        </w:rPr>
        <w:t xml:space="preserve"> for Treaty</w:t>
      </w:r>
      <w:r w:rsidR="00D10DFF">
        <w:rPr>
          <w:lang w:eastAsia="en-AU"/>
        </w:rPr>
        <w:t xml:space="preserve"> negotiations</w:t>
      </w:r>
      <w:r w:rsidR="00AE77F8">
        <w:rPr>
          <w:lang w:eastAsia="en-AU"/>
        </w:rPr>
        <w:t xml:space="preserve"> </w:t>
      </w:r>
      <w:r w:rsidR="00D10DFF">
        <w:rPr>
          <w:lang w:eastAsia="en-AU"/>
        </w:rPr>
        <w:t>to start</w:t>
      </w:r>
      <w:r w:rsidR="001F5071">
        <w:rPr>
          <w:lang w:eastAsia="en-AU"/>
        </w:rPr>
        <w:t>, before undertaking</w:t>
      </w:r>
      <w:r w:rsidR="00D10DFF">
        <w:rPr>
          <w:lang w:eastAsia="en-AU"/>
        </w:rPr>
        <w:t xml:space="preserve"> more</w:t>
      </w:r>
      <w:r w:rsidR="00E35B3D">
        <w:rPr>
          <w:lang w:eastAsia="en-AU"/>
        </w:rPr>
        <w:t xml:space="preserve"> comprehensive planning exercises for the fu</w:t>
      </w:r>
      <w:r w:rsidR="00DE4300">
        <w:rPr>
          <w:lang w:eastAsia="en-AU"/>
        </w:rPr>
        <w:t xml:space="preserve">ture. </w:t>
      </w:r>
      <w:r w:rsidRPr="00FD4102">
        <w:rPr>
          <w:lang w:eastAsia="en-AU"/>
        </w:rPr>
        <w:t xml:space="preserve">The Strategic Review and the proposals put forward, </w:t>
      </w:r>
      <w:r w:rsidR="00D10DFF">
        <w:rPr>
          <w:lang w:eastAsia="en-AU"/>
        </w:rPr>
        <w:t>can</w:t>
      </w:r>
      <w:r w:rsidRPr="00FD4102">
        <w:rPr>
          <w:lang w:eastAsia="en-AU"/>
        </w:rPr>
        <w:t xml:space="preserve"> </w:t>
      </w:r>
      <w:r w:rsidR="005703AE">
        <w:rPr>
          <w:lang w:eastAsia="en-AU"/>
        </w:rPr>
        <w:t xml:space="preserve">help </w:t>
      </w:r>
      <w:r w:rsidRPr="00FD4102">
        <w:rPr>
          <w:lang w:eastAsia="en-AU"/>
        </w:rPr>
        <w:t>FNLRS with its post-determination strategic planning and effectively design its operating model to best service the system in the future</w:t>
      </w:r>
      <w:r>
        <w:rPr>
          <w:lang w:eastAsia="en-AU"/>
        </w:rPr>
        <w:t>.</w:t>
      </w:r>
    </w:p>
    <w:p w14:paraId="035BEF64" w14:textId="3781B9E1" w:rsidR="003A56FE" w:rsidRPr="003A56FE" w:rsidRDefault="0067509D" w:rsidP="00A87EDB">
      <w:pPr>
        <w:pStyle w:val="Heading5"/>
        <w:numPr>
          <w:ilvl w:val="4"/>
          <w:numId w:val="0"/>
        </w:numPr>
      </w:pPr>
      <w:r w:rsidRPr="6967B2CC">
        <w:t xml:space="preserve">FNLRS’s role in Treaty </w:t>
      </w:r>
      <w:r w:rsidR="005B1DD0" w:rsidRPr="6967B2CC">
        <w:t>was</w:t>
      </w:r>
      <w:r w:rsidRPr="6967B2CC">
        <w:t xml:space="preserve"> yet to be determined </w:t>
      </w:r>
    </w:p>
    <w:p w14:paraId="549A2607" w14:textId="19259CA3" w:rsidR="00BB042A" w:rsidRDefault="00244F77" w:rsidP="00607726">
      <w:pPr>
        <w:rPr>
          <w:lang w:eastAsia="en-AU"/>
        </w:rPr>
      </w:pPr>
      <w:r>
        <w:rPr>
          <w:lang w:eastAsia="en-AU"/>
        </w:rPr>
        <w:t xml:space="preserve">During the Review period, Victoria achieved rapid progress </w:t>
      </w:r>
      <w:r w:rsidR="00FE31F8">
        <w:rPr>
          <w:lang w:eastAsia="en-AU"/>
        </w:rPr>
        <w:t>in establishing</w:t>
      </w:r>
      <w:r>
        <w:rPr>
          <w:lang w:eastAsia="en-AU"/>
        </w:rPr>
        <w:t xml:space="preserve"> </w:t>
      </w:r>
      <w:r w:rsidR="00F61EF3">
        <w:rPr>
          <w:lang w:eastAsia="en-AU"/>
        </w:rPr>
        <w:t xml:space="preserve">key elements under Victoria’s </w:t>
      </w:r>
      <w:r w:rsidR="00F61EF3" w:rsidRPr="00C9035B">
        <w:rPr>
          <w:lang w:eastAsia="en-AU"/>
        </w:rPr>
        <w:t>Treaty Act</w:t>
      </w:r>
      <w:r w:rsidR="00B34C8E">
        <w:rPr>
          <w:lang w:eastAsia="en-AU"/>
        </w:rPr>
        <w:t>:</w:t>
      </w:r>
      <w:r w:rsidR="00F61EF3" w:rsidRPr="00F61EF3">
        <w:rPr>
          <w:lang w:eastAsia="en-AU"/>
        </w:rPr>
        <w:t xml:space="preserve"> </w:t>
      </w:r>
      <w:r w:rsidR="00F61EF3">
        <w:rPr>
          <w:lang w:eastAsia="en-AU"/>
        </w:rPr>
        <w:t>a</w:t>
      </w:r>
      <w:r w:rsidR="00F61EF3" w:rsidRPr="00F61EF3">
        <w:rPr>
          <w:lang w:eastAsia="en-AU"/>
        </w:rPr>
        <w:t xml:space="preserve"> Self-Determination Fund, </w:t>
      </w:r>
      <w:r w:rsidR="00FE31F8">
        <w:rPr>
          <w:lang w:eastAsia="en-AU"/>
        </w:rPr>
        <w:t xml:space="preserve">a </w:t>
      </w:r>
      <w:r w:rsidR="00F61EF3" w:rsidRPr="00F61EF3">
        <w:rPr>
          <w:lang w:eastAsia="en-AU"/>
        </w:rPr>
        <w:t>Treaty Negotiation Framework</w:t>
      </w:r>
      <w:r w:rsidR="00F61EF3">
        <w:rPr>
          <w:lang w:eastAsia="en-AU"/>
        </w:rPr>
        <w:t xml:space="preserve">, </w:t>
      </w:r>
      <w:r w:rsidR="00F61EF3" w:rsidRPr="00F61EF3">
        <w:rPr>
          <w:lang w:eastAsia="en-AU"/>
        </w:rPr>
        <w:t>a Treaty Authority and a dispute resolution process</w:t>
      </w:r>
      <w:r w:rsidR="00A54BFD">
        <w:rPr>
          <w:lang w:eastAsia="en-AU"/>
        </w:rPr>
        <w:t xml:space="preserve">. </w:t>
      </w:r>
      <w:r w:rsidR="00933B55">
        <w:rPr>
          <w:lang w:eastAsia="en-AU"/>
        </w:rPr>
        <w:t xml:space="preserve">Stakeholders interviewed as part of the Review were uncertain </w:t>
      </w:r>
      <w:r w:rsidR="00FE31F8">
        <w:rPr>
          <w:lang w:eastAsia="en-AU"/>
        </w:rPr>
        <w:t xml:space="preserve">as to </w:t>
      </w:r>
      <w:r w:rsidR="00933B55">
        <w:rPr>
          <w:lang w:eastAsia="en-AU"/>
        </w:rPr>
        <w:t xml:space="preserve">how the current </w:t>
      </w:r>
      <w:r w:rsidR="00933B55">
        <w:rPr>
          <w:lang w:eastAsia="en-AU"/>
        </w:rPr>
        <w:lastRenderedPageBreak/>
        <w:t>work of FNLRS and the work of Treaty negotiations would intersect</w:t>
      </w:r>
      <w:r w:rsidR="00BB042A">
        <w:rPr>
          <w:lang w:eastAsia="en-AU"/>
        </w:rPr>
        <w:t>, however</w:t>
      </w:r>
      <w:r w:rsidR="000A1472">
        <w:rPr>
          <w:lang w:eastAsia="en-AU"/>
        </w:rPr>
        <w:t>,</w:t>
      </w:r>
      <w:r w:rsidR="00BB042A">
        <w:rPr>
          <w:lang w:eastAsia="en-AU"/>
        </w:rPr>
        <w:t xml:space="preserve"> </w:t>
      </w:r>
      <w:r w:rsidR="00E12E98">
        <w:rPr>
          <w:lang w:eastAsia="en-AU"/>
        </w:rPr>
        <w:t>noted it was</w:t>
      </w:r>
      <w:r w:rsidR="00FF12D3">
        <w:rPr>
          <w:lang w:eastAsia="en-AU"/>
        </w:rPr>
        <w:t xml:space="preserve"> likely to become </w:t>
      </w:r>
      <w:r w:rsidR="00C35D9B">
        <w:rPr>
          <w:lang w:eastAsia="en-AU"/>
        </w:rPr>
        <w:t>clearer</w:t>
      </w:r>
      <w:r w:rsidR="00FF12D3">
        <w:rPr>
          <w:lang w:eastAsia="en-AU"/>
        </w:rPr>
        <w:t xml:space="preserve"> in the next year </w:t>
      </w:r>
      <w:r w:rsidR="00BB042A">
        <w:rPr>
          <w:lang w:eastAsia="en-AU"/>
        </w:rPr>
        <w:t>when Treaty negotiations formally commence</w:t>
      </w:r>
      <w:r w:rsidR="00933B55">
        <w:rPr>
          <w:lang w:eastAsia="en-AU"/>
        </w:rPr>
        <w:t xml:space="preserve">. </w:t>
      </w:r>
    </w:p>
    <w:p w14:paraId="571216AE" w14:textId="5C7F4456" w:rsidR="005D50C6" w:rsidRDefault="000D40AE" w:rsidP="00920512">
      <w:pPr>
        <w:rPr>
          <w:lang w:eastAsia="en-AU"/>
        </w:rPr>
      </w:pPr>
      <w:r w:rsidRPr="00940B17">
        <w:rPr>
          <w:lang w:eastAsia="en-AU"/>
        </w:rPr>
        <w:t>T</w:t>
      </w:r>
      <w:r w:rsidR="0050618B" w:rsidRPr="00940B17">
        <w:rPr>
          <w:lang w:eastAsia="en-AU"/>
        </w:rPr>
        <w:t xml:space="preserve">he </w:t>
      </w:r>
      <w:r w:rsidR="00B23996">
        <w:rPr>
          <w:lang w:eastAsia="en-AU"/>
        </w:rPr>
        <w:t>Review notes that t</w:t>
      </w:r>
      <w:r w:rsidR="000F5FF1" w:rsidRPr="00940B17">
        <w:rPr>
          <w:lang w:eastAsia="en-AU"/>
        </w:rPr>
        <w:t xml:space="preserve">hose Traditional Owner </w:t>
      </w:r>
      <w:r w:rsidR="001F495E">
        <w:rPr>
          <w:lang w:eastAsia="en-AU"/>
        </w:rPr>
        <w:t>c</w:t>
      </w:r>
      <w:r w:rsidR="000F5FF1" w:rsidRPr="00940B17">
        <w:rPr>
          <w:lang w:eastAsia="en-AU"/>
        </w:rPr>
        <w:t>orporations that are already well established, including all four PBCs</w:t>
      </w:r>
      <w:r w:rsidR="00955D05">
        <w:rPr>
          <w:lang w:eastAsia="en-AU"/>
        </w:rPr>
        <w:t xml:space="preserve"> and the</w:t>
      </w:r>
      <w:r w:rsidR="00DB6595">
        <w:rPr>
          <w:lang w:eastAsia="en-AU"/>
        </w:rPr>
        <w:t xml:space="preserve"> two TOGEs</w:t>
      </w:r>
      <w:r w:rsidR="000F5FF1" w:rsidRPr="00940B17">
        <w:rPr>
          <w:lang w:eastAsia="en-AU"/>
        </w:rPr>
        <w:t>, are well</w:t>
      </w:r>
      <w:r w:rsidR="009817B8" w:rsidRPr="00940B17">
        <w:rPr>
          <w:lang w:eastAsia="en-AU"/>
        </w:rPr>
        <w:t xml:space="preserve">-placed to </w:t>
      </w:r>
      <w:r w:rsidR="00FE31F8">
        <w:rPr>
          <w:lang w:eastAsia="en-AU"/>
        </w:rPr>
        <w:t>play a major role</w:t>
      </w:r>
      <w:r w:rsidR="00EA33F9">
        <w:rPr>
          <w:lang w:eastAsia="en-AU"/>
        </w:rPr>
        <w:t xml:space="preserve"> in</w:t>
      </w:r>
      <w:r w:rsidR="000957B2" w:rsidRPr="00940B17">
        <w:rPr>
          <w:lang w:eastAsia="en-AU"/>
        </w:rPr>
        <w:t xml:space="preserve"> Treaty negotiations given their maturity and </w:t>
      </w:r>
      <w:r w:rsidR="00940B17" w:rsidRPr="00940B17">
        <w:rPr>
          <w:lang w:eastAsia="en-AU"/>
        </w:rPr>
        <w:t>self-sufficiency</w:t>
      </w:r>
      <w:r w:rsidR="000957B2" w:rsidRPr="00940B17">
        <w:rPr>
          <w:lang w:eastAsia="en-AU"/>
        </w:rPr>
        <w:t xml:space="preserve">. </w:t>
      </w:r>
      <w:r w:rsidR="00203A9F" w:rsidRPr="00940B17">
        <w:rPr>
          <w:lang w:eastAsia="en-AU"/>
        </w:rPr>
        <w:t xml:space="preserve">This will likely put pressure on these organisations and FNLRS as </w:t>
      </w:r>
      <w:r w:rsidR="00940B17" w:rsidRPr="00940B17">
        <w:rPr>
          <w:lang w:eastAsia="en-AU"/>
        </w:rPr>
        <w:t>their</w:t>
      </w:r>
      <w:r w:rsidR="00203A9F" w:rsidRPr="00940B17">
        <w:rPr>
          <w:lang w:eastAsia="en-AU"/>
        </w:rPr>
        <w:t xml:space="preserve"> key partner to help progress negotiations. </w:t>
      </w:r>
      <w:r w:rsidR="00FD3916" w:rsidRPr="00766813">
        <w:rPr>
          <w:lang w:eastAsia="en-AU"/>
        </w:rPr>
        <w:t xml:space="preserve">External stakeholders viewed FNLRS’s research function as a key </w:t>
      </w:r>
      <w:r w:rsidR="00E44E09" w:rsidRPr="00766813">
        <w:rPr>
          <w:lang w:eastAsia="en-AU"/>
        </w:rPr>
        <w:t>asset</w:t>
      </w:r>
      <w:r w:rsidR="00FD3916" w:rsidRPr="00766813">
        <w:rPr>
          <w:lang w:eastAsia="en-AU"/>
        </w:rPr>
        <w:t xml:space="preserve"> </w:t>
      </w:r>
      <w:r w:rsidR="00E44E09" w:rsidRPr="00766813">
        <w:rPr>
          <w:lang w:eastAsia="en-AU"/>
        </w:rPr>
        <w:t xml:space="preserve">that could be leveraged for this process. </w:t>
      </w:r>
      <w:r w:rsidR="00766813" w:rsidRPr="00766813">
        <w:rPr>
          <w:lang w:eastAsia="en-AU"/>
        </w:rPr>
        <w:t xml:space="preserve">FNLRS’s ability to certify ILUAs was also </w:t>
      </w:r>
      <w:r w:rsidR="002A69AA">
        <w:rPr>
          <w:lang w:eastAsia="en-AU"/>
        </w:rPr>
        <w:t>acknowledged</w:t>
      </w:r>
      <w:r w:rsidR="00766813" w:rsidRPr="00766813">
        <w:rPr>
          <w:lang w:eastAsia="en-AU"/>
        </w:rPr>
        <w:t xml:space="preserve"> as a critical function </w:t>
      </w:r>
      <w:r w:rsidR="004A61EC">
        <w:rPr>
          <w:lang w:eastAsia="en-AU"/>
        </w:rPr>
        <w:t>that may be</w:t>
      </w:r>
      <w:r w:rsidR="000A1A41">
        <w:rPr>
          <w:lang w:eastAsia="en-AU"/>
        </w:rPr>
        <w:t xml:space="preserve"> </w:t>
      </w:r>
      <w:r w:rsidR="00766813" w:rsidRPr="00766813">
        <w:rPr>
          <w:lang w:eastAsia="en-AU"/>
        </w:rPr>
        <w:t>needed as part of Treaty land negotiations.</w:t>
      </w:r>
      <w:r w:rsidR="00766813">
        <w:rPr>
          <w:lang w:eastAsia="en-AU"/>
        </w:rPr>
        <w:t xml:space="preserve"> </w:t>
      </w:r>
      <w:r w:rsidR="000C6F5D">
        <w:rPr>
          <w:lang w:eastAsia="en-AU"/>
        </w:rPr>
        <w:t xml:space="preserve">During the Review period, it was top of mind for FNLRS as to how they would </w:t>
      </w:r>
      <w:r w:rsidR="00C86BA9">
        <w:rPr>
          <w:lang w:eastAsia="en-AU"/>
        </w:rPr>
        <w:t>be involved in Treaty, however</w:t>
      </w:r>
      <w:r w:rsidR="000A1472">
        <w:rPr>
          <w:lang w:eastAsia="en-AU"/>
        </w:rPr>
        <w:t>,</w:t>
      </w:r>
      <w:r w:rsidR="00C86BA9">
        <w:rPr>
          <w:lang w:eastAsia="en-AU"/>
        </w:rPr>
        <w:t xml:space="preserve"> it was too early to make any major changes to operations given the evolving nature of the process. </w:t>
      </w:r>
    </w:p>
    <w:p w14:paraId="5121FE91" w14:textId="0F812AC7" w:rsidR="00431F68" w:rsidRPr="00147366" w:rsidRDefault="00431F68" w:rsidP="009C33D0">
      <w:pPr>
        <w:pStyle w:val="Heading5"/>
      </w:pPr>
      <w:r>
        <w:t>No c</w:t>
      </w:r>
      <w:r w:rsidRPr="00147366">
        <w:t xml:space="preserve">ompensation claims </w:t>
      </w:r>
      <w:r w:rsidR="008C03ED">
        <w:t xml:space="preserve">have been made under the </w:t>
      </w:r>
      <w:r w:rsidR="0014178C">
        <w:t>NTA</w:t>
      </w:r>
      <w:r w:rsidR="008C03ED">
        <w:t>, however</w:t>
      </w:r>
      <w:r w:rsidR="00BA7983">
        <w:t>,</w:t>
      </w:r>
      <w:r w:rsidR="008C03ED">
        <w:t xml:space="preserve"> </w:t>
      </w:r>
      <w:r w:rsidR="004F50A8">
        <w:t xml:space="preserve">there has been substantial work negotiating </w:t>
      </w:r>
      <w:r w:rsidR="00BA7983">
        <w:t>settlements</w:t>
      </w:r>
      <w:r w:rsidR="008C03ED">
        <w:t xml:space="preserve"> </w:t>
      </w:r>
    </w:p>
    <w:p w14:paraId="202FD5CC" w14:textId="553AE643" w:rsidR="00431F68" w:rsidRDefault="00F91A45" w:rsidP="00431F68">
      <w:pPr>
        <w:rPr>
          <w:lang w:eastAsia="en-AU"/>
        </w:rPr>
      </w:pPr>
      <w:r>
        <w:rPr>
          <w:lang w:eastAsia="en-AU"/>
        </w:rPr>
        <w:t>No compensation claims were made during the Review period</w:t>
      </w:r>
      <w:r w:rsidR="005233D6">
        <w:rPr>
          <w:lang w:eastAsia="en-AU"/>
        </w:rPr>
        <w:t xml:space="preserve"> (or subsequently) in Victoria</w:t>
      </w:r>
      <w:r w:rsidR="00661752">
        <w:rPr>
          <w:lang w:eastAsia="en-AU"/>
        </w:rPr>
        <w:t xml:space="preserve">. </w:t>
      </w:r>
      <w:r w:rsidR="005233D6">
        <w:rPr>
          <w:lang w:eastAsia="en-AU"/>
        </w:rPr>
        <w:t>Rather, t</w:t>
      </w:r>
      <w:r w:rsidR="009C52AE">
        <w:rPr>
          <w:lang w:eastAsia="en-AU"/>
        </w:rPr>
        <w:t>he focus in Victoria around compensation has primarily been through negotiations</w:t>
      </w:r>
      <w:r w:rsidR="00592919">
        <w:rPr>
          <w:lang w:eastAsia="en-AU"/>
        </w:rPr>
        <w:t xml:space="preserve"> under the </w:t>
      </w:r>
      <w:r w:rsidR="009C52AE" w:rsidRPr="0010561D">
        <w:rPr>
          <w:lang w:eastAsia="en-AU"/>
        </w:rPr>
        <w:t>Settlement Act</w:t>
      </w:r>
      <w:r w:rsidR="009C52AE">
        <w:rPr>
          <w:lang w:eastAsia="en-AU"/>
        </w:rPr>
        <w:t>, where</w:t>
      </w:r>
      <w:r w:rsidR="00500AB6">
        <w:rPr>
          <w:lang w:eastAsia="en-AU"/>
        </w:rPr>
        <w:t xml:space="preserve"> FNLRS </w:t>
      </w:r>
      <w:r w:rsidR="000D39AD">
        <w:rPr>
          <w:lang w:eastAsia="en-AU"/>
        </w:rPr>
        <w:t>has done a significant amount of work</w:t>
      </w:r>
      <w:r w:rsidR="00104526">
        <w:rPr>
          <w:lang w:eastAsia="en-AU"/>
        </w:rPr>
        <w:t xml:space="preserve">. </w:t>
      </w:r>
      <w:r w:rsidR="009E0FF3">
        <w:rPr>
          <w:lang w:eastAsia="en-AU"/>
        </w:rPr>
        <w:t>Staff reflected that t</w:t>
      </w:r>
      <w:r w:rsidR="0001635D">
        <w:rPr>
          <w:lang w:eastAsia="en-AU"/>
        </w:rPr>
        <w:t xml:space="preserve">his is </w:t>
      </w:r>
      <w:r w:rsidR="00890A5D">
        <w:rPr>
          <w:lang w:eastAsia="en-AU"/>
        </w:rPr>
        <w:t>because</w:t>
      </w:r>
      <w:r w:rsidR="0001635D">
        <w:rPr>
          <w:lang w:eastAsia="en-AU"/>
        </w:rPr>
        <w:t xml:space="preserve"> settlement</w:t>
      </w:r>
      <w:r w:rsidR="004A61EC">
        <w:rPr>
          <w:lang w:eastAsia="en-AU"/>
        </w:rPr>
        <w:t xml:space="preserve"> outcomes</w:t>
      </w:r>
      <w:r w:rsidR="0001635D">
        <w:rPr>
          <w:lang w:eastAsia="en-AU"/>
        </w:rPr>
        <w:t xml:space="preserve"> have historically been equal to or better than what might be achievable from a compensation claim. </w:t>
      </w:r>
      <w:r w:rsidR="00431F68">
        <w:rPr>
          <w:lang w:eastAsia="en-AU"/>
        </w:rPr>
        <w:t xml:space="preserve">The </w:t>
      </w:r>
      <w:r w:rsidR="00431F68" w:rsidRPr="0010561D">
        <w:rPr>
          <w:lang w:eastAsia="en-AU"/>
        </w:rPr>
        <w:t>Settlement Act</w:t>
      </w:r>
      <w:r w:rsidR="00431F68">
        <w:rPr>
          <w:lang w:eastAsia="en-AU"/>
        </w:rPr>
        <w:t xml:space="preserve"> enables the Victorian Government to </w:t>
      </w:r>
      <w:r w:rsidR="00812FCA">
        <w:rPr>
          <w:lang w:eastAsia="en-AU"/>
        </w:rPr>
        <w:t>enter</w:t>
      </w:r>
      <w:r w:rsidR="00431F68">
        <w:rPr>
          <w:lang w:eastAsia="en-AU"/>
        </w:rPr>
        <w:t xml:space="preserve"> a settlement </w:t>
      </w:r>
      <w:r w:rsidR="00812FCA">
        <w:rPr>
          <w:lang w:eastAsia="en-AU"/>
        </w:rPr>
        <w:t>with Traditional Owners</w:t>
      </w:r>
      <w:r w:rsidR="00F736FD">
        <w:rPr>
          <w:lang w:eastAsia="en-AU"/>
        </w:rPr>
        <w:t xml:space="preserve">, which </w:t>
      </w:r>
      <w:r w:rsidR="002B3EE6">
        <w:rPr>
          <w:lang w:eastAsia="en-AU"/>
        </w:rPr>
        <w:t>can include</w:t>
      </w:r>
      <w:r w:rsidR="00E6454F">
        <w:rPr>
          <w:lang w:eastAsia="en-AU"/>
        </w:rPr>
        <w:t xml:space="preserve"> a </w:t>
      </w:r>
      <w:r w:rsidR="00F03FB1">
        <w:rPr>
          <w:lang w:eastAsia="en-AU"/>
        </w:rPr>
        <w:t xml:space="preserve">Funding Agreement </w:t>
      </w:r>
      <w:r w:rsidR="00C54A44">
        <w:rPr>
          <w:lang w:eastAsia="en-AU"/>
        </w:rPr>
        <w:t>which</w:t>
      </w:r>
      <w:r w:rsidR="00E114FA">
        <w:rPr>
          <w:lang w:eastAsia="en-AU"/>
        </w:rPr>
        <w:t xml:space="preserve"> </w:t>
      </w:r>
      <w:r w:rsidR="007B1B21">
        <w:rPr>
          <w:lang w:eastAsia="en-AU"/>
        </w:rPr>
        <w:t>provides</w:t>
      </w:r>
      <w:r w:rsidR="00431F68">
        <w:rPr>
          <w:lang w:eastAsia="en-AU"/>
        </w:rPr>
        <w:t xml:space="preserve"> financial benefits, akin to compensation. FNLRS facilitated comprehensive settlement packages</w:t>
      </w:r>
      <w:r w:rsidR="0098436B">
        <w:rPr>
          <w:lang w:eastAsia="en-AU"/>
        </w:rPr>
        <w:t>,</w:t>
      </w:r>
      <w:r w:rsidR="00431F68">
        <w:rPr>
          <w:lang w:eastAsia="en-AU"/>
        </w:rPr>
        <w:t xml:space="preserve"> which have included </w:t>
      </w:r>
      <w:r w:rsidR="00777308">
        <w:rPr>
          <w:lang w:eastAsia="en-AU"/>
        </w:rPr>
        <w:t xml:space="preserve">substantial </w:t>
      </w:r>
      <w:r w:rsidR="00431F68">
        <w:rPr>
          <w:lang w:eastAsia="en-AU"/>
        </w:rPr>
        <w:t>financial benefits for Traditional Owner groups in the past</w:t>
      </w:r>
      <w:r w:rsidR="0098436B">
        <w:rPr>
          <w:lang w:eastAsia="en-AU"/>
        </w:rPr>
        <w:t>;</w:t>
      </w:r>
      <w:r w:rsidR="00431F68">
        <w:rPr>
          <w:lang w:eastAsia="en-AU"/>
        </w:rPr>
        <w:t xml:space="preserve"> however</w:t>
      </w:r>
      <w:r w:rsidR="0098436B">
        <w:rPr>
          <w:lang w:eastAsia="en-AU"/>
        </w:rPr>
        <w:t>,</w:t>
      </w:r>
      <w:r w:rsidR="00431F68">
        <w:rPr>
          <w:lang w:eastAsia="en-AU"/>
        </w:rPr>
        <w:t xml:space="preserve"> most of this activity </w:t>
      </w:r>
      <w:r w:rsidR="00015BAC">
        <w:rPr>
          <w:lang w:eastAsia="en-AU"/>
        </w:rPr>
        <w:t xml:space="preserve">(aside from </w:t>
      </w:r>
      <w:r w:rsidR="00015BAC" w:rsidRPr="00015BAC">
        <w:rPr>
          <w:lang w:eastAsia="en-AU"/>
        </w:rPr>
        <w:t xml:space="preserve">the </w:t>
      </w:r>
      <w:proofErr w:type="spellStart"/>
      <w:r w:rsidR="00015BAC" w:rsidRPr="00015BAC">
        <w:rPr>
          <w:lang w:eastAsia="en-AU"/>
        </w:rPr>
        <w:t>Taungurung</w:t>
      </w:r>
      <w:proofErr w:type="spellEnd"/>
      <w:r w:rsidR="00015BAC" w:rsidRPr="00015BAC">
        <w:rPr>
          <w:lang w:eastAsia="en-AU"/>
        </w:rPr>
        <w:t xml:space="preserve"> </w:t>
      </w:r>
      <w:r w:rsidR="00097F7B">
        <w:rPr>
          <w:lang w:eastAsia="en-AU"/>
        </w:rPr>
        <w:t>settlement</w:t>
      </w:r>
      <w:r w:rsidR="00015BAC" w:rsidRPr="00015BAC">
        <w:rPr>
          <w:lang w:eastAsia="en-AU"/>
        </w:rPr>
        <w:t>)</w:t>
      </w:r>
      <w:r w:rsidR="00431F68">
        <w:rPr>
          <w:lang w:eastAsia="en-AU"/>
        </w:rPr>
        <w:t xml:space="preserve"> occurred outside of the Review period.</w:t>
      </w:r>
    </w:p>
    <w:p w14:paraId="60EECB33" w14:textId="0C940332" w:rsidR="009036C0" w:rsidRDefault="00AF545B" w:rsidP="00C35866">
      <w:pPr>
        <w:pStyle w:val="Bullet"/>
        <w:numPr>
          <w:ilvl w:val="0"/>
          <w:numId w:val="0"/>
        </w:numPr>
      </w:pPr>
      <w:r w:rsidRPr="6967B2CC">
        <w:t xml:space="preserve">Despite the financial benefits </w:t>
      </w:r>
      <w:r w:rsidR="00C41A0B" w:rsidRPr="6967B2CC">
        <w:t>deriving</w:t>
      </w:r>
      <w:r w:rsidR="00A2457C" w:rsidRPr="6967B2CC">
        <w:t xml:space="preserve"> from settlement packages</w:t>
      </w:r>
      <w:r w:rsidR="00AA1B40" w:rsidRPr="6967B2CC">
        <w:t xml:space="preserve"> being </w:t>
      </w:r>
      <w:r w:rsidR="007741FA" w:rsidRPr="6967B2CC">
        <w:t>generally</w:t>
      </w:r>
      <w:r w:rsidR="00AA1B40" w:rsidRPr="6967B2CC">
        <w:t xml:space="preserve"> </w:t>
      </w:r>
      <w:r w:rsidR="007741FA" w:rsidRPr="6967B2CC">
        <w:t>superior</w:t>
      </w:r>
      <w:r w:rsidR="00AA1B40" w:rsidRPr="6967B2CC">
        <w:t xml:space="preserve"> from those that could be achieved from a successful compensation claim under the </w:t>
      </w:r>
      <w:r w:rsidR="00EC2EE1" w:rsidRPr="6967B2CC">
        <w:t>NTA</w:t>
      </w:r>
      <w:r w:rsidR="00A2457C" w:rsidRPr="6967B2CC">
        <w:t>, FNLRS s</w:t>
      </w:r>
      <w:r w:rsidRPr="6967B2CC">
        <w:t xml:space="preserve">taff believed that </w:t>
      </w:r>
      <w:r w:rsidR="00C41A0B" w:rsidRPr="6967B2CC">
        <w:t>c</w:t>
      </w:r>
      <w:r w:rsidR="00E3567D" w:rsidRPr="6967B2CC">
        <w:t xml:space="preserve">ompensation claims </w:t>
      </w:r>
      <w:r w:rsidR="00C41A0B" w:rsidRPr="6967B2CC">
        <w:t>were</w:t>
      </w:r>
      <w:r w:rsidR="00E3567D" w:rsidRPr="6967B2CC">
        <w:t xml:space="preserve"> not </w:t>
      </w:r>
      <w:r w:rsidR="00DB10E2" w:rsidRPr="6967B2CC">
        <w:t xml:space="preserve">ruled out in the future. </w:t>
      </w:r>
      <w:r w:rsidR="009550B9" w:rsidRPr="6967B2CC">
        <w:t>T</w:t>
      </w:r>
      <w:r w:rsidR="00A120DE" w:rsidRPr="6967B2CC">
        <w:t>he</w:t>
      </w:r>
      <w:r w:rsidR="00146099" w:rsidRPr="6967B2CC">
        <w:t xml:space="preserve"> </w:t>
      </w:r>
      <w:r w:rsidR="000748D1" w:rsidRPr="6967B2CC">
        <w:t>policy positions adopted by</w:t>
      </w:r>
      <w:r w:rsidR="0012380C" w:rsidRPr="6967B2CC">
        <w:t xml:space="preserve"> </w:t>
      </w:r>
      <w:r w:rsidR="009962D5" w:rsidRPr="6967B2CC">
        <w:t xml:space="preserve">the </w:t>
      </w:r>
      <w:r w:rsidR="000E3303" w:rsidRPr="6967B2CC">
        <w:t xml:space="preserve">Australian </w:t>
      </w:r>
      <w:r w:rsidR="00F94832" w:rsidRPr="6967B2CC">
        <w:t xml:space="preserve">Government </w:t>
      </w:r>
      <w:r w:rsidR="000E3303" w:rsidRPr="6967B2CC">
        <w:t xml:space="preserve">and </w:t>
      </w:r>
      <w:r w:rsidR="00F94832" w:rsidRPr="6967B2CC">
        <w:t xml:space="preserve">the </w:t>
      </w:r>
      <w:r w:rsidR="009962D5" w:rsidRPr="6967B2CC">
        <w:t xml:space="preserve">Victorian Government will be critical in </w:t>
      </w:r>
      <w:r w:rsidR="008D14F8" w:rsidRPr="6967B2CC">
        <w:t>FNLRS</w:t>
      </w:r>
      <w:r w:rsidR="008D1E3A" w:rsidRPr="6967B2CC">
        <w:t>’s</w:t>
      </w:r>
      <w:r w:rsidR="008D14F8" w:rsidRPr="6967B2CC">
        <w:t xml:space="preserve"> decisions</w:t>
      </w:r>
      <w:r w:rsidR="0020643A" w:rsidRPr="6967B2CC">
        <w:t xml:space="preserve"> about the prospects of success</w:t>
      </w:r>
      <w:r w:rsidR="00731C80" w:rsidRPr="6967B2CC">
        <w:t xml:space="preserve">, especially given the </w:t>
      </w:r>
      <w:r w:rsidR="001E4366" w:rsidRPr="6967B2CC">
        <w:t>amount of</w:t>
      </w:r>
      <w:r w:rsidR="00731C80" w:rsidRPr="6967B2CC">
        <w:t xml:space="preserve"> funding already provided under the Settlement Act</w:t>
      </w:r>
      <w:r w:rsidR="00731C80" w:rsidRPr="6967B2CC">
        <w:rPr>
          <w:i/>
          <w:iCs/>
        </w:rPr>
        <w:t>.</w:t>
      </w:r>
    </w:p>
    <w:p w14:paraId="6629B3C5" w14:textId="5B8EC52B" w:rsidR="00431F68" w:rsidRPr="00A87EDB" w:rsidRDefault="003D650C" w:rsidP="00C35866">
      <w:pPr>
        <w:pStyle w:val="Bullet"/>
        <w:numPr>
          <w:ilvl w:val="0"/>
          <w:numId w:val="0"/>
        </w:numPr>
      </w:pPr>
      <w:r w:rsidRPr="6967B2CC">
        <w:t xml:space="preserve">Staff were open to progressing compensation claims for clients if resources allowed for it, but not at the expense of finalising native title claims. </w:t>
      </w:r>
      <w:r w:rsidR="0062591F" w:rsidRPr="6967B2CC">
        <w:t>Treaty is likely to</w:t>
      </w:r>
      <w:r w:rsidR="00431F68" w:rsidRPr="6967B2CC">
        <w:t xml:space="preserve"> play a key role regarding compensation claims for Traditional Owners in a broader sense. What this looks like, and the extent to which compensation can be sought and for what reasons, is still to be determined through the Treaty negotiations process. </w:t>
      </w:r>
    </w:p>
    <w:p w14:paraId="6F08120D" w14:textId="670199E7" w:rsidR="00D55EFD" w:rsidRDefault="00214A1E" w:rsidP="00214A1E">
      <w:pPr>
        <w:pStyle w:val="Heading3"/>
      </w:pPr>
      <w:r>
        <w:t xml:space="preserve">TOR 7: </w:t>
      </w:r>
      <w:r w:rsidR="00D55EFD" w:rsidRPr="00214A1E">
        <w:t>External</w:t>
      </w:r>
      <w:r w:rsidR="00D55EFD">
        <w:t xml:space="preserve"> factors</w:t>
      </w:r>
    </w:p>
    <w:p w14:paraId="6C01E1FC" w14:textId="77777777" w:rsidR="004F36A3" w:rsidRPr="004F36A3" w:rsidRDefault="004F36A3" w:rsidP="004F36A3">
      <w:pPr>
        <w:rPr>
          <w:lang w:eastAsia="en-AU"/>
        </w:rPr>
      </w:pPr>
      <w:r w:rsidRPr="004F36A3">
        <w:rPr>
          <w:lang w:eastAsia="en-AU"/>
        </w:rPr>
        <w:t xml:space="preserve">This section presents an analysis of factors that impacted on performance that were beyond </w:t>
      </w:r>
      <w:r>
        <w:rPr>
          <w:lang w:eastAsia="en-AU"/>
        </w:rPr>
        <w:t>FNLRS</w:t>
      </w:r>
      <w:r w:rsidRPr="004F36A3">
        <w:rPr>
          <w:lang w:eastAsia="en-AU"/>
        </w:rPr>
        <w:t>'s control.</w:t>
      </w:r>
    </w:p>
    <w:p w14:paraId="7ECC8FF4" w14:textId="7EE74745" w:rsidR="004E41BE" w:rsidRPr="00D73B52" w:rsidRDefault="001E64E4" w:rsidP="001E64E4">
      <w:pPr>
        <w:pStyle w:val="Heading4"/>
      </w:pPr>
      <w:r w:rsidRPr="00D73B52">
        <w:t>Progress towards a post-determination environment</w:t>
      </w:r>
    </w:p>
    <w:p w14:paraId="4ADD292E" w14:textId="66C7386C" w:rsidR="0058686A" w:rsidRPr="0058686A" w:rsidRDefault="00902DEB" w:rsidP="00902DEB">
      <w:pPr>
        <w:pStyle w:val="Heading5"/>
      </w:pPr>
      <w:r>
        <w:t xml:space="preserve">There are likely to be more native title claims lodged in the future, particularly in the areas currently without </w:t>
      </w:r>
      <w:r w:rsidR="005D3F50">
        <w:t>formal</w:t>
      </w:r>
      <w:r>
        <w:t xml:space="preserve"> recognition</w:t>
      </w:r>
      <w:r w:rsidR="00FF4B2A">
        <w:t xml:space="preserve"> under any</w:t>
      </w:r>
      <w:r w:rsidR="00B81466">
        <w:t xml:space="preserve"> of the various </w:t>
      </w:r>
      <w:r w:rsidR="00AF645A">
        <w:t>schemes in Victoria</w:t>
      </w:r>
    </w:p>
    <w:p w14:paraId="4368B1DB" w14:textId="72151C35" w:rsidR="0069378B" w:rsidRDefault="00365363" w:rsidP="001E64E4">
      <w:pPr>
        <w:rPr>
          <w:lang w:eastAsia="en-AU"/>
        </w:rPr>
      </w:pPr>
      <w:r w:rsidRPr="00365363">
        <w:rPr>
          <w:lang w:eastAsia="en-AU"/>
        </w:rPr>
        <w:t>With approximate</w:t>
      </w:r>
      <w:r w:rsidRPr="00AB1B4B">
        <w:rPr>
          <w:lang w:eastAsia="en-AU"/>
        </w:rPr>
        <w:t xml:space="preserve">ly </w:t>
      </w:r>
      <w:r w:rsidR="00E40FAA" w:rsidRPr="00AB1B4B">
        <w:rPr>
          <w:lang w:eastAsia="en-AU"/>
        </w:rPr>
        <w:t>25</w:t>
      </w:r>
      <w:r w:rsidRPr="00AB1B4B">
        <w:rPr>
          <w:lang w:eastAsia="en-AU"/>
        </w:rPr>
        <w:t xml:space="preserve"> per</w:t>
      </w:r>
      <w:r w:rsidRPr="00365363">
        <w:rPr>
          <w:lang w:eastAsia="en-AU"/>
        </w:rPr>
        <w:t xml:space="preserve"> cent of its claimable land determined</w:t>
      </w:r>
      <w:r w:rsidR="009645C8">
        <w:rPr>
          <w:lang w:eastAsia="en-AU"/>
        </w:rPr>
        <w:t>,</w:t>
      </w:r>
      <w:r w:rsidR="00AE75F4">
        <w:rPr>
          <w:lang w:eastAsia="en-AU"/>
        </w:rPr>
        <w:t xml:space="preserve"> there </w:t>
      </w:r>
      <w:r w:rsidR="009645C8">
        <w:rPr>
          <w:lang w:eastAsia="en-AU"/>
        </w:rPr>
        <w:t xml:space="preserve">is </w:t>
      </w:r>
      <w:r w:rsidR="00DB3872">
        <w:rPr>
          <w:lang w:eastAsia="en-AU"/>
        </w:rPr>
        <w:t xml:space="preserve">still </w:t>
      </w:r>
      <w:proofErr w:type="gramStart"/>
      <w:r w:rsidR="009645C8">
        <w:rPr>
          <w:lang w:eastAsia="en-AU"/>
        </w:rPr>
        <w:t>progress</w:t>
      </w:r>
      <w:proofErr w:type="gramEnd"/>
      <w:r w:rsidR="009645C8">
        <w:rPr>
          <w:lang w:eastAsia="en-AU"/>
        </w:rPr>
        <w:t xml:space="preserve"> to be made in Victoria</w:t>
      </w:r>
      <w:r w:rsidR="003E265C">
        <w:rPr>
          <w:lang w:eastAsia="en-AU"/>
        </w:rPr>
        <w:t xml:space="preserve"> to achieve native title </w:t>
      </w:r>
      <w:r w:rsidR="00AE75F4">
        <w:rPr>
          <w:lang w:eastAsia="en-AU"/>
        </w:rPr>
        <w:t>determinations</w:t>
      </w:r>
      <w:r w:rsidR="00DB3872">
        <w:rPr>
          <w:lang w:eastAsia="en-AU"/>
        </w:rPr>
        <w:t>.</w:t>
      </w:r>
      <w:r w:rsidR="00B91BB3">
        <w:rPr>
          <w:lang w:eastAsia="en-AU"/>
        </w:rPr>
        <w:t xml:space="preserve"> </w:t>
      </w:r>
      <w:r w:rsidR="006E7F41">
        <w:rPr>
          <w:lang w:eastAsia="en-AU"/>
        </w:rPr>
        <w:t>At the time of the Review</w:t>
      </w:r>
      <w:r w:rsidR="00D04777">
        <w:rPr>
          <w:lang w:eastAsia="en-AU"/>
        </w:rPr>
        <w:t xml:space="preserve"> two of the active claims were progressing well</w:t>
      </w:r>
      <w:r w:rsidR="006D3664">
        <w:rPr>
          <w:lang w:eastAsia="en-AU"/>
        </w:rPr>
        <w:t xml:space="preserve"> (Eastern Maar and the </w:t>
      </w:r>
      <w:proofErr w:type="spellStart"/>
      <w:r w:rsidR="008D7D60" w:rsidRPr="008D7D60">
        <w:rPr>
          <w:lang w:eastAsia="en-AU"/>
        </w:rPr>
        <w:t>Millewa</w:t>
      </w:r>
      <w:proofErr w:type="spellEnd"/>
      <w:r w:rsidR="008D7D60" w:rsidRPr="008D7D60">
        <w:rPr>
          <w:lang w:eastAsia="en-AU"/>
        </w:rPr>
        <w:t xml:space="preserve">-Mallee </w:t>
      </w:r>
      <w:r w:rsidR="006768F3">
        <w:rPr>
          <w:lang w:eastAsia="en-AU"/>
        </w:rPr>
        <w:t>c</w:t>
      </w:r>
      <w:r w:rsidR="008D7D60" w:rsidRPr="008D7D60">
        <w:rPr>
          <w:lang w:eastAsia="en-AU"/>
        </w:rPr>
        <w:t>laim</w:t>
      </w:r>
      <w:r w:rsidR="006768F3">
        <w:rPr>
          <w:lang w:eastAsia="en-AU"/>
        </w:rPr>
        <w:t>s</w:t>
      </w:r>
      <w:r w:rsidR="00C14348">
        <w:rPr>
          <w:lang w:eastAsia="en-AU"/>
        </w:rPr>
        <w:t>)</w:t>
      </w:r>
      <w:r w:rsidR="00CE4B49">
        <w:rPr>
          <w:lang w:eastAsia="en-AU"/>
        </w:rPr>
        <w:t>, while the other two (</w:t>
      </w:r>
      <w:r w:rsidR="003D78C5" w:rsidRPr="003D78C5">
        <w:rPr>
          <w:lang w:eastAsia="en-AU"/>
        </w:rPr>
        <w:t>Boonwurrung</w:t>
      </w:r>
      <w:r w:rsidR="00034A00">
        <w:rPr>
          <w:lang w:eastAsia="en-AU"/>
        </w:rPr>
        <w:t xml:space="preserve"> and </w:t>
      </w:r>
      <w:r w:rsidR="00034A00" w:rsidRPr="00034A00">
        <w:rPr>
          <w:lang w:eastAsia="en-AU"/>
        </w:rPr>
        <w:t>Wamba Wemba</w:t>
      </w:r>
      <w:r w:rsidR="00034A00">
        <w:rPr>
          <w:lang w:eastAsia="en-AU"/>
        </w:rPr>
        <w:t xml:space="preserve"> claims</w:t>
      </w:r>
      <w:r w:rsidR="00854880">
        <w:rPr>
          <w:lang w:eastAsia="en-AU"/>
        </w:rPr>
        <w:t xml:space="preserve">) </w:t>
      </w:r>
      <w:r w:rsidR="008A5927">
        <w:rPr>
          <w:lang w:eastAsia="en-AU"/>
        </w:rPr>
        <w:t>were evolving as</w:t>
      </w:r>
      <w:r w:rsidR="00645612">
        <w:rPr>
          <w:lang w:eastAsia="en-AU"/>
        </w:rPr>
        <w:t xml:space="preserve"> complex claims</w:t>
      </w:r>
      <w:r w:rsidR="00160808">
        <w:rPr>
          <w:lang w:eastAsia="en-AU"/>
        </w:rPr>
        <w:t xml:space="preserve"> with </w:t>
      </w:r>
      <w:r w:rsidR="00671D52">
        <w:rPr>
          <w:lang w:eastAsia="en-AU"/>
        </w:rPr>
        <w:t xml:space="preserve">critical </w:t>
      </w:r>
      <w:r w:rsidR="00160808">
        <w:rPr>
          <w:lang w:eastAsia="en-AU"/>
        </w:rPr>
        <w:t xml:space="preserve">questions around </w:t>
      </w:r>
      <w:r w:rsidR="008A5927" w:rsidRPr="00E46B70">
        <w:rPr>
          <w:lang w:eastAsia="en-AU"/>
        </w:rPr>
        <w:t xml:space="preserve">adequate research and </w:t>
      </w:r>
      <w:r w:rsidR="00160808">
        <w:rPr>
          <w:lang w:eastAsia="en-AU"/>
        </w:rPr>
        <w:t>claim group</w:t>
      </w:r>
      <w:r w:rsidR="00F9469A">
        <w:rPr>
          <w:lang w:eastAsia="en-AU"/>
        </w:rPr>
        <w:t xml:space="preserve"> composition</w:t>
      </w:r>
      <w:r w:rsidR="002A4ECF">
        <w:rPr>
          <w:lang w:eastAsia="en-AU"/>
        </w:rPr>
        <w:t xml:space="preserve">. </w:t>
      </w:r>
    </w:p>
    <w:p w14:paraId="09A618E8" w14:textId="2CC56ECF" w:rsidR="001E64E4" w:rsidRDefault="007D5A80" w:rsidP="001E64E4">
      <w:pPr>
        <w:rPr>
          <w:lang w:eastAsia="en-AU"/>
        </w:rPr>
      </w:pPr>
      <w:r>
        <w:rPr>
          <w:lang w:eastAsia="en-AU"/>
        </w:rPr>
        <w:lastRenderedPageBreak/>
        <w:t>Staff believed that there</w:t>
      </w:r>
      <w:r w:rsidR="00044153">
        <w:rPr>
          <w:lang w:eastAsia="en-AU"/>
        </w:rPr>
        <w:t xml:space="preserve"> </w:t>
      </w:r>
      <w:r w:rsidR="00EC5344" w:rsidRPr="00E46B70">
        <w:rPr>
          <w:lang w:eastAsia="en-AU"/>
        </w:rPr>
        <w:t>were</w:t>
      </w:r>
      <w:r w:rsidR="00044153" w:rsidRPr="00E46B70">
        <w:rPr>
          <w:lang w:eastAsia="en-AU"/>
        </w:rPr>
        <w:t xml:space="preserve"> likely to be more native title claims lodged in the </w:t>
      </w:r>
      <w:r w:rsidR="00044153" w:rsidRPr="00D44AD6">
        <w:rPr>
          <w:lang w:eastAsia="en-AU"/>
        </w:rPr>
        <w:t xml:space="preserve">future, particularly in the areas currently </w:t>
      </w:r>
      <w:r w:rsidR="00816091">
        <w:rPr>
          <w:lang w:eastAsia="en-AU"/>
        </w:rPr>
        <w:t>where there have been no determinations to date</w:t>
      </w:r>
      <w:r w:rsidR="00044153" w:rsidRPr="00D44AD6">
        <w:rPr>
          <w:lang w:eastAsia="en-AU"/>
        </w:rPr>
        <w:t>.</w:t>
      </w:r>
      <w:r w:rsidR="00E2173D">
        <w:rPr>
          <w:lang w:eastAsia="en-AU"/>
        </w:rPr>
        <w:t xml:space="preserve"> </w:t>
      </w:r>
      <w:r w:rsidR="00F21FDA">
        <w:rPr>
          <w:lang w:eastAsia="en-AU"/>
        </w:rPr>
        <w:t>However, i</w:t>
      </w:r>
      <w:r w:rsidR="003E265C" w:rsidRPr="00D44AD6">
        <w:rPr>
          <w:lang w:eastAsia="en-AU"/>
        </w:rPr>
        <w:t>t is</w:t>
      </w:r>
      <w:r w:rsidR="004C14AC" w:rsidRPr="00D44AD6">
        <w:rPr>
          <w:lang w:eastAsia="en-AU"/>
        </w:rPr>
        <w:t xml:space="preserve"> unlikel</w:t>
      </w:r>
      <w:r w:rsidR="003E265C" w:rsidRPr="00D44AD6">
        <w:rPr>
          <w:lang w:eastAsia="en-AU"/>
        </w:rPr>
        <w:t xml:space="preserve">y that </w:t>
      </w:r>
      <w:r w:rsidR="004C14AC" w:rsidRPr="00D44AD6">
        <w:rPr>
          <w:lang w:eastAsia="en-AU"/>
        </w:rPr>
        <w:t>native title claims</w:t>
      </w:r>
      <w:r w:rsidR="003E265C" w:rsidRPr="00D44AD6">
        <w:rPr>
          <w:lang w:eastAsia="en-AU"/>
        </w:rPr>
        <w:t xml:space="preserve"> </w:t>
      </w:r>
      <w:r w:rsidR="0074085D">
        <w:rPr>
          <w:lang w:eastAsia="en-AU"/>
        </w:rPr>
        <w:t>will be</w:t>
      </w:r>
      <w:r w:rsidR="004C14AC" w:rsidRPr="00D44AD6">
        <w:rPr>
          <w:lang w:eastAsia="en-AU"/>
        </w:rPr>
        <w:t xml:space="preserve"> </w:t>
      </w:r>
      <w:r w:rsidR="003E265C" w:rsidRPr="00D44AD6">
        <w:rPr>
          <w:lang w:eastAsia="en-AU"/>
        </w:rPr>
        <w:t>filed</w:t>
      </w:r>
      <w:r w:rsidR="004C14AC" w:rsidRPr="00D44AD6">
        <w:rPr>
          <w:lang w:eastAsia="en-AU"/>
        </w:rPr>
        <w:t xml:space="preserve"> for areas that already have significant </w:t>
      </w:r>
      <w:r w:rsidR="00EC428C" w:rsidRPr="00D44AD6">
        <w:rPr>
          <w:lang w:eastAsia="en-AU"/>
        </w:rPr>
        <w:t>settlement agreement</w:t>
      </w:r>
      <w:r w:rsidR="004C14AC" w:rsidRPr="00D44AD6">
        <w:rPr>
          <w:lang w:eastAsia="en-AU"/>
        </w:rPr>
        <w:t>s</w:t>
      </w:r>
      <w:r w:rsidR="00667252" w:rsidRPr="00D44AD6">
        <w:rPr>
          <w:lang w:eastAsia="en-AU"/>
        </w:rPr>
        <w:t xml:space="preserve"> as the compensation achieved under the state</w:t>
      </w:r>
      <w:r w:rsidR="00AE1F34" w:rsidRPr="00D44AD6">
        <w:rPr>
          <w:lang w:eastAsia="en-AU"/>
        </w:rPr>
        <w:t xml:space="preserve"> </w:t>
      </w:r>
      <w:r w:rsidR="00D44AD6" w:rsidRPr="00D44AD6">
        <w:rPr>
          <w:lang w:eastAsia="en-AU"/>
        </w:rPr>
        <w:t xml:space="preserve">agreements </w:t>
      </w:r>
      <w:r w:rsidR="0094250C">
        <w:rPr>
          <w:lang w:eastAsia="en-AU"/>
        </w:rPr>
        <w:t xml:space="preserve">is </w:t>
      </w:r>
      <w:r w:rsidR="00D44AD6" w:rsidRPr="00D44AD6">
        <w:rPr>
          <w:lang w:eastAsia="en-AU"/>
        </w:rPr>
        <w:t xml:space="preserve">often </w:t>
      </w:r>
      <w:r w:rsidR="00AE1F34" w:rsidRPr="00D44AD6">
        <w:rPr>
          <w:lang w:eastAsia="en-AU"/>
        </w:rPr>
        <w:t>equal to</w:t>
      </w:r>
      <w:r w:rsidR="00D44AD6" w:rsidRPr="00D44AD6">
        <w:rPr>
          <w:lang w:eastAsia="en-AU"/>
        </w:rPr>
        <w:t xml:space="preserve"> </w:t>
      </w:r>
      <w:r w:rsidR="00AE1F34" w:rsidRPr="00D44AD6">
        <w:rPr>
          <w:lang w:eastAsia="en-AU"/>
        </w:rPr>
        <w:t>or better than what might be achievable from a compensation claim.</w:t>
      </w:r>
    </w:p>
    <w:p w14:paraId="22B17176" w14:textId="1C589C87" w:rsidR="001E64E4" w:rsidRDefault="001E64E4" w:rsidP="005566FF">
      <w:pPr>
        <w:pStyle w:val="Heading3"/>
        <w:numPr>
          <w:ilvl w:val="2"/>
          <w:numId w:val="1"/>
        </w:numPr>
      </w:pPr>
      <w:r>
        <w:t>TOR 7</w:t>
      </w:r>
      <w:r w:rsidR="00214A1E">
        <w:t>:</w:t>
      </w:r>
      <w:r>
        <w:t xml:space="preserve"> Recommendations</w:t>
      </w:r>
    </w:p>
    <w:tbl>
      <w:tblPr>
        <w:tblW w:w="0" w:type="auto"/>
        <w:tblLook w:val="04A0" w:firstRow="1" w:lastRow="0" w:firstColumn="1" w:lastColumn="0" w:noHBand="0" w:noVBand="1"/>
      </w:tblPr>
      <w:tblGrid>
        <w:gridCol w:w="8269"/>
        <w:gridCol w:w="661"/>
      </w:tblGrid>
      <w:tr w:rsidR="00E85100" w14:paraId="0439FBDC" w14:textId="77777777" w:rsidTr="00CA17C8">
        <w:trPr>
          <w:trHeight w:val="360"/>
        </w:trPr>
        <w:tc>
          <w:tcPr>
            <w:tcW w:w="8223" w:type="dxa"/>
          </w:tcPr>
          <w:p w14:paraId="7CA2B15F" w14:textId="77777777" w:rsidR="00E85100" w:rsidRDefault="00E85100" w:rsidP="00665DC6">
            <w:pPr>
              <w:rPr>
                <w:lang w:eastAsia="en-AU"/>
              </w:rPr>
            </w:pPr>
            <w:r w:rsidRPr="00F97AB5">
              <w:rPr>
                <w:noProof/>
                <w:lang w:eastAsia="en-AU"/>
              </w:rPr>
              <w:drawing>
                <wp:inline distT="0" distB="0" distL="0" distR="0" wp14:anchorId="09F7AEA0" wp14:editId="45369702">
                  <wp:extent cx="5114199" cy="28765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87B7B68" w14:textId="506AC955" w:rsidR="00E85100" w:rsidRPr="00F97AB5" w:rsidRDefault="009228B7" w:rsidP="00665DC6">
            <w:pPr>
              <w:spacing w:after="100" w:afterAutospacing="1"/>
              <w:jc w:val="center"/>
              <w:rPr>
                <w:sz w:val="30"/>
                <w:szCs w:val="30"/>
                <w:lang w:eastAsia="en-AU"/>
              </w:rPr>
            </w:pPr>
            <w:r w:rsidRPr="00CA17C8">
              <w:rPr>
                <w:color w:val="404040" w:themeColor="text1" w:themeTint="BF"/>
                <w:sz w:val="30"/>
                <w:szCs w:val="30"/>
                <w:lang w:eastAsia="en-AU"/>
              </w:rPr>
              <w:t>1</w:t>
            </w:r>
            <w:r w:rsidR="00144FC7" w:rsidRPr="00CA17C8">
              <w:rPr>
                <w:color w:val="404040" w:themeColor="text1" w:themeTint="BF"/>
                <w:sz w:val="30"/>
                <w:szCs w:val="30"/>
                <w:lang w:eastAsia="en-AU"/>
              </w:rPr>
              <w:t>3</w:t>
            </w:r>
          </w:p>
        </w:tc>
      </w:tr>
      <w:tr w:rsidR="00E85100" w14:paraId="24130D73" w14:textId="77777777" w:rsidTr="00CA17C8">
        <w:tc>
          <w:tcPr>
            <w:tcW w:w="8930" w:type="dxa"/>
            <w:gridSpan w:val="2"/>
          </w:tcPr>
          <w:p w14:paraId="6B29EC86" w14:textId="5C325138" w:rsidR="00E85100" w:rsidRDefault="00BF41E3" w:rsidP="00665DC6">
            <w:r>
              <w:t xml:space="preserve">This Review endorses the recommendations of the Strategic </w:t>
            </w:r>
            <w:r w:rsidR="00776902">
              <w:t>Review</w:t>
            </w:r>
            <w:r>
              <w:t>:</w:t>
            </w:r>
          </w:p>
          <w:p w14:paraId="4B981265" w14:textId="11BE37C9" w:rsidR="00421EB9" w:rsidRPr="00EC2EE1" w:rsidRDefault="00421EB9" w:rsidP="6967B2CC">
            <w:pPr>
              <w:pStyle w:val="TableNBullet"/>
              <w:rPr>
                <w:sz w:val="19"/>
              </w:rPr>
            </w:pPr>
            <w:r w:rsidRPr="6967B2CC">
              <w:rPr>
                <w:sz w:val="19"/>
              </w:rPr>
              <w:t xml:space="preserve">FNLRS should avoid any significant re-structure until the Treaty </w:t>
            </w:r>
            <w:proofErr w:type="gramStart"/>
            <w:r w:rsidRPr="6967B2CC">
              <w:rPr>
                <w:sz w:val="19"/>
              </w:rPr>
              <w:t>process</w:t>
            </w:r>
            <w:proofErr w:type="gramEnd"/>
            <w:r w:rsidRPr="6967B2CC">
              <w:rPr>
                <w:sz w:val="19"/>
              </w:rPr>
              <w:t xml:space="preserve"> and its associated institutions are more fully established, to avoid locking into unsuitable or inflexible arrangements that do not serve Traditional Owner needs.</w:t>
            </w:r>
          </w:p>
          <w:p w14:paraId="3F7FC771" w14:textId="3D6654EF" w:rsidR="00E85100" w:rsidRPr="00BD37ED" w:rsidRDefault="00BF41E3" w:rsidP="00EC2EE1">
            <w:pPr>
              <w:pStyle w:val="TableNBullet"/>
            </w:pPr>
            <w:r w:rsidRPr="1832D396">
              <w:rPr>
                <w:sz w:val="19"/>
              </w:rPr>
              <w:t>FNLRS should strengthen and build ties with emerging Treaty</w:t>
            </w:r>
            <w:r w:rsidR="00421EB9" w:rsidRPr="1832D396">
              <w:rPr>
                <w:sz w:val="19"/>
              </w:rPr>
              <w:t xml:space="preserve"> </w:t>
            </w:r>
            <w:r w:rsidRPr="1832D396">
              <w:rPr>
                <w:sz w:val="19"/>
              </w:rPr>
              <w:t>institutions and remain agile and ready to reflect their needs as new spaces develop</w:t>
            </w:r>
            <w:r w:rsidR="00F26182" w:rsidRPr="1832D396">
              <w:rPr>
                <w:sz w:val="19"/>
              </w:rPr>
              <w:t>.</w:t>
            </w:r>
          </w:p>
        </w:tc>
      </w:tr>
      <w:tr w:rsidR="00F26182" w14:paraId="57B4090B" w14:textId="77777777" w:rsidTr="00CA17C8">
        <w:trPr>
          <w:trHeight w:val="360"/>
        </w:trPr>
        <w:tc>
          <w:tcPr>
            <w:tcW w:w="8223" w:type="dxa"/>
          </w:tcPr>
          <w:p w14:paraId="3005536D" w14:textId="77777777" w:rsidR="00F26182" w:rsidRDefault="00F26182">
            <w:pPr>
              <w:rPr>
                <w:lang w:eastAsia="en-AU"/>
              </w:rPr>
            </w:pPr>
            <w:r w:rsidRPr="00F97AB5">
              <w:rPr>
                <w:noProof/>
                <w:lang w:eastAsia="en-AU"/>
              </w:rPr>
              <w:drawing>
                <wp:inline distT="0" distB="0" distL="0" distR="0" wp14:anchorId="7CFFA541" wp14:editId="5A4C1246">
                  <wp:extent cx="5114199" cy="287655"/>
                  <wp:effectExtent l="0" t="0" r="0" b="0"/>
                  <wp:docPr id="235767954" name="Picture 235767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67954" name="Picture 23576795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75E4CC5" w14:textId="32325530" w:rsidR="00F26182" w:rsidRPr="00F97AB5" w:rsidRDefault="009228B7">
            <w:pPr>
              <w:spacing w:after="100" w:afterAutospacing="1"/>
              <w:jc w:val="center"/>
              <w:rPr>
                <w:sz w:val="30"/>
                <w:szCs w:val="30"/>
                <w:lang w:eastAsia="en-AU"/>
              </w:rPr>
            </w:pPr>
            <w:r w:rsidRPr="00CA17C8">
              <w:rPr>
                <w:color w:val="404040" w:themeColor="text1" w:themeTint="BF"/>
                <w:sz w:val="30"/>
                <w:szCs w:val="30"/>
                <w:lang w:eastAsia="en-AU"/>
              </w:rPr>
              <w:t>1</w:t>
            </w:r>
            <w:r w:rsidR="00144FC7" w:rsidRPr="00CA17C8">
              <w:rPr>
                <w:color w:val="404040" w:themeColor="text1" w:themeTint="BF"/>
                <w:sz w:val="30"/>
                <w:szCs w:val="30"/>
                <w:lang w:eastAsia="en-AU"/>
              </w:rPr>
              <w:t>4</w:t>
            </w:r>
          </w:p>
        </w:tc>
      </w:tr>
      <w:tr w:rsidR="00F26182" w14:paraId="3BC483C3" w14:textId="77777777" w:rsidTr="00CA17C8">
        <w:tc>
          <w:tcPr>
            <w:tcW w:w="8930" w:type="dxa"/>
            <w:gridSpan w:val="2"/>
          </w:tcPr>
          <w:p w14:paraId="1813698A" w14:textId="19D53556" w:rsidR="0087593F" w:rsidRPr="00BD37ED" w:rsidRDefault="00821E3F" w:rsidP="00F26182">
            <w:r w:rsidRPr="00821E3F">
              <w:t xml:space="preserve">As part of the development of </w:t>
            </w:r>
            <w:r>
              <w:t>FNLRS’s next</w:t>
            </w:r>
            <w:r w:rsidRPr="00821E3F">
              <w:t xml:space="preserve"> </w:t>
            </w:r>
            <w:r>
              <w:t>S</w:t>
            </w:r>
            <w:r w:rsidRPr="00821E3F">
              <w:t xml:space="preserve">trategic </w:t>
            </w:r>
            <w:r>
              <w:t>P</w:t>
            </w:r>
            <w:r w:rsidRPr="00821E3F">
              <w:t xml:space="preserve">lan </w:t>
            </w:r>
            <w:r>
              <w:t>(post</w:t>
            </w:r>
            <w:r w:rsidR="008614C3">
              <w:t>-</w:t>
            </w:r>
            <w:r w:rsidRPr="00821E3F">
              <w:t>202</w:t>
            </w:r>
            <w:r w:rsidR="008614C3">
              <w:t>4</w:t>
            </w:r>
            <w:r>
              <w:t xml:space="preserve">), </w:t>
            </w:r>
            <w:r w:rsidR="0087593F">
              <w:t xml:space="preserve">engage with staff and clients to </w:t>
            </w:r>
            <w:r w:rsidR="00AF4BB2">
              <w:t>develop clear objectives for post-determination</w:t>
            </w:r>
            <w:r w:rsidR="0098436B">
              <w:t xml:space="preserve"> and post-settlement</w:t>
            </w:r>
            <w:r w:rsidR="00AF4BB2">
              <w:t xml:space="preserve"> activities for each PBC</w:t>
            </w:r>
            <w:r w:rsidR="0098436B">
              <w:t xml:space="preserve"> and TOGE</w:t>
            </w:r>
            <w:r w:rsidR="00D36E56">
              <w:t>,</w:t>
            </w:r>
            <w:r w:rsidR="006C7823">
              <w:t xml:space="preserve"> and for FNLRS as an organisation</w:t>
            </w:r>
            <w:r w:rsidR="00AF4BB2">
              <w:t xml:space="preserve">. </w:t>
            </w:r>
          </w:p>
        </w:tc>
      </w:tr>
    </w:tbl>
    <w:p w14:paraId="6B3246FA" w14:textId="578632A7" w:rsidR="00FE5711" w:rsidRDefault="00FE5711" w:rsidP="00447C8A"/>
    <w:p w14:paraId="49D3A1E4" w14:textId="5EFD4FC5" w:rsidR="009C3779" w:rsidRDefault="009C3779" w:rsidP="00C27E0B">
      <w:pPr>
        <w:pStyle w:val="xAppendixLevel1"/>
      </w:pPr>
      <w:bookmarkStart w:id="47" w:name="_Ref494201132"/>
      <w:bookmarkStart w:id="48" w:name="_Toc129103569"/>
      <w:bookmarkStart w:id="49" w:name="_Ref164753157"/>
      <w:bookmarkStart w:id="50" w:name="_Toc170469990"/>
      <w:r w:rsidRPr="00E729CF">
        <w:rPr>
          <w:szCs w:val="36"/>
        </w:rPr>
        <w:lastRenderedPageBreak/>
        <w:t>Project Terms of Reference</w:t>
      </w:r>
      <w:bookmarkEnd w:id="47"/>
      <w:bookmarkEnd w:id="48"/>
      <w:r w:rsidR="001B39E1">
        <w:rPr>
          <w:szCs w:val="36"/>
        </w:rPr>
        <w:t xml:space="preserve"> </w:t>
      </w:r>
      <w:r w:rsidR="001B39E1">
        <w:t>and performance indicators for individual reports</w:t>
      </w:r>
      <w:bookmarkEnd w:id="49"/>
      <w:bookmarkEnd w:id="50"/>
    </w:p>
    <w:p w14:paraId="33286868" w14:textId="6AEED4F7" w:rsidR="006172ED" w:rsidRPr="006172ED" w:rsidRDefault="006172ED" w:rsidP="006172ED">
      <w:pPr>
        <w:rPr>
          <w:lang w:eastAsia="en-AU"/>
        </w:rPr>
      </w:pPr>
      <w:r w:rsidRPr="006172ED">
        <w:rPr>
          <w:lang w:eastAsia="en-AU"/>
        </w:rPr>
        <w:t xml:space="preserve">The methodology for the Review was developed by Nous against the TORs, as discussed in the Scope of the Review, see section </w:t>
      </w:r>
      <w:r>
        <w:rPr>
          <w:lang w:eastAsia="en-AU"/>
        </w:rPr>
        <w:fldChar w:fldCharType="begin"/>
      </w:r>
      <w:r>
        <w:rPr>
          <w:lang w:eastAsia="en-AU"/>
        </w:rPr>
        <w:instrText xml:space="preserve"> REF _Ref170473222 \n \h </w:instrText>
      </w:r>
      <w:r>
        <w:rPr>
          <w:lang w:eastAsia="en-AU"/>
        </w:rPr>
      </w:r>
      <w:r>
        <w:rPr>
          <w:lang w:eastAsia="en-AU"/>
        </w:rPr>
        <w:fldChar w:fldCharType="separate"/>
      </w:r>
      <w:r w:rsidR="00AB7E95">
        <w:rPr>
          <w:lang w:eastAsia="en-AU"/>
        </w:rPr>
        <w:t>2</w:t>
      </w:r>
      <w:r>
        <w:rPr>
          <w:lang w:eastAsia="en-AU"/>
        </w:rPr>
        <w:fldChar w:fldCharType="end"/>
      </w:r>
      <w:r w:rsidRPr="006172ED">
        <w:rPr>
          <w:lang w:eastAsia="en-AU"/>
        </w:rPr>
        <w:t xml:space="preserve">. For each TOR the methodology listed </w:t>
      </w:r>
      <w:proofErr w:type="gramStart"/>
      <w:r w:rsidRPr="006172ED">
        <w:rPr>
          <w:lang w:eastAsia="en-AU"/>
        </w:rPr>
        <w:t>a number of</w:t>
      </w:r>
      <w:proofErr w:type="gramEnd"/>
      <w:r w:rsidRPr="006172ED">
        <w:rPr>
          <w:lang w:eastAsia="en-AU"/>
        </w:rPr>
        <w:t xml:space="preserve"> performance indicators and external factors to ensure a consistent approach across all the NTRB-SP reviews and to enable a comparison of performance. The TOR and associated performance indicators and external factors are listed below.</w:t>
      </w:r>
    </w:p>
    <w:p w14:paraId="56F67767" w14:textId="3C86A31E" w:rsidR="009C3779" w:rsidRPr="00D12186" w:rsidRDefault="009C3779" w:rsidP="000B2E53">
      <w:pPr>
        <w:pStyle w:val="ListParagraph"/>
        <w:numPr>
          <w:ilvl w:val="0"/>
          <w:numId w:val="13"/>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Focussing on the period 1 July 2019 </w:t>
      </w:r>
      <w:r w:rsidR="00133FEA">
        <w:rPr>
          <w:szCs w:val="19"/>
        </w:rPr>
        <w:t>to</w:t>
      </w:r>
      <w:r w:rsidRPr="00D12186">
        <w:rPr>
          <w:szCs w:val="19"/>
        </w:rPr>
        <w:t xml:space="preserve"> 30 June 2022 and addressing developments since the previous </w:t>
      </w:r>
      <w:r w:rsidR="008A1D98">
        <w:rPr>
          <w:szCs w:val="19"/>
        </w:rPr>
        <w:t>R</w:t>
      </w:r>
      <w:r w:rsidR="008A1D98" w:rsidRPr="00D12186">
        <w:rPr>
          <w:szCs w:val="19"/>
        </w:rPr>
        <w:t xml:space="preserve">eview </w:t>
      </w:r>
      <w:r w:rsidRPr="00D12186">
        <w:rPr>
          <w:szCs w:val="19"/>
        </w:rPr>
        <w:t xml:space="preserve">of each organisation the Service Provider will: </w:t>
      </w:r>
    </w:p>
    <w:p w14:paraId="484F8083" w14:textId="77777777" w:rsidR="009C3779" w:rsidRPr="00D12186" w:rsidRDefault="009C3779" w:rsidP="009C3779">
      <w:pPr>
        <w:pStyle w:val="ListParagraph"/>
        <w:spacing w:after="0"/>
        <w:rPr>
          <w:szCs w:val="19"/>
        </w:rPr>
      </w:pPr>
    </w:p>
    <w:p w14:paraId="2D01F01E" w14:textId="77777777" w:rsidR="009C3779" w:rsidRPr="00D12186" w:rsidRDefault="009C3779" w:rsidP="000B2E53">
      <w:pPr>
        <w:pStyle w:val="ListParagraph"/>
        <w:numPr>
          <w:ilvl w:val="0"/>
          <w:numId w:val="14"/>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Review and assess the extent to which each organisation: </w:t>
      </w:r>
    </w:p>
    <w:p w14:paraId="3E657029" w14:textId="77777777" w:rsidR="009C3779" w:rsidRPr="00D12186" w:rsidRDefault="009C3779" w:rsidP="009C3779">
      <w:pPr>
        <w:pStyle w:val="ListParagraph"/>
        <w:spacing w:after="0"/>
        <w:ind w:left="0"/>
        <w:rPr>
          <w:szCs w:val="19"/>
        </w:rPr>
      </w:pPr>
    </w:p>
    <w:p w14:paraId="548CB6C0" w14:textId="65AACBA1" w:rsidR="009C3779" w:rsidRPr="00D12186" w:rsidRDefault="009C3779" w:rsidP="000B2E53">
      <w:pPr>
        <w:pStyle w:val="ListParagraph"/>
        <w:numPr>
          <w:ilvl w:val="1"/>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D12186">
        <w:rPr>
          <w:szCs w:val="19"/>
        </w:rPr>
        <w:t xml:space="preserve">Has achieved positive native title outcomes for persons who hold or may hold native title in its region taking account, where relevant, of disruptions caused by COVID-19. </w:t>
      </w:r>
    </w:p>
    <w:p w14:paraId="354BC622" w14:textId="77777777" w:rsidR="009C3779" w:rsidRPr="00D12186" w:rsidRDefault="009C3779"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00ADE9FA" w14:textId="77777777" w:rsidR="00133FEA" w:rsidRPr="00E016A6"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t xml:space="preserve">Performance indicators: </w:t>
      </w:r>
    </w:p>
    <w:p w14:paraId="2AF5BF0A" w14:textId="77777777" w:rsidR="00133FEA"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756305">
        <w:rPr>
          <w:szCs w:val="19"/>
        </w:rPr>
        <w:t>Native</w:t>
      </w:r>
      <w:r w:rsidRPr="00881FE5">
        <w:t xml:space="preserve"> title outcomes including from facilitation and assistance, certification, notification, dispute resolution and other relevant functions</w:t>
      </w:r>
      <w:r>
        <w:t>.</w:t>
      </w:r>
    </w:p>
    <w:p w14:paraId="30AEA459" w14:textId="77777777" w:rsidR="00133FEA" w:rsidRPr="00756305"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Anthropological research.</w:t>
      </w:r>
    </w:p>
    <w:p w14:paraId="36E3B4C6" w14:textId="77777777" w:rsidR="00133FEA" w:rsidRPr="00756305"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Future Acts and ILUAs.</w:t>
      </w:r>
    </w:p>
    <w:p w14:paraId="589AE83B" w14:textId="77777777" w:rsidR="00133FEA" w:rsidRPr="00756305"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claims resulting in a determination of native title or ILUA settlement as a proportion of total filed claims.</w:t>
      </w:r>
    </w:p>
    <w:p w14:paraId="49CC0EED" w14:textId="77777777" w:rsidR="00133FEA" w:rsidRPr="00756305"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 groups the NTRB-SP has acted for or assisted via brief out arrangements in a native title determination application during the Review period.</w:t>
      </w:r>
    </w:p>
    <w:p w14:paraId="34657EBA" w14:textId="77777777" w:rsidR="00133FEA" w:rsidRPr="00756305"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Proportion of claimable land within the RATSIB area not subject to a registered claim or a determination.</w:t>
      </w:r>
    </w:p>
    <w:p w14:paraId="34BB7D3D" w14:textId="77777777" w:rsidR="00133FEA" w:rsidRPr="00756305"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Average time between filing an application for a determination of native title to the date a determination is made.</w:t>
      </w:r>
    </w:p>
    <w:p w14:paraId="17C05492" w14:textId="77777777" w:rsidR="00133FEA" w:rsidRPr="00756305"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common law native title holders/RNTBCs the NTRB-SP has acted for in a native title compensation application proceeding.</w:t>
      </w:r>
    </w:p>
    <w:p w14:paraId="48791C7C" w14:textId="77777777" w:rsidR="00133FEA" w:rsidRPr="00756305"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6946AAC5" w14:textId="77777777" w:rsidR="00133FEA"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116271">
        <w:t xml:space="preserve">State government </w:t>
      </w:r>
      <w:r>
        <w:t>policy and legislation.</w:t>
      </w:r>
    </w:p>
    <w:p w14:paraId="57122CB8" w14:textId="77777777" w:rsidR="00133FEA"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remaining claims.</w:t>
      </w:r>
    </w:p>
    <w:p w14:paraId="6F4A70EC" w14:textId="77777777" w:rsidR="00133FEA"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History of previous claims.</w:t>
      </w:r>
    </w:p>
    <w:p w14:paraId="15DB0506" w14:textId="77777777" w:rsidR="00133FEA"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land use and tenure.</w:t>
      </w:r>
    </w:p>
    <w:p w14:paraId="0E5C7141" w14:textId="77777777" w:rsidR="00133FEA"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COVID-19.</w:t>
      </w:r>
    </w:p>
    <w:p w14:paraId="0B717553" w14:textId="77777777" w:rsidR="00133FEA" w:rsidRPr="005D43D5"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Amount of funding.</w:t>
      </w:r>
    </w:p>
    <w:p w14:paraId="1AAEB929" w14:textId="77777777" w:rsidR="00133FEA" w:rsidRPr="00D12186" w:rsidRDefault="00133FEA" w:rsidP="00133FEA">
      <w:pPr>
        <w:pStyle w:val="ListParagraph"/>
        <w:spacing w:after="0"/>
        <w:ind w:left="204"/>
        <w:rPr>
          <w:szCs w:val="19"/>
        </w:rPr>
      </w:pPr>
    </w:p>
    <w:p w14:paraId="3C0222BA" w14:textId="77777777" w:rsidR="00133FEA" w:rsidRDefault="00133FEA" w:rsidP="00133FEA">
      <w:pPr>
        <w:pStyle w:val="ListParagraph"/>
        <w:numPr>
          <w:ilvl w:val="1"/>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A</w:t>
      </w:r>
      <w:r w:rsidRPr="00D12186">
        <w:rPr>
          <w:szCs w:val="19"/>
        </w:rPr>
        <w:t>ssesses and prioritises applications for assistance in a manner that is equitable, transparent and robust and is well publicised and understood by clients and potential clients</w:t>
      </w:r>
      <w:r>
        <w:rPr>
          <w:szCs w:val="19"/>
        </w:rPr>
        <w:t>.</w:t>
      </w:r>
    </w:p>
    <w:p w14:paraId="38FB0254"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1095124E" w14:textId="77777777" w:rsidR="00133FEA" w:rsidRPr="00E016A6"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lastRenderedPageBreak/>
        <w:t xml:space="preserve">Performance indicators: </w:t>
      </w:r>
    </w:p>
    <w:p w14:paraId="41EC003F" w14:textId="7D2C2798" w:rsidR="00133FEA" w:rsidRPr="005E2F28"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Equity, transparency and robustness of assessment and prioritisation process</w:t>
      </w:r>
      <w:r w:rsidR="00455473">
        <w:rPr>
          <w:szCs w:val="19"/>
        </w:rPr>
        <w:t>.</w:t>
      </w:r>
    </w:p>
    <w:p w14:paraId="15D2366C" w14:textId="21F7E529" w:rsidR="00133FEA" w:rsidRPr="005E2F28"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Client and potential client awareness of the process</w:t>
      </w:r>
      <w:r w:rsidR="00455473">
        <w:rPr>
          <w:szCs w:val="19"/>
        </w:rPr>
        <w:t>.</w:t>
      </w:r>
    </w:p>
    <w:p w14:paraId="3C7E964A" w14:textId="2936B79A" w:rsidR="00133FEA"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Traditional Owner satisfaction with the assessment and prioritisation process and its outcome</w:t>
      </w:r>
      <w:r w:rsidR="00455473">
        <w:rPr>
          <w:szCs w:val="19"/>
        </w:rPr>
        <w:t>.</w:t>
      </w:r>
    </w:p>
    <w:p w14:paraId="5F58728B"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5F2F1A48" w14:textId="77777777" w:rsidR="00133FEA" w:rsidRPr="00756305"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rFonts w:asciiTheme="majorHAnsi" w:hAnsiTheme="majorHAnsi" w:cstheme="majorHAnsi"/>
          <w:szCs w:val="19"/>
        </w:rPr>
      </w:pPr>
      <w:r w:rsidRPr="00A57EB6">
        <w:rPr>
          <w:szCs w:val="19"/>
        </w:rPr>
        <w:t>Number</w:t>
      </w:r>
      <w:r>
        <w:t xml:space="preserve"> of claims relative to NTRB-SP size and resourcing.</w:t>
      </w:r>
    </w:p>
    <w:p w14:paraId="1B490AF8" w14:textId="77777777" w:rsidR="009C3779" w:rsidRPr="00D12186" w:rsidRDefault="009C3779"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5C369EAA" w14:textId="77777777" w:rsidR="009C3779" w:rsidRPr="00D12186" w:rsidRDefault="009C3779" w:rsidP="000B2E53">
      <w:pPr>
        <w:pStyle w:val="ListParagraph"/>
        <w:numPr>
          <w:ilvl w:val="1"/>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D12186">
        <w:rPr>
          <w:szCs w:val="19"/>
        </w:rPr>
        <w:t>Deals respectfully, equitably, transparently and in a culturally appropriate manner with persons who hold or may hold native title in its region, including by adequately investigating and resolving complaints.</w:t>
      </w:r>
    </w:p>
    <w:p w14:paraId="3671C00B" w14:textId="77777777" w:rsidR="009C3779" w:rsidRPr="00D12186" w:rsidRDefault="009C3779"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AA7A681" w14:textId="77777777" w:rsidR="00133FEA" w:rsidRPr="00F454B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4CAB7030" w14:textId="77777777" w:rsidR="00133FEA" w:rsidRPr="00F454BA"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Respectful and transparent engagement</w:t>
      </w:r>
      <w:r>
        <w:rPr>
          <w:szCs w:val="19"/>
        </w:rPr>
        <w:t>.</w:t>
      </w:r>
      <w:r w:rsidRPr="00F454BA">
        <w:rPr>
          <w:szCs w:val="19"/>
        </w:rPr>
        <w:t xml:space="preserve"> </w:t>
      </w:r>
    </w:p>
    <w:p w14:paraId="67FBCCA8" w14:textId="77777777" w:rsidR="00133FEA" w:rsidRPr="00F454BA"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Culturally appropriate engagement</w:t>
      </w:r>
      <w:r>
        <w:rPr>
          <w:szCs w:val="19"/>
        </w:rPr>
        <w:t>.</w:t>
      </w:r>
    </w:p>
    <w:p w14:paraId="41E74676" w14:textId="77777777" w:rsidR="00133FEA" w:rsidRPr="00F454BA"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Complaints</w:t>
      </w:r>
      <w:r>
        <w:rPr>
          <w:szCs w:val="19"/>
        </w:rPr>
        <w:t>.</w:t>
      </w:r>
    </w:p>
    <w:p w14:paraId="6086F941" w14:textId="77777777" w:rsidR="00133FEA" w:rsidRPr="00F454BA"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Internal review</w:t>
      </w:r>
      <w:r>
        <w:rPr>
          <w:szCs w:val="19"/>
        </w:rPr>
        <w:t>.</w:t>
      </w:r>
    </w:p>
    <w:p w14:paraId="35150B08" w14:textId="77777777" w:rsidR="00133FEA" w:rsidRPr="00F454BA"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Use of cultural materials</w:t>
      </w:r>
      <w:r>
        <w:rPr>
          <w:szCs w:val="19"/>
        </w:rPr>
        <w:t>.</w:t>
      </w:r>
    </w:p>
    <w:p w14:paraId="0354F246"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6CDF1C07"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for TOR 3.</w:t>
      </w:r>
    </w:p>
    <w:p w14:paraId="46432604" w14:textId="77777777" w:rsidR="00133FEA" w:rsidRPr="00A57EB6"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p>
    <w:p w14:paraId="19164065" w14:textId="77777777" w:rsidR="00133FEA" w:rsidRDefault="00133FEA" w:rsidP="00133FEA">
      <w:pPr>
        <w:pStyle w:val="ListParagraph"/>
        <w:numPr>
          <w:ilvl w:val="1"/>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P</w:t>
      </w:r>
      <w:r w:rsidRPr="00D12186">
        <w:rPr>
          <w:szCs w:val="19"/>
        </w:rPr>
        <w:t>erforms its functions in a cost-effective manner, including by identifying the key cost drivers for the organisation</w:t>
      </w:r>
      <w:r>
        <w:rPr>
          <w:szCs w:val="19"/>
        </w:rPr>
        <w:t>.</w:t>
      </w:r>
    </w:p>
    <w:p w14:paraId="05B12D79"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792A3912"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63DC57A1" w14:textId="5013BBA9" w:rsidR="00133FEA" w:rsidRPr="00DE65A7"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Expenditure on salaries (legal, anthropological, </w:t>
      </w:r>
      <w:r w:rsidR="009717BD">
        <w:rPr>
          <w:szCs w:val="19"/>
        </w:rPr>
        <w:t>B</w:t>
      </w:r>
      <w:r w:rsidRPr="00DE65A7">
        <w:rPr>
          <w:szCs w:val="19"/>
        </w:rPr>
        <w:t>oard, CEO, HR, etc.), operations (travel, legal, offices, etc.) or other relevant items.</w:t>
      </w:r>
    </w:p>
    <w:p w14:paraId="171AB181" w14:textId="77777777" w:rsidR="00133FEA" w:rsidRPr="00DE65A7"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Cost-saving actions, strategies and/or discussions</w:t>
      </w:r>
      <w:r>
        <w:rPr>
          <w:szCs w:val="19"/>
        </w:rPr>
        <w:t>.</w:t>
      </w:r>
    </w:p>
    <w:p w14:paraId="7618588F" w14:textId="77777777" w:rsidR="00133FEA" w:rsidRPr="00DE65A7"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processes for claim group meetings</w:t>
      </w:r>
      <w:r>
        <w:rPr>
          <w:szCs w:val="19"/>
        </w:rPr>
        <w:t>.</w:t>
      </w:r>
    </w:p>
    <w:p w14:paraId="1F0A56B8" w14:textId="77777777" w:rsidR="00133FEA" w:rsidRPr="00DE65A7"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Annual yearly expenditure per claimant group. </w:t>
      </w:r>
    </w:p>
    <w:p w14:paraId="6AAD928E" w14:textId="77777777" w:rsidR="00133FEA" w:rsidRPr="00DE65A7"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Travel assistance policies for claim group meetings.</w:t>
      </w:r>
    </w:p>
    <w:p w14:paraId="1FDC36E4" w14:textId="77777777" w:rsidR="00133FEA" w:rsidRPr="00DE65A7"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rationale for use of external consultants</w:t>
      </w:r>
      <w:r>
        <w:rPr>
          <w:szCs w:val="19"/>
        </w:rPr>
        <w:t>.</w:t>
      </w:r>
    </w:p>
    <w:p w14:paraId="5E32927B"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552A67BA" w14:textId="77777777" w:rsidR="00133FEA" w:rsidRPr="00681175"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Size of RATSIB area</w:t>
      </w:r>
      <w:r>
        <w:rPr>
          <w:szCs w:val="19"/>
        </w:rPr>
        <w:t>.</w:t>
      </w:r>
    </w:p>
    <w:p w14:paraId="56DA2BC0" w14:textId="77777777" w:rsidR="00133FEA" w:rsidRPr="00681175"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Remoteness of RATSIB area</w:t>
      </w:r>
      <w:r>
        <w:rPr>
          <w:szCs w:val="19"/>
        </w:rPr>
        <w:t>.</w:t>
      </w:r>
    </w:p>
    <w:p w14:paraId="0ACD5525" w14:textId="77777777" w:rsidR="00133FEA" w:rsidRPr="00681175"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Average number of people within a claim group</w:t>
      </w:r>
      <w:r>
        <w:rPr>
          <w:szCs w:val="19"/>
        </w:rPr>
        <w:t>.</w:t>
      </w:r>
    </w:p>
    <w:p w14:paraId="0248319B" w14:textId="77777777" w:rsidR="00133FEA" w:rsidRPr="00D12186"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Interpreters</w:t>
      </w:r>
      <w:r>
        <w:rPr>
          <w:szCs w:val="19"/>
        </w:rPr>
        <w:t>.</w:t>
      </w:r>
    </w:p>
    <w:p w14:paraId="26A3AD86" w14:textId="77777777" w:rsidR="00133FEA" w:rsidRPr="00D12186" w:rsidRDefault="00133FEA" w:rsidP="00133FEA">
      <w:pPr>
        <w:pStyle w:val="ListParagraph"/>
        <w:spacing w:after="0"/>
        <w:ind w:left="204"/>
        <w:rPr>
          <w:szCs w:val="19"/>
        </w:rPr>
      </w:pPr>
    </w:p>
    <w:p w14:paraId="7044B995" w14:textId="77777777" w:rsidR="00133FEA" w:rsidRDefault="00133FEA" w:rsidP="00133FEA">
      <w:pPr>
        <w:pStyle w:val="ListParagraph"/>
        <w:numPr>
          <w:ilvl w:val="1"/>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governance and management structures, and organisational policies and an organisational culture that support efficient and effective project delivery</w:t>
      </w:r>
      <w:r>
        <w:rPr>
          <w:szCs w:val="19"/>
        </w:rPr>
        <w:t>.</w:t>
      </w:r>
    </w:p>
    <w:p w14:paraId="17907A0C"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1CA6EE03"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4B059FCA" w14:textId="77777777" w:rsidR="00133FEA" w:rsidRPr="00DF6A1C"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Breakdown of roles, responsibilities and decision making between the organisation’s Board, Chairperson, CEO and senior staff</w:t>
      </w:r>
      <w:r>
        <w:rPr>
          <w:szCs w:val="19"/>
        </w:rPr>
        <w:t>.</w:t>
      </w:r>
    </w:p>
    <w:p w14:paraId="31CFD2CA" w14:textId="77777777" w:rsidR="00133FEA" w:rsidRPr="00DF6A1C"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Board integrity and capability</w:t>
      </w:r>
      <w:r>
        <w:rPr>
          <w:szCs w:val="19"/>
        </w:rPr>
        <w:t>.</w:t>
      </w:r>
    </w:p>
    <w:p w14:paraId="0CD65106" w14:textId="77777777" w:rsidR="00133FEA" w:rsidRPr="00DF6A1C"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Conflicts of interest</w:t>
      </w:r>
      <w:r>
        <w:rPr>
          <w:szCs w:val="19"/>
        </w:rPr>
        <w:t>.</w:t>
      </w:r>
    </w:p>
    <w:p w14:paraId="14EF0B27" w14:textId="77777777" w:rsidR="00133FEA" w:rsidRPr="00DF6A1C"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Culture and values</w:t>
      </w:r>
      <w:r>
        <w:rPr>
          <w:szCs w:val="19"/>
        </w:rPr>
        <w:t>.</w:t>
      </w:r>
    </w:p>
    <w:p w14:paraId="318BA4F2" w14:textId="77777777" w:rsidR="00133FEA" w:rsidRPr="00DF6A1C"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lastRenderedPageBreak/>
        <w:t>Financial management</w:t>
      </w:r>
      <w:r>
        <w:rPr>
          <w:szCs w:val="19"/>
        </w:rPr>
        <w:t>.</w:t>
      </w:r>
    </w:p>
    <w:p w14:paraId="5543A038" w14:textId="77777777" w:rsidR="00133FEA" w:rsidRPr="00DF6A1C"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Training and professional development</w:t>
      </w:r>
      <w:r>
        <w:rPr>
          <w:szCs w:val="19"/>
        </w:rPr>
        <w:t>.</w:t>
      </w:r>
    </w:p>
    <w:p w14:paraId="1E66690D" w14:textId="63A54749" w:rsidR="00133FEA" w:rsidRPr="00DF6A1C"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 xml:space="preserve">Level of </w:t>
      </w:r>
      <w:r w:rsidR="006414E1">
        <w:rPr>
          <w:szCs w:val="19"/>
        </w:rPr>
        <w:t>staff</w:t>
      </w:r>
      <w:r w:rsidRPr="00DF6A1C">
        <w:rPr>
          <w:szCs w:val="19"/>
        </w:rPr>
        <w:t xml:space="preserve"> turnover</w:t>
      </w:r>
      <w:r>
        <w:rPr>
          <w:szCs w:val="19"/>
        </w:rPr>
        <w:t>.</w:t>
      </w:r>
    </w:p>
    <w:p w14:paraId="59D8CFFE"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6DB02CEB" w14:textId="02A36B8C"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 xml:space="preserve">No external factors have been identified for TOR </w:t>
      </w:r>
      <w:r w:rsidR="00E0324D">
        <w:rPr>
          <w:lang w:eastAsia="en-AU"/>
        </w:rPr>
        <w:t>5</w:t>
      </w:r>
      <w:r>
        <w:rPr>
          <w:lang w:eastAsia="en-AU"/>
        </w:rPr>
        <w:t>.</w:t>
      </w:r>
    </w:p>
    <w:p w14:paraId="1AB837EC" w14:textId="77777777" w:rsidR="00133FEA" w:rsidRDefault="00133FEA" w:rsidP="00133FEA">
      <w:pPr>
        <w:pStyle w:val="ListParagraph"/>
        <w:numPr>
          <w:ilvl w:val="1"/>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I</w:t>
      </w:r>
      <w:r w:rsidRPr="00D12186">
        <w:rPr>
          <w:szCs w:val="19"/>
        </w:rPr>
        <w:t>s adequately supporting Prescribed Bod</w:t>
      </w:r>
      <w:r>
        <w:rPr>
          <w:szCs w:val="19"/>
        </w:rPr>
        <w:t>y</w:t>
      </w:r>
      <w:r w:rsidRPr="00D12186">
        <w:rPr>
          <w:szCs w:val="19"/>
        </w:rPr>
        <w:t xml:space="preserve"> Corporate</w:t>
      </w:r>
      <w:r>
        <w:rPr>
          <w:szCs w:val="19"/>
        </w:rPr>
        <w:t>s</w:t>
      </w:r>
      <w:r w:rsidRPr="00D12186">
        <w:rPr>
          <w:szCs w:val="19"/>
        </w:rPr>
        <w:t xml:space="preserve"> towards self</w:t>
      </w:r>
      <w:r w:rsidRPr="00D12186">
        <w:rPr>
          <w:szCs w:val="19"/>
        </w:rPr>
        <w:noBreakHyphen/>
        <w:t>sufficiency</w:t>
      </w:r>
      <w:r>
        <w:rPr>
          <w:szCs w:val="19"/>
        </w:rPr>
        <w:t>.</w:t>
      </w:r>
    </w:p>
    <w:p w14:paraId="284618A6"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242C6FD3"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57CAAB1F" w14:textId="77777777" w:rsidR="00133FEA" w:rsidRPr="00790D3B"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supported by the NTRB-SP</w:t>
      </w:r>
      <w:r>
        <w:rPr>
          <w:szCs w:val="19"/>
        </w:rPr>
        <w:t>.</w:t>
      </w:r>
    </w:p>
    <w:p w14:paraId="1513AA51" w14:textId="77777777" w:rsidR="00133FEA" w:rsidRPr="00790D3B"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 xml:space="preserve">Percentage of PBCs/RNTBCs supported by the NTRB-SP who have had intervention from ORIC or </w:t>
      </w:r>
      <w:proofErr w:type="gramStart"/>
      <w:r w:rsidRPr="00790D3B">
        <w:rPr>
          <w:szCs w:val="19"/>
        </w:rPr>
        <w:t>other</w:t>
      </w:r>
      <w:proofErr w:type="gramEnd"/>
      <w:r w:rsidRPr="00790D3B">
        <w:rPr>
          <w:szCs w:val="19"/>
        </w:rPr>
        <w:t xml:space="preserve"> regulator</w:t>
      </w:r>
      <w:r>
        <w:rPr>
          <w:szCs w:val="19"/>
        </w:rPr>
        <w:t>.</w:t>
      </w:r>
    </w:p>
    <w:p w14:paraId="2E79A80A" w14:textId="77777777" w:rsidR="00133FEA" w:rsidRPr="00790D3B"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Progress towards self-sufficiency for PBCs/RNTBCs supported by the NTRB-SP</w:t>
      </w:r>
      <w:r>
        <w:rPr>
          <w:szCs w:val="19"/>
        </w:rPr>
        <w:t>.</w:t>
      </w:r>
    </w:p>
    <w:p w14:paraId="0C304D78" w14:textId="77777777" w:rsidR="00133FEA" w:rsidRPr="00790D3B"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NTRB-SP’s progress in returning cultural materials to PBCs/RNTBCs and Traditional Owners</w:t>
      </w:r>
      <w:r>
        <w:rPr>
          <w:szCs w:val="19"/>
        </w:rPr>
        <w:t>.</w:t>
      </w:r>
    </w:p>
    <w:p w14:paraId="3418B329" w14:textId="77777777" w:rsidR="00133FEA" w:rsidRPr="00790D3B"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Percentage of PBCs/RNTBCs supported by NTRB-SP with formal service agreements in place with NTRB-SP</w:t>
      </w:r>
      <w:r>
        <w:rPr>
          <w:szCs w:val="19"/>
        </w:rPr>
        <w:t>.</w:t>
      </w:r>
    </w:p>
    <w:p w14:paraId="329DF912" w14:textId="77777777" w:rsidR="00133FEA" w:rsidRPr="00790D3B"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with the process of negotiating service agreements between the NTRB-SP and the PBC/RNTBC</w:t>
      </w:r>
      <w:r>
        <w:rPr>
          <w:szCs w:val="19"/>
        </w:rPr>
        <w:t>.</w:t>
      </w:r>
    </w:p>
    <w:p w14:paraId="716904D2"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64EAF1F6" w14:textId="77777777" w:rsidR="00133FEA" w:rsidRPr="00D12186"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Extent to which self-sufficiency for PBCs/RNTBCs is achievable</w:t>
      </w:r>
      <w:r>
        <w:rPr>
          <w:szCs w:val="19"/>
        </w:rPr>
        <w:t>.</w:t>
      </w:r>
    </w:p>
    <w:p w14:paraId="24514602" w14:textId="77777777" w:rsidR="00133FEA" w:rsidRPr="00D12186" w:rsidRDefault="00133FEA" w:rsidP="00133FEA">
      <w:pPr>
        <w:pStyle w:val="ListParagraph"/>
        <w:spacing w:after="0"/>
        <w:ind w:left="564"/>
        <w:rPr>
          <w:szCs w:val="19"/>
        </w:rPr>
      </w:pPr>
    </w:p>
    <w:p w14:paraId="5CF773D2" w14:textId="77777777" w:rsidR="00133FEA" w:rsidRDefault="00133FEA" w:rsidP="00133FEA">
      <w:pPr>
        <w:pStyle w:val="ListParagraph"/>
        <w:numPr>
          <w:ilvl w:val="1"/>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developed its planning for a post-determination environment</w:t>
      </w:r>
      <w:r>
        <w:rPr>
          <w:szCs w:val="19"/>
        </w:rPr>
        <w:t>.</w:t>
      </w:r>
    </w:p>
    <w:p w14:paraId="1C2328DE"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0BE37D81"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315281D3" w14:textId="4467858E" w:rsidR="00133FEA" w:rsidRPr="00341067"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Adequacy of post</w:t>
      </w:r>
      <w:r w:rsidR="00DD5862">
        <w:rPr>
          <w:szCs w:val="19"/>
        </w:rPr>
        <w:t>-</w:t>
      </w:r>
      <w:r w:rsidRPr="00341067">
        <w:rPr>
          <w:szCs w:val="19"/>
        </w:rPr>
        <w:t>determination strategic planning</w:t>
      </w:r>
      <w:r w:rsidR="00C03D24">
        <w:rPr>
          <w:szCs w:val="19"/>
        </w:rPr>
        <w:t>.</w:t>
      </w:r>
    </w:p>
    <w:p w14:paraId="454B4BD3" w14:textId="77777777" w:rsidR="00133FEA" w:rsidRDefault="00133FEA" w:rsidP="00133FE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74A8C520" w14:textId="158ABC69" w:rsidR="00133FEA" w:rsidRPr="00D12186" w:rsidRDefault="00133FEA" w:rsidP="00133FEA">
      <w:pPr>
        <w:pStyle w:val="ListParagraph"/>
        <w:numPr>
          <w:ilvl w:val="2"/>
          <w:numId w:val="15"/>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Progress towards a post-determination environment</w:t>
      </w:r>
      <w:r w:rsidR="00C03D24">
        <w:rPr>
          <w:szCs w:val="19"/>
        </w:rPr>
        <w:t>.</w:t>
      </w:r>
    </w:p>
    <w:p w14:paraId="2731FE02" w14:textId="77777777" w:rsidR="009C3779" w:rsidRPr="00D12186" w:rsidRDefault="009C3779" w:rsidP="00133FEA">
      <w:pPr>
        <w:pStyle w:val="ListParagraph"/>
        <w:spacing w:after="0"/>
        <w:rPr>
          <w:szCs w:val="19"/>
        </w:rPr>
      </w:pPr>
    </w:p>
    <w:p w14:paraId="43EA606D" w14:textId="77777777" w:rsidR="009C3779" w:rsidRPr="00D12186" w:rsidRDefault="009C3779" w:rsidP="000B2E53">
      <w:pPr>
        <w:pStyle w:val="ListParagraph"/>
        <w:numPr>
          <w:ilvl w:val="0"/>
          <w:numId w:val="13"/>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The Service Provider will provide the following reports, reflecting the Service Provider’s independent views, to assist with Agency decision-making: </w:t>
      </w:r>
    </w:p>
    <w:p w14:paraId="11821D4D" w14:textId="77777777" w:rsidR="009C3779" w:rsidRPr="00D12186" w:rsidRDefault="009C3779" w:rsidP="009C3779">
      <w:pPr>
        <w:pStyle w:val="ListParagraph"/>
        <w:spacing w:after="0"/>
        <w:ind w:left="360"/>
        <w:rPr>
          <w:szCs w:val="19"/>
        </w:rPr>
      </w:pPr>
    </w:p>
    <w:p w14:paraId="47AAD56F" w14:textId="77777777" w:rsidR="009C3779" w:rsidRPr="00D12186" w:rsidRDefault="009C3779" w:rsidP="000B2E53">
      <w:pPr>
        <w:pStyle w:val="ListParagraph"/>
        <w:numPr>
          <w:ilvl w:val="0"/>
          <w:numId w:val="16"/>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An individual report for each organisation reviewed, including recommendations on what changes, if any, the organisation could make to improve its performance against each of the criteria listed in 1(a) above. </w:t>
      </w:r>
    </w:p>
    <w:p w14:paraId="2E9A176B" w14:textId="77777777" w:rsidR="00251013" w:rsidRDefault="00251013" w:rsidP="00251013">
      <w:pPr>
        <w:pStyle w:val="xAppendixLevel1"/>
      </w:pPr>
      <w:bookmarkStart w:id="51" w:name="_Ref164753184"/>
      <w:bookmarkStart w:id="52" w:name="_Toc170469991"/>
      <w:r>
        <w:lastRenderedPageBreak/>
        <w:t>Stakeholders consulted</w:t>
      </w:r>
      <w:bookmarkEnd w:id="51"/>
      <w:bookmarkEnd w:id="52"/>
    </w:p>
    <w:p w14:paraId="48FB716C" w14:textId="2998AFCC" w:rsidR="005F3F17" w:rsidRDefault="005F3F17" w:rsidP="005F3F17">
      <w:pPr>
        <w:rPr>
          <w:lang w:eastAsia="en-AU"/>
        </w:rPr>
      </w:pPr>
      <w:r>
        <w:rPr>
          <w:lang w:eastAsia="en-AU"/>
        </w:rPr>
        <w:t xml:space="preserve">The Review held consultations in person and virtually with a range of stakeholders in relation to </w:t>
      </w:r>
      <w:r w:rsidR="00AF6926">
        <w:rPr>
          <w:lang w:eastAsia="en-AU"/>
        </w:rPr>
        <w:t>FNLRS’</w:t>
      </w:r>
      <w:r w:rsidR="00C03D24">
        <w:rPr>
          <w:lang w:eastAsia="en-AU"/>
        </w:rPr>
        <w:t>s</w:t>
      </w:r>
      <w:r>
        <w:rPr>
          <w:lang w:eastAsia="en-AU"/>
        </w:rPr>
        <w:t xml:space="preserve"> performance. The Review’s approach to consultations was documented in the Consultation Plan, provided to all NTRB-SPs in advance of the Review. Nous used various approaches to engage with stakeholders who might wish to </w:t>
      </w:r>
      <w:r w:rsidR="00E64CD9">
        <w:rPr>
          <w:lang w:eastAsia="en-AU"/>
        </w:rPr>
        <w:t>be involved</w:t>
      </w:r>
      <w:r>
        <w:rPr>
          <w:lang w:eastAsia="en-AU"/>
        </w:rPr>
        <w:t xml:space="preserve"> with the Review. Surveys were distributed on behalf of the Review by </w:t>
      </w:r>
      <w:r w:rsidR="00AF6926">
        <w:rPr>
          <w:lang w:eastAsia="en-AU"/>
        </w:rPr>
        <w:t>FNLRS</w:t>
      </w:r>
      <w:r>
        <w:rPr>
          <w:lang w:eastAsia="en-AU"/>
        </w:rPr>
        <w:t xml:space="preserve"> to all staff and to Traditional Owners. Where feasible, notices were placed in relevant newspapers and other media to inform Traditional Owners of the opportunity to speak to the Review.</w:t>
      </w:r>
    </w:p>
    <w:p w14:paraId="5D76DD8D" w14:textId="0DA35231" w:rsidR="005F3F17" w:rsidRDefault="005F3F17" w:rsidP="005F3F17">
      <w:pPr>
        <w:rPr>
          <w:lang w:eastAsia="en-AU"/>
        </w:rPr>
      </w:pPr>
      <w:r>
        <w:rPr>
          <w:lang w:eastAsia="en-AU"/>
        </w:rPr>
        <w:t>Face</w:t>
      </w:r>
      <w:r w:rsidR="00253B8F">
        <w:rPr>
          <w:lang w:eastAsia="en-AU"/>
        </w:rPr>
        <w:t>-</w:t>
      </w:r>
      <w:r>
        <w:rPr>
          <w:lang w:eastAsia="en-AU"/>
        </w:rPr>
        <w:t>to</w:t>
      </w:r>
      <w:r w:rsidR="00253B8F">
        <w:rPr>
          <w:lang w:eastAsia="en-AU"/>
        </w:rPr>
        <w:t>-</w:t>
      </w:r>
      <w:r>
        <w:rPr>
          <w:lang w:eastAsia="en-AU"/>
        </w:rPr>
        <w:t xml:space="preserve">face consultations took place </w:t>
      </w:r>
      <w:r w:rsidR="00701A7A">
        <w:rPr>
          <w:lang w:eastAsia="en-AU"/>
        </w:rPr>
        <w:t xml:space="preserve">between the weeks commencing 13 November 2023 and </w:t>
      </w:r>
      <w:r w:rsidR="00565E09">
        <w:rPr>
          <w:lang w:eastAsia="en-AU"/>
        </w:rPr>
        <w:t>11 December 2023</w:t>
      </w:r>
      <w:r>
        <w:rPr>
          <w:lang w:eastAsia="en-AU"/>
        </w:rPr>
        <w:t>. All consultations were conducted in confidence and with the full consent of participants.</w:t>
      </w:r>
    </w:p>
    <w:p w14:paraId="14F3079B" w14:textId="77777777" w:rsidR="00AF6926" w:rsidRPr="00B3540D" w:rsidRDefault="00AF6926" w:rsidP="00AF6926">
      <w:r w:rsidRPr="00B3540D">
        <w:t>Those consulted included:</w:t>
      </w:r>
    </w:p>
    <w:p w14:paraId="41E6F841" w14:textId="77777777" w:rsidR="00251013" w:rsidRPr="00C828D1" w:rsidRDefault="00251013" w:rsidP="00251013">
      <w:pPr>
        <w:pStyle w:val="Bullet"/>
      </w:pPr>
      <w:r w:rsidRPr="00C828D1">
        <w:t xml:space="preserve">over 22 Traditional Owners including: </w:t>
      </w:r>
    </w:p>
    <w:p w14:paraId="54CEAB8E" w14:textId="77777777" w:rsidR="00251013" w:rsidRDefault="00251013" w:rsidP="00251013">
      <w:pPr>
        <w:pStyle w:val="Bullet"/>
        <w:numPr>
          <w:ilvl w:val="1"/>
          <w:numId w:val="4"/>
        </w:numPr>
      </w:pPr>
      <w:r>
        <w:t xml:space="preserve">clients who have been represented by FNLRS (including members of PBCs) </w:t>
      </w:r>
    </w:p>
    <w:p w14:paraId="17984D8A" w14:textId="77777777" w:rsidR="00251013" w:rsidRDefault="00251013" w:rsidP="00251013">
      <w:pPr>
        <w:pStyle w:val="Bullet"/>
        <w:numPr>
          <w:ilvl w:val="1"/>
          <w:numId w:val="4"/>
        </w:numPr>
      </w:pPr>
      <w:r>
        <w:t>potential clients in FNLRS’s RATSIB area</w:t>
      </w:r>
    </w:p>
    <w:p w14:paraId="0337B520" w14:textId="77777777" w:rsidR="006E5E3F" w:rsidRDefault="006E5E3F" w:rsidP="006E5E3F">
      <w:pPr>
        <w:pStyle w:val="Bullet"/>
      </w:pPr>
      <w:r>
        <w:t>the Federal Court of Australia</w:t>
      </w:r>
    </w:p>
    <w:p w14:paraId="0B2C40EE" w14:textId="77777777" w:rsidR="006E5E3F" w:rsidRDefault="006E5E3F" w:rsidP="006E5E3F">
      <w:pPr>
        <w:pStyle w:val="Bullet"/>
      </w:pPr>
      <w:r>
        <w:t>the NIAA</w:t>
      </w:r>
    </w:p>
    <w:p w14:paraId="3BC395B3" w14:textId="77777777" w:rsidR="006E5E3F" w:rsidRDefault="006E5E3F" w:rsidP="006E5E3F">
      <w:pPr>
        <w:pStyle w:val="Bullet"/>
      </w:pPr>
      <w:r>
        <w:t>representatives of Victorian Government</w:t>
      </w:r>
    </w:p>
    <w:p w14:paraId="48E370A3" w14:textId="77777777" w:rsidR="00251013" w:rsidRDefault="00251013" w:rsidP="00251013">
      <w:pPr>
        <w:pStyle w:val="Bullet"/>
      </w:pPr>
      <w:r>
        <w:t>FNLRS staff and contractors, including:</w:t>
      </w:r>
    </w:p>
    <w:p w14:paraId="5864FE52" w14:textId="77777777" w:rsidR="00251013" w:rsidRDefault="00251013" w:rsidP="00251013">
      <w:pPr>
        <w:pStyle w:val="Bullet"/>
        <w:numPr>
          <w:ilvl w:val="1"/>
          <w:numId w:val="4"/>
        </w:numPr>
      </w:pPr>
      <w:r>
        <w:t>FNLRS Board Directors</w:t>
      </w:r>
    </w:p>
    <w:p w14:paraId="357D7937" w14:textId="77777777" w:rsidR="00251013" w:rsidRDefault="00251013" w:rsidP="00251013">
      <w:pPr>
        <w:pStyle w:val="Bullet"/>
        <w:numPr>
          <w:ilvl w:val="1"/>
          <w:numId w:val="4"/>
        </w:numPr>
      </w:pPr>
      <w:r>
        <w:t>FNLRS CEO and Executive</w:t>
      </w:r>
    </w:p>
    <w:p w14:paraId="299FFC43" w14:textId="77777777" w:rsidR="00251013" w:rsidRDefault="00251013" w:rsidP="00251013">
      <w:pPr>
        <w:pStyle w:val="Bullet"/>
        <w:numPr>
          <w:ilvl w:val="1"/>
          <w:numId w:val="4"/>
        </w:numPr>
      </w:pPr>
      <w:r>
        <w:t>current FNLRS staff</w:t>
      </w:r>
    </w:p>
    <w:p w14:paraId="7B8D5797" w14:textId="77777777" w:rsidR="00251013" w:rsidRDefault="00251013" w:rsidP="00251013">
      <w:pPr>
        <w:pStyle w:val="Bullet"/>
      </w:pPr>
      <w:r w:rsidRPr="006A729C">
        <w:t>First Peoples' Assembly of Victoria</w:t>
      </w:r>
      <w:r>
        <w:t xml:space="preserve"> </w:t>
      </w:r>
    </w:p>
    <w:p w14:paraId="78664918" w14:textId="641F06EB" w:rsidR="00251013" w:rsidRDefault="00251013" w:rsidP="00251013">
      <w:pPr>
        <w:pStyle w:val="Bullet"/>
      </w:pPr>
      <w:r w:rsidRPr="006A729C">
        <w:t>Federation of Victorian Traditional Owner Corporations</w:t>
      </w:r>
      <w:r w:rsidR="006E5E3F">
        <w:t>.</w:t>
      </w:r>
    </w:p>
    <w:p w14:paraId="49146601" w14:textId="688972A8" w:rsidR="00251013" w:rsidRDefault="008D1FB4" w:rsidP="008E6D09">
      <w:pPr>
        <w:pStyle w:val="xAppendixLevel1"/>
      </w:pPr>
      <w:bookmarkStart w:id="53" w:name="_Toc170469992"/>
      <w:bookmarkStart w:id="54" w:name="_Ref164753178"/>
      <w:r w:rsidRPr="008D1FB4">
        <w:lastRenderedPageBreak/>
        <w:t>Documents reviewed</w:t>
      </w:r>
      <w:bookmarkEnd w:id="53"/>
    </w:p>
    <w:tbl>
      <w:tblPr>
        <w:tblStyle w:val="TableGrid"/>
        <w:tblW w:w="0" w:type="auto"/>
        <w:tblLook w:val="04A0" w:firstRow="1" w:lastRow="0" w:firstColumn="1" w:lastColumn="0" w:noHBand="0" w:noVBand="1"/>
      </w:tblPr>
      <w:tblGrid>
        <w:gridCol w:w="1560"/>
        <w:gridCol w:w="7370"/>
      </w:tblGrid>
      <w:tr w:rsidR="0019097A" w14:paraId="33BC887C" w14:textId="77777777">
        <w:trPr>
          <w:cnfStyle w:val="100000000000" w:firstRow="1" w:lastRow="0" w:firstColumn="0" w:lastColumn="0" w:oddVBand="0" w:evenVBand="0" w:oddHBand="0" w:evenHBand="0" w:firstRowFirstColumn="0" w:firstRowLastColumn="0" w:lastRowFirstColumn="0" w:lastRowLastColumn="0"/>
        </w:trPr>
        <w:tc>
          <w:tcPr>
            <w:tcW w:w="1560" w:type="dxa"/>
          </w:tcPr>
          <w:bookmarkEnd w:id="54"/>
          <w:p w14:paraId="400E9CC4" w14:textId="77777777" w:rsidR="0019097A" w:rsidRDefault="0019097A">
            <w:pPr>
              <w:pStyle w:val="TableNheader"/>
            </w:pPr>
            <w:r>
              <w:t xml:space="preserve">Category </w:t>
            </w:r>
          </w:p>
        </w:tc>
        <w:tc>
          <w:tcPr>
            <w:tcW w:w="7370" w:type="dxa"/>
          </w:tcPr>
          <w:p w14:paraId="0BA0D29D" w14:textId="77777777" w:rsidR="0019097A" w:rsidRDefault="0019097A">
            <w:pPr>
              <w:pStyle w:val="TableNheader"/>
            </w:pPr>
            <w:r>
              <w:t xml:space="preserve">Description </w:t>
            </w:r>
          </w:p>
        </w:tc>
      </w:tr>
      <w:tr w:rsidR="0019097A" w14:paraId="0568B054" w14:textId="77777777">
        <w:trPr>
          <w:cnfStyle w:val="000000100000" w:firstRow="0" w:lastRow="0" w:firstColumn="0" w:lastColumn="0" w:oddVBand="0" w:evenVBand="0" w:oddHBand="1" w:evenHBand="0" w:firstRowFirstColumn="0" w:firstRowLastColumn="0" w:lastRowFirstColumn="0" w:lastRowLastColumn="0"/>
        </w:trPr>
        <w:tc>
          <w:tcPr>
            <w:tcW w:w="1560" w:type="dxa"/>
          </w:tcPr>
          <w:p w14:paraId="62CCC068" w14:textId="5F702DD7" w:rsidR="0019097A" w:rsidRPr="004D378C" w:rsidRDefault="0019097A">
            <w:pPr>
              <w:pStyle w:val="TableNText"/>
              <w:rPr>
                <w:rFonts w:asciiTheme="majorHAnsi" w:hAnsiTheme="majorHAnsi" w:cstheme="majorHAnsi"/>
              </w:rPr>
            </w:pPr>
            <w:r w:rsidRPr="004D378C">
              <w:rPr>
                <w:rFonts w:asciiTheme="majorHAnsi" w:hAnsiTheme="majorHAnsi" w:cstheme="majorHAnsi"/>
              </w:rPr>
              <w:t xml:space="preserve">Annual </w:t>
            </w:r>
            <w:r w:rsidR="00C21045">
              <w:rPr>
                <w:rFonts w:asciiTheme="majorHAnsi" w:hAnsiTheme="majorHAnsi" w:cstheme="majorHAnsi"/>
              </w:rPr>
              <w:t>r</w:t>
            </w:r>
            <w:r w:rsidRPr="004D378C">
              <w:rPr>
                <w:rFonts w:asciiTheme="majorHAnsi" w:hAnsiTheme="majorHAnsi" w:cstheme="majorHAnsi"/>
              </w:rPr>
              <w:t xml:space="preserve">eports </w:t>
            </w:r>
          </w:p>
        </w:tc>
        <w:tc>
          <w:tcPr>
            <w:tcW w:w="7370" w:type="dxa"/>
          </w:tcPr>
          <w:p w14:paraId="63FE3AEF" w14:textId="77777777" w:rsidR="0019097A" w:rsidRPr="00EA574B" w:rsidRDefault="0019097A">
            <w:pPr>
              <w:pStyle w:val="TableNText"/>
              <w:rPr>
                <w:sz w:val="18"/>
                <w:szCs w:val="20"/>
              </w:rPr>
            </w:pPr>
            <w:r w:rsidRPr="00EA574B">
              <w:rPr>
                <w:sz w:val="18"/>
                <w:szCs w:val="20"/>
              </w:rPr>
              <w:t>FNLRS Annual Report 2019-2020</w:t>
            </w:r>
          </w:p>
          <w:p w14:paraId="2B27C4E8" w14:textId="77777777" w:rsidR="0019097A" w:rsidRPr="00EA574B" w:rsidRDefault="0019097A">
            <w:pPr>
              <w:pStyle w:val="TableNText"/>
              <w:rPr>
                <w:sz w:val="18"/>
                <w:szCs w:val="20"/>
              </w:rPr>
            </w:pPr>
            <w:r w:rsidRPr="00EA574B">
              <w:rPr>
                <w:sz w:val="18"/>
                <w:szCs w:val="20"/>
              </w:rPr>
              <w:t>FNLRS Annual Report 2020-2021</w:t>
            </w:r>
          </w:p>
          <w:p w14:paraId="2FB9C935" w14:textId="77777777" w:rsidR="0019097A" w:rsidRPr="00EA574B" w:rsidRDefault="0019097A">
            <w:pPr>
              <w:pStyle w:val="TableNText"/>
              <w:rPr>
                <w:sz w:val="18"/>
                <w:szCs w:val="20"/>
              </w:rPr>
            </w:pPr>
            <w:r w:rsidRPr="00EA574B">
              <w:rPr>
                <w:sz w:val="18"/>
                <w:szCs w:val="20"/>
              </w:rPr>
              <w:t>FNLRS Annual Report 2021-2022</w:t>
            </w:r>
          </w:p>
        </w:tc>
      </w:tr>
      <w:tr w:rsidR="0019097A" w14:paraId="12508F55" w14:textId="77777777">
        <w:trPr>
          <w:cnfStyle w:val="000000010000" w:firstRow="0" w:lastRow="0" w:firstColumn="0" w:lastColumn="0" w:oddVBand="0" w:evenVBand="0" w:oddHBand="0" w:evenHBand="1" w:firstRowFirstColumn="0" w:firstRowLastColumn="0" w:lastRowFirstColumn="0" w:lastRowLastColumn="0"/>
        </w:trPr>
        <w:tc>
          <w:tcPr>
            <w:tcW w:w="1560" w:type="dxa"/>
          </w:tcPr>
          <w:p w14:paraId="1C41313A" w14:textId="77777777" w:rsidR="0019097A" w:rsidRPr="004D378C" w:rsidRDefault="0019097A">
            <w:pPr>
              <w:pStyle w:val="TableNText"/>
              <w:rPr>
                <w:rFonts w:asciiTheme="majorHAnsi" w:hAnsiTheme="majorHAnsi" w:cstheme="majorHAnsi"/>
              </w:rPr>
            </w:pPr>
            <w:r w:rsidRPr="004D378C">
              <w:rPr>
                <w:rFonts w:asciiTheme="majorHAnsi" w:hAnsiTheme="majorHAnsi" w:cstheme="majorHAnsi"/>
              </w:rPr>
              <w:t>Policies</w:t>
            </w:r>
          </w:p>
        </w:tc>
        <w:tc>
          <w:tcPr>
            <w:tcW w:w="7370" w:type="dxa"/>
          </w:tcPr>
          <w:p w14:paraId="0C0A4614" w14:textId="77777777" w:rsidR="0019097A" w:rsidRPr="00EA574B" w:rsidRDefault="0019097A">
            <w:pPr>
              <w:pStyle w:val="TableNText"/>
              <w:rPr>
                <w:sz w:val="18"/>
                <w:szCs w:val="20"/>
              </w:rPr>
            </w:pPr>
            <w:r w:rsidRPr="00EA574B">
              <w:rPr>
                <w:sz w:val="18"/>
                <w:szCs w:val="20"/>
              </w:rPr>
              <w:t>Complaints Policy</w:t>
            </w:r>
          </w:p>
          <w:p w14:paraId="012F361A" w14:textId="77777777" w:rsidR="0019097A" w:rsidRPr="00EA574B" w:rsidRDefault="0019097A">
            <w:pPr>
              <w:pStyle w:val="TableNText"/>
              <w:rPr>
                <w:sz w:val="18"/>
                <w:szCs w:val="20"/>
              </w:rPr>
            </w:pPr>
            <w:r w:rsidRPr="00EA574B">
              <w:rPr>
                <w:sz w:val="18"/>
                <w:szCs w:val="20"/>
              </w:rPr>
              <w:t>Conflict of Interest – Directors Policy</w:t>
            </w:r>
          </w:p>
          <w:p w14:paraId="0B3B25D7" w14:textId="77777777" w:rsidR="0019097A" w:rsidRPr="00EA574B" w:rsidRDefault="0019097A">
            <w:pPr>
              <w:pStyle w:val="TableNText"/>
              <w:rPr>
                <w:sz w:val="18"/>
                <w:szCs w:val="20"/>
              </w:rPr>
            </w:pPr>
            <w:r w:rsidRPr="00EA574B">
              <w:rPr>
                <w:sz w:val="18"/>
                <w:szCs w:val="20"/>
              </w:rPr>
              <w:t>Delegation Policy (October 2023)</w:t>
            </w:r>
          </w:p>
          <w:p w14:paraId="77276AE4" w14:textId="77777777" w:rsidR="0019097A" w:rsidRPr="00EA574B" w:rsidRDefault="0019097A">
            <w:pPr>
              <w:pStyle w:val="TableNText"/>
              <w:rPr>
                <w:sz w:val="18"/>
                <w:szCs w:val="20"/>
              </w:rPr>
            </w:pPr>
            <w:r w:rsidRPr="00EA574B">
              <w:rPr>
                <w:sz w:val="18"/>
                <w:szCs w:val="20"/>
              </w:rPr>
              <w:t>Draft Conflict of Interest Policy</w:t>
            </w:r>
          </w:p>
          <w:p w14:paraId="3E3CA49A" w14:textId="77777777" w:rsidR="0019097A" w:rsidRPr="00EA574B" w:rsidRDefault="0019097A">
            <w:pPr>
              <w:pStyle w:val="TableNText"/>
              <w:rPr>
                <w:sz w:val="18"/>
                <w:szCs w:val="20"/>
              </w:rPr>
            </w:pPr>
            <w:r w:rsidRPr="00EA574B">
              <w:rPr>
                <w:sz w:val="18"/>
                <w:szCs w:val="20"/>
              </w:rPr>
              <w:t>First Nations – Staff Travel and Accommodation Allowances Policy</w:t>
            </w:r>
          </w:p>
          <w:p w14:paraId="37837C3E" w14:textId="77777777" w:rsidR="0019097A" w:rsidRPr="00EA574B" w:rsidRDefault="0019097A">
            <w:pPr>
              <w:pStyle w:val="TableNText"/>
              <w:rPr>
                <w:sz w:val="18"/>
                <w:szCs w:val="20"/>
              </w:rPr>
            </w:pPr>
            <w:r w:rsidRPr="00EA574B">
              <w:rPr>
                <w:sz w:val="18"/>
                <w:szCs w:val="20"/>
              </w:rPr>
              <w:t>FNLRS Future Act Guidelines (April 2022)</w:t>
            </w:r>
          </w:p>
          <w:p w14:paraId="4A421743" w14:textId="77777777" w:rsidR="0019097A" w:rsidRPr="00EA574B" w:rsidRDefault="0019097A">
            <w:pPr>
              <w:pStyle w:val="TableNText"/>
              <w:rPr>
                <w:sz w:val="18"/>
                <w:szCs w:val="20"/>
              </w:rPr>
            </w:pPr>
            <w:r w:rsidRPr="00EA574B">
              <w:rPr>
                <w:sz w:val="18"/>
                <w:szCs w:val="20"/>
              </w:rPr>
              <w:t>FNLRS Research Information Policy</w:t>
            </w:r>
          </w:p>
          <w:p w14:paraId="64833CC7" w14:textId="77777777" w:rsidR="0019097A" w:rsidRPr="00EA574B" w:rsidRDefault="0019097A">
            <w:pPr>
              <w:pStyle w:val="TableNText"/>
              <w:rPr>
                <w:sz w:val="18"/>
                <w:szCs w:val="20"/>
              </w:rPr>
            </w:pPr>
            <w:r w:rsidRPr="00EA574B">
              <w:rPr>
                <w:sz w:val="18"/>
                <w:szCs w:val="20"/>
              </w:rPr>
              <w:t>Fraud Control Policy)</w:t>
            </w:r>
          </w:p>
          <w:p w14:paraId="19BF9D86" w14:textId="77777777" w:rsidR="0019097A" w:rsidRPr="00EA574B" w:rsidRDefault="0019097A">
            <w:pPr>
              <w:pStyle w:val="TableNText"/>
              <w:rPr>
                <w:sz w:val="18"/>
                <w:szCs w:val="20"/>
              </w:rPr>
            </w:pPr>
            <w:r w:rsidRPr="00EA574B">
              <w:rPr>
                <w:sz w:val="18"/>
                <w:szCs w:val="20"/>
              </w:rPr>
              <w:t>Handling of Complaints Policy</w:t>
            </w:r>
          </w:p>
          <w:p w14:paraId="670AE17D" w14:textId="77777777" w:rsidR="0019097A" w:rsidRPr="00EA574B" w:rsidRDefault="0019097A">
            <w:pPr>
              <w:pStyle w:val="TableNText"/>
              <w:rPr>
                <w:sz w:val="18"/>
                <w:szCs w:val="20"/>
              </w:rPr>
            </w:pPr>
            <w:r w:rsidRPr="00EA574B">
              <w:rPr>
                <w:sz w:val="18"/>
                <w:szCs w:val="20"/>
              </w:rPr>
              <w:t>Healing Informed Policy</w:t>
            </w:r>
          </w:p>
          <w:p w14:paraId="27796103" w14:textId="77777777" w:rsidR="0019097A" w:rsidRPr="00EA574B" w:rsidRDefault="0019097A">
            <w:pPr>
              <w:pStyle w:val="TableNText"/>
              <w:rPr>
                <w:sz w:val="18"/>
                <w:szCs w:val="20"/>
              </w:rPr>
            </w:pPr>
            <w:r w:rsidRPr="00EA574B">
              <w:rPr>
                <w:sz w:val="18"/>
                <w:szCs w:val="20"/>
              </w:rPr>
              <w:t>Meeting Facilitation Guidelines</w:t>
            </w:r>
          </w:p>
          <w:p w14:paraId="768B7971" w14:textId="77777777" w:rsidR="0019097A" w:rsidRPr="00EA574B" w:rsidRDefault="0019097A">
            <w:pPr>
              <w:pStyle w:val="TableNText"/>
              <w:rPr>
                <w:sz w:val="18"/>
                <w:szCs w:val="20"/>
              </w:rPr>
            </w:pPr>
            <w:r w:rsidRPr="00EA574B">
              <w:rPr>
                <w:sz w:val="18"/>
                <w:szCs w:val="20"/>
              </w:rPr>
              <w:t>Privacy Policy</w:t>
            </w:r>
          </w:p>
          <w:p w14:paraId="5FBEDD95" w14:textId="77777777" w:rsidR="0019097A" w:rsidRPr="00EA574B" w:rsidRDefault="0019097A">
            <w:pPr>
              <w:pStyle w:val="TableNText"/>
              <w:rPr>
                <w:sz w:val="18"/>
                <w:szCs w:val="20"/>
              </w:rPr>
            </w:pPr>
            <w:r w:rsidRPr="00EA574B">
              <w:rPr>
                <w:sz w:val="18"/>
                <w:szCs w:val="20"/>
              </w:rPr>
              <w:t>Travel Assistance Policy</w:t>
            </w:r>
          </w:p>
          <w:p w14:paraId="38478EF2" w14:textId="77777777" w:rsidR="0019097A" w:rsidRPr="00EA574B" w:rsidRDefault="0019097A">
            <w:pPr>
              <w:pStyle w:val="TableNText"/>
              <w:rPr>
                <w:sz w:val="18"/>
                <w:szCs w:val="20"/>
              </w:rPr>
            </w:pPr>
            <w:r w:rsidRPr="00EA574B">
              <w:rPr>
                <w:sz w:val="18"/>
                <w:szCs w:val="20"/>
              </w:rPr>
              <w:t>Whistleblower Policy</w:t>
            </w:r>
          </w:p>
          <w:p w14:paraId="2C43B062" w14:textId="77777777" w:rsidR="0019097A" w:rsidRPr="00EA574B" w:rsidRDefault="0019097A">
            <w:pPr>
              <w:pStyle w:val="TableNText"/>
              <w:rPr>
                <w:sz w:val="18"/>
                <w:szCs w:val="20"/>
              </w:rPr>
            </w:pPr>
            <w:r w:rsidRPr="00EA574B">
              <w:rPr>
                <w:sz w:val="18"/>
                <w:szCs w:val="20"/>
              </w:rPr>
              <w:t xml:space="preserve">2019-2022 First Nations - Assistance </w:t>
            </w:r>
            <w:proofErr w:type="gramStart"/>
            <w:r w:rsidRPr="00EA574B">
              <w:rPr>
                <w:sz w:val="18"/>
                <w:szCs w:val="20"/>
              </w:rPr>
              <w:t>To</w:t>
            </w:r>
            <w:proofErr w:type="gramEnd"/>
            <w:r w:rsidRPr="00EA574B">
              <w:rPr>
                <w:sz w:val="18"/>
                <w:szCs w:val="20"/>
              </w:rPr>
              <w:t xml:space="preserve"> Native Title Holders Attending Meetings Policy (pre-November 2021)</w:t>
            </w:r>
          </w:p>
          <w:p w14:paraId="3BD26A9B" w14:textId="77777777" w:rsidR="0019097A" w:rsidRPr="00EA574B" w:rsidRDefault="0019097A">
            <w:pPr>
              <w:pStyle w:val="TableNText"/>
              <w:rPr>
                <w:sz w:val="18"/>
                <w:szCs w:val="20"/>
              </w:rPr>
            </w:pPr>
            <w:r w:rsidRPr="00EA574B">
              <w:rPr>
                <w:sz w:val="18"/>
                <w:szCs w:val="20"/>
              </w:rPr>
              <w:t>2021 Guidelines for First Nations Assistance Groups (November 2021)</w:t>
            </w:r>
          </w:p>
        </w:tc>
      </w:tr>
      <w:tr w:rsidR="0019097A" w14:paraId="54076D8A" w14:textId="77777777">
        <w:trPr>
          <w:cnfStyle w:val="000000100000" w:firstRow="0" w:lastRow="0" w:firstColumn="0" w:lastColumn="0" w:oddVBand="0" w:evenVBand="0" w:oddHBand="1" w:evenHBand="0" w:firstRowFirstColumn="0" w:firstRowLastColumn="0" w:lastRowFirstColumn="0" w:lastRowLastColumn="0"/>
        </w:trPr>
        <w:tc>
          <w:tcPr>
            <w:tcW w:w="1560" w:type="dxa"/>
          </w:tcPr>
          <w:p w14:paraId="37976D3F" w14:textId="77777777" w:rsidR="0019097A" w:rsidRPr="004D378C" w:rsidRDefault="0019097A">
            <w:pPr>
              <w:pStyle w:val="TableNText"/>
              <w:rPr>
                <w:rFonts w:asciiTheme="majorHAnsi" w:hAnsiTheme="majorHAnsi" w:cstheme="majorHAnsi"/>
              </w:rPr>
            </w:pPr>
            <w:r w:rsidRPr="004D378C">
              <w:rPr>
                <w:rFonts w:asciiTheme="majorHAnsi" w:hAnsiTheme="majorHAnsi" w:cstheme="majorHAnsi"/>
              </w:rPr>
              <w:t>Operational documents</w:t>
            </w:r>
          </w:p>
        </w:tc>
        <w:tc>
          <w:tcPr>
            <w:tcW w:w="7370" w:type="dxa"/>
          </w:tcPr>
          <w:p w14:paraId="4746DAA9" w14:textId="77777777" w:rsidR="0019097A" w:rsidRPr="00EA574B" w:rsidRDefault="0019097A">
            <w:pPr>
              <w:pStyle w:val="TableNText"/>
              <w:rPr>
                <w:sz w:val="18"/>
                <w:szCs w:val="20"/>
              </w:rPr>
            </w:pPr>
            <w:r w:rsidRPr="00EA574B">
              <w:rPr>
                <w:sz w:val="18"/>
                <w:szCs w:val="20"/>
              </w:rPr>
              <w:t>Audit and Risk Committee Terms of Reference</w:t>
            </w:r>
          </w:p>
          <w:p w14:paraId="043F57E5" w14:textId="77777777" w:rsidR="0019097A" w:rsidRPr="00EA574B" w:rsidRDefault="0019097A">
            <w:pPr>
              <w:pStyle w:val="TableNText"/>
              <w:rPr>
                <w:sz w:val="18"/>
                <w:szCs w:val="20"/>
              </w:rPr>
            </w:pPr>
            <w:r w:rsidRPr="00EA574B">
              <w:rPr>
                <w:sz w:val="18"/>
                <w:szCs w:val="20"/>
              </w:rPr>
              <w:t>COVID-19 Safe Plan</w:t>
            </w:r>
          </w:p>
          <w:p w14:paraId="0D1B9F25" w14:textId="77777777" w:rsidR="0019097A" w:rsidRPr="00EA574B" w:rsidRDefault="0019097A">
            <w:pPr>
              <w:pStyle w:val="TableNText"/>
              <w:rPr>
                <w:sz w:val="18"/>
                <w:szCs w:val="20"/>
              </w:rPr>
            </w:pPr>
            <w:r w:rsidRPr="00EA574B">
              <w:rPr>
                <w:sz w:val="18"/>
                <w:szCs w:val="20"/>
              </w:rPr>
              <w:t>Facilitation and Assistance Requests Assessment Committee Terms of Reference</w:t>
            </w:r>
          </w:p>
          <w:p w14:paraId="77B515B2" w14:textId="77777777" w:rsidR="0019097A" w:rsidRPr="00EA574B" w:rsidRDefault="0019097A">
            <w:pPr>
              <w:pStyle w:val="TableNText"/>
              <w:rPr>
                <w:sz w:val="18"/>
                <w:szCs w:val="20"/>
              </w:rPr>
            </w:pPr>
            <w:r w:rsidRPr="00EA574B">
              <w:rPr>
                <w:sz w:val="18"/>
                <w:szCs w:val="20"/>
              </w:rPr>
              <w:t>Facilitator database</w:t>
            </w:r>
          </w:p>
          <w:p w14:paraId="790E43E6" w14:textId="77777777" w:rsidR="0019097A" w:rsidRPr="00EA574B" w:rsidRDefault="0019097A">
            <w:pPr>
              <w:pStyle w:val="TableNText"/>
              <w:rPr>
                <w:sz w:val="18"/>
                <w:szCs w:val="20"/>
              </w:rPr>
            </w:pPr>
            <w:r w:rsidRPr="00EA574B">
              <w:rPr>
                <w:sz w:val="18"/>
                <w:szCs w:val="20"/>
              </w:rPr>
              <w:t>Federation of Victorian Traditional Owner Corporations Strategic Plan 2017-2020</w:t>
            </w:r>
          </w:p>
          <w:p w14:paraId="334FC0AC" w14:textId="77777777" w:rsidR="0019097A" w:rsidRPr="00EA574B" w:rsidRDefault="0019097A">
            <w:pPr>
              <w:pStyle w:val="TableNText"/>
              <w:rPr>
                <w:sz w:val="18"/>
                <w:szCs w:val="20"/>
              </w:rPr>
            </w:pPr>
            <w:r w:rsidRPr="00EA574B">
              <w:rPr>
                <w:sz w:val="18"/>
                <w:szCs w:val="20"/>
              </w:rPr>
              <w:t>First Nations - Code of Conduct</w:t>
            </w:r>
          </w:p>
          <w:p w14:paraId="159F528A" w14:textId="77777777" w:rsidR="0019097A" w:rsidRPr="00EA574B" w:rsidRDefault="0019097A">
            <w:pPr>
              <w:pStyle w:val="TableNText"/>
              <w:rPr>
                <w:sz w:val="18"/>
                <w:szCs w:val="20"/>
              </w:rPr>
            </w:pPr>
            <w:r w:rsidRPr="00EA574B">
              <w:rPr>
                <w:sz w:val="18"/>
                <w:szCs w:val="20"/>
              </w:rPr>
              <w:t>FNLRS Strategic Plan 2021-2024</w:t>
            </w:r>
          </w:p>
          <w:p w14:paraId="1C2E399F" w14:textId="77777777" w:rsidR="0019097A" w:rsidRPr="00EA574B" w:rsidRDefault="0019097A">
            <w:pPr>
              <w:pStyle w:val="TableNText"/>
              <w:rPr>
                <w:sz w:val="18"/>
                <w:szCs w:val="20"/>
              </w:rPr>
            </w:pPr>
            <w:r w:rsidRPr="00EA574B">
              <w:rPr>
                <w:sz w:val="18"/>
                <w:szCs w:val="20"/>
              </w:rPr>
              <w:t>FNLRS Third-Party Provider Panels Assessment Committee Terms of Reference (Oct 2023)</w:t>
            </w:r>
          </w:p>
          <w:p w14:paraId="34655929" w14:textId="77777777" w:rsidR="0019097A" w:rsidRPr="00EA574B" w:rsidRDefault="0019097A">
            <w:pPr>
              <w:pStyle w:val="TableNText"/>
              <w:rPr>
                <w:sz w:val="18"/>
                <w:szCs w:val="20"/>
              </w:rPr>
            </w:pPr>
            <w:r w:rsidRPr="00EA574B">
              <w:rPr>
                <w:sz w:val="18"/>
                <w:szCs w:val="20"/>
              </w:rPr>
              <w:t>Future Act Tracker 2019</w:t>
            </w:r>
          </w:p>
          <w:p w14:paraId="2F1A4FEA" w14:textId="77777777" w:rsidR="0019097A" w:rsidRPr="00EA574B" w:rsidRDefault="0019097A">
            <w:pPr>
              <w:pStyle w:val="TableNText"/>
              <w:rPr>
                <w:sz w:val="18"/>
                <w:szCs w:val="20"/>
              </w:rPr>
            </w:pPr>
            <w:r w:rsidRPr="00EA574B">
              <w:rPr>
                <w:sz w:val="18"/>
                <w:szCs w:val="20"/>
              </w:rPr>
              <w:t>Future Act Tracker 2020-2022</w:t>
            </w:r>
          </w:p>
          <w:p w14:paraId="1F788B91" w14:textId="77777777" w:rsidR="0019097A" w:rsidRPr="00EA574B" w:rsidRDefault="0019097A">
            <w:pPr>
              <w:pStyle w:val="TableNText"/>
              <w:rPr>
                <w:sz w:val="18"/>
                <w:szCs w:val="20"/>
              </w:rPr>
            </w:pPr>
            <w:r w:rsidRPr="00EA574B">
              <w:rPr>
                <w:sz w:val="18"/>
                <w:szCs w:val="20"/>
              </w:rPr>
              <w:t>CEO position description</w:t>
            </w:r>
          </w:p>
          <w:p w14:paraId="6E8EFF0F" w14:textId="77777777" w:rsidR="0019097A" w:rsidRPr="00EA574B" w:rsidRDefault="0019097A">
            <w:pPr>
              <w:pStyle w:val="TableNText"/>
              <w:rPr>
                <w:sz w:val="18"/>
                <w:szCs w:val="20"/>
              </w:rPr>
            </w:pPr>
            <w:r w:rsidRPr="00EA574B">
              <w:rPr>
                <w:sz w:val="18"/>
                <w:szCs w:val="20"/>
              </w:rPr>
              <w:t>Chief Financial Officer position description</w:t>
            </w:r>
          </w:p>
          <w:p w14:paraId="7EDBC3ED" w14:textId="77777777" w:rsidR="0019097A" w:rsidRPr="00EA574B" w:rsidRDefault="0019097A">
            <w:pPr>
              <w:pStyle w:val="TableNText"/>
              <w:rPr>
                <w:sz w:val="18"/>
                <w:szCs w:val="20"/>
              </w:rPr>
            </w:pPr>
            <w:r w:rsidRPr="00EA574B">
              <w:rPr>
                <w:sz w:val="18"/>
                <w:szCs w:val="20"/>
              </w:rPr>
              <w:t>Corporate Services Manager position description</w:t>
            </w:r>
          </w:p>
          <w:p w14:paraId="4FF86770" w14:textId="77777777" w:rsidR="0019097A" w:rsidRPr="00EA574B" w:rsidRDefault="0019097A">
            <w:pPr>
              <w:pStyle w:val="TableNText"/>
              <w:rPr>
                <w:sz w:val="18"/>
                <w:szCs w:val="20"/>
              </w:rPr>
            </w:pPr>
            <w:r w:rsidRPr="00EA574B">
              <w:rPr>
                <w:sz w:val="18"/>
                <w:szCs w:val="20"/>
              </w:rPr>
              <w:t>DPLO position description</w:t>
            </w:r>
          </w:p>
          <w:p w14:paraId="07A515C6" w14:textId="77777777" w:rsidR="0019097A" w:rsidRPr="00EA574B" w:rsidRDefault="0019097A">
            <w:pPr>
              <w:pStyle w:val="TableNText"/>
              <w:rPr>
                <w:sz w:val="18"/>
                <w:szCs w:val="20"/>
              </w:rPr>
            </w:pPr>
            <w:r w:rsidRPr="00EA574B">
              <w:rPr>
                <w:sz w:val="18"/>
                <w:szCs w:val="20"/>
              </w:rPr>
              <w:t>Managing Lawyer position description</w:t>
            </w:r>
          </w:p>
          <w:p w14:paraId="6340F77D" w14:textId="77777777" w:rsidR="0019097A" w:rsidRPr="00EA574B" w:rsidRDefault="0019097A">
            <w:pPr>
              <w:pStyle w:val="TableNText"/>
              <w:rPr>
                <w:sz w:val="18"/>
                <w:szCs w:val="20"/>
              </w:rPr>
            </w:pPr>
            <w:r w:rsidRPr="00EA574B">
              <w:rPr>
                <w:sz w:val="18"/>
                <w:szCs w:val="20"/>
              </w:rPr>
              <w:t>PLO position description</w:t>
            </w:r>
          </w:p>
          <w:p w14:paraId="4E6356D8" w14:textId="77777777" w:rsidR="0019097A" w:rsidRPr="00EA574B" w:rsidRDefault="0019097A">
            <w:pPr>
              <w:pStyle w:val="TableNText"/>
              <w:rPr>
                <w:sz w:val="18"/>
                <w:szCs w:val="20"/>
              </w:rPr>
            </w:pPr>
            <w:r w:rsidRPr="00EA574B">
              <w:rPr>
                <w:sz w:val="18"/>
                <w:szCs w:val="20"/>
              </w:rPr>
              <w:t>Research Manager position description</w:t>
            </w:r>
          </w:p>
        </w:tc>
      </w:tr>
      <w:tr w:rsidR="0019097A" w14:paraId="1B3CF3E4" w14:textId="77777777">
        <w:trPr>
          <w:cnfStyle w:val="000000010000" w:firstRow="0" w:lastRow="0" w:firstColumn="0" w:lastColumn="0" w:oddVBand="0" w:evenVBand="0" w:oddHBand="0" w:evenHBand="1" w:firstRowFirstColumn="0" w:firstRowLastColumn="0" w:lastRowFirstColumn="0" w:lastRowLastColumn="0"/>
        </w:trPr>
        <w:tc>
          <w:tcPr>
            <w:tcW w:w="1560" w:type="dxa"/>
          </w:tcPr>
          <w:p w14:paraId="3C023581" w14:textId="77777777" w:rsidR="0019097A" w:rsidRPr="004D378C" w:rsidRDefault="0019097A">
            <w:pPr>
              <w:pStyle w:val="TableNText"/>
              <w:rPr>
                <w:rFonts w:asciiTheme="majorHAnsi" w:hAnsiTheme="majorHAnsi" w:cstheme="majorHAnsi"/>
              </w:rPr>
            </w:pPr>
            <w:r w:rsidRPr="004D378C">
              <w:rPr>
                <w:rFonts w:asciiTheme="majorHAnsi" w:hAnsiTheme="majorHAnsi" w:cstheme="majorHAnsi"/>
              </w:rPr>
              <w:lastRenderedPageBreak/>
              <w:t xml:space="preserve">Financial documents </w:t>
            </w:r>
          </w:p>
        </w:tc>
        <w:tc>
          <w:tcPr>
            <w:tcW w:w="7370" w:type="dxa"/>
          </w:tcPr>
          <w:p w14:paraId="3BCB5EB2" w14:textId="77777777" w:rsidR="0019097A" w:rsidRPr="00EA574B" w:rsidRDefault="0019097A">
            <w:pPr>
              <w:pStyle w:val="TableNText"/>
              <w:rPr>
                <w:sz w:val="18"/>
                <w:szCs w:val="20"/>
              </w:rPr>
            </w:pPr>
            <w:r w:rsidRPr="00EA574B">
              <w:rPr>
                <w:sz w:val="18"/>
                <w:szCs w:val="20"/>
              </w:rPr>
              <w:t>Certified NIAA Acquittal FY20</w:t>
            </w:r>
          </w:p>
          <w:p w14:paraId="03FC9B6C" w14:textId="77777777" w:rsidR="0019097A" w:rsidRPr="00EA574B" w:rsidRDefault="0019097A">
            <w:pPr>
              <w:pStyle w:val="TableNText"/>
              <w:rPr>
                <w:sz w:val="18"/>
                <w:szCs w:val="20"/>
              </w:rPr>
            </w:pPr>
            <w:r w:rsidRPr="00EA574B">
              <w:rPr>
                <w:sz w:val="18"/>
                <w:szCs w:val="20"/>
              </w:rPr>
              <w:t>Certified NIAA Acquittal FY21</w:t>
            </w:r>
          </w:p>
          <w:p w14:paraId="0CE34006" w14:textId="77777777" w:rsidR="0019097A" w:rsidRPr="00EA574B" w:rsidRDefault="0019097A">
            <w:pPr>
              <w:pStyle w:val="TableNText"/>
              <w:rPr>
                <w:sz w:val="18"/>
                <w:szCs w:val="20"/>
              </w:rPr>
            </w:pPr>
            <w:r w:rsidRPr="00EA574B">
              <w:rPr>
                <w:sz w:val="18"/>
                <w:szCs w:val="20"/>
              </w:rPr>
              <w:t>Certified NIAA Acquittal FY22</w:t>
            </w:r>
          </w:p>
          <w:p w14:paraId="051BEC17" w14:textId="77777777" w:rsidR="0019097A" w:rsidRPr="00EA574B" w:rsidRDefault="0019097A">
            <w:pPr>
              <w:pStyle w:val="TableNText"/>
              <w:rPr>
                <w:sz w:val="18"/>
                <w:szCs w:val="20"/>
              </w:rPr>
            </w:pPr>
            <w:r w:rsidRPr="00EA574B">
              <w:rPr>
                <w:sz w:val="18"/>
                <w:szCs w:val="20"/>
              </w:rPr>
              <w:t>Expenditure by function</w:t>
            </w:r>
          </w:p>
        </w:tc>
      </w:tr>
      <w:tr w:rsidR="0019097A" w14:paraId="069C6FA7" w14:textId="77777777">
        <w:trPr>
          <w:cnfStyle w:val="000000100000" w:firstRow="0" w:lastRow="0" w:firstColumn="0" w:lastColumn="0" w:oddVBand="0" w:evenVBand="0" w:oddHBand="1" w:evenHBand="0" w:firstRowFirstColumn="0" w:firstRowLastColumn="0" w:lastRowFirstColumn="0" w:lastRowLastColumn="0"/>
        </w:trPr>
        <w:tc>
          <w:tcPr>
            <w:tcW w:w="1560" w:type="dxa"/>
          </w:tcPr>
          <w:p w14:paraId="0C653AE3" w14:textId="77777777" w:rsidR="0019097A" w:rsidRPr="004D378C" w:rsidRDefault="0019097A">
            <w:pPr>
              <w:pStyle w:val="TableNText"/>
              <w:rPr>
                <w:rFonts w:asciiTheme="majorHAnsi" w:hAnsiTheme="majorHAnsi" w:cstheme="majorHAnsi"/>
              </w:rPr>
            </w:pPr>
            <w:r w:rsidRPr="004D378C">
              <w:rPr>
                <w:rFonts w:asciiTheme="majorHAnsi" w:hAnsiTheme="majorHAnsi" w:cstheme="majorHAnsi"/>
              </w:rPr>
              <w:t xml:space="preserve">Other documents </w:t>
            </w:r>
          </w:p>
        </w:tc>
        <w:tc>
          <w:tcPr>
            <w:tcW w:w="7370" w:type="dxa"/>
          </w:tcPr>
          <w:p w14:paraId="2290CDC4" w14:textId="77777777" w:rsidR="0019097A" w:rsidRPr="00EA574B" w:rsidRDefault="0019097A">
            <w:pPr>
              <w:pStyle w:val="TableNText"/>
              <w:rPr>
                <w:sz w:val="18"/>
                <w:szCs w:val="20"/>
              </w:rPr>
            </w:pPr>
            <w:r w:rsidRPr="00EA574B">
              <w:rPr>
                <w:sz w:val="18"/>
                <w:szCs w:val="20"/>
              </w:rPr>
              <w:t>Final Report – FNLRS Strategic Review (October 2023)</w:t>
            </w:r>
          </w:p>
          <w:p w14:paraId="28328DA1" w14:textId="77777777" w:rsidR="0019097A" w:rsidRPr="00EA574B" w:rsidRDefault="0019097A">
            <w:pPr>
              <w:pStyle w:val="TableNText"/>
              <w:rPr>
                <w:sz w:val="18"/>
                <w:szCs w:val="20"/>
              </w:rPr>
            </w:pPr>
            <w:r w:rsidRPr="00EA574B">
              <w:rPr>
                <w:sz w:val="18"/>
                <w:szCs w:val="20"/>
              </w:rPr>
              <w:t>FNLRS Responses to Review of Performance as a Native Title Service Provider March 2021</w:t>
            </w:r>
          </w:p>
          <w:p w14:paraId="36702085" w14:textId="77777777" w:rsidR="0019097A" w:rsidRPr="00EA574B" w:rsidRDefault="0019097A">
            <w:pPr>
              <w:pStyle w:val="TableNText"/>
              <w:rPr>
                <w:sz w:val="18"/>
                <w:szCs w:val="20"/>
              </w:rPr>
            </w:pPr>
            <w:r w:rsidRPr="00EA574B">
              <w:rPr>
                <w:sz w:val="18"/>
                <w:szCs w:val="20"/>
              </w:rPr>
              <w:t>Nous Review Memorandum</w:t>
            </w:r>
          </w:p>
        </w:tc>
      </w:tr>
    </w:tbl>
    <w:p w14:paraId="47D135ED" w14:textId="77777777" w:rsidR="0019097A" w:rsidRPr="0019097A" w:rsidRDefault="0019097A" w:rsidP="0019097A">
      <w:pPr>
        <w:rPr>
          <w:lang w:eastAsia="en-AU"/>
        </w:rPr>
      </w:pPr>
    </w:p>
    <w:p w14:paraId="18183BF0" w14:textId="3E25BEC5" w:rsidR="00E729CF" w:rsidRDefault="00E729CF" w:rsidP="008E6D09">
      <w:pPr>
        <w:pStyle w:val="xAppendixLevel1"/>
      </w:pPr>
      <w:bookmarkStart w:id="55" w:name="_Toc170469993"/>
      <w:r>
        <w:lastRenderedPageBreak/>
        <w:t>Glossary</w:t>
      </w:r>
      <w:bookmarkEnd w:id="55"/>
    </w:p>
    <w:p w14:paraId="74C0305D" w14:textId="14833A24" w:rsidR="00E729CF" w:rsidRPr="00407282" w:rsidRDefault="00E729CF" w:rsidP="00E729CF">
      <w:pPr>
        <w:rPr>
          <w:lang w:eastAsia="en-AU"/>
        </w:rPr>
      </w:pPr>
      <w:r w:rsidRPr="00407282">
        <w:t xml:space="preserve">Throughout this document, the following terms have the meaning prescribed in </w:t>
      </w:r>
      <w:r w:rsidRPr="00407282">
        <w:fldChar w:fldCharType="begin"/>
      </w:r>
      <w:r w:rsidRPr="00407282">
        <w:instrText xml:space="preserve"> REF _Ref504381411 \h  \* MERGEFORMAT </w:instrText>
      </w:r>
      <w:r w:rsidRPr="00407282">
        <w:fldChar w:fldCharType="separate"/>
      </w:r>
      <w:r w:rsidR="00AB7E95" w:rsidRPr="00407282">
        <w:t xml:space="preserve">Table </w:t>
      </w:r>
      <w:r w:rsidR="00AB7E95">
        <w:rPr>
          <w:noProof/>
        </w:rPr>
        <w:t>12</w:t>
      </w:r>
      <w:r w:rsidRPr="00407282">
        <w:fldChar w:fldCharType="end"/>
      </w:r>
      <w:r w:rsidRPr="00407282">
        <w:t>.</w:t>
      </w:r>
    </w:p>
    <w:p w14:paraId="0C0C593F" w14:textId="2A2A257E" w:rsidR="00E729CF" w:rsidRPr="00407282" w:rsidRDefault="00E729CF" w:rsidP="00E729CF">
      <w:pPr>
        <w:pStyle w:val="Caption"/>
      </w:pPr>
      <w:bookmarkStart w:id="56" w:name="_Ref504381411"/>
      <w:r w:rsidRPr="00407282">
        <w:t xml:space="preserve">Table </w:t>
      </w:r>
      <w:r w:rsidRPr="00407282">
        <w:fldChar w:fldCharType="begin"/>
      </w:r>
      <w:r w:rsidRPr="00407282">
        <w:instrText xml:space="preserve"> SEQ Table \* ARABIC </w:instrText>
      </w:r>
      <w:r w:rsidRPr="00407282">
        <w:fldChar w:fldCharType="separate"/>
      </w:r>
      <w:r w:rsidR="00AB7E95">
        <w:rPr>
          <w:noProof/>
        </w:rPr>
        <w:t>12</w:t>
      </w:r>
      <w:r w:rsidRPr="00407282">
        <w:fldChar w:fldCharType="end"/>
      </w:r>
      <w:bookmarkEnd w:id="56"/>
      <w:r w:rsidRPr="00407282">
        <w:t xml:space="preserve"> | Glossary</w:t>
      </w:r>
    </w:p>
    <w:tbl>
      <w:tblPr>
        <w:tblStyle w:val="AEMO1"/>
        <w:tblW w:w="0" w:type="auto"/>
        <w:tblLook w:val="04A0" w:firstRow="1" w:lastRow="0" w:firstColumn="1" w:lastColumn="0" w:noHBand="0" w:noVBand="1"/>
      </w:tblPr>
      <w:tblGrid>
        <w:gridCol w:w="2332"/>
        <w:gridCol w:w="6598"/>
      </w:tblGrid>
      <w:tr w:rsidR="00977A9F" w:rsidRPr="00D463C2" w14:paraId="590A5F60" w14:textId="77777777">
        <w:trPr>
          <w:cnfStyle w:val="100000000000" w:firstRow="1" w:lastRow="0" w:firstColumn="0" w:lastColumn="0" w:oddVBand="0" w:evenVBand="0" w:oddHBand="0" w:evenHBand="0" w:firstRowFirstColumn="0" w:firstRowLastColumn="0" w:lastRowFirstColumn="0" w:lastRowLastColumn="0"/>
        </w:trPr>
        <w:tc>
          <w:tcPr>
            <w:tcW w:w="2332" w:type="dxa"/>
          </w:tcPr>
          <w:p w14:paraId="1FE08CBE" w14:textId="77777777" w:rsidR="00977A9F" w:rsidRPr="003104F0" w:rsidRDefault="00977A9F">
            <w:pPr>
              <w:spacing w:before="40" w:after="40"/>
              <w:rPr>
                <w:rFonts w:ascii="Segoe UI Semibold" w:hAnsi="Segoe UI Semibold"/>
                <w:b w:val="0"/>
                <w:bCs/>
                <w:sz w:val="18"/>
              </w:rPr>
            </w:pPr>
            <w:r w:rsidRPr="003104F0">
              <w:rPr>
                <w:rFonts w:ascii="Segoe UI Semibold" w:hAnsi="Segoe UI Semibold"/>
                <w:b w:val="0"/>
                <w:bCs/>
                <w:sz w:val="18"/>
              </w:rPr>
              <w:t>Term</w:t>
            </w:r>
          </w:p>
        </w:tc>
        <w:tc>
          <w:tcPr>
            <w:tcW w:w="6598" w:type="dxa"/>
          </w:tcPr>
          <w:p w14:paraId="04840D99" w14:textId="77777777" w:rsidR="00977A9F" w:rsidRPr="003104F0" w:rsidRDefault="00977A9F">
            <w:pPr>
              <w:spacing w:before="40" w:after="40"/>
              <w:rPr>
                <w:rFonts w:ascii="Segoe UI Semibold" w:hAnsi="Segoe UI Semibold"/>
                <w:b w:val="0"/>
                <w:bCs/>
                <w:sz w:val="18"/>
              </w:rPr>
            </w:pPr>
            <w:r w:rsidRPr="003104F0">
              <w:rPr>
                <w:rFonts w:ascii="Segoe UI Semibold" w:hAnsi="Segoe UI Semibold"/>
                <w:b w:val="0"/>
                <w:bCs/>
                <w:sz w:val="18"/>
              </w:rPr>
              <w:t>Meaning</w:t>
            </w:r>
          </w:p>
        </w:tc>
      </w:tr>
      <w:tr w:rsidR="00977A9F" w:rsidRPr="00D463C2" w14:paraId="0243F44B" w14:textId="77777777">
        <w:tc>
          <w:tcPr>
            <w:tcW w:w="2332" w:type="dxa"/>
          </w:tcPr>
          <w:p w14:paraId="7DF9D9EF"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Applicant</w:t>
            </w:r>
          </w:p>
        </w:tc>
        <w:tc>
          <w:tcPr>
            <w:tcW w:w="6598" w:type="dxa"/>
          </w:tcPr>
          <w:p w14:paraId="752AB3E3" w14:textId="77777777" w:rsidR="00977A9F" w:rsidRPr="00D463C2" w:rsidRDefault="00977A9F">
            <w:pPr>
              <w:rPr>
                <w:rFonts w:cs="Segoe UI"/>
                <w:color w:val="000000" w:themeColor="text1"/>
                <w:sz w:val="17"/>
                <w:szCs w:val="17"/>
                <w:lang w:val="en-US"/>
              </w:rPr>
            </w:pPr>
            <w:r w:rsidRPr="00D463C2">
              <w:rPr>
                <w:rFonts w:cs="Segoe UI"/>
                <w:color w:val="000000" w:themeColor="text1"/>
                <w:sz w:val="17"/>
                <w:szCs w:val="17"/>
                <w:lang w:val="en-US"/>
              </w:rPr>
              <w:t xml:space="preserve">Any person or </w:t>
            </w:r>
            <w:proofErr w:type="gramStart"/>
            <w:r w:rsidRPr="00D463C2">
              <w:rPr>
                <w:rFonts w:cs="Segoe UI"/>
                <w:color w:val="000000" w:themeColor="text1"/>
                <w:sz w:val="17"/>
                <w:szCs w:val="17"/>
                <w:lang w:val="en-US"/>
              </w:rPr>
              <w:t>persons</w:t>
            </w:r>
            <w:proofErr w:type="gramEnd"/>
            <w:r w:rsidRPr="00D463C2">
              <w:rPr>
                <w:rFonts w:cs="Segoe UI"/>
                <w:color w:val="000000" w:themeColor="text1"/>
                <w:sz w:val="17"/>
                <w:szCs w:val="17"/>
                <w:lang w:val="en-US"/>
              </w:rPr>
              <w:t xml:space="preserve"> who </w:t>
            </w:r>
            <w:proofErr w:type="gramStart"/>
            <w:r w:rsidRPr="00D463C2">
              <w:rPr>
                <w:rFonts w:cs="Segoe UI"/>
                <w:color w:val="000000" w:themeColor="text1"/>
                <w:sz w:val="17"/>
                <w:szCs w:val="17"/>
                <w:lang w:val="en-US"/>
              </w:rPr>
              <w:t>have</w:t>
            </w:r>
            <w:proofErr w:type="gramEnd"/>
            <w:r w:rsidRPr="00D463C2">
              <w:rPr>
                <w:rFonts w:cs="Segoe UI"/>
                <w:color w:val="000000" w:themeColor="text1"/>
                <w:sz w:val="17"/>
                <w:szCs w:val="17"/>
                <w:lang w:val="en-US"/>
              </w:rPr>
              <w:t xml:space="preserve"> been </w:t>
            </w:r>
            <w:proofErr w:type="spellStart"/>
            <w:r w:rsidRPr="00D463C2">
              <w:rPr>
                <w:rFonts w:cs="Segoe UI"/>
                <w:color w:val="000000" w:themeColor="text1"/>
                <w:sz w:val="17"/>
                <w:szCs w:val="17"/>
                <w:lang w:val="en-US"/>
              </w:rPr>
              <w:t>authorised</w:t>
            </w:r>
            <w:proofErr w:type="spellEnd"/>
            <w:r w:rsidRPr="00D463C2">
              <w:rPr>
                <w:rFonts w:cs="Segoe UI"/>
                <w:color w:val="000000" w:themeColor="text1"/>
                <w:sz w:val="17"/>
                <w:szCs w:val="17"/>
                <w:lang w:val="en-US"/>
              </w:rPr>
              <w:t xml:space="preserve"> as the selected representative(s) of a native title claim group in native title or determination proceedings.</w:t>
            </w:r>
          </w:p>
        </w:tc>
      </w:tr>
      <w:tr w:rsidR="00977A9F" w:rsidRPr="00D463C2" w14:paraId="15D4CF90" w14:textId="77777777">
        <w:tc>
          <w:tcPr>
            <w:tcW w:w="2332" w:type="dxa"/>
          </w:tcPr>
          <w:p w14:paraId="03FF9939"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Client</w:t>
            </w:r>
          </w:p>
        </w:tc>
        <w:tc>
          <w:tcPr>
            <w:tcW w:w="6598" w:type="dxa"/>
          </w:tcPr>
          <w:p w14:paraId="7FA5C71E" w14:textId="1D29C866"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 xml:space="preserve">Any individual or group being </w:t>
            </w:r>
            <w:proofErr w:type="gramStart"/>
            <w:r w:rsidRPr="00D463C2">
              <w:rPr>
                <w:rFonts w:cs="Segoe UI"/>
                <w:color w:val="000000" w:themeColor="text1"/>
                <w:sz w:val="17"/>
                <w:szCs w:val="17"/>
                <w:lang w:eastAsia="en-AU"/>
              </w:rPr>
              <w:t>provided assistance</w:t>
            </w:r>
            <w:proofErr w:type="gramEnd"/>
            <w:r w:rsidRPr="00D463C2">
              <w:rPr>
                <w:rFonts w:cs="Segoe UI"/>
                <w:color w:val="000000" w:themeColor="text1"/>
                <w:sz w:val="17"/>
                <w:szCs w:val="17"/>
                <w:lang w:eastAsia="en-AU"/>
              </w:rPr>
              <w:t xml:space="preserve"> by a </w:t>
            </w:r>
            <w:r w:rsidR="000D43FC" w:rsidRPr="004902FA">
              <w:rPr>
                <w:rFonts w:cs="Segoe UI"/>
                <w:color w:val="000000" w:themeColor="text1"/>
                <w:sz w:val="17"/>
                <w:szCs w:val="17"/>
                <w:lang w:eastAsia="en-AU"/>
              </w:rPr>
              <w:t>Native Title Representative Bod</w:t>
            </w:r>
            <w:r>
              <w:rPr>
                <w:rFonts w:cs="Segoe UI"/>
                <w:color w:val="000000" w:themeColor="text1"/>
                <w:sz w:val="17"/>
                <w:szCs w:val="17"/>
                <w:lang w:eastAsia="en-AU"/>
              </w:rPr>
              <w:t>y</w:t>
            </w:r>
            <w:r w:rsidRPr="004902FA">
              <w:rPr>
                <w:rFonts w:cs="Segoe UI"/>
                <w:color w:val="000000" w:themeColor="text1"/>
                <w:sz w:val="17"/>
                <w:szCs w:val="17"/>
                <w:lang w:eastAsia="en-AU"/>
              </w:rPr>
              <w:t xml:space="preserve"> and </w:t>
            </w:r>
            <w:r w:rsidR="000D43FC" w:rsidRPr="004902FA">
              <w:rPr>
                <w:rFonts w:cs="Segoe UI"/>
                <w:color w:val="000000" w:themeColor="text1"/>
                <w:sz w:val="17"/>
                <w:szCs w:val="17"/>
                <w:lang w:eastAsia="en-AU"/>
              </w:rPr>
              <w:t>Service Provi</w:t>
            </w:r>
            <w:r w:rsidRPr="004902FA">
              <w:rPr>
                <w:rFonts w:cs="Segoe UI"/>
                <w:color w:val="000000" w:themeColor="text1"/>
                <w:sz w:val="17"/>
                <w:szCs w:val="17"/>
                <w:lang w:eastAsia="en-AU"/>
              </w:rPr>
              <w:t>der</w:t>
            </w:r>
            <w:r w:rsidRPr="00D463C2">
              <w:rPr>
                <w:rFonts w:cs="Segoe UI"/>
                <w:color w:val="000000" w:themeColor="text1"/>
                <w:sz w:val="17"/>
                <w:szCs w:val="17"/>
                <w:lang w:eastAsia="en-AU"/>
              </w:rPr>
              <w:t xml:space="preserve"> (including assistance with claims, research and/or PBC support).</w:t>
            </w:r>
          </w:p>
        </w:tc>
      </w:tr>
      <w:tr w:rsidR="00977A9F" w:rsidRPr="00D463C2" w14:paraId="20333EF6" w14:textId="77777777">
        <w:tc>
          <w:tcPr>
            <w:tcW w:w="2332" w:type="dxa"/>
          </w:tcPr>
          <w:p w14:paraId="202B93D1"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Connection evidence</w:t>
            </w:r>
          </w:p>
        </w:tc>
        <w:tc>
          <w:tcPr>
            <w:tcW w:w="6598" w:type="dxa"/>
          </w:tcPr>
          <w:p w14:paraId="42D27DDC" w14:textId="77777777" w:rsidR="00977A9F" w:rsidRPr="00D463C2" w:rsidRDefault="00977A9F">
            <w:pPr>
              <w:rPr>
                <w:rFonts w:cs="Segoe UI"/>
                <w:color w:val="000000" w:themeColor="text1"/>
                <w:sz w:val="17"/>
                <w:szCs w:val="17"/>
                <w:lang w:val="en-US"/>
              </w:rPr>
            </w:pPr>
            <w:r w:rsidRPr="00D463C2">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977A9F" w:rsidRPr="00D463C2" w14:paraId="488044C3" w14:textId="77777777">
        <w:tc>
          <w:tcPr>
            <w:tcW w:w="2332" w:type="dxa"/>
          </w:tcPr>
          <w:p w14:paraId="69031544" w14:textId="77777777" w:rsidR="00977A9F" w:rsidRPr="00D463C2" w:rsidRDefault="00977A9F">
            <w:pPr>
              <w:rPr>
                <w:rFonts w:cs="Segoe UI"/>
                <w:color w:val="000000" w:themeColor="text1"/>
                <w:sz w:val="17"/>
                <w:szCs w:val="17"/>
                <w:lang w:eastAsia="en-AU"/>
              </w:rPr>
            </w:pP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w:t>
            </w:r>
            <w:r w:rsidRPr="00A76ED9">
              <w:rPr>
                <w:rFonts w:cs="Segoe UI"/>
                <w:color w:val="000000" w:themeColor="text1"/>
                <w:sz w:val="17"/>
                <w:szCs w:val="17"/>
                <w:lang w:val="en-US"/>
              </w:rPr>
              <w:t>the CATSI Act)</w:t>
            </w:r>
          </w:p>
        </w:tc>
        <w:tc>
          <w:tcPr>
            <w:tcW w:w="6598" w:type="dxa"/>
          </w:tcPr>
          <w:p w14:paraId="3653D0DB" w14:textId="77777777" w:rsidR="00977A9F" w:rsidRPr="00D463C2" w:rsidRDefault="00977A9F">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is the law that establishes the role of the Registrar of Indigenous Corporations and enables Aboriginal and Torres Strait Islander groups to form Aboriginal and Torres Strait Islander corporations.</w:t>
            </w:r>
          </w:p>
        </w:tc>
      </w:tr>
      <w:tr w:rsidR="00977A9F" w:rsidRPr="00D463C2" w14:paraId="5539BFD6" w14:textId="77777777">
        <w:tc>
          <w:tcPr>
            <w:tcW w:w="2332" w:type="dxa"/>
          </w:tcPr>
          <w:p w14:paraId="7BDAD98F"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Determination</w:t>
            </w:r>
          </w:p>
        </w:tc>
        <w:tc>
          <w:tcPr>
            <w:tcW w:w="6598" w:type="dxa"/>
          </w:tcPr>
          <w:p w14:paraId="15D9324C" w14:textId="27AB33BA" w:rsidR="00977A9F" w:rsidRDefault="00977A9F">
            <w:pPr>
              <w:pStyle w:val="TableNbiophoto"/>
              <w:rPr>
                <w:lang w:val="en-US"/>
              </w:rPr>
            </w:pPr>
            <w:r w:rsidRPr="00236917">
              <w:rPr>
                <w:lang w:val="en-US"/>
              </w:rPr>
              <w:t xml:space="preserve">A decision by the Federal </w:t>
            </w:r>
            <w:r w:rsidR="007F26EC">
              <w:rPr>
                <w:lang w:val="en-US"/>
              </w:rPr>
              <w:t xml:space="preserve">Court </w:t>
            </w:r>
            <w:r w:rsidRPr="00236917">
              <w:rPr>
                <w:lang w:val="en-US"/>
              </w:rPr>
              <w:t>or High Court of Australia. A determination is made either when parties have reached an agreement (consent determination) or following a trial process (litigated determination).</w:t>
            </w:r>
          </w:p>
          <w:p w14:paraId="486B3E16" w14:textId="6DEC3F22" w:rsidR="00977A9F" w:rsidRPr="00394BBF" w:rsidRDefault="00977A9F">
            <w:pPr>
              <w:pStyle w:val="TableNbiophoto"/>
              <w:rPr>
                <w:lang w:val="en-US"/>
              </w:rPr>
            </w:pPr>
            <w:r>
              <w:rPr>
                <w:lang w:val="en-US"/>
              </w:rPr>
              <w:t>In the context of the Review, a “positive” determination is where the court finds that native title exists and a “negative” determination is a finding that native title has been extinguished or does not exist.</w:t>
            </w:r>
          </w:p>
        </w:tc>
      </w:tr>
      <w:tr w:rsidR="00977A9F" w:rsidRPr="00D463C2" w14:paraId="1BB2A4E7" w14:textId="77777777">
        <w:tc>
          <w:tcPr>
            <w:tcW w:w="2332" w:type="dxa"/>
          </w:tcPr>
          <w:p w14:paraId="23815986"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Extinguishment</w:t>
            </w:r>
          </w:p>
        </w:tc>
        <w:tc>
          <w:tcPr>
            <w:tcW w:w="6598" w:type="dxa"/>
          </w:tcPr>
          <w:p w14:paraId="345428EC" w14:textId="77777777" w:rsidR="00977A9F" w:rsidRPr="00D463C2" w:rsidRDefault="00977A9F">
            <w:pPr>
              <w:rPr>
                <w:rFonts w:cs="Segoe UI"/>
                <w:color w:val="000000" w:themeColor="text1"/>
                <w:sz w:val="17"/>
                <w:szCs w:val="17"/>
                <w:lang w:val="en-US"/>
              </w:rPr>
            </w:pPr>
            <w:r w:rsidRPr="00D463C2">
              <w:rPr>
                <w:rFonts w:cs="Segoe UI"/>
                <w:color w:val="000000" w:themeColor="text1"/>
                <w:sz w:val="17"/>
                <w:szCs w:val="17"/>
                <w:lang w:val="en-US"/>
              </w:rPr>
              <w:t xml:space="preserve">Occurs over a defined area when Australian law does not </w:t>
            </w:r>
            <w:proofErr w:type="spellStart"/>
            <w:r w:rsidRPr="00D463C2">
              <w:rPr>
                <w:rFonts w:cs="Segoe UI"/>
                <w:color w:val="000000" w:themeColor="text1"/>
                <w:sz w:val="17"/>
                <w:szCs w:val="17"/>
                <w:lang w:val="en-US"/>
              </w:rPr>
              <w:t>recognise</w:t>
            </w:r>
            <w:proofErr w:type="spellEnd"/>
            <w:r w:rsidRPr="00D463C2">
              <w:rPr>
                <w:rFonts w:cs="Segoe UI"/>
                <w:color w:val="000000" w:themeColor="text1"/>
                <w:sz w:val="17"/>
                <w:szCs w:val="17"/>
                <w:lang w:val="en-US"/>
              </w:rPr>
              <w:t xml:space="preserve"> the existence of native title rights and interests because of legislation or common law precedent. Extinguishment can be whole or partial.</w:t>
            </w:r>
          </w:p>
        </w:tc>
      </w:tr>
      <w:tr w:rsidR="00977A9F" w:rsidRPr="00D463C2" w14:paraId="3A5F4949" w14:textId="77777777">
        <w:tc>
          <w:tcPr>
            <w:tcW w:w="2332" w:type="dxa"/>
          </w:tcPr>
          <w:p w14:paraId="2F6CEA1E"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Future Act</w:t>
            </w:r>
          </w:p>
        </w:tc>
        <w:tc>
          <w:tcPr>
            <w:tcW w:w="6598" w:type="dxa"/>
          </w:tcPr>
          <w:p w14:paraId="005E3D38" w14:textId="789C1B5D" w:rsidR="00977A9F" w:rsidRPr="00D463C2" w:rsidRDefault="00977A9F">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A legislative or non-legislative </w:t>
            </w:r>
            <w:r w:rsidR="00C465CE">
              <w:rPr>
                <w:rFonts w:cs="Segoe UI"/>
                <w:color w:val="000000" w:themeColor="text1"/>
                <w:sz w:val="17"/>
                <w:szCs w:val="17"/>
              </w:rPr>
              <w:t>a</w:t>
            </w:r>
            <w:r w:rsidRPr="00D463C2">
              <w:rPr>
                <w:rFonts w:cs="Segoe UI"/>
                <w:color w:val="000000" w:themeColor="text1"/>
                <w:sz w:val="17"/>
                <w:szCs w:val="17"/>
              </w:rPr>
              <w:t>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977A9F" w:rsidRPr="00D463C2" w14:paraId="209ADDF0" w14:textId="77777777">
        <w:tc>
          <w:tcPr>
            <w:tcW w:w="2332" w:type="dxa"/>
          </w:tcPr>
          <w:p w14:paraId="748B5B58"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Indigenous Land Use Agreement (ILUA)</w:t>
            </w:r>
          </w:p>
        </w:tc>
        <w:tc>
          <w:tcPr>
            <w:tcW w:w="6598" w:type="dxa"/>
          </w:tcPr>
          <w:p w14:paraId="213C47CA" w14:textId="0240EB12"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A voluntary, legally binding agreement governing the use and management of land or waters over which native title exists or might exist</w:t>
            </w:r>
            <w:r>
              <w:rPr>
                <w:rFonts w:cs="Segoe UI"/>
                <w:color w:val="000000" w:themeColor="text1"/>
                <w:sz w:val="17"/>
                <w:szCs w:val="17"/>
                <w:lang w:eastAsia="en-AU"/>
              </w:rPr>
              <w:t>.</w:t>
            </w:r>
            <w:r w:rsidRPr="00D463C2">
              <w:rPr>
                <w:rFonts w:cs="Segoe UI"/>
                <w:color w:val="000000" w:themeColor="text1"/>
                <w:sz w:val="17"/>
                <w:szCs w:val="17"/>
                <w:lang w:eastAsia="en-AU"/>
              </w:rPr>
              <w:t xml:space="preserve"> The conditions of each Indigenous Land Use Agreement are determined by way of negotiations between native title holders and other interest holders (such as a state or mining company). These negotiations are often facilitated by </w:t>
            </w:r>
            <w:r w:rsidR="000D43FC" w:rsidRPr="00C97F39">
              <w:rPr>
                <w:rFonts w:cs="Segoe UI"/>
                <w:color w:val="000000" w:themeColor="text1"/>
                <w:sz w:val="17"/>
                <w:szCs w:val="17"/>
                <w:lang w:eastAsia="en-AU"/>
              </w:rPr>
              <w:t>Native Title Representative Bodi</w:t>
            </w:r>
            <w:r w:rsidRPr="00C97F39">
              <w:rPr>
                <w:rFonts w:cs="Segoe UI"/>
                <w:color w:val="000000" w:themeColor="text1"/>
                <w:sz w:val="17"/>
                <w:szCs w:val="17"/>
                <w:lang w:eastAsia="en-AU"/>
              </w:rPr>
              <w:t xml:space="preserve">es and </w:t>
            </w:r>
            <w:r w:rsidR="000D43FC" w:rsidRPr="00C97F39">
              <w:rPr>
                <w:rFonts w:cs="Segoe UI"/>
                <w:color w:val="000000" w:themeColor="text1"/>
                <w:sz w:val="17"/>
                <w:szCs w:val="17"/>
                <w:lang w:eastAsia="en-AU"/>
              </w:rPr>
              <w:t>Service Provid</w:t>
            </w:r>
            <w:r w:rsidRPr="00C97F39">
              <w:rPr>
                <w:rFonts w:cs="Segoe UI"/>
                <w:color w:val="000000" w:themeColor="text1"/>
                <w:sz w:val="17"/>
                <w:szCs w:val="17"/>
                <w:lang w:eastAsia="en-AU"/>
              </w:rPr>
              <w:t>ers</w:t>
            </w:r>
            <w:r w:rsidRPr="00D463C2">
              <w:rPr>
                <w:rFonts w:cs="Segoe UI"/>
                <w:color w:val="000000" w:themeColor="text1"/>
                <w:sz w:val="17"/>
                <w:szCs w:val="17"/>
                <w:lang w:eastAsia="en-AU"/>
              </w:rPr>
              <w:t>.</w:t>
            </w:r>
            <w:r>
              <w:rPr>
                <w:rFonts w:cs="Segoe UI"/>
                <w:color w:val="000000" w:themeColor="text1"/>
                <w:sz w:val="17"/>
                <w:szCs w:val="17"/>
                <w:lang w:eastAsia="en-AU"/>
              </w:rPr>
              <w:t xml:space="preserve"> </w:t>
            </w:r>
          </w:p>
        </w:tc>
      </w:tr>
      <w:tr w:rsidR="00977A9F" w:rsidRPr="00D463C2" w14:paraId="03030B11" w14:textId="77777777">
        <w:tc>
          <w:tcPr>
            <w:tcW w:w="2332" w:type="dxa"/>
          </w:tcPr>
          <w:p w14:paraId="7040F396"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National Native Title Tribunal (NNTT)</w:t>
            </w:r>
          </w:p>
        </w:tc>
        <w:tc>
          <w:tcPr>
            <w:tcW w:w="6598" w:type="dxa"/>
          </w:tcPr>
          <w:p w14:paraId="06CDB290" w14:textId="77777777" w:rsidR="00977A9F" w:rsidRPr="00D463C2" w:rsidRDefault="00977A9F">
            <w:pPr>
              <w:rPr>
                <w:rFonts w:cs="Segoe UI"/>
                <w:color w:val="000000" w:themeColor="text1"/>
                <w:sz w:val="17"/>
                <w:szCs w:val="17"/>
                <w:lang w:val="en-US"/>
              </w:rPr>
            </w:pPr>
            <w:r w:rsidRPr="00D463C2">
              <w:rPr>
                <w:rFonts w:cs="Segoe UI"/>
                <w:color w:val="000000" w:themeColor="text1"/>
                <w:sz w:val="17"/>
                <w:szCs w:val="17"/>
                <w:lang w:val="en-US"/>
              </w:rPr>
              <w:t>An independent statutory body established under s</w:t>
            </w:r>
            <w:r>
              <w:rPr>
                <w:rFonts w:cs="Segoe UI"/>
                <w:color w:val="000000" w:themeColor="text1"/>
                <w:sz w:val="17"/>
                <w:szCs w:val="17"/>
                <w:lang w:val="en-US"/>
              </w:rPr>
              <w:t>ection</w:t>
            </w:r>
            <w:r w:rsidRPr="00D463C2">
              <w:rPr>
                <w:rFonts w:cs="Segoe UI"/>
                <w:color w:val="000000" w:themeColor="text1"/>
                <w:sz w:val="17"/>
                <w:szCs w:val="17"/>
                <w:lang w:val="en-US"/>
              </w:rPr>
              <w:t xml:space="preserve"> 107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xml:space="preserve">) </w:t>
            </w:r>
            <w:r w:rsidRPr="00D463C2">
              <w:rPr>
                <w:rFonts w:cs="Segoe UI"/>
                <w:color w:val="000000" w:themeColor="text1"/>
                <w:sz w:val="17"/>
                <w:szCs w:val="17"/>
                <w:lang w:val="en-US"/>
              </w:rPr>
              <w:t>to assist people in resolving native title issues by:</w:t>
            </w:r>
          </w:p>
          <w:p w14:paraId="1C47F58A" w14:textId="77777777" w:rsidR="00977A9F" w:rsidRPr="00D463C2" w:rsidRDefault="00977A9F" w:rsidP="00977A9F">
            <w:pPr>
              <w:numPr>
                <w:ilvl w:val="0"/>
                <w:numId w:val="50"/>
              </w:numPr>
              <w:spacing w:before="60" w:after="60"/>
              <w:rPr>
                <w:sz w:val="17"/>
                <w:szCs w:val="17"/>
                <w:lang w:val="en-US"/>
              </w:rPr>
            </w:pPr>
            <w:r w:rsidRPr="00D463C2">
              <w:rPr>
                <w:sz w:val="17"/>
                <w:szCs w:val="17"/>
                <w:lang w:val="en-US"/>
              </w:rPr>
              <w:t>mediating between the parties to native title applications at the direction of the Federal Court</w:t>
            </w:r>
          </w:p>
          <w:p w14:paraId="0FA35D97" w14:textId="77777777" w:rsidR="00977A9F" w:rsidRPr="00D463C2" w:rsidRDefault="00977A9F" w:rsidP="00977A9F">
            <w:pPr>
              <w:numPr>
                <w:ilvl w:val="0"/>
                <w:numId w:val="50"/>
              </w:numPr>
              <w:spacing w:before="60" w:after="60"/>
              <w:rPr>
                <w:sz w:val="17"/>
                <w:szCs w:val="17"/>
                <w:lang w:val="en-US"/>
              </w:rPr>
            </w:pPr>
            <w:r w:rsidRPr="00D463C2">
              <w:rPr>
                <w:sz w:val="17"/>
                <w:szCs w:val="17"/>
                <w:lang w:val="en-US"/>
              </w:rPr>
              <w:t>acting as an arbitrator in situations where the people cannot reach agreement about certain Future Acts</w:t>
            </w:r>
          </w:p>
          <w:p w14:paraId="094A3503" w14:textId="77777777" w:rsidR="00977A9F" w:rsidRPr="00D463C2" w:rsidRDefault="00977A9F" w:rsidP="00977A9F">
            <w:pPr>
              <w:numPr>
                <w:ilvl w:val="0"/>
                <w:numId w:val="50"/>
              </w:numPr>
              <w:spacing w:before="60" w:after="60"/>
              <w:rPr>
                <w:sz w:val="16"/>
                <w:lang w:val="en-US"/>
              </w:rPr>
            </w:pPr>
            <w:r w:rsidRPr="00D463C2">
              <w:rPr>
                <w:sz w:val="17"/>
                <w:szCs w:val="17"/>
                <w:lang w:val="en-US"/>
              </w:rPr>
              <w:lastRenderedPageBreak/>
              <w:t xml:space="preserve">helping people to negotiate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sz w:val="16"/>
                <w:lang w:val="en-US"/>
              </w:rPr>
              <w:t>.</w:t>
            </w:r>
          </w:p>
          <w:p w14:paraId="7EE06EAE" w14:textId="77777777" w:rsidR="00977A9F" w:rsidRPr="00D463C2" w:rsidRDefault="00977A9F">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color w:val="000000" w:themeColor="text1"/>
                <w:sz w:val="17"/>
                <w:szCs w:val="17"/>
                <w:lang w:eastAsia="en-AU"/>
              </w:rPr>
              <w:t xml:space="preserve">National Native Title Tribunal </w:t>
            </w:r>
            <w:r w:rsidRPr="00D463C2">
              <w:rPr>
                <w:rFonts w:cs="Segoe UI"/>
                <w:color w:val="000000" w:themeColor="text1"/>
                <w:sz w:val="17"/>
                <w:szCs w:val="17"/>
                <w:lang w:val="en-US"/>
              </w:rPr>
              <w:t xml:space="preserve">maintains three registers relating to native title applications, determinations and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rFonts w:cs="Segoe UI"/>
                <w:color w:val="000000" w:themeColor="text1"/>
                <w:sz w:val="17"/>
                <w:szCs w:val="17"/>
                <w:lang w:val="en-US"/>
              </w:rPr>
              <w:t xml:space="preserve">. It also maintains databases regarding Future Act matters and geospatial tools. </w:t>
            </w:r>
          </w:p>
        </w:tc>
      </w:tr>
      <w:tr w:rsidR="00977A9F" w:rsidRPr="00D463C2" w14:paraId="35CAA007" w14:textId="77777777">
        <w:tc>
          <w:tcPr>
            <w:tcW w:w="2332" w:type="dxa"/>
          </w:tcPr>
          <w:p w14:paraId="26CC3669"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lastRenderedPageBreak/>
              <w:t>Native title</w:t>
            </w:r>
          </w:p>
        </w:tc>
        <w:tc>
          <w:tcPr>
            <w:tcW w:w="6598" w:type="dxa"/>
          </w:tcPr>
          <w:p w14:paraId="03502C92" w14:textId="77777777" w:rsidR="00977A9F" w:rsidRPr="00D463C2" w:rsidRDefault="00977A9F">
            <w:pPr>
              <w:rPr>
                <w:rFonts w:cs="Segoe UI"/>
                <w:color w:val="000000" w:themeColor="text1"/>
                <w:sz w:val="17"/>
                <w:szCs w:val="17"/>
                <w:lang w:val="en-US"/>
              </w:rPr>
            </w:pPr>
            <w:r w:rsidRPr="00D463C2">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w:t>
            </w:r>
            <w:proofErr w:type="spellStart"/>
            <w:r w:rsidRPr="00D463C2">
              <w:rPr>
                <w:rFonts w:cs="Segoe UI"/>
                <w:color w:val="000000" w:themeColor="text1"/>
                <w:sz w:val="17"/>
                <w:szCs w:val="17"/>
                <w:lang w:val="en-US"/>
              </w:rPr>
              <w:t>recognised</w:t>
            </w:r>
            <w:proofErr w:type="spellEnd"/>
            <w:r w:rsidRPr="00D463C2">
              <w:rPr>
                <w:rFonts w:cs="Segoe UI"/>
                <w:color w:val="000000" w:themeColor="text1"/>
                <w:sz w:val="17"/>
                <w:szCs w:val="17"/>
                <w:lang w:val="en-US"/>
              </w:rPr>
              <w:t xml:space="preserve"> under Australian law (s</w:t>
            </w:r>
            <w:r>
              <w:rPr>
                <w:rFonts w:cs="Segoe UI"/>
                <w:color w:val="000000" w:themeColor="text1"/>
                <w:sz w:val="17"/>
                <w:szCs w:val="17"/>
                <w:lang w:val="en-US"/>
              </w:rPr>
              <w:t>ection</w:t>
            </w:r>
            <w:r w:rsidRPr="00D463C2">
              <w:rPr>
                <w:rFonts w:cs="Segoe UI"/>
                <w:color w:val="000000" w:themeColor="text1"/>
                <w:sz w:val="17"/>
                <w:szCs w:val="17"/>
                <w:lang w:val="en-US"/>
              </w:rPr>
              <w:t xml:space="preserve"> 223 </w:t>
            </w:r>
            <w:r>
              <w:rPr>
                <w:rFonts w:cs="Segoe UI"/>
                <w:color w:val="000000" w:themeColor="text1"/>
                <w:sz w:val="17"/>
                <w:szCs w:val="17"/>
                <w:lang w:val="en-US"/>
              </w:rPr>
              <w:t>of the</w:t>
            </w:r>
            <w:r w:rsidRPr="00D463C2">
              <w:rPr>
                <w:rFonts w:cs="Segoe UI"/>
                <w:color w:val="000000" w:themeColor="text1"/>
                <w:sz w:val="17"/>
                <w:szCs w:val="17"/>
                <w:lang w:val="en-US"/>
              </w:rPr>
              <w:t xml:space="preserv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lang w:val="en-US"/>
              </w:rPr>
              <w:t>).</w:t>
            </w:r>
          </w:p>
        </w:tc>
      </w:tr>
      <w:tr w:rsidR="00977A9F" w:rsidRPr="00D463C2" w14:paraId="1EFC8073" w14:textId="77777777">
        <w:tc>
          <w:tcPr>
            <w:tcW w:w="2332" w:type="dxa"/>
          </w:tcPr>
          <w:p w14:paraId="3969EEDC" w14:textId="77777777" w:rsidR="00977A9F" w:rsidRPr="00D463C2" w:rsidRDefault="00977A9F">
            <w:pPr>
              <w:rPr>
                <w:rFonts w:cs="Segoe UI"/>
                <w:color w:val="000000" w:themeColor="text1"/>
                <w:sz w:val="17"/>
                <w:szCs w:val="17"/>
                <w:lang w:eastAsia="en-AU"/>
              </w:rPr>
            </w:pP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w:t>
            </w:r>
            <w:r>
              <w:rPr>
                <w:rFonts w:cs="Segoe UI"/>
                <w:color w:val="000000" w:themeColor="text1"/>
                <w:sz w:val="17"/>
                <w:szCs w:val="17"/>
                <w:lang w:eastAsia="en-AU"/>
              </w:rPr>
              <w:t xml:space="preserve">the </w:t>
            </w:r>
            <w:r w:rsidRPr="00D712EF">
              <w:rPr>
                <w:rFonts w:cs="Segoe UI"/>
                <w:color w:val="000000" w:themeColor="text1"/>
                <w:sz w:val="17"/>
                <w:szCs w:val="17"/>
                <w:lang w:eastAsia="en-AU"/>
              </w:rPr>
              <w:t>NTA</w:t>
            </w:r>
            <w:r w:rsidRPr="00D463C2">
              <w:rPr>
                <w:rFonts w:cs="Segoe UI"/>
                <w:color w:val="000000" w:themeColor="text1"/>
                <w:sz w:val="17"/>
                <w:szCs w:val="17"/>
                <w:lang w:eastAsia="en-AU"/>
              </w:rPr>
              <w:t>)</w:t>
            </w:r>
          </w:p>
        </w:tc>
        <w:tc>
          <w:tcPr>
            <w:tcW w:w="6598" w:type="dxa"/>
          </w:tcPr>
          <w:p w14:paraId="2FFD2EE3" w14:textId="77777777" w:rsidR="00977A9F" w:rsidRPr="00D463C2" w:rsidRDefault="00977A9F">
            <w:pPr>
              <w:rPr>
                <w:rFonts w:cs="Segoe UI"/>
                <w:i/>
                <w:color w:val="000000" w:themeColor="text1"/>
                <w:sz w:val="17"/>
                <w:szCs w:val="17"/>
                <w:lang w:eastAsia="en-AU"/>
              </w:rPr>
            </w:pPr>
            <w:r w:rsidRPr="00D463C2">
              <w:rPr>
                <w:rFonts w:cs="Segoe UI"/>
                <w:sz w:val="17"/>
                <w:szCs w:val="17"/>
                <w:lang w:val="en"/>
              </w:rPr>
              <w:t xml:space="preserve">The </w:t>
            </w:r>
            <w:r w:rsidRPr="00D463C2">
              <w:rPr>
                <w:rFonts w:cs="Segoe UI"/>
                <w:i/>
                <w:sz w:val="17"/>
                <w:szCs w:val="17"/>
                <w:lang w:val="en"/>
              </w:rPr>
              <w:t xml:space="preserve">Native Title Act 1993 </w:t>
            </w:r>
            <w:r w:rsidRPr="00D463C2">
              <w:rPr>
                <w:rFonts w:cs="Segoe UI"/>
                <w:sz w:val="17"/>
                <w:szCs w:val="17"/>
                <w:lang w:val="en"/>
              </w:rPr>
              <w:t>(</w:t>
            </w:r>
            <w:proofErr w:type="spellStart"/>
            <w:r w:rsidRPr="00D463C2">
              <w:rPr>
                <w:rFonts w:cs="Segoe UI"/>
                <w:sz w:val="17"/>
                <w:szCs w:val="17"/>
                <w:lang w:val="en"/>
              </w:rPr>
              <w:t>Cth</w:t>
            </w:r>
            <w:proofErr w:type="spellEnd"/>
            <w:r w:rsidRPr="00D463C2">
              <w:rPr>
                <w:rFonts w:cs="Segoe UI"/>
                <w:sz w:val="17"/>
                <w:szCs w:val="17"/>
                <w:lang w:val="en"/>
              </w:rPr>
              <w:t>) established the procedure for making native title claims and is the primary piece of Australian Government legislation allowing Indigenous Australians to seek rights over land and waters arising from their original ownership under traditional law and custom.</w:t>
            </w:r>
          </w:p>
        </w:tc>
      </w:tr>
      <w:tr w:rsidR="00977A9F" w:rsidRPr="00D463C2" w14:paraId="3F440B64" w14:textId="77777777">
        <w:tc>
          <w:tcPr>
            <w:tcW w:w="2332" w:type="dxa"/>
          </w:tcPr>
          <w:p w14:paraId="57D88847" w14:textId="3E207F33"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 xml:space="preserve">Native </w:t>
            </w:r>
            <w:r w:rsidR="000D43FC" w:rsidRPr="00D463C2">
              <w:rPr>
                <w:rFonts w:cs="Segoe UI"/>
                <w:color w:val="000000" w:themeColor="text1"/>
                <w:sz w:val="17"/>
                <w:szCs w:val="17"/>
                <w:lang w:eastAsia="en-AU"/>
              </w:rPr>
              <w:t>Title Representative Bo</w:t>
            </w:r>
            <w:r w:rsidRPr="00D463C2">
              <w:rPr>
                <w:rFonts w:cs="Segoe UI"/>
                <w:color w:val="000000" w:themeColor="text1"/>
                <w:sz w:val="17"/>
                <w:szCs w:val="17"/>
                <w:lang w:eastAsia="en-AU"/>
              </w:rPr>
              <w:t>dy (NTRB)</w:t>
            </w:r>
          </w:p>
        </w:tc>
        <w:tc>
          <w:tcPr>
            <w:tcW w:w="6598" w:type="dxa"/>
          </w:tcPr>
          <w:p w14:paraId="28F0F718" w14:textId="77777777" w:rsidR="00977A9F" w:rsidRPr="00D463C2" w:rsidRDefault="00977A9F">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rPr>
              <w:t xml:space="preserve">. </w:t>
            </w:r>
          </w:p>
        </w:tc>
      </w:tr>
      <w:tr w:rsidR="00977A9F" w:rsidRPr="00D463C2" w14:paraId="3707FAEF" w14:textId="77777777">
        <w:tc>
          <w:tcPr>
            <w:tcW w:w="2332" w:type="dxa"/>
          </w:tcPr>
          <w:p w14:paraId="3075D398" w14:textId="2F4798C3"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 xml:space="preserve">Native </w:t>
            </w:r>
            <w:r w:rsidR="00253D30" w:rsidRPr="00D463C2">
              <w:rPr>
                <w:rFonts w:cs="Segoe UI"/>
                <w:color w:val="000000" w:themeColor="text1"/>
                <w:sz w:val="17"/>
                <w:szCs w:val="17"/>
                <w:lang w:eastAsia="en-AU"/>
              </w:rPr>
              <w:t>Title Service Provider</w:t>
            </w:r>
            <w:r w:rsidRPr="00D463C2">
              <w:rPr>
                <w:rFonts w:cs="Segoe UI"/>
                <w:color w:val="000000" w:themeColor="text1"/>
                <w:sz w:val="17"/>
                <w:szCs w:val="17"/>
                <w:lang w:eastAsia="en-AU"/>
              </w:rPr>
              <w:t xml:space="preserve"> (NTSP)</w:t>
            </w:r>
          </w:p>
        </w:tc>
        <w:tc>
          <w:tcPr>
            <w:tcW w:w="6598" w:type="dxa"/>
          </w:tcPr>
          <w:p w14:paraId="33434703" w14:textId="2CB0D406" w:rsidR="00977A9F" w:rsidRPr="00D463C2" w:rsidRDefault="00977A9F">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Organisations funded by the Australian Government to perform all or some of the same functions as </w:t>
            </w:r>
            <w:r w:rsidRPr="00D463C2">
              <w:rPr>
                <w:rFonts w:cs="Segoe UI"/>
                <w:color w:val="000000" w:themeColor="text1"/>
                <w:sz w:val="17"/>
                <w:szCs w:val="17"/>
                <w:lang w:eastAsia="en-AU"/>
              </w:rPr>
              <w:t>Native Title Representative Bod</w:t>
            </w:r>
            <w:r>
              <w:rPr>
                <w:rFonts w:cs="Segoe UI"/>
                <w:color w:val="000000" w:themeColor="text1"/>
                <w:sz w:val="17"/>
                <w:szCs w:val="17"/>
                <w:lang w:eastAsia="en-AU"/>
              </w:rPr>
              <w:t xml:space="preserve">ies </w:t>
            </w:r>
            <w:r w:rsidRPr="00D463C2">
              <w:rPr>
                <w:rFonts w:cs="Segoe UI"/>
                <w:color w:val="000000" w:themeColor="text1"/>
                <w:sz w:val="17"/>
                <w:szCs w:val="17"/>
              </w:rPr>
              <w:t xml:space="preserve">in areas where </w:t>
            </w:r>
            <w:r w:rsidR="000D43FC" w:rsidRPr="000D3606">
              <w:rPr>
                <w:rFonts w:cs="Segoe UI"/>
                <w:color w:val="000000" w:themeColor="text1"/>
                <w:sz w:val="17"/>
                <w:szCs w:val="17"/>
              </w:rPr>
              <w:t>Native Title Representative Bodi</w:t>
            </w:r>
            <w:r w:rsidRPr="000D3606">
              <w:rPr>
                <w:rFonts w:cs="Segoe UI"/>
                <w:color w:val="000000" w:themeColor="text1"/>
                <w:sz w:val="17"/>
                <w:szCs w:val="17"/>
              </w:rPr>
              <w:t xml:space="preserve">es and </w:t>
            </w:r>
            <w:r w:rsidR="000D43FC" w:rsidRPr="000D3606">
              <w:rPr>
                <w:rFonts w:cs="Segoe UI"/>
                <w:color w:val="000000" w:themeColor="text1"/>
                <w:sz w:val="17"/>
                <w:szCs w:val="17"/>
              </w:rPr>
              <w:t>Service Provi</w:t>
            </w:r>
            <w:r w:rsidRPr="000D3606">
              <w:rPr>
                <w:rFonts w:cs="Segoe UI"/>
                <w:color w:val="000000" w:themeColor="text1"/>
                <w:sz w:val="17"/>
                <w:szCs w:val="17"/>
              </w:rPr>
              <w:t>ders</w:t>
            </w:r>
            <w:r w:rsidRPr="00D463C2">
              <w:rPr>
                <w:rFonts w:cs="Segoe UI"/>
                <w:color w:val="000000" w:themeColor="text1"/>
                <w:sz w:val="17"/>
                <w:szCs w:val="17"/>
              </w:rPr>
              <w:t xml:space="preserve"> have not been recognised</w:t>
            </w:r>
            <w:r>
              <w:rPr>
                <w:rFonts w:cs="Segoe UI"/>
                <w:color w:val="000000" w:themeColor="text1"/>
                <w:sz w:val="17"/>
                <w:szCs w:val="17"/>
              </w:rPr>
              <w:t xml:space="preserve"> in law.</w:t>
            </w:r>
          </w:p>
        </w:tc>
      </w:tr>
      <w:tr w:rsidR="00977A9F" w:rsidRPr="00D463C2" w14:paraId="20D464C8" w14:textId="77777777">
        <w:tc>
          <w:tcPr>
            <w:tcW w:w="2332" w:type="dxa"/>
          </w:tcPr>
          <w:p w14:paraId="4832692F" w14:textId="0DDE6EF1" w:rsidR="00977A9F" w:rsidRPr="00D463C2" w:rsidRDefault="00977A9F">
            <w:pPr>
              <w:rPr>
                <w:rFonts w:cs="Segoe UI"/>
                <w:color w:val="000000" w:themeColor="text1"/>
                <w:sz w:val="17"/>
                <w:szCs w:val="17"/>
                <w:lang w:eastAsia="en-AU"/>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w:t>
            </w:r>
            <w:r w:rsidR="000D43FC" w:rsidRPr="000D3606">
              <w:rPr>
                <w:rFonts w:cs="Segoe UI"/>
                <w:color w:val="000000" w:themeColor="text1"/>
                <w:sz w:val="17"/>
                <w:szCs w:val="17"/>
                <w:lang w:eastAsia="en-AU"/>
              </w:rPr>
              <w:t>Title Representative Bodi</w:t>
            </w:r>
            <w:r w:rsidRPr="000D3606">
              <w:rPr>
                <w:rFonts w:cs="Segoe UI"/>
                <w:color w:val="000000" w:themeColor="text1"/>
                <w:sz w:val="17"/>
                <w:szCs w:val="17"/>
                <w:lang w:eastAsia="en-AU"/>
              </w:rPr>
              <w:t xml:space="preserve">es and </w:t>
            </w:r>
            <w:r w:rsidR="000D43FC" w:rsidRPr="000D3606">
              <w:rPr>
                <w:rFonts w:cs="Segoe UI"/>
                <w:color w:val="000000" w:themeColor="text1"/>
                <w:sz w:val="17"/>
                <w:szCs w:val="17"/>
                <w:lang w:eastAsia="en-AU"/>
              </w:rPr>
              <w:t>Service Provider</w:t>
            </w:r>
            <w:r w:rsidRPr="000D3606">
              <w:rPr>
                <w:rFonts w:cs="Segoe UI"/>
                <w:color w:val="000000" w:themeColor="text1"/>
                <w:sz w:val="17"/>
                <w:szCs w:val="17"/>
                <w:lang w:eastAsia="en-AU"/>
              </w:rPr>
              <w:t xml:space="preserve">s </w:t>
            </w:r>
            <w:r>
              <w:rPr>
                <w:rFonts w:cs="Segoe UI"/>
                <w:color w:val="000000" w:themeColor="text1"/>
                <w:sz w:val="17"/>
                <w:szCs w:val="17"/>
                <w:lang w:eastAsia="en-AU"/>
              </w:rPr>
              <w:t>(NTRB-SPs)</w:t>
            </w:r>
          </w:p>
        </w:tc>
        <w:tc>
          <w:tcPr>
            <w:tcW w:w="6598" w:type="dxa"/>
          </w:tcPr>
          <w:p w14:paraId="50F9F90E" w14:textId="00D0190B" w:rsidR="00977A9F" w:rsidRPr="00D463C2" w:rsidRDefault="00977A9F">
            <w:pPr>
              <w:autoSpaceDE w:val="0"/>
              <w:autoSpaceDN w:val="0"/>
              <w:adjustRightInd w:val="0"/>
              <w:spacing w:after="0"/>
              <w:rPr>
                <w:rFonts w:cs="Segoe UI"/>
                <w:color w:val="000000" w:themeColor="text1"/>
                <w:sz w:val="17"/>
                <w:szCs w:val="17"/>
              </w:rPr>
            </w:pPr>
            <w:r>
              <w:rPr>
                <w:rFonts w:cs="Segoe UI"/>
                <w:color w:val="000000" w:themeColor="text1"/>
                <w:sz w:val="17"/>
                <w:szCs w:val="17"/>
                <w:lang w:eastAsia="en-AU"/>
              </w:rPr>
              <w:t>N</w:t>
            </w:r>
            <w:r w:rsidR="000D43FC" w:rsidRPr="000D3606">
              <w:rPr>
                <w:rFonts w:cs="Segoe UI"/>
                <w:color w:val="000000" w:themeColor="text1"/>
                <w:sz w:val="17"/>
                <w:szCs w:val="17"/>
                <w:lang w:eastAsia="en-AU"/>
              </w:rPr>
              <w:t>ative Title Representative Bo</w:t>
            </w:r>
            <w:r w:rsidRPr="000D3606">
              <w:rPr>
                <w:rFonts w:cs="Segoe UI"/>
                <w:color w:val="000000" w:themeColor="text1"/>
                <w:sz w:val="17"/>
                <w:szCs w:val="17"/>
                <w:lang w:eastAsia="en-AU"/>
              </w:rPr>
              <w:t xml:space="preserve">dies and </w:t>
            </w:r>
            <w:r w:rsidR="000D43FC" w:rsidRPr="000D3606">
              <w:rPr>
                <w:rFonts w:cs="Segoe UI"/>
                <w:color w:val="000000" w:themeColor="text1"/>
                <w:sz w:val="17"/>
                <w:szCs w:val="17"/>
                <w:lang w:eastAsia="en-AU"/>
              </w:rPr>
              <w:t>Service Prov</w:t>
            </w:r>
            <w:r w:rsidRPr="000D3606">
              <w:rPr>
                <w:rFonts w:cs="Segoe UI"/>
                <w:color w:val="000000" w:themeColor="text1"/>
                <w:sz w:val="17"/>
                <w:szCs w:val="17"/>
                <w:lang w:eastAsia="en-AU"/>
              </w:rPr>
              <w:t>iders</w:t>
            </w:r>
            <w:r>
              <w:rPr>
                <w:rFonts w:cs="Segoe UI"/>
                <w:color w:val="000000" w:themeColor="text1"/>
                <w:sz w:val="17"/>
                <w:szCs w:val="17"/>
              </w:rPr>
              <w:t xml:space="preserve"> </w:t>
            </w:r>
            <w:proofErr w:type="gramStart"/>
            <w:r>
              <w:rPr>
                <w:rFonts w:cs="Segoe UI"/>
                <w:color w:val="000000" w:themeColor="text1"/>
                <w:sz w:val="17"/>
                <w:szCs w:val="17"/>
              </w:rPr>
              <w:t>refers</w:t>
            </w:r>
            <w:proofErr w:type="gramEnd"/>
            <w:r>
              <w:rPr>
                <w:rFonts w:cs="Segoe UI"/>
                <w:color w:val="000000" w:themeColor="text1"/>
                <w:sz w:val="17"/>
                <w:szCs w:val="17"/>
              </w:rPr>
              <w:t xml:space="preserve"> to the cohort of </w:t>
            </w:r>
            <w:r w:rsidR="000D43FC">
              <w:rPr>
                <w:rFonts w:cs="Segoe UI"/>
                <w:color w:val="000000" w:themeColor="text1"/>
                <w:sz w:val="17"/>
                <w:szCs w:val="17"/>
              </w:rPr>
              <w:t>N</w:t>
            </w:r>
            <w:r w:rsidR="000D43FC" w:rsidRPr="00D463C2">
              <w:rPr>
                <w:rFonts w:cs="Segoe UI"/>
                <w:color w:val="000000" w:themeColor="text1"/>
                <w:sz w:val="17"/>
                <w:szCs w:val="17"/>
                <w:lang w:eastAsia="en-AU"/>
              </w:rPr>
              <w:t>ative Title Representative Bod</w:t>
            </w:r>
            <w:r w:rsidR="000D43FC">
              <w:rPr>
                <w:rFonts w:cs="Segoe UI"/>
                <w:color w:val="000000" w:themeColor="text1"/>
                <w:sz w:val="17"/>
                <w:szCs w:val="17"/>
                <w:lang w:eastAsia="en-AU"/>
              </w:rPr>
              <w:t xml:space="preserve">ies </w:t>
            </w:r>
            <w:r>
              <w:rPr>
                <w:rFonts w:cs="Segoe UI"/>
                <w:color w:val="000000" w:themeColor="text1"/>
                <w:sz w:val="17"/>
                <w:szCs w:val="17"/>
              </w:rPr>
              <w:t xml:space="preserve">and </w:t>
            </w:r>
            <w:r w:rsidR="000D43FC">
              <w:rPr>
                <w:rFonts w:cs="Segoe UI"/>
                <w:color w:val="000000" w:themeColor="text1"/>
                <w:sz w:val="17"/>
                <w:szCs w:val="17"/>
              </w:rPr>
              <w:t>N</w:t>
            </w:r>
            <w:r w:rsidR="000D43FC" w:rsidRPr="00D463C2">
              <w:rPr>
                <w:rFonts w:cs="Segoe UI"/>
                <w:color w:val="000000" w:themeColor="text1"/>
                <w:sz w:val="17"/>
                <w:szCs w:val="17"/>
                <w:lang w:eastAsia="en-AU"/>
              </w:rPr>
              <w:t>ative Title Service Provid</w:t>
            </w:r>
            <w:r w:rsidRPr="00D463C2">
              <w:rPr>
                <w:rFonts w:cs="Segoe UI"/>
                <w:color w:val="000000" w:themeColor="text1"/>
                <w:sz w:val="17"/>
                <w:szCs w:val="17"/>
                <w:lang w:eastAsia="en-AU"/>
              </w:rPr>
              <w:t>er</w:t>
            </w:r>
            <w:r>
              <w:rPr>
                <w:rFonts w:cs="Segoe UI"/>
                <w:color w:val="000000" w:themeColor="text1"/>
                <w:sz w:val="17"/>
                <w:szCs w:val="17"/>
                <w:lang w:eastAsia="en-AU"/>
              </w:rPr>
              <w:t xml:space="preserve">s </w:t>
            </w:r>
            <w:r>
              <w:rPr>
                <w:rFonts w:cs="Segoe UI"/>
                <w:color w:val="000000" w:themeColor="text1"/>
                <w:sz w:val="17"/>
                <w:szCs w:val="17"/>
              </w:rPr>
              <w:t xml:space="preserve">that are being evaluated by the Review. </w:t>
            </w:r>
          </w:p>
        </w:tc>
      </w:tr>
      <w:tr w:rsidR="00977A9F" w:rsidRPr="00D463C2" w14:paraId="255642B7" w14:textId="77777777">
        <w:tc>
          <w:tcPr>
            <w:tcW w:w="2332" w:type="dxa"/>
          </w:tcPr>
          <w:p w14:paraId="0F2B0634"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Non-claimant application</w:t>
            </w:r>
          </w:p>
        </w:tc>
        <w:tc>
          <w:tcPr>
            <w:tcW w:w="6598" w:type="dxa"/>
          </w:tcPr>
          <w:p w14:paraId="0099BF8D" w14:textId="77777777" w:rsidR="00977A9F" w:rsidRPr="00D463C2" w:rsidRDefault="00977A9F">
            <w:pPr>
              <w:rPr>
                <w:rFonts w:cs="Segoe UI"/>
                <w:color w:val="000000" w:themeColor="text1"/>
                <w:sz w:val="17"/>
                <w:szCs w:val="17"/>
                <w:lang w:val="en-US"/>
              </w:rPr>
            </w:pPr>
            <w:r w:rsidRPr="00D463C2">
              <w:rPr>
                <w:rFonts w:cs="Segoe UI"/>
                <w:color w:val="000000" w:themeColor="text1"/>
                <w:sz w:val="17"/>
                <w:szCs w:val="17"/>
                <w:lang w:val="en-US"/>
              </w:rPr>
              <w:t xml:space="preserve">An application made by a person who does not claim to have native title but who seeks </w:t>
            </w:r>
            <w:proofErr w:type="gramStart"/>
            <w:r w:rsidRPr="00D463C2">
              <w:rPr>
                <w:rFonts w:cs="Segoe UI"/>
                <w:color w:val="000000" w:themeColor="text1"/>
                <w:sz w:val="17"/>
                <w:szCs w:val="17"/>
                <w:lang w:val="en-US"/>
              </w:rPr>
              <w:t>a determination</w:t>
            </w:r>
            <w:proofErr w:type="gramEnd"/>
            <w:r w:rsidRPr="00D463C2">
              <w:rPr>
                <w:rFonts w:cs="Segoe UI"/>
                <w:color w:val="000000" w:themeColor="text1"/>
                <w:sz w:val="17"/>
                <w:szCs w:val="17"/>
                <w:lang w:val="en-US"/>
              </w:rPr>
              <w:t xml:space="preserve"> that native title does or does not exist.</w:t>
            </w:r>
          </w:p>
        </w:tc>
      </w:tr>
      <w:tr w:rsidR="00977A9F" w:rsidRPr="00D463C2" w14:paraId="1F747417" w14:textId="77777777">
        <w:tc>
          <w:tcPr>
            <w:tcW w:w="2332" w:type="dxa"/>
          </w:tcPr>
          <w:p w14:paraId="794A2CB0"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 xml:space="preserve">Pastoral </w:t>
            </w:r>
            <w:r>
              <w:rPr>
                <w:rFonts w:cs="Segoe UI"/>
                <w:color w:val="000000" w:themeColor="text1"/>
                <w:sz w:val="17"/>
                <w:szCs w:val="17"/>
                <w:lang w:eastAsia="en-AU"/>
              </w:rPr>
              <w:t>l</w:t>
            </w:r>
            <w:r w:rsidRPr="00D463C2">
              <w:rPr>
                <w:rFonts w:cs="Segoe UI"/>
                <w:color w:val="000000" w:themeColor="text1"/>
                <w:sz w:val="17"/>
                <w:szCs w:val="17"/>
                <w:lang w:eastAsia="en-AU"/>
              </w:rPr>
              <w:t>eases</w:t>
            </w:r>
          </w:p>
        </w:tc>
        <w:tc>
          <w:tcPr>
            <w:tcW w:w="6598" w:type="dxa"/>
          </w:tcPr>
          <w:p w14:paraId="2DA148D9" w14:textId="77777777" w:rsidR="00977A9F" w:rsidRPr="00D463C2" w:rsidRDefault="00977A9F">
            <w:pPr>
              <w:rPr>
                <w:rFonts w:cs="Segoe UI"/>
                <w:color w:val="000000" w:themeColor="text1"/>
                <w:sz w:val="17"/>
                <w:szCs w:val="17"/>
                <w:lang w:eastAsia="en-AU"/>
              </w:rPr>
            </w:pPr>
            <w:bookmarkStart w:id="57" w:name="_Hlk34644586"/>
            <w:r w:rsidRPr="00D463C2">
              <w:rPr>
                <w:rFonts w:cs="Segoe UI"/>
                <w:color w:val="000000" w:themeColor="text1"/>
                <w:sz w:val="17"/>
                <w:szCs w:val="17"/>
                <w:lang w:eastAsia="en-AU"/>
              </w:rPr>
              <w:t xml:space="preserve">A pastoral lease is a title issued for the lease of an area of Crown land to use for the limited purpose of grazing of stock and associated activities. It is a limited property right and does not provide the leaseholder with all the rights that attach to freehold land. </w:t>
            </w:r>
            <w:bookmarkEnd w:id="57"/>
            <w:r w:rsidRPr="00D463C2">
              <w:rPr>
                <w:rFonts w:cs="Segoe UI"/>
                <w:color w:val="000000" w:themeColor="text1"/>
                <w:sz w:val="17"/>
                <w:szCs w:val="17"/>
                <w:lang w:eastAsia="en-AU"/>
              </w:rPr>
              <w:t xml:space="preserve">Native </w:t>
            </w:r>
            <w:r>
              <w:rPr>
                <w:rFonts w:cs="Segoe UI"/>
                <w:color w:val="000000" w:themeColor="text1"/>
                <w:sz w:val="17"/>
                <w:szCs w:val="17"/>
                <w:lang w:eastAsia="en-AU"/>
              </w:rPr>
              <w:t>t</w:t>
            </w:r>
            <w:r w:rsidRPr="00D463C2">
              <w:rPr>
                <w:rFonts w:cs="Segoe UI"/>
                <w:color w:val="000000" w:themeColor="text1"/>
                <w:sz w:val="17"/>
                <w:szCs w:val="17"/>
                <w:lang w:eastAsia="en-AU"/>
              </w:rPr>
              <w:t xml:space="preserve">itle rights often co-exist with pastoral lease rights. </w:t>
            </w:r>
          </w:p>
        </w:tc>
      </w:tr>
      <w:tr w:rsidR="00977A9F" w:rsidRPr="00D463C2" w14:paraId="5A808AAC" w14:textId="77777777">
        <w:tc>
          <w:tcPr>
            <w:tcW w:w="2332" w:type="dxa"/>
          </w:tcPr>
          <w:p w14:paraId="5196663A"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Post-determination</w:t>
            </w:r>
          </w:p>
        </w:tc>
        <w:tc>
          <w:tcPr>
            <w:tcW w:w="6598" w:type="dxa"/>
          </w:tcPr>
          <w:p w14:paraId="11DCB10A" w14:textId="6D2C69E0"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 xml:space="preserve">At a claim level, refers to the period following a determination that native title exists. At a </w:t>
            </w:r>
            <w:r w:rsidR="000D43FC" w:rsidRPr="006B355A">
              <w:rPr>
                <w:rFonts w:cs="Segoe UI"/>
                <w:color w:val="000000" w:themeColor="text1"/>
                <w:sz w:val="17"/>
                <w:szCs w:val="17"/>
                <w:lang w:eastAsia="en-AU"/>
              </w:rPr>
              <w:t>Native Title Representative Bod</w:t>
            </w:r>
            <w:r w:rsidR="00C465CE">
              <w:rPr>
                <w:rFonts w:cs="Segoe UI"/>
                <w:color w:val="000000" w:themeColor="text1"/>
                <w:sz w:val="17"/>
                <w:szCs w:val="17"/>
                <w:lang w:eastAsia="en-AU"/>
              </w:rPr>
              <w:t>y</w:t>
            </w:r>
            <w:r w:rsidRPr="006B355A">
              <w:rPr>
                <w:rFonts w:cs="Segoe UI"/>
                <w:color w:val="000000" w:themeColor="text1"/>
                <w:sz w:val="17"/>
                <w:szCs w:val="17"/>
                <w:lang w:eastAsia="en-AU"/>
              </w:rPr>
              <w:t xml:space="preserve"> and </w:t>
            </w:r>
            <w:r w:rsidR="000D43FC" w:rsidRPr="006B355A">
              <w:rPr>
                <w:rFonts w:cs="Segoe UI"/>
                <w:color w:val="000000" w:themeColor="text1"/>
                <w:sz w:val="17"/>
                <w:szCs w:val="17"/>
                <w:lang w:eastAsia="en-AU"/>
              </w:rPr>
              <w:t>Service Provi</w:t>
            </w:r>
            <w:r w:rsidRPr="006B355A">
              <w:rPr>
                <w:rFonts w:cs="Segoe UI"/>
                <w:color w:val="000000" w:themeColor="text1"/>
                <w:sz w:val="17"/>
                <w:szCs w:val="17"/>
                <w:lang w:eastAsia="en-AU"/>
              </w:rPr>
              <w:t>der</w:t>
            </w:r>
            <w:r w:rsidRPr="00D463C2">
              <w:rPr>
                <w:rFonts w:cs="Segoe UI"/>
                <w:color w:val="000000" w:themeColor="text1"/>
                <w:sz w:val="17"/>
                <w:szCs w:val="17"/>
                <w:lang w:eastAsia="en-AU"/>
              </w:rPr>
              <w:t xml:space="preserve"> life cycle level, refers to the period following the resolution of all active </w:t>
            </w:r>
            <w:r>
              <w:rPr>
                <w:rFonts w:cs="Segoe UI"/>
                <w:color w:val="000000" w:themeColor="text1"/>
                <w:sz w:val="17"/>
                <w:szCs w:val="17"/>
                <w:lang w:eastAsia="en-AU"/>
              </w:rPr>
              <w:t>applications</w:t>
            </w:r>
            <w:r w:rsidRPr="00D463C2">
              <w:rPr>
                <w:rFonts w:cs="Segoe UI"/>
                <w:color w:val="000000" w:themeColor="text1"/>
                <w:sz w:val="17"/>
                <w:szCs w:val="17"/>
                <w:lang w:eastAsia="en-AU"/>
              </w:rPr>
              <w:t xml:space="preserve"> within a </w:t>
            </w:r>
            <w:r w:rsidRPr="00896950">
              <w:rPr>
                <w:rFonts w:cs="Segoe UI"/>
                <w:color w:val="000000" w:themeColor="text1"/>
                <w:sz w:val="17"/>
                <w:szCs w:val="17"/>
                <w:lang w:eastAsia="en-AU"/>
              </w:rPr>
              <w:t>Representative Aboriginal/Torres Strait Islander Body</w:t>
            </w:r>
            <w:r w:rsidRPr="00D463C2">
              <w:rPr>
                <w:rFonts w:cs="Segoe UI"/>
                <w:color w:val="000000" w:themeColor="text1"/>
                <w:sz w:val="17"/>
                <w:szCs w:val="17"/>
                <w:lang w:eastAsia="en-AU"/>
              </w:rPr>
              <w:t xml:space="preserve"> area.</w:t>
            </w:r>
          </w:p>
        </w:tc>
      </w:tr>
      <w:tr w:rsidR="00977A9F" w:rsidRPr="00D463C2" w14:paraId="36E1C8BD" w14:textId="77777777">
        <w:tc>
          <w:tcPr>
            <w:tcW w:w="2332" w:type="dxa"/>
          </w:tcPr>
          <w:p w14:paraId="1054D19D"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Prescribed Body Corporate (PBC)</w:t>
            </w:r>
          </w:p>
        </w:tc>
        <w:tc>
          <w:tcPr>
            <w:tcW w:w="6598" w:type="dxa"/>
          </w:tcPr>
          <w:p w14:paraId="20FA2172" w14:textId="77777777" w:rsidR="00977A9F" w:rsidRPr="00D463C2" w:rsidRDefault="00977A9F">
            <w:pPr>
              <w:pStyle w:val="TableNbiophoto"/>
              <w:rPr>
                <w:lang w:eastAsia="en-AU"/>
              </w:rPr>
            </w:pPr>
            <w:r w:rsidRPr="00236917">
              <w:rPr>
                <w:lang w:val="en-US"/>
              </w:rPr>
              <w:t xml:space="preserve">A body, established under the </w:t>
            </w:r>
            <w:r w:rsidRPr="00236917">
              <w:rPr>
                <w:i/>
                <w:lang w:val="en-US"/>
              </w:rPr>
              <w:t xml:space="preserve">Corporations (Aboriginal and Torres Strait Islander) Act 2006 </w:t>
            </w:r>
            <w:r w:rsidRPr="00236917">
              <w:rPr>
                <w:lang w:val="en-US"/>
              </w:rPr>
              <w:t>(</w:t>
            </w:r>
            <w:proofErr w:type="spellStart"/>
            <w:r w:rsidRPr="00236917">
              <w:rPr>
                <w:lang w:val="en-US"/>
              </w:rPr>
              <w:t>Cth</w:t>
            </w:r>
            <w:proofErr w:type="spellEnd"/>
            <w:r w:rsidRPr="00236917">
              <w:rPr>
                <w:lang w:val="en-US"/>
              </w:rPr>
              <w:t>), nominated by native title holders which will manage their native title rights and interests once a determination that native title exists has been made.</w:t>
            </w:r>
          </w:p>
        </w:tc>
      </w:tr>
      <w:tr w:rsidR="00977A9F" w:rsidRPr="00D463C2" w14:paraId="137020C3" w14:textId="77777777">
        <w:tc>
          <w:tcPr>
            <w:tcW w:w="2332" w:type="dxa"/>
          </w:tcPr>
          <w:p w14:paraId="0EDEC897"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Registration test</w:t>
            </w:r>
          </w:p>
        </w:tc>
        <w:tc>
          <w:tcPr>
            <w:tcW w:w="6598" w:type="dxa"/>
          </w:tcPr>
          <w:p w14:paraId="13C1F8BD" w14:textId="77777777" w:rsidR="00977A9F" w:rsidRPr="00D463C2" w:rsidRDefault="00977A9F">
            <w:pPr>
              <w:rPr>
                <w:rFonts w:cs="Segoe UI"/>
                <w:color w:val="000000" w:themeColor="text1"/>
                <w:sz w:val="17"/>
                <w:szCs w:val="17"/>
                <w:lang w:val="en-US"/>
              </w:rPr>
            </w:pPr>
            <w:r w:rsidRPr="00D463C2">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w:t>
            </w:r>
            <w:r>
              <w:rPr>
                <w:rFonts w:cs="Segoe UI"/>
                <w:color w:val="000000" w:themeColor="text1"/>
                <w:sz w:val="17"/>
                <w:szCs w:val="17"/>
                <w:lang w:val="en-US"/>
              </w:rPr>
              <w:t>application</w:t>
            </w:r>
            <w:r w:rsidRPr="00D463C2">
              <w:rPr>
                <w:rFonts w:cs="Segoe UI"/>
                <w:color w:val="000000" w:themeColor="text1"/>
                <w:sz w:val="17"/>
                <w:szCs w:val="17"/>
                <w:lang w:val="en-US"/>
              </w:rPr>
              <w:t xml:space="preserve"> are entered on to the Register of Native Title Claims. </w:t>
            </w:r>
            <w:r>
              <w:rPr>
                <w:rFonts w:cs="Segoe UI"/>
                <w:color w:val="000000" w:themeColor="text1"/>
                <w:sz w:val="17"/>
                <w:szCs w:val="17"/>
                <w:lang w:val="en-US"/>
              </w:rPr>
              <w:t>Once an application is registered, applicants can</w:t>
            </w:r>
            <w:r w:rsidRPr="00D463C2">
              <w:rPr>
                <w:rFonts w:cs="Segoe UI"/>
                <w:color w:val="000000" w:themeColor="text1"/>
                <w:sz w:val="17"/>
                <w:szCs w:val="17"/>
                <w:lang w:val="en-US"/>
              </w:rPr>
              <w:t xml:space="preserve"> exercise the procedural rights stipulated in the Future Act provisions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lang w:val="en-US"/>
              </w:rPr>
              <w:t>.</w:t>
            </w:r>
          </w:p>
        </w:tc>
      </w:tr>
      <w:tr w:rsidR="00977A9F" w:rsidRPr="00D463C2" w14:paraId="3D312162" w14:textId="77777777">
        <w:tc>
          <w:tcPr>
            <w:tcW w:w="2332" w:type="dxa"/>
          </w:tcPr>
          <w:p w14:paraId="4FA591DC"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 xml:space="preserve">Representative Aboriginal/ Torres Strait Islander Body (RATSIB) area </w:t>
            </w:r>
          </w:p>
        </w:tc>
        <w:tc>
          <w:tcPr>
            <w:tcW w:w="6598" w:type="dxa"/>
          </w:tcPr>
          <w:p w14:paraId="1DD98788" w14:textId="1C4161EE"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val="en-US"/>
              </w:rPr>
              <w:t xml:space="preserve">The area over which a </w:t>
            </w:r>
            <w:r w:rsidR="000D43FC" w:rsidRPr="00D078B2">
              <w:rPr>
                <w:rFonts w:cs="Segoe UI"/>
                <w:color w:val="000000" w:themeColor="text1"/>
                <w:sz w:val="17"/>
                <w:szCs w:val="17"/>
                <w:lang w:val="en-US"/>
              </w:rPr>
              <w:t>Native Title Representative Bod</w:t>
            </w:r>
            <w:r w:rsidR="00C465CE">
              <w:rPr>
                <w:rFonts w:cs="Segoe UI"/>
                <w:color w:val="000000" w:themeColor="text1"/>
                <w:sz w:val="17"/>
                <w:szCs w:val="17"/>
                <w:lang w:val="en-US"/>
              </w:rPr>
              <w:t>y</w:t>
            </w:r>
            <w:r w:rsidRPr="00D078B2">
              <w:rPr>
                <w:rFonts w:cs="Segoe UI"/>
                <w:color w:val="000000" w:themeColor="text1"/>
                <w:sz w:val="17"/>
                <w:szCs w:val="17"/>
                <w:lang w:val="en-US"/>
              </w:rPr>
              <w:t xml:space="preserve"> and </w:t>
            </w:r>
            <w:r w:rsidR="000D43FC" w:rsidRPr="00D078B2">
              <w:rPr>
                <w:rFonts w:cs="Segoe UI"/>
                <w:color w:val="000000" w:themeColor="text1"/>
                <w:sz w:val="17"/>
                <w:szCs w:val="17"/>
                <w:lang w:val="en-US"/>
              </w:rPr>
              <w:t>Service Provide</w:t>
            </w:r>
            <w:r w:rsidRPr="00D078B2">
              <w:rPr>
                <w:rFonts w:cs="Segoe UI"/>
                <w:color w:val="000000" w:themeColor="text1"/>
                <w:sz w:val="17"/>
                <w:szCs w:val="17"/>
                <w:lang w:val="en-US"/>
              </w:rPr>
              <w:t>r</w:t>
            </w:r>
            <w:r w:rsidRPr="00D463C2">
              <w:rPr>
                <w:rFonts w:cs="Segoe UI"/>
                <w:color w:val="000000" w:themeColor="text1"/>
                <w:sz w:val="17"/>
                <w:szCs w:val="17"/>
                <w:lang w:val="en-US"/>
              </w:rPr>
              <w:t xml:space="preserve"> </w:t>
            </w:r>
            <w:proofErr w:type="gramStart"/>
            <w:r w:rsidRPr="00D463C2">
              <w:rPr>
                <w:rFonts w:cs="Segoe UI"/>
                <w:color w:val="000000" w:themeColor="text1"/>
                <w:sz w:val="17"/>
                <w:szCs w:val="17"/>
                <w:lang w:val="en-US"/>
              </w:rPr>
              <w:t>holds</w:t>
            </w:r>
            <w:proofErr w:type="gramEnd"/>
            <w:r w:rsidRPr="00D463C2">
              <w:rPr>
                <w:rFonts w:cs="Segoe UI"/>
                <w:color w:val="000000" w:themeColor="text1"/>
                <w:sz w:val="17"/>
                <w:szCs w:val="17"/>
                <w:lang w:val="en-US"/>
              </w:rPr>
              <w:t xml:space="preserve"> jurisdiction.</w:t>
            </w:r>
          </w:p>
        </w:tc>
      </w:tr>
      <w:tr w:rsidR="00977A9F" w:rsidRPr="00D463C2" w14:paraId="0A47AF13" w14:textId="77777777">
        <w:tc>
          <w:tcPr>
            <w:tcW w:w="2332" w:type="dxa"/>
          </w:tcPr>
          <w:p w14:paraId="20DA7030"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lastRenderedPageBreak/>
              <w:t>Terms of Reference (TOR)</w:t>
            </w:r>
          </w:p>
        </w:tc>
        <w:tc>
          <w:tcPr>
            <w:tcW w:w="6598" w:type="dxa"/>
          </w:tcPr>
          <w:p w14:paraId="770EB521" w14:textId="1F960683"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 xml:space="preserve">Refers to the Terms of Reference provided by </w:t>
            </w:r>
            <w:r>
              <w:rPr>
                <w:rFonts w:cs="Segoe UI"/>
                <w:color w:val="000000" w:themeColor="text1"/>
                <w:sz w:val="17"/>
                <w:szCs w:val="17"/>
                <w:lang w:eastAsia="en-AU"/>
              </w:rPr>
              <w:t xml:space="preserve">the </w:t>
            </w:r>
            <w:r w:rsidRPr="00271A6F">
              <w:rPr>
                <w:rFonts w:cs="Segoe UI"/>
                <w:color w:val="000000" w:themeColor="text1"/>
                <w:sz w:val="17"/>
                <w:szCs w:val="17"/>
                <w:lang w:eastAsia="en-AU"/>
              </w:rPr>
              <w:t>National Indigenous Australians Agency</w:t>
            </w:r>
            <w:r w:rsidRPr="00D463C2">
              <w:rPr>
                <w:rFonts w:cs="Segoe UI"/>
                <w:color w:val="000000" w:themeColor="text1"/>
                <w:sz w:val="17"/>
                <w:szCs w:val="17"/>
                <w:lang w:eastAsia="en-AU"/>
              </w:rPr>
              <w:t xml:space="preserve"> which govern the scope of the project. These can be found in </w:t>
            </w:r>
            <w:r w:rsidRPr="00D463C2">
              <w:rPr>
                <w:rFonts w:cs="Segoe UI"/>
                <w:color w:val="000000" w:themeColor="text1"/>
                <w:sz w:val="17"/>
                <w:szCs w:val="17"/>
                <w:lang w:eastAsia="en-AU"/>
              </w:rPr>
              <w:fldChar w:fldCharType="begin"/>
            </w:r>
            <w:r w:rsidRPr="00D463C2">
              <w:rPr>
                <w:rFonts w:cs="Segoe UI"/>
                <w:color w:val="000000" w:themeColor="text1"/>
                <w:sz w:val="17"/>
                <w:szCs w:val="17"/>
                <w:lang w:eastAsia="en-AU"/>
              </w:rPr>
              <w:instrText xml:space="preserve"> REF _Ref494201132 \n \h </w:instrText>
            </w:r>
            <w:r w:rsidRPr="00D463C2">
              <w:rPr>
                <w:rFonts w:cs="Segoe UI"/>
                <w:color w:val="000000" w:themeColor="text1"/>
                <w:sz w:val="17"/>
                <w:szCs w:val="17"/>
                <w:lang w:eastAsia="en-AU"/>
              </w:rPr>
            </w:r>
            <w:r w:rsidRPr="00D463C2">
              <w:rPr>
                <w:rFonts w:cs="Segoe UI"/>
                <w:color w:val="000000" w:themeColor="text1"/>
                <w:sz w:val="17"/>
                <w:szCs w:val="17"/>
                <w:lang w:eastAsia="en-AU"/>
              </w:rPr>
              <w:fldChar w:fldCharType="separate"/>
            </w:r>
            <w:r w:rsidR="00AB7E95">
              <w:rPr>
                <w:rFonts w:cs="Segoe UI"/>
                <w:color w:val="000000" w:themeColor="text1"/>
                <w:sz w:val="17"/>
                <w:szCs w:val="17"/>
                <w:lang w:eastAsia="en-AU"/>
              </w:rPr>
              <w:t>Appendix A</w:t>
            </w:r>
            <w:r w:rsidRPr="00D463C2">
              <w:rPr>
                <w:rFonts w:cs="Segoe UI"/>
                <w:color w:val="000000" w:themeColor="text1"/>
                <w:sz w:val="17"/>
                <w:szCs w:val="17"/>
                <w:lang w:eastAsia="en-AU"/>
              </w:rPr>
              <w:fldChar w:fldCharType="end"/>
            </w:r>
            <w:r w:rsidRPr="00D463C2">
              <w:rPr>
                <w:rFonts w:cs="Segoe UI"/>
                <w:color w:val="000000" w:themeColor="text1"/>
                <w:sz w:val="17"/>
                <w:szCs w:val="17"/>
                <w:lang w:eastAsia="en-AU"/>
              </w:rPr>
              <w:t xml:space="preserve">. </w:t>
            </w:r>
          </w:p>
        </w:tc>
      </w:tr>
      <w:tr w:rsidR="00977A9F" w:rsidRPr="00D463C2" w14:paraId="558FC88E" w14:textId="77777777">
        <w:tc>
          <w:tcPr>
            <w:tcW w:w="2332" w:type="dxa"/>
          </w:tcPr>
          <w:p w14:paraId="7B141795"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 xml:space="preserve">Traditional Owners </w:t>
            </w:r>
          </w:p>
        </w:tc>
        <w:tc>
          <w:tcPr>
            <w:tcW w:w="6598" w:type="dxa"/>
          </w:tcPr>
          <w:p w14:paraId="4CD9AB5C" w14:textId="77777777" w:rsidR="00977A9F" w:rsidRPr="00D463C2" w:rsidRDefault="00977A9F">
            <w:pPr>
              <w:rPr>
                <w:rFonts w:cs="Segoe UI"/>
                <w:color w:val="000000" w:themeColor="text1"/>
                <w:sz w:val="17"/>
                <w:szCs w:val="17"/>
                <w:lang w:eastAsia="en-AU"/>
              </w:rPr>
            </w:pPr>
            <w:r w:rsidRPr="00D463C2">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48F36BBC" w14:textId="3582AE60" w:rsidR="00E729CF" w:rsidRPr="00407282" w:rsidRDefault="00227B58" w:rsidP="00E729CF">
      <w:pPr>
        <w:rPr>
          <w:lang w:eastAsia="en-AU"/>
        </w:rPr>
      </w:pPr>
      <w:r>
        <w:rPr>
          <w:lang w:eastAsia="en-AU"/>
        </w:rPr>
        <w:br/>
      </w:r>
      <w:r w:rsidR="00E729CF" w:rsidRPr="00407282">
        <w:rPr>
          <w:lang w:eastAsia="en-AU"/>
        </w:rPr>
        <w:t xml:space="preserve">This document refers to the functions of NTRB-SPs outlined under the </w:t>
      </w:r>
      <w:r w:rsidR="00E729CF" w:rsidRPr="007362AC">
        <w:rPr>
          <w:lang w:eastAsia="en-AU"/>
        </w:rPr>
        <w:t>NTA</w:t>
      </w:r>
      <w:r w:rsidR="00E729CF" w:rsidRPr="00407282">
        <w:rPr>
          <w:i/>
          <w:lang w:eastAsia="en-AU"/>
        </w:rPr>
        <w:t xml:space="preserve"> </w:t>
      </w:r>
      <w:r w:rsidR="00E729CF" w:rsidRPr="00407282">
        <w:rPr>
          <w:lang w:eastAsia="en-AU"/>
        </w:rPr>
        <w:t xml:space="preserve">and captured in </w:t>
      </w:r>
      <w:r w:rsidR="00E729CF" w:rsidRPr="00407282">
        <w:rPr>
          <w:lang w:eastAsia="en-AU"/>
        </w:rPr>
        <w:fldChar w:fldCharType="begin"/>
      </w:r>
      <w:r w:rsidR="00E729CF" w:rsidRPr="00407282">
        <w:rPr>
          <w:lang w:eastAsia="en-AU"/>
        </w:rPr>
        <w:instrText xml:space="preserve"> REF _Ref504381314 \h  \* MERGEFORMAT </w:instrText>
      </w:r>
      <w:r w:rsidR="00E729CF" w:rsidRPr="00407282">
        <w:rPr>
          <w:lang w:eastAsia="en-AU"/>
        </w:rPr>
      </w:r>
      <w:r w:rsidR="00E729CF" w:rsidRPr="00407282">
        <w:rPr>
          <w:lang w:eastAsia="en-AU"/>
        </w:rPr>
        <w:fldChar w:fldCharType="separate"/>
      </w:r>
      <w:r w:rsidR="00AB7E95" w:rsidRPr="00407282">
        <w:t xml:space="preserve">Table </w:t>
      </w:r>
      <w:r w:rsidR="00AB7E95">
        <w:rPr>
          <w:noProof/>
        </w:rPr>
        <w:t>13</w:t>
      </w:r>
      <w:r w:rsidR="00E729CF" w:rsidRPr="00407282">
        <w:rPr>
          <w:lang w:eastAsia="en-AU"/>
        </w:rPr>
        <w:fldChar w:fldCharType="end"/>
      </w:r>
      <w:r w:rsidR="00E729CF" w:rsidRPr="00407282">
        <w:rPr>
          <w:lang w:eastAsia="en-AU"/>
        </w:rPr>
        <w:t>.</w:t>
      </w:r>
    </w:p>
    <w:p w14:paraId="3D78E25D" w14:textId="784592F7" w:rsidR="00E729CF" w:rsidRPr="00407282" w:rsidRDefault="00E729CF" w:rsidP="00E729CF">
      <w:pPr>
        <w:pStyle w:val="Caption"/>
      </w:pPr>
      <w:bookmarkStart w:id="58" w:name="_Ref504381314"/>
      <w:r w:rsidRPr="00407282">
        <w:t xml:space="preserve">Table </w:t>
      </w:r>
      <w:r w:rsidRPr="00407282">
        <w:fldChar w:fldCharType="begin"/>
      </w:r>
      <w:r w:rsidRPr="00407282">
        <w:instrText xml:space="preserve"> SEQ Table \* ARABIC </w:instrText>
      </w:r>
      <w:r w:rsidRPr="00407282">
        <w:fldChar w:fldCharType="separate"/>
      </w:r>
      <w:r w:rsidR="00AB7E95">
        <w:rPr>
          <w:noProof/>
        </w:rPr>
        <w:t>13</w:t>
      </w:r>
      <w:r w:rsidRPr="00407282">
        <w:fldChar w:fldCharType="end"/>
      </w:r>
      <w:bookmarkEnd w:id="58"/>
      <w:r w:rsidRPr="00407282">
        <w:t xml:space="preserve"> | NTRB functions under the </w:t>
      </w:r>
      <w:r w:rsidR="00227B58" w:rsidRPr="00227B58">
        <w:rPr>
          <w:iCs/>
        </w:rPr>
        <w:t>NTA</w:t>
      </w:r>
    </w:p>
    <w:tbl>
      <w:tblPr>
        <w:tblStyle w:val="AEMO1"/>
        <w:tblW w:w="0" w:type="auto"/>
        <w:tblLook w:val="04A0" w:firstRow="1" w:lastRow="0" w:firstColumn="1" w:lastColumn="0" w:noHBand="0" w:noVBand="1"/>
      </w:tblPr>
      <w:tblGrid>
        <w:gridCol w:w="1075"/>
        <w:gridCol w:w="2233"/>
        <w:gridCol w:w="5622"/>
      </w:tblGrid>
      <w:tr w:rsidR="00227B58" w:rsidRPr="00D463C2" w14:paraId="0D3A2123" w14:textId="77777777">
        <w:trPr>
          <w:cnfStyle w:val="100000000000" w:firstRow="1" w:lastRow="0" w:firstColumn="0" w:lastColumn="0" w:oddVBand="0" w:evenVBand="0" w:oddHBand="0" w:evenHBand="0" w:firstRowFirstColumn="0" w:firstRowLastColumn="0" w:lastRowFirstColumn="0" w:lastRowLastColumn="0"/>
        </w:trPr>
        <w:tc>
          <w:tcPr>
            <w:tcW w:w="1078" w:type="dxa"/>
          </w:tcPr>
          <w:p w14:paraId="3F73B5B4" w14:textId="77777777" w:rsidR="00227B58" w:rsidRPr="00E96E96" w:rsidRDefault="00227B58" w:rsidP="00227B58">
            <w:pPr>
              <w:spacing w:before="40" w:after="40"/>
              <w:rPr>
                <w:rFonts w:ascii="Segoe UI Semibold" w:hAnsi="Segoe UI Semibold"/>
                <w:b w:val="0"/>
                <w:bCs/>
                <w:sz w:val="18"/>
              </w:rPr>
            </w:pPr>
            <w:r w:rsidRPr="00E96E96">
              <w:rPr>
                <w:rFonts w:ascii="Segoe UI Semibold" w:hAnsi="Segoe UI Semibold"/>
                <w:b w:val="0"/>
                <w:bCs/>
                <w:sz w:val="18"/>
              </w:rPr>
              <w:t xml:space="preserve">Reference </w:t>
            </w:r>
          </w:p>
        </w:tc>
        <w:tc>
          <w:tcPr>
            <w:tcW w:w="2268" w:type="dxa"/>
          </w:tcPr>
          <w:p w14:paraId="550E8CBC" w14:textId="77777777" w:rsidR="00227B58" w:rsidRPr="00E96E96" w:rsidRDefault="00227B58" w:rsidP="00227B58">
            <w:pPr>
              <w:spacing w:before="40" w:after="40"/>
              <w:rPr>
                <w:rFonts w:ascii="Segoe UI Semibold" w:hAnsi="Segoe UI Semibold"/>
                <w:b w:val="0"/>
                <w:bCs/>
                <w:sz w:val="18"/>
              </w:rPr>
            </w:pPr>
            <w:r w:rsidRPr="00E96E96">
              <w:rPr>
                <w:rFonts w:ascii="Segoe UI Semibold" w:hAnsi="Segoe UI Semibold"/>
                <w:b w:val="0"/>
                <w:bCs/>
                <w:sz w:val="18"/>
              </w:rPr>
              <w:t>Function</w:t>
            </w:r>
          </w:p>
        </w:tc>
        <w:tc>
          <w:tcPr>
            <w:tcW w:w="5754" w:type="dxa"/>
          </w:tcPr>
          <w:p w14:paraId="2A39FA0A" w14:textId="77777777" w:rsidR="00227B58" w:rsidRPr="00E96E96" w:rsidRDefault="00227B58" w:rsidP="00227B58">
            <w:pPr>
              <w:spacing w:before="40" w:after="40"/>
              <w:rPr>
                <w:rFonts w:ascii="Segoe UI Semibold" w:hAnsi="Segoe UI Semibold"/>
                <w:b w:val="0"/>
                <w:bCs/>
                <w:sz w:val="18"/>
              </w:rPr>
            </w:pPr>
            <w:r w:rsidRPr="00E96E96">
              <w:rPr>
                <w:rFonts w:ascii="Segoe UI Semibold" w:hAnsi="Segoe UI Semibold"/>
                <w:b w:val="0"/>
                <w:bCs/>
                <w:sz w:val="18"/>
              </w:rPr>
              <w:t>Detail</w:t>
            </w:r>
          </w:p>
        </w:tc>
      </w:tr>
      <w:tr w:rsidR="00227B58" w:rsidRPr="00D463C2" w14:paraId="453B6290" w14:textId="77777777" w:rsidTr="00227B58">
        <w:tc>
          <w:tcPr>
            <w:tcW w:w="1078" w:type="dxa"/>
          </w:tcPr>
          <w:p w14:paraId="0A15E47B" w14:textId="77777777" w:rsidR="00227B58" w:rsidRPr="00D463C2" w:rsidRDefault="00227B58" w:rsidP="00227B58">
            <w:pPr>
              <w:rPr>
                <w:sz w:val="17"/>
                <w:szCs w:val="17"/>
                <w:lang w:eastAsia="en-AU"/>
              </w:rPr>
            </w:pPr>
            <w:r w:rsidRPr="00D463C2">
              <w:rPr>
                <w:sz w:val="17"/>
                <w:szCs w:val="17"/>
                <w:lang w:eastAsia="en-AU"/>
              </w:rPr>
              <w:t>s203BB</w:t>
            </w:r>
          </w:p>
        </w:tc>
        <w:tc>
          <w:tcPr>
            <w:tcW w:w="2268" w:type="dxa"/>
          </w:tcPr>
          <w:p w14:paraId="04EAEEF8" w14:textId="77777777" w:rsidR="00227B58" w:rsidRPr="00D463C2" w:rsidRDefault="00227B58" w:rsidP="00227B58">
            <w:pPr>
              <w:rPr>
                <w:sz w:val="17"/>
                <w:szCs w:val="17"/>
                <w:lang w:eastAsia="en-AU"/>
              </w:rPr>
            </w:pPr>
            <w:r w:rsidRPr="00D463C2">
              <w:rPr>
                <w:sz w:val="17"/>
                <w:szCs w:val="17"/>
                <w:lang w:eastAsia="en-AU"/>
              </w:rPr>
              <w:t>Facilitation and assistance</w:t>
            </w:r>
          </w:p>
        </w:tc>
        <w:tc>
          <w:tcPr>
            <w:tcW w:w="5754" w:type="dxa"/>
          </w:tcPr>
          <w:p w14:paraId="43DE60FB" w14:textId="77777777" w:rsidR="00227B58" w:rsidRPr="00D463C2" w:rsidRDefault="00227B58" w:rsidP="00227B58">
            <w:pPr>
              <w:rPr>
                <w:sz w:val="17"/>
                <w:szCs w:val="17"/>
                <w:lang w:eastAsia="en-AU"/>
              </w:rPr>
            </w:pPr>
            <w:r w:rsidRPr="00D463C2">
              <w:rPr>
                <w:sz w:val="17"/>
                <w:szCs w:val="17"/>
                <w:lang w:eastAsia="en-AU"/>
              </w:rPr>
              <w:t xml:space="preserve">NTRB-SPs </w:t>
            </w:r>
            <w:proofErr w:type="gramStart"/>
            <w:r w:rsidRPr="00D463C2">
              <w:rPr>
                <w:sz w:val="17"/>
                <w:szCs w:val="17"/>
                <w:lang w:eastAsia="en-AU"/>
              </w:rPr>
              <w:t>provide assistance to</w:t>
            </w:r>
            <w:proofErr w:type="gramEnd"/>
            <w:r w:rsidRPr="00D463C2">
              <w:rPr>
                <w:sz w:val="17"/>
                <w:szCs w:val="17"/>
                <w:lang w:eastAsia="en-AU"/>
              </w:rPr>
              <w:t xml:space="preserve"> native title interest holders in relation to native title applications, Future Acts, agreements, rights of access and other matters.</w:t>
            </w:r>
          </w:p>
        </w:tc>
      </w:tr>
      <w:tr w:rsidR="00227B58" w:rsidRPr="00D463C2" w14:paraId="764B536B" w14:textId="77777777" w:rsidTr="00227B58">
        <w:tc>
          <w:tcPr>
            <w:tcW w:w="1078" w:type="dxa"/>
          </w:tcPr>
          <w:p w14:paraId="1240FEF0" w14:textId="77777777" w:rsidR="00227B58" w:rsidRPr="00D463C2" w:rsidRDefault="00227B58" w:rsidP="00227B58">
            <w:pPr>
              <w:rPr>
                <w:sz w:val="17"/>
                <w:szCs w:val="17"/>
                <w:lang w:eastAsia="en-AU"/>
              </w:rPr>
            </w:pPr>
            <w:r w:rsidRPr="00D463C2">
              <w:rPr>
                <w:sz w:val="17"/>
                <w:szCs w:val="17"/>
                <w:lang w:eastAsia="en-AU"/>
              </w:rPr>
              <w:t>s203BF</w:t>
            </w:r>
          </w:p>
        </w:tc>
        <w:tc>
          <w:tcPr>
            <w:tcW w:w="2268" w:type="dxa"/>
          </w:tcPr>
          <w:p w14:paraId="628101BF" w14:textId="77777777" w:rsidR="00227B58" w:rsidRPr="00D463C2" w:rsidRDefault="00227B58" w:rsidP="00227B58">
            <w:pPr>
              <w:rPr>
                <w:sz w:val="17"/>
                <w:szCs w:val="17"/>
                <w:lang w:eastAsia="en-AU"/>
              </w:rPr>
            </w:pPr>
            <w:r w:rsidRPr="00D463C2">
              <w:rPr>
                <w:sz w:val="17"/>
                <w:szCs w:val="17"/>
                <w:lang w:eastAsia="en-AU"/>
              </w:rPr>
              <w:t>Certification</w:t>
            </w:r>
          </w:p>
        </w:tc>
        <w:tc>
          <w:tcPr>
            <w:tcW w:w="5754" w:type="dxa"/>
          </w:tcPr>
          <w:p w14:paraId="0A2CDDF2" w14:textId="77777777" w:rsidR="00227B58" w:rsidRPr="00D463C2" w:rsidRDefault="00227B58" w:rsidP="00227B58">
            <w:pPr>
              <w:rPr>
                <w:sz w:val="17"/>
                <w:szCs w:val="17"/>
                <w:lang w:eastAsia="en-AU"/>
              </w:rPr>
            </w:pPr>
            <w:r w:rsidRPr="00D463C2">
              <w:rPr>
                <w:sz w:val="17"/>
                <w:szCs w:val="17"/>
                <w:lang w:eastAsia="en-AU"/>
              </w:rPr>
              <w:t xml:space="preserve">NTRB-SPs certify applications for native title determinations and certify the registration of ILUAs. </w:t>
            </w:r>
          </w:p>
        </w:tc>
      </w:tr>
      <w:tr w:rsidR="00227B58" w:rsidRPr="00D463C2" w14:paraId="2CC1CC11" w14:textId="77777777" w:rsidTr="00227B58">
        <w:tc>
          <w:tcPr>
            <w:tcW w:w="1078" w:type="dxa"/>
          </w:tcPr>
          <w:p w14:paraId="42CC2D27" w14:textId="77777777" w:rsidR="00227B58" w:rsidRPr="00D463C2" w:rsidRDefault="00227B58" w:rsidP="00227B58">
            <w:pPr>
              <w:rPr>
                <w:sz w:val="17"/>
                <w:szCs w:val="17"/>
                <w:lang w:eastAsia="en-AU"/>
              </w:rPr>
            </w:pPr>
            <w:r w:rsidRPr="00D463C2">
              <w:rPr>
                <w:sz w:val="17"/>
                <w:szCs w:val="17"/>
                <w:lang w:eastAsia="en-AU"/>
              </w:rPr>
              <w:t>s203BF</w:t>
            </w:r>
          </w:p>
        </w:tc>
        <w:tc>
          <w:tcPr>
            <w:tcW w:w="2268" w:type="dxa"/>
          </w:tcPr>
          <w:p w14:paraId="2DECFF9F" w14:textId="77777777" w:rsidR="00227B58" w:rsidRPr="00D463C2" w:rsidRDefault="00227B58" w:rsidP="00227B58">
            <w:pPr>
              <w:rPr>
                <w:sz w:val="17"/>
                <w:szCs w:val="17"/>
                <w:lang w:eastAsia="en-AU"/>
              </w:rPr>
            </w:pPr>
            <w:r w:rsidRPr="00D463C2">
              <w:rPr>
                <w:sz w:val="17"/>
                <w:szCs w:val="17"/>
                <w:lang w:eastAsia="en-AU"/>
              </w:rPr>
              <w:t>Dispute resolution</w:t>
            </w:r>
          </w:p>
        </w:tc>
        <w:tc>
          <w:tcPr>
            <w:tcW w:w="5754" w:type="dxa"/>
          </w:tcPr>
          <w:p w14:paraId="7817310E" w14:textId="77777777" w:rsidR="00227B58" w:rsidRPr="00D463C2" w:rsidRDefault="00227B58" w:rsidP="00227B58">
            <w:pPr>
              <w:rPr>
                <w:sz w:val="17"/>
                <w:szCs w:val="17"/>
                <w:lang w:eastAsia="en-AU"/>
              </w:rPr>
            </w:pPr>
            <w:r w:rsidRPr="00D463C2">
              <w:rPr>
                <w:sz w:val="17"/>
                <w:szCs w:val="17"/>
                <w:lang w:eastAsia="en-AU"/>
              </w:rPr>
              <w:t xml:space="preserve">NTRB-SPs promote agreement and mediate disputes between native title groups. </w:t>
            </w:r>
          </w:p>
        </w:tc>
      </w:tr>
      <w:tr w:rsidR="00227B58" w:rsidRPr="00D463C2" w14:paraId="7FEEF42A" w14:textId="77777777" w:rsidTr="00227B58">
        <w:tc>
          <w:tcPr>
            <w:tcW w:w="1078" w:type="dxa"/>
          </w:tcPr>
          <w:p w14:paraId="21BE63E5" w14:textId="77777777" w:rsidR="00227B58" w:rsidRPr="00D463C2" w:rsidRDefault="00227B58" w:rsidP="00227B58">
            <w:pPr>
              <w:rPr>
                <w:sz w:val="17"/>
                <w:szCs w:val="17"/>
                <w:lang w:eastAsia="en-AU"/>
              </w:rPr>
            </w:pPr>
            <w:r w:rsidRPr="00D463C2">
              <w:rPr>
                <w:sz w:val="17"/>
                <w:szCs w:val="17"/>
                <w:lang w:eastAsia="en-AU"/>
              </w:rPr>
              <w:t>s203BG</w:t>
            </w:r>
          </w:p>
        </w:tc>
        <w:tc>
          <w:tcPr>
            <w:tcW w:w="2268" w:type="dxa"/>
          </w:tcPr>
          <w:p w14:paraId="200B191E" w14:textId="77777777" w:rsidR="00227B58" w:rsidRPr="00D463C2" w:rsidRDefault="00227B58" w:rsidP="00227B58">
            <w:pPr>
              <w:rPr>
                <w:sz w:val="17"/>
                <w:szCs w:val="17"/>
                <w:lang w:eastAsia="en-AU"/>
              </w:rPr>
            </w:pPr>
            <w:r w:rsidRPr="00D463C2">
              <w:rPr>
                <w:sz w:val="17"/>
                <w:szCs w:val="17"/>
                <w:lang w:eastAsia="en-AU"/>
              </w:rPr>
              <w:t>Notification</w:t>
            </w:r>
          </w:p>
        </w:tc>
        <w:tc>
          <w:tcPr>
            <w:tcW w:w="5754" w:type="dxa"/>
          </w:tcPr>
          <w:p w14:paraId="64CF4DF7" w14:textId="77777777" w:rsidR="00227B58" w:rsidRPr="00D463C2" w:rsidRDefault="00227B58" w:rsidP="00227B58">
            <w:pPr>
              <w:rPr>
                <w:sz w:val="17"/>
                <w:szCs w:val="17"/>
                <w:lang w:eastAsia="en-AU"/>
              </w:rPr>
            </w:pPr>
            <w:r w:rsidRPr="00D463C2">
              <w:rPr>
                <w:sz w:val="17"/>
                <w:szCs w:val="17"/>
                <w:lang w:eastAsia="en-AU"/>
              </w:rPr>
              <w:t xml:space="preserve">NTRB-SPs ensure that people with a possible native title interest are informed of other claims and of Future Acts and the time limits for responding to these. </w:t>
            </w:r>
          </w:p>
        </w:tc>
      </w:tr>
      <w:tr w:rsidR="00227B58" w:rsidRPr="00D463C2" w14:paraId="1E58F28A" w14:textId="77777777" w:rsidTr="00227B58">
        <w:tc>
          <w:tcPr>
            <w:tcW w:w="1078" w:type="dxa"/>
          </w:tcPr>
          <w:p w14:paraId="0D19DDA1" w14:textId="77777777" w:rsidR="00227B58" w:rsidRPr="00D463C2" w:rsidRDefault="00227B58" w:rsidP="00227B58">
            <w:pPr>
              <w:rPr>
                <w:sz w:val="17"/>
                <w:szCs w:val="17"/>
                <w:lang w:eastAsia="en-AU"/>
              </w:rPr>
            </w:pPr>
            <w:r w:rsidRPr="00D463C2">
              <w:rPr>
                <w:sz w:val="17"/>
                <w:szCs w:val="17"/>
                <w:lang w:eastAsia="en-AU"/>
              </w:rPr>
              <w:t>s203BH</w:t>
            </w:r>
          </w:p>
        </w:tc>
        <w:tc>
          <w:tcPr>
            <w:tcW w:w="2268" w:type="dxa"/>
          </w:tcPr>
          <w:p w14:paraId="34583265" w14:textId="77777777" w:rsidR="00227B58" w:rsidRPr="00D463C2" w:rsidRDefault="00227B58" w:rsidP="00227B58">
            <w:pPr>
              <w:rPr>
                <w:sz w:val="17"/>
                <w:szCs w:val="17"/>
                <w:lang w:eastAsia="en-AU"/>
              </w:rPr>
            </w:pPr>
            <w:r w:rsidRPr="00D463C2">
              <w:rPr>
                <w:sz w:val="17"/>
                <w:szCs w:val="17"/>
                <w:lang w:eastAsia="en-AU"/>
              </w:rPr>
              <w:t>Agreement making</w:t>
            </w:r>
          </w:p>
        </w:tc>
        <w:tc>
          <w:tcPr>
            <w:tcW w:w="5754" w:type="dxa"/>
          </w:tcPr>
          <w:p w14:paraId="36921C6A" w14:textId="77777777" w:rsidR="00227B58" w:rsidRPr="00D463C2" w:rsidRDefault="00227B58" w:rsidP="00227B58">
            <w:pPr>
              <w:rPr>
                <w:sz w:val="17"/>
                <w:szCs w:val="17"/>
                <w:lang w:eastAsia="en-AU"/>
              </w:rPr>
            </w:pPr>
            <w:r w:rsidRPr="00D463C2">
              <w:rPr>
                <w:sz w:val="17"/>
                <w:szCs w:val="17"/>
                <w:lang w:eastAsia="en-AU"/>
              </w:rPr>
              <w:t>NTRB-SPs can be a party to ILUAs or other agreements.</w:t>
            </w:r>
          </w:p>
        </w:tc>
      </w:tr>
      <w:tr w:rsidR="00227B58" w:rsidRPr="00D463C2" w14:paraId="4178388B" w14:textId="77777777" w:rsidTr="00227B58">
        <w:tc>
          <w:tcPr>
            <w:tcW w:w="1078" w:type="dxa"/>
          </w:tcPr>
          <w:p w14:paraId="555D5E6A" w14:textId="77777777" w:rsidR="00227B58" w:rsidRPr="00D463C2" w:rsidRDefault="00227B58" w:rsidP="00227B58">
            <w:pPr>
              <w:rPr>
                <w:sz w:val="17"/>
                <w:szCs w:val="17"/>
                <w:lang w:eastAsia="en-AU"/>
              </w:rPr>
            </w:pPr>
            <w:r w:rsidRPr="00D463C2">
              <w:rPr>
                <w:sz w:val="17"/>
                <w:szCs w:val="17"/>
                <w:lang w:eastAsia="en-AU"/>
              </w:rPr>
              <w:t>s203BI</w:t>
            </w:r>
          </w:p>
        </w:tc>
        <w:tc>
          <w:tcPr>
            <w:tcW w:w="2268" w:type="dxa"/>
          </w:tcPr>
          <w:p w14:paraId="79FBF0E1" w14:textId="77777777" w:rsidR="00227B58" w:rsidRPr="00D463C2" w:rsidRDefault="00227B58" w:rsidP="00227B58">
            <w:pPr>
              <w:rPr>
                <w:sz w:val="17"/>
                <w:szCs w:val="17"/>
                <w:lang w:eastAsia="en-AU"/>
              </w:rPr>
            </w:pPr>
            <w:r w:rsidRPr="00D463C2">
              <w:rPr>
                <w:sz w:val="17"/>
                <w:szCs w:val="17"/>
                <w:lang w:eastAsia="en-AU"/>
              </w:rPr>
              <w:t>Internal review</w:t>
            </w:r>
          </w:p>
        </w:tc>
        <w:tc>
          <w:tcPr>
            <w:tcW w:w="5754" w:type="dxa"/>
            <w:vAlign w:val="top"/>
          </w:tcPr>
          <w:p w14:paraId="5154E8EA" w14:textId="77777777" w:rsidR="00227B58" w:rsidRPr="00D463C2" w:rsidRDefault="00227B58" w:rsidP="00227B58">
            <w:pPr>
              <w:pStyle w:val="TableNbiophoto"/>
              <w:rPr>
                <w:szCs w:val="17"/>
                <w:lang w:eastAsia="en-AU"/>
              </w:rPr>
            </w:pPr>
            <w:r w:rsidRPr="00236917">
              <w:rPr>
                <w:lang w:eastAsia="en-AU"/>
              </w:rPr>
              <w:t xml:space="preserve">NTRB-SPs have a process by which </w:t>
            </w:r>
            <w:r>
              <w:rPr>
                <w:lang w:eastAsia="en-AU"/>
              </w:rPr>
              <w:t>clients</w:t>
            </w:r>
            <w:r w:rsidRPr="00236917">
              <w:rPr>
                <w:lang w:eastAsia="en-AU"/>
              </w:rPr>
              <w:t xml:space="preserve"> can seek a review of decisions and actions they have made and promote access to this process for clients.</w:t>
            </w:r>
          </w:p>
        </w:tc>
      </w:tr>
      <w:tr w:rsidR="00227B58" w:rsidRPr="00D463C2" w14:paraId="074B10E8" w14:textId="77777777" w:rsidTr="00227B58">
        <w:tc>
          <w:tcPr>
            <w:tcW w:w="1078" w:type="dxa"/>
          </w:tcPr>
          <w:p w14:paraId="3C1DF6AD" w14:textId="77777777" w:rsidR="00227B58" w:rsidRPr="00D463C2" w:rsidRDefault="00227B58" w:rsidP="00227B58">
            <w:pPr>
              <w:rPr>
                <w:sz w:val="17"/>
                <w:szCs w:val="17"/>
                <w:lang w:eastAsia="en-AU"/>
              </w:rPr>
            </w:pPr>
            <w:r w:rsidRPr="00D463C2">
              <w:rPr>
                <w:sz w:val="17"/>
                <w:szCs w:val="17"/>
                <w:lang w:eastAsia="en-AU"/>
              </w:rPr>
              <w:t>s203BJ</w:t>
            </w:r>
          </w:p>
        </w:tc>
        <w:tc>
          <w:tcPr>
            <w:tcW w:w="2268" w:type="dxa"/>
          </w:tcPr>
          <w:p w14:paraId="648D1DF1" w14:textId="77777777" w:rsidR="00227B58" w:rsidRPr="00D463C2" w:rsidRDefault="00227B58" w:rsidP="00227B58">
            <w:pPr>
              <w:rPr>
                <w:sz w:val="17"/>
                <w:szCs w:val="17"/>
                <w:lang w:eastAsia="en-AU"/>
              </w:rPr>
            </w:pPr>
            <w:r w:rsidRPr="00D463C2">
              <w:rPr>
                <w:sz w:val="17"/>
                <w:szCs w:val="17"/>
                <w:lang w:eastAsia="en-AU"/>
              </w:rPr>
              <w:t xml:space="preserve">Other functions conferred by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xml:space="preserve">) </w:t>
            </w:r>
            <w:r w:rsidRPr="00D463C2">
              <w:rPr>
                <w:sz w:val="17"/>
                <w:szCs w:val="17"/>
                <w:lang w:eastAsia="en-AU"/>
              </w:rPr>
              <w:t>or by any other law</w:t>
            </w:r>
          </w:p>
        </w:tc>
        <w:tc>
          <w:tcPr>
            <w:tcW w:w="5754" w:type="dxa"/>
          </w:tcPr>
          <w:p w14:paraId="14C29140" w14:textId="77777777" w:rsidR="00227B58" w:rsidRPr="00D463C2" w:rsidRDefault="00227B58" w:rsidP="00227B58">
            <w:pPr>
              <w:rPr>
                <w:sz w:val="17"/>
                <w:szCs w:val="17"/>
                <w:lang w:eastAsia="en-AU"/>
              </w:rPr>
            </w:pPr>
            <w:r w:rsidRPr="00D463C2">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06822441" w14:textId="17DBBEC4" w:rsidR="00B22CC6" w:rsidRDefault="00B22CC6">
      <w:pPr>
        <w:spacing w:after="165"/>
        <w:rPr>
          <w:lang w:eastAsia="en-AU"/>
        </w:rPr>
      </w:pPr>
      <w:r>
        <w:rPr>
          <w:lang w:eastAsia="en-AU"/>
        </w:rPr>
        <w:br w:type="page"/>
      </w:r>
    </w:p>
    <w:p w14:paraId="6432171A" w14:textId="5D3E4019" w:rsidR="00B22CC6" w:rsidRDefault="00B22CC6">
      <w:pPr>
        <w:spacing w:after="165"/>
        <w:rPr>
          <w:lang w:eastAsia="en-AU"/>
        </w:rPr>
      </w:pPr>
      <w:r>
        <w:rPr>
          <w:noProof/>
          <w:lang w:eastAsia="en-AU"/>
        </w:rPr>
        <w:lastRenderedPageBreak/>
        <w:drawing>
          <wp:anchor distT="0" distB="0" distL="114300" distR="114300" simplePos="0" relativeHeight="251658248" behindDoc="0" locked="0" layoutInCell="1" allowOverlap="1" wp14:anchorId="46B6CC01" wp14:editId="3365EC82">
            <wp:simplePos x="0" y="0"/>
            <wp:positionH relativeFrom="column">
              <wp:posOffset>-985520</wp:posOffset>
            </wp:positionH>
            <wp:positionV relativeFrom="paragraph">
              <wp:posOffset>1270</wp:posOffset>
            </wp:positionV>
            <wp:extent cx="7563332" cy="9787442"/>
            <wp:effectExtent l="0" t="0" r="0" b="4445"/>
            <wp:wrapNone/>
            <wp:docPr id="754605653"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05653" name="Picture 6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B22CC6" w:rsidSect="00192E4F">
      <w:headerReference w:type="default" r:id="rId21"/>
      <w:footerReference w:type="default" r:id="rId22"/>
      <w:headerReference w:type="first" r:id="rId23"/>
      <w:footerReference w:type="first" r:id="rId24"/>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9DFF9" w14:textId="77777777" w:rsidR="00022893" w:rsidRDefault="00022893" w:rsidP="00302076">
      <w:pPr>
        <w:spacing w:after="0"/>
      </w:pPr>
      <w:r>
        <w:separator/>
      </w:r>
    </w:p>
  </w:endnote>
  <w:endnote w:type="continuationSeparator" w:id="0">
    <w:p w14:paraId="5AC4A2F9" w14:textId="77777777" w:rsidR="00022893" w:rsidRDefault="00022893" w:rsidP="00302076">
      <w:pPr>
        <w:spacing w:after="0"/>
      </w:pPr>
      <w:r>
        <w:continuationSeparator/>
      </w:r>
    </w:p>
  </w:endnote>
  <w:endnote w:type="continuationNotice" w:id="1">
    <w:p w14:paraId="3D8D5DA4" w14:textId="77777777" w:rsidR="00022893" w:rsidRDefault="000228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tka Small">
    <w:panose1 w:val="00000000000000000000"/>
    <w:charset w:val="00"/>
    <w:family w:val="auto"/>
    <w:pitch w:val="variable"/>
    <w:sig w:usb0="A00002EF" w:usb1="4000204B" w:usb2="00000000" w:usb3="00000000" w:csb0="0000019F" w:csb1="00000000"/>
  </w:font>
  <w:font w:name="@SimSun">
    <w:panose1 w:val="02010600030101010101"/>
    <w:charset w:val="86"/>
    <w:family w:val="auto"/>
    <w:pitch w:val="variable"/>
    <w:sig w:usb0="00000203" w:usb1="288F0000" w:usb2="00000016" w:usb3="00000000" w:csb0="00040001" w:csb1="00000000"/>
  </w:font>
  <w:font w:name="Bahnschrift SemiLight">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Marlett">
    <w:panose1 w:val="00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E7FC4" w14:textId="47F04C16" w:rsidR="00CA17C8" w:rsidRDefault="00CA17C8">
    <w:pPr>
      <w:pStyle w:val="Footer"/>
    </w:pPr>
    <w:r>
      <w:rPr>
        <w:noProof/>
      </w:rPr>
      <mc:AlternateContent>
        <mc:Choice Requires="wps">
          <w:drawing>
            <wp:anchor distT="0" distB="0" distL="0" distR="0" simplePos="0" relativeHeight="251665411" behindDoc="0" locked="0" layoutInCell="1" allowOverlap="1" wp14:anchorId="68A3C460" wp14:editId="2991D684">
              <wp:simplePos x="635" y="635"/>
              <wp:positionH relativeFrom="page">
                <wp:align>center</wp:align>
              </wp:positionH>
              <wp:positionV relativeFrom="page">
                <wp:align>bottom</wp:align>
              </wp:positionV>
              <wp:extent cx="686435" cy="379730"/>
              <wp:effectExtent l="0" t="0" r="18415" b="0"/>
              <wp:wrapNone/>
              <wp:docPr id="189839568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F8013BA" w14:textId="6F81BB02"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A3C460" id="_x0000_t202" coordsize="21600,21600" o:spt="202" path="m,l,21600r21600,l21600,xe">
              <v:stroke joinstyle="miter"/>
              <v:path gradientshapeok="t" o:connecttype="rect"/>
            </v:shapetype>
            <v:shape id="_x0000_s1034" type="#_x0000_t202" alt="OFFICIAL" style="position:absolute;margin-left:0;margin-top:0;width:54.05pt;height:29.9pt;z-index:2516654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pOEAIAABw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iWfDNNvoDrQUghHvr2Tq5ZaPwofXgQSwbQH&#10;iTY801Fr6EoOJ4uzBvDH3/wxn3CnKGcdCabklhTNmf5miY+orcHAwdgkY3ybX+U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Oiek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7F8013BA" w14:textId="6F81BB02"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3701" w14:textId="4A6815BC" w:rsidR="005120D5" w:rsidRPr="00FD4AB1" w:rsidRDefault="00CA17C8" w:rsidP="00665DC6">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66435" behindDoc="0" locked="0" layoutInCell="1" allowOverlap="1" wp14:anchorId="4FC76F20" wp14:editId="0EE107C9">
              <wp:simplePos x="635" y="635"/>
              <wp:positionH relativeFrom="page">
                <wp:align>center</wp:align>
              </wp:positionH>
              <wp:positionV relativeFrom="page">
                <wp:align>bottom</wp:align>
              </wp:positionV>
              <wp:extent cx="686435" cy="379730"/>
              <wp:effectExtent l="0" t="0" r="18415" b="0"/>
              <wp:wrapNone/>
              <wp:docPr id="142572218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605B8A4" w14:textId="24892A4C"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C76F20" id="_x0000_t202" coordsize="21600,21600" o:spt="202" path="m,l,21600r21600,l21600,xe">
              <v:stroke joinstyle="miter"/>
              <v:path gradientshapeok="t" o:connecttype="rect"/>
            </v:shapetype>
            <v:shape id="Text Box 8" o:spid="_x0000_s1035" type="#_x0000_t202" alt="OFFICIAL" style="position:absolute;margin-left:0;margin-top:0;width:54.05pt;height:29.9pt;z-index:2516664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fill o:detectmouseclick="t"/>
              <v:textbox style="mso-fit-shape-to-text:t" inset="0,0,0,15pt">
                <w:txbxContent>
                  <w:p w14:paraId="0605B8A4" w14:textId="24892A4C"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v:textbox>
              <w10:wrap anchorx="page" anchory="page"/>
            </v:shape>
          </w:pict>
        </mc:Fallback>
      </mc:AlternateContent>
    </w:r>
    <w:r w:rsidR="005120D5" w:rsidRPr="00CA17C8">
      <w:rPr>
        <w:color w:val="595959" w:themeColor="text1" w:themeTint="A6"/>
        <w:szCs w:val="15"/>
        <w:lang w:eastAsia="en-AU"/>
      </w:rPr>
      <w:t xml:space="preserve">Nous Group | </w:t>
    </w:r>
    <w:r w:rsidR="00980A07" w:rsidRPr="00CA17C8">
      <w:rPr>
        <w:color w:val="595959" w:themeColor="text1" w:themeTint="A6"/>
        <w:szCs w:val="15"/>
        <w:lang w:eastAsia="en-AU"/>
      </w:rPr>
      <w:t>Review of First Nations Legal and Research Services, 2019-22</w:t>
    </w:r>
    <w:r w:rsidR="005120D5" w:rsidRPr="00CA17C8">
      <w:rPr>
        <w:color w:val="595959" w:themeColor="text1" w:themeTint="A6"/>
        <w:szCs w:val="15"/>
        <w:lang w:eastAsia="en-AU"/>
      </w:rPr>
      <w:t xml:space="preserve"> | </w:t>
    </w:r>
    <w:r w:rsidR="00A440C3" w:rsidRPr="00CA17C8">
      <w:rPr>
        <w:color w:val="595959" w:themeColor="text1" w:themeTint="A6"/>
        <w:szCs w:val="15"/>
        <w:lang w:eastAsia="en-AU"/>
      </w:rPr>
      <w:t>1 June 2024</w:t>
    </w:r>
    <w:r w:rsidR="005120D5" w:rsidRPr="00CA17C8">
      <w:rPr>
        <w:rFonts w:ascii="Segoe UI Semibold" w:hAnsi="Segoe UI Semibold" w:cs="Segoe UI"/>
        <w:color w:val="747474"/>
      </w:rPr>
      <w:ptab w:relativeTo="margin" w:alignment="right" w:leader="none"/>
    </w:r>
    <w:r w:rsidR="005120D5" w:rsidRPr="00CA17C8">
      <w:rPr>
        <w:rFonts w:cs="Segoe UI"/>
        <w:color w:val="747474"/>
      </w:rPr>
      <w:t xml:space="preserve">| </w:t>
    </w:r>
    <w:r w:rsidR="005120D5" w:rsidRPr="00CA17C8">
      <w:rPr>
        <w:rFonts w:cs="Segoe UI"/>
        <w:b/>
        <w:color w:val="747474"/>
        <w:sz w:val="16"/>
        <w:szCs w:val="16"/>
      </w:rPr>
      <w:fldChar w:fldCharType="begin"/>
    </w:r>
    <w:r w:rsidR="005120D5" w:rsidRPr="00CA17C8">
      <w:rPr>
        <w:rFonts w:cs="Segoe UI"/>
        <w:color w:val="747474"/>
        <w:sz w:val="16"/>
        <w:szCs w:val="16"/>
      </w:rPr>
      <w:instrText xml:space="preserve"> PAGE  \* roman  \* MERGEFORMAT </w:instrText>
    </w:r>
    <w:r w:rsidR="005120D5" w:rsidRPr="00CA17C8">
      <w:rPr>
        <w:rFonts w:cs="Segoe UI"/>
        <w:b/>
        <w:color w:val="747474"/>
        <w:sz w:val="16"/>
        <w:szCs w:val="16"/>
      </w:rPr>
      <w:fldChar w:fldCharType="separate"/>
    </w:r>
    <w:r w:rsidR="005120D5" w:rsidRPr="00CA17C8">
      <w:rPr>
        <w:rFonts w:cs="Segoe UI"/>
        <w:b/>
        <w:noProof/>
        <w:color w:val="747474"/>
        <w:sz w:val="16"/>
        <w:szCs w:val="16"/>
      </w:rPr>
      <w:t>i</w:t>
    </w:r>
    <w:r w:rsidR="005120D5" w:rsidRPr="00CA17C8">
      <w:rPr>
        <w:rFonts w:cs="Segoe UI"/>
        <w:b/>
        <w:color w:val="747474"/>
        <w:sz w:val="16"/>
        <w:szCs w:val="16"/>
      </w:rPr>
      <w:fldChar w:fldCharType="end"/>
    </w:r>
    <w:r w:rsidR="005120D5" w:rsidRPr="00CA17C8">
      <w:rPr>
        <w:rFonts w:cs="Segoe UI"/>
        <w:color w:val="747474"/>
        <w:sz w:val="16"/>
        <w:szCs w:val="16"/>
      </w:rPr>
      <w:t xml:space="preserve"> </w:t>
    </w:r>
    <w:r w:rsidR="005120D5" w:rsidRPr="00CA17C8">
      <w:rPr>
        <w:rFonts w:cs="Segoe UI"/>
        <w:color w:val="74747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28B54" w14:textId="00D4AEFB" w:rsidR="00CA17C8" w:rsidRDefault="00CA17C8">
    <w:pPr>
      <w:pStyle w:val="Footer"/>
    </w:pPr>
    <w:r>
      <w:rPr>
        <w:noProof/>
      </w:rPr>
      <mc:AlternateContent>
        <mc:Choice Requires="wps">
          <w:drawing>
            <wp:anchor distT="0" distB="0" distL="0" distR="0" simplePos="0" relativeHeight="251664387" behindDoc="0" locked="0" layoutInCell="1" allowOverlap="1" wp14:anchorId="7A4993C5" wp14:editId="6A5E98D0">
              <wp:simplePos x="991056" y="10195286"/>
              <wp:positionH relativeFrom="page">
                <wp:align>center</wp:align>
              </wp:positionH>
              <wp:positionV relativeFrom="page">
                <wp:align>bottom</wp:align>
              </wp:positionV>
              <wp:extent cx="686435" cy="379730"/>
              <wp:effectExtent l="0" t="0" r="18415" b="0"/>
              <wp:wrapNone/>
              <wp:docPr id="80492356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704446A" w14:textId="59C1742B"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4993C5" id="_x0000_t202" coordsize="21600,21600" o:spt="202" path="m,l,21600r21600,l21600,xe">
              <v:stroke joinstyle="miter"/>
              <v:path gradientshapeok="t" o:connecttype="rect"/>
            </v:shapetype>
            <v:shape id="Text Box 6" o:spid="_x0000_s1037" type="#_x0000_t202" alt="OFFICIAL" style="position:absolute;margin-left:0;margin-top:0;width:54.05pt;height:29.9pt;z-index:2516643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5704446A" w14:textId="59C1742B"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2262A" w14:textId="3CB7E1A8" w:rsidR="005120D5" w:rsidRPr="00CA17C8" w:rsidRDefault="00CA17C8" w:rsidP="001F32FA">
    <w:pPr>
      <w:pStyle w:val="NousFooter"/>
      <w:rPr>
        <w:color w:val="595959" w:themeColor="text1" w:themeTint="A6"/>
      </w:rPr>
    </w:pPr>
    <w:r>
      <w:rPr>
        <w:noProof/>
      </w:rPr>
      <mc:AlternateContent>
        <mc:Choice Requires="wps">
          <w:drawing>
            <wp:anchor distT="0" distB="0" distL="0" distR="0" simplePos="0" relativeHeight="251668483" behindDoc="0" locked="0" layoutInCell="1" allowOverlap="1" wp14:anchorId="7558AE70" wp14:editId="2A02DE8D">
              <wp:simplePos x="635" y="635"/>
              <wp:positionH relativeFrom="page">
                <wp:align>center</wp:align>
              </wp:positionH>
              <wp:positionV relativeFrom="page">
                <wp:align>bottom</wp:align>
              </wp:positionV>
              <wp:extent cx="686435" cy="379730"/>
              <wp:effectExtent l="0" t="0" r="18415" b="0"/>
              <wp:wrapNone/>
              <wp:docPr id="59601759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F7AACF7" w14:textId="104A553A"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58AE70" id="_x0000_t202" coordsize="21600,21600" o:spt="202" path="m,l,21600r21600,l21600,xe">
              <v:stroke joinstyle="miter"/>
              <v:path gradientshapeok="t" o:connecttype="rect"/>
            </v:shapetype>
            <v:shape id="Text Box 10" o:spid="_x0000_s1039" type="#_x0000_t202" alt="OFFICIAL" style="position:absolute;margin-left:0;margin-top:0;width:54.05pt;height:29.9pt;z-index:2516684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MrgAoU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2F7AACF7" w14:textId="104A553A"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v:textbox>
              <w10:wrap anchorx="page" anchory="page"/>
            </v:shape>
          </w:pict>
        </mc:Fallback>
      </mc:AlternateContent>
    </w:r>
    <w:r w:rsidR="005120D5" w:rsidRPr="00CA17C8">
      <w:rPr>
        <w:color w:val="595959" w:themeColor="text1" w:themeTint="A6"/>
      </w:rPr>
      <w:t xml:space="preserve">Review of First Nations Legal and Research Services | </w:t>
    </w:r>
    <w:r w:rsidR="003117CE" w:rsidRPr="00CA17C8">
      <w:rPr>
        <w:color w:val="595959" w:themeColor="text1" w:themeTint="A6"/>
      </w:rPr>
      <w:t>June 2024</w:t>
    </w:r>
    <w:r w:rsidR="005120D5" w:rsidRPr="00CA17C8">
      <w:rPr>
        <w:color w:val="595959" w:themeColor="text1" w:themeTint="A6"/>
      </w:rPr>
      <w:ptab w:relativeTo="margin" w:alignment="right" w:leader="none"/>
    </w:r>
    <w:r w:rsidR="005120D5" w:rsidRPr="00CA17C8">
      <w:rPr>
        <w:color w:val="595959" w:themeColor="text1" w:themeTint="A6"/>
      </w:rPr>
      <w:t xml:space="preserve">| </w:t>
    </w:r>
    <w:r w:rsidR="005120D5" w:rsidRPr="00CA17C8">
      <w:rPr>
        <w:color w:val="595959" w:themeColor="text1" w:themeTint="A6"/>
      </w:rPr>
      <w:fldChar w:fldCharType="begin"/>
    </w:r>
    <w:r w:rsidR="005120D5" w:rsidRPr="00CA17C8">
      <w:rPr>
        <w:color w:val="595959" w:themeColor="text1" w:themeTint="A6"/>
      </w:rPr>
      <w:instrText xml:space="preserve"> PAGE  \* Arabic  \* MERGEFORMAT </w:instrText>
    </w:r>
    <w:r w:rsidR="005120D5" w:rsidRPr="00CA17C8">
      <w:rPr>
        <w:color w:val="595959" w:themeColor="text1" w:themeTint="A6"/>
      </w:rPr>
      <w:fldChar w:fldCharType="separate"/>
    </w:r>
    <w:r w:rsidR="00CE4C46" w:rsidRPr="00CA17C8">
      <w:rPr>
        <w:noProof/>
        <w:color w:val="595959" w:themeColor="text1" w:themeTint="A6"/>
      </w:rPr>
      <w:t>32</w:t>
    </w:r>
    <w:r w:rsidR="005120D5" w:rsidRPr="00CA17C8">
      <w:rPr>
        <w:color w:val="595959" w:themeColor="text1" w:themeTint="A6"/>
      </w:rPr>
      <w:fldChar w:fldCharType="end"/>
    </w:r>
    <w:r w:rsidR="005120D5" w:rsidRPr="00CA17C8">
      <w:rPr>
        <w:color w:val="595959" w:themeColor="text1" w:themeTint="A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A7AB" w14:textId="5ECAA1C6" w:rsidR="005120D5" w:rsidRPr="00C26015" w:rsidRDefault="00CA17C8">
    <w:pPr>
      <w:pStyle w:val="Footer"/>
      <w:rPr>
        <w:b/>
      </w:rPr>
    </w:pPr>
    <w:r>
      <w:rPr>
        <w:b/>
        <w:noProof/>
        <w:lang w:eastAsia="en-AU"/>
      </w:rPr>
      <mc:AlternateContent>
        <mc:Choice Requires="wps">
          <w:drawing>
            <wp:anchor distT="0" distB="0" distL="0" distR="0" simplePos="0" relativeHeight="251667459" behindDoc="0" locked="0" layoutInCell="1" allowOverlap="1" wp14:anchorId="1EAD07B7" wp14:editId="4CFA0F07">
              <wp:simplePos x="990600" y="10099675"/>
              <wp:positionH relativeFrom="page">
                <wp:align>center</wp:align>
              </wp:positionH>
              <wp:positionV relativeFrom="page">
                <wp:align>bottom</wp:align>
              </wp:positionV>
              <wp:extent cx="686435" cy="379730"/>
              <wp:effectExtent l="0" t="0" r="18415" b="0"/>
              <wp:wrapNone/>
              <wp:docPr id="183199428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7C3DEE7" w14:textId="304B3AD5"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AD07B7" id="_x0000_t202" coordsize="21600,21600" o:spt="202" path="m,l,21600r21600,l21600,xe">
              <v:stroke joinstyle="miter"/>
              <v:path gradientshapeok="t" o:connecttype="rect"/>
            </v:shapetype>
            <v:shape id="Text Box 9" o:spid="_x0000_s1041" type="#_x0000_t202" alt="OFFICIAL" style="position:absolute;margin-left:0;margin-top:0;width:54.05pt;height:29.9pt;z-index:2516674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k+EAIAABwEAAAOAAAAZHJzL2Uyb0RvYy54bWysU01v2zAMvQ/YfxB0X+w0a9oY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Ty55kxSaHIzu5kkWLPLZYc+fFVgWDRKjsRKAkvs&#10;H32ghpQ6pMReFlZN2yZmWvubgxKjJ7tMGK3Qb3rWVCWfDdNvoDrQUghHvr2Tq4ZaPwofXgQSwbQH&#10;iTY806Fb6EoOJ4uzGvDH3/wxn3CnKGcdCabklhTNWfvNEh9RW4OBg7FJxniW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I2eST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77C3DEE7" w14:textId="304B3AD5"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v:textbox>
              <w10:wrap anchorx="page" anchory="page"/>
            </v:shape>
          </w:pict>
        </mc:Fallback>
      </mc:AlternateContent>
    </w:r>
    <w:r w:rsidR="005120D5" w:rsidRPr="00C26015">
      <w:rPr>
        <w:b/>
        <w:noProof/>
        <w:lang w:eastAsia="en-AU"/>
      </w:rPr>
      <w:drawing>
        <wp:anchor distT="0" distB="0" distL="114300" distR="114300" simplePos="0" relativeHeight="251658242" behindDoc="1" locked="0" layoutInCell="1" allowOverlap="1" wp14:anchorId="4DC0CCF9" wp14:editId="182A45E9">
          <wp:simplePos x="0" y="0"/>
          <wp:positionH relativeFrom="rightMargin">
            <wp:posOffset>-410845</wp:posOffset>
          </wp:positionH>
          <wp:positionV relativeFrom="paragraph">
            <wp:posOffset>-53340</wp:posOffset>
          </wp:positionV>
          <wp:extent cx="857431" cy="2340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2586A" w14:textId="77777777" w:rsidR="00022893" w:rsidRDefault="00022893" w:rsidP="00302076">
      <w:pPr>
        <w:spacing w:after="0"/>
      </w:pPr>
      <w:r>
        <w:separator/>
      </w:r>
    </w:p>
  </w:footnote>
  <w:footnote w:type="continuationSeparator" w:id="0">
    <w:p w14:paraId="0AB59A8C" w14:textId="77777777" w:rsidR="00022893" w:rsidRDefault="00022893" w:rsidP="00302076">
      <w:pPr>
        <w:spacing w:after="0"/>
      </w:pPr>
      <w:r>
        <w:continuationSeparator/>
      </w:r>
    </w:p>
  </w:footnote>
  <w:footnote w:type="continuationNotice" w:id="1">
    <w:p w14:paraId="5A407495" w14:textId="77777777" w:rsidR="00022893" w:rsidRDefault="00022893">
      <w:pPr>
        <w:spacing w:after="0" w:line="240" w:lineRule="auto"/>
      </w:pPr>
    </w:p>
  </w:footnote>
  <w:footnote w:id="2">
    <w:p w14:paraId="6BBA5485" w14:textId="77777777" w:rsidR="005120D5" w:rsidRDefault="005120D5" w:rsidP="003117CE">
      <w:pPr>
        <w:pStyle w:val="Footer"/>
      </w:pPr>
      <w:r>
        <w:rPr>
          <w:rStyle w:val="FootnoteReference"/>
        </w:rPr>
        <w:footnoteRef/>
      </w:r>
      <w:r>
        <w:t xml:space="preserve"> U</w:t>
      </w:r>
      <w:r w:rsidRPr="00310A13">
        <w:t>nder the previous name Native Title Services Victoria</w:t>
      </w:r>
      <w:r>
        <w:t xml:space="preserve">, which was changed to FNLRS in </w:t>
      </w:r>
      <w:r w:rsidRPr="00310A13">
        <w:t>2017</w:t>
      </w:r>
      <w:r>
        <w:t xml:space="preserve">. </w:t>
      </w:r>
    </w:p>
  </w:footnote>
  <w:footnote w:id="3">
    <w:p w14:paraId="5FF54F22" w14:textId="480CD457" w:rsidR="005120D5" w:rsidRDefault="005120D5" w:rsidP="003117CE">
      <w:pPr>
        <w:pStyle w:val="Footer"/>
      </w:pPr>
      <w:r>
        <w:rPr>
          <w:rStyle w:val="FootnoteReference"/>
        </w:rPr>
        <w:footnoteRef/>
      </w:r>
      <w:r>
        <w:t xml:space="preserve"> One of these was deregistered under the </w:t>
      </w:r>
      <w:r w:rsidRPr="00D71911">
        <w:t>NTA</w:t>
      </w:r>
      <w:r>
        <w:t xml:space="preserve"> (not under the </w:t>
      </w:r>
      <w:r w:rsidR="008F473A">
        <w:t>s</w:t>
      </w:r>
      <w:r>
        <w:t>tate legislation) during the Review period (detailed under TOR 1).</w:t>
      </w:r>
    </w:p>
  </w:footnote>
  <w:footnote w:id="4">
    <w:p w14:paraId="09099029" w14:textId="490E411F" w:rsidR="005120D5" w:rsidRDefault="005120D5" w:rsidP="007362AC">
      <w:pPr>
        <w:pStyle w:val="Footer"/>
      </w:pPr>
      <w:r>
        <w:rPr>
          <w:rStyle w:val="FootnoteReference"/>
        </w:rPr>
        <w:footnoteRef/>
      </w:r>
      <w:r>
        <w:t xml:space="preserve"> N.B. FNLRS only administered funding for the Boonwurrung People Claim and not for the Wamba Wemba Claim (detailed further below).</w:t>
      </w:r>
    </w:p>
  </w:footnote>
  <w:footnote w:id="5">
    <w:p w14:paraId="592A9AC2" w14:textId="6EA6D434" w:rsidR="005120D5" w:rsidRDefault="005120D5" w:rsidP="00A60BF8">
      <w:pPr>
        <w:pStyle w:val="Footer"/>
      </w:pPr>
      <w:r>
        <w:rPr>
          <w:rStyle w:val="FootnoteReference"/>
        </w:rPr>
        <w:footnoteRef/>
      </w:r>
      <w:r>
        <w:t xml:space="preserve"> National Native Title Tribunal. </w:t>
      </w:r>
      <w:r w:rsidR="007110F2" w:rsidRPr="00111AED">
        <w:t>Victoria Claimant Application and Determination Areas</w:t>
      </w:r>
      <w:r>
        <w:t>. 2023.</w:t>
      </w:r>
      <w:r w:rsidRPr="00013DD4">
        <w:t xml:space="preserve"> </w:t>
      </w:r>
      <w:r>
        <w:t>Accessed Nov 2023.</w:t>
      </w:r>
      <w:r w:rsidR="007110F2">
        <w:t xml:space="preserve"> </w:t>
      </w:r>
      <w:hyperlink r:id="rId1" w:history="1">
        <w:r w:rsidR="004C5B6B" w:rsidRPr="008D04E2">
          <w:rPr>
            <w:rStyle w:val="Hyperlink"/>
          </w:rPr>
          <w:t>http://www.nntt.gov.au/Maps/QLD_Northern_NTDA_Schedule.pdf</w:t>
        </w:r>
      </w:hyperlink>
      <w:r w:rsidR="004C5B6B">
        <w:t xml:space="preserve"> </w:t>
      </w:r>
    </w:p>
  </w:footnote>
  <w:footnote w:id="6">
    <w:p w14:paraId="0819638D" w14:textId="77777777" w:rsidR="005120D5" w:rsidRDefault="005120D5" w:rsidP="007362AC">
      <w:pPr>
        <w:pStyle w:val="Footer"/>
      </w:pPr>
      <w:r>
        <w:rPr>
          <w:rStyle w:val="FootnoteReference"/>
        </w:rPr>
        <w:footnoteRef/>
      </w:r>
      <w:r>
        <w:t xml:space="preserve"> Includes negative determinations in diagram, including the entirety of areas for Yorta </w:t>
      </w:r>
      <w:proofErr w:type="spellStart"/>
      <w:r>
        <w:t>Yorta</w:t>
      </w:r>
      <w:proofErr w:type="spellEnd"/>
      <w:r>
        <w:t xml:space="preserve">, WJWJP No. 1 and No. 2, and for parts of </w:t>
      </w:r>
      <w:proofErr w:type="spellStart"/>
      <w:r>
        <w:t>Gundijtmara</w:t>
      </w:r>
      <w:proofErr w:type="spellEnd"/>
      <w:r>
        <w:t xml:space="preserve"> and </w:t>
      </w:r>
      <w:r w:rsidRPr="008151D5">
        <w:t>Eastern Maar.</w:t>
      </w:r>
      <w:r>
        <w:t xml:space="preserve"> </w:t>
      </w:r>
    </w:p>
  </w:footnote>
  <w:footnote w:id="7">
    <w:p w14:paraId="2D394818" w14:textId="105CB063" w:rsidR="005120D5" w:rsidRDefault="005120D5" w:rsidP="007362AC">
      <w:pPr>
        <w:pStyle w:val="Footer"/>
      </w:pPr>
      <w:r>
        <w:rPr>
          <w:rStyle w:val="FootnoteReference"/>
        </w:rPr>
        <w:footnoteRef/>
      </w:r>
      <w:r>
        <w:t xml:space="preserve"> While the Treaty framework was in early development during the Review period, early consideration of Treaty was factored into relevant parts of FNLRS’s activities during the Review period.</w:t>
      </w:r>
    </w:p>
  </w:footnote>
  <w:footnote w:id="8">
    <w:p w14:paraId="58D51EC7" w14:textId="77777777" w:rsidR="005120D5" w:rsidRDefault="005120D5" w:rsidP="007B56D1">
      <w:pPr>
        <w:pStyle w:val="Footer"/>
      </w:pPr>
      <w:r w:rsidRPr="00A722EC">
        <w:rPr>
          <w:rStyle w:val="FootnoteReference"/>
        </w:rPr>
        <w:footnoteRef/>
      </w:r>
      <w:r>
        <w:t xml:space="preserve"> </w:t>
      </w:r>
      <w:r w:rsidRPr="00A722EC">
        <w:t xml:space="preserve">Data provided directly to the Review by FNLRS; </w:t>
      </w:r>
      <w:r>
        <w:t xml:space="preserve">FNLRS </w:t>
      </w:r>
      <w:r w:rsidRPr="00652185">
        <w:t>2019-2022 Annual Reports</w:t>
      </w:r>
      <w:r w:rsidRPr="00A722EC">
        <w:t xml:space="preserve">; </w:t>
      </w:r>
      <w:r>
        <w:t xml:space="preserve">FNLRS 2019-2022 </w:t>
      </w:r>
      <w:r w:rsidRPr="00A722EC">
        <w:t>Operational Plans.</w:t>
      </w:r>
    </w:p>
  </w:footnote>
  <w:footnote w:id="9">
    <w:p w14:paraId="628E1BF8" w14:textId="1895FCB0" w:rsidR="005120D5" w:rsidRDefault="005120D5" w:rsidP="007362AC">
      <w:pPr>
        <w:pStyle w:val="Footer"/>
      </w:pPr>
      <w:r>
        <w:rPr>
          <w:rStyle w:val="FootnoteReference"/>
        </w:rPr>
        <w:footnoteRef/>
      </w:r>
      <w:r>
        <w:t xml:space="preserve"> </w:t>
      </w:r>
      <w:proofErr w:type="spellStart"/>
      <w:r w:rsidRPr="00F75453">
        <w:t>Wotjobaluk</w:t>
      </w:r>
      <w:proofErr w:type="spellEnd"/>
      <w:r w:rsidRPr="00F75453">
        <w:t xml:space="preserve">, </w:t>
      </w:r>
      <w:proofErr w:type="spellStart"/>
      <w:r w:rsidRPr="00F75453">
        <w:t>Jaadwa</w:t>
      </w:r>
      <w:proofErr w:type="spellEnd"/>
      <w:r w:rsidRPr="00F75453">
        <w:t xml:space="preserve">, </w:t>
      </w:r>
      <w:proofErr w:type="spellStart"/>
      <w:r w:rsidRPr="00F75453">
        <w:t>Jadawadjali</w:t>
      </w:r>
      <w:proofErr w:type="spellEnd"/>
      <w:r w:rsidRPr="00F75453">
        <w:t xml:space="preserve">, </w:t>
      </w:r>
      <w:proofErr w:type="spellStart"/>
      <w:r w:rsidRPr="00F75453">
        <w:t>Wergaia</w:t>
      </w:r>
      <w:proofErr w:type="spellEnd"/>
      <w:r w:rsidRPr="00F75453">
        <w:t xml:space="preserve"> and </w:t>
      </w:r>
      <w:proofErr w:type="spellStart"/>
      <w:r w:rsidRPr="00F75453">
        <w:t>Jupagulk</w:t>
      </w:r>
      <w:proofErr w:type="spellEnd"/>
      <w:r>
        <w:t xml:space="preserve"> Nations.</w:t>
      </w:r>
    </w:p>
  </w:footnote>
  <w:footnote w:id="10">
    <w:p w14:paraId="5E2AADAC" w14:textId="5491EE38" w:rsidR="005120D5" w:rsidRDefault="005120D5" w:rsidP="007362AC">
      <w:pPr>
        <w:pStyle w:val="Footer"/>
      </w:pPr>
      <w:r w:rsidRPr="00B723EC">
        <w:rPr>
          <w:rStyle w:val="FootnoteReference"/>
        </w:rPr>
        <w:footnoteRef/>
      </w:r>
      <w:r w:rsidRPr="00B723EC">
        <w:t xml:space="preserve"> </w:t>
      </w:r>
      <w:r>
        <w:t>FNLRS 2022-2023 Annual Report.</w:t>
      </w:r>
    </w:p>
  </w:footnote>
  <w:footnote w:id="11">
    <w:p w14:paraId="00665288" w14:textId="31642D05" w:rsidR="002F5907" w:rsidRDefault="002F5907">
      <w:pPr>
        <w:pStyle w:val="FootnoteText"/>
      </w:pPr>
      <w:r>
        <w:rPr>
          <w:rStyle w:val="FootnoteReference"/>
        </w:rPr>
        <w:footnoteRef/>
      </w:r>
      <w:r>
        <w:t xml:space="preserve"> </w:t>
      </w:r>
      <w:hyperlink r:id="rId2" w:history="1">
        <w:r w:rsidR="00597CD7" w:rsidRPr="00AB7EA0">
          <w:rPr>
            <w:rStyle w:val="Hyperlink"/>
          </w:rPr>
          <w:t>https://www.fnlrs.com.au/strategic-plan</w:t>
        </w:r>
      </w:hyperlink>
      <w:r w:rsidR="00597CD7">
        <w:t xml:space="preserve"> </w:t>
      </w:r>
    </w:p>
  </w:footnote>
  <w:footnote w:id="12">
    <w:p w14:paraId="1CD38233" w14:textId="3F83B44F" w:rsidR="00E04874" w:rsidRDefault="00E04874">
      <w:pPr>
        <w:pStyle w:val="FootnoteText"/>
      </w:pPr>
      <w:r>
        <w:rPr>
          <w:rStyle w:val="FootnoteReference"/>
        </w:rPr>
        <w:footnoteRef/>
      </w:r>
      <w:r>
        <w:t xml:space="preserve"> </w:t>
      </w:r>
      <w:hyperlink r:id="rId3" w:history="1">
        <w:r w:rsidR="003117CE" w:rsidRPr="001205B8">
          <w:rPr>
            <w:rStyle w:val="Hyperlink"/>
          </w:rPr>
          <w:t>https://www.fnlrs.com.au/formal-recognition-resources</w:t>
        </w:r>
      </w:hyperlink>
      <w:r w:rsidR="003117CE">
        <w:t xml:space="preserve"> </w:t>
      </w:r>
    </w:p>
  </w:footnote>
  <w:footnote w:id="13">
    <w:p w14:paraId="277DAC6F" w14:textId="77777777" w:rsidR="000D3298" w:rsidRDefault="000D3298" w:rsidP="000D3298">
      <w:pPr>
        <w:pStyle w:val="Footer"/>
      </w:pPr>
      <w:r>
        <w:rPr>
          <w:rStyle w:val="FootnoteReference"/>
        </w:rPr>
        <w:footnoteRef/>
      </w:r>
      <w:r>
        <w:t xml:space="preserve"> FY</w:t>
      </w:r>
      <w:r w:rsidRPr="005C050E">
        <w:t>201</w:t>
      </w:r>
      <w:r>
        <w:t>3-14 to FY2016-17.</w:t>
      </w:r>
    </w:p>
  </w:footnote>
  <w:footnote w:id="14">
    <w:p w14:paraId="1B4CE37C" w14:textId="658C9F70" w:rsidR="000D3298" w:rsidRDefault="000D3298" w:rsidP="000D3298">
      <w:pPr>
        <w:pStyle w:val="Footer"/>
      </w:pPr>
      <w:r>
        <w:rPr>
          <w:rStyle w:val="FootnoteReference"/>
        </w:rPr>
        <w:footnoteRef/>
      </w:r>
      <w:r>
        <w:t xml:space="preserve"> </w:t>
      </w:r>
      <w:r w:rsidRPr="00E60AB5">
        <w:t xml:space="preserve">VI2018/002 </w:t>
      </w:r>
      <w:proofErr w:type="spellStart"/>
      <w:r w:rsidRPr="00E60AB5">
        <w:t>Taungurung</w:t>
      </w:r>
      <w:proofErr w:type="spellEnd"/>
      <w:r w:rsidRPr="00E60AB5">
        <w:t xml:space="preserve"> Settlement ILUA: not accepted for registration</w:t>
      </w:r>
      <w:r>
        <w:t xml:space="preserve">, </w:t>
      </w:r>
      <w:hyperlink r:id="rId4" w:history="1">
        <w:r w:rsidR="0055435E" w:rsidRPr="008D04E2">
          <w:rPr>
            <w:rStyle w:val="Hyperlink"/>
          </w:rPr>
          <w:t>http://www.nntt.gov.au/News-and-Publications/latest-news/Pages/Taungurung-Settlement-ILUA.aspx</w:t>
        </w:r>
      </w:hyperlink>
      <w:r w:rsidR="0055435E">
        <w:t xml:space="preserve"> </w:t>
      </w:r>
    </w:p>
  </w:footnote>
  <w:footnote w:id="15">
    <w:p w14:paraId="21AABC8B" w14:textId="7491D61A" w:rsidR="001F6F94" w:rsidRDefault="001F6F94" w:rsidP="001F6F94">
      <w:pPr>
        <w:pStyle w:val="Footer"/>
      </w:pPr>
      <w:r>
        <w:rPr>
          <w:rStyle w:val="FootnoteReference"/>
        </w:rPr>
        <w:footnoteRef/>
      </w:r>
      <w:r w:rsidRPr="000934CA">
        <w:t xml:space="preserve"> Gardiner v </w:t>
      </w:r>
      <w:proofErr w:type="spellStart"/>
      <w:r w:rsidRPr="000934CA">
        <w:t>Taungurung</w:t>
      </w:r>
      <w:proofErr w:type="spellEnd"/>
      <w:r w:rsidRPr="000934CA">
        <w:t xml:space="preserve"> Land and Waters Council [2021] FCA 80 (9 February 2021), </w:t>
      </w:r>
      <w:hyperlink r:id="rId5" w:history="1">
        <w:r w:rsidR="0055435E" w:rsidRPr="008D04E2">
          <w:rPr>
            <w:rStyle w:val="Hyperlink"/>
          </w:rPr>
          <w:t>https://www.austlii.edu.au/cgi-bin/viewdoc/au/cases/cth/FCA/2021/80.html</w:t>
        </w:r>
      </w:hyperlink>
      <w:r w:rsidR="0055435E">
        <w:t xml:space="preserve"> </w:t>
      </w:r>
    </w:p>
  </w:footnote>
  <w:footnote w:id="16">
    <w:p w14:paraId="02C73E48" w14:textId="310C95F3" w:rsidR="005120D5" w:rsidRDefault="005120D5" w:rsidP="007362AC">
      <w:pPr>
        <w:pStyle w:val="Footer"/>
      </w:pPr>
      <w:r>
        <w:rPr>
          <w:rStyle w:val="FootnoteReference"/>
        </w:rPr>
        <w:footnoteRef/>
      </w:r>
      <w:r>
        <w:t xml:space="preserve"> N.B. These numbers are approximate, though this is particularly true for the Wamba Wemba claim, which partly extends across the Victorian border into New South Wales. Therefore, </w:t>
      </w:r>
      <w:r w:rsidRPr="00104D6E">
        <w:t xml:space="preserve">the listed claim area in the Wamba Wemba claim used in this calculation would be larger than the actual claimed area in the </w:t>
      </w:r>
      <w:r w:rsidR="00BF1566">
        <w:t>FNLRS</w:t>
      </w:r>
      <w:r w:rsidR="00BF1566" w:rsidRPr="00104D6E">
        <w:t xml:space="preserve"> </w:t>
      </w:r>
      <w:r w:rsidRPr="00104D6E">
        <w:t>RATSIB area</w:t>
      </w:r>
      <w:r>
        <w:t>.</w:t>
      </w:r>
    </w:p>
  </w:footnote>
  <w:footnote w:id="17">
    <w:p w14:paraId="75DF6087" w14:textId="4427419A" w:rsidR="005120D5" w:rsidRDefault="005120D5">
      <w:pPr>
        <w:pStyle w:val="FootnoteText"/>
      </w:pPr>
      <w:r>
        <w:rPr>
          <w:rStyle w:val="FootnoteReference"/>
        </w:rPr>
        <w:footnoteRef/>
      </w:r>
      <w:r>
        <w:t xml:space="preserve"> The Eastern Maar People’s C</w:t>
      </w:r>
      <w:r w:rsidRPr="00991C2D">
        <w:t>laim was</w:t>
      </w:r>
      <w:r>
        <w:t xml:space="preserve"> largely</w:t>
      </w:r>
      <w:r w:rsidRPr="00991C2D">
        <w:t xml:space="preserve"> dormant from 2011 to 2019 while </w:t>
      </w:r>
      <w:r>
        <w:t xml:space="preserve">Eastern Maar </w:t>
      </w:r>
      <w:r w:rsidRPr="00991C2D">
        <w:t xml:space="preserve">were pursuing a settlement agreement with the </w:t>
      </w:r>
      <w:r>
        <w:t>State of Victoria</w:t>
      </w:r>
      <w:r w:rsidRPr="00991C2D">
        <w:t xml:space="preserve">. It was only after the claim was notified in 2019 </w:t>
      </w:r>
      <w:r w:rsidRPr="00B70938">
        <w:t xml:space="preserve">that </w:t>
      </w:r>
      <w:r w:rsidR="002552EA" w:rsidRPr="00B70938">
        <w:t xml:space="preserve">active </w:t>
      </w:r>
      <w:r w:rsidRPr="00B70938">
        <w:t xml:space="preserve">resolution of the claim through the </w:t>
      </w:r>
      <w:r w:rsidR="002552EA" w:rsidRPr="00B70938">
        <w:t>Federal Court</w:t>
      </w:r>
      <w:r w:rsidRPr="00B70938">
        <w:t xml:space="preserve"> began.</w:t>
      </w:r>
    </w:p>
  </w:footnote>
  <w:footnote w:id="18">
    <w:p w14:paraId="0B1B31FA" w14:textId="0D3B7AC9" w:rsidR="005120D5" w:rsidRDefault="005120D5" w:rsidP="00981031">
      <w:pPr>
        <w:pStyle w:val="Footer"/>
      </w:pPr>
      <w:r>
        <w:rPr>
          <w:rStyle w:val="FootnoteReference"/>
        </w:rPr>
        <w:footnoteRef/>
      </w:r>
      <w:r>
        <w:t xml:space="preserve"> Determinations resulting in native title being found to exist in the entire or part of an area.</w:t>
      </w:r>
    </w:p>
  </w:footnote>
  <w:footnote w:id="19">
    <w:p w14:paraId="4E770BB5" w14:textId="5C16935A" w:rsidR="00A302E7" w:rsidRDefault="00A302E7" w:rsidP="00A302E7">
      <w:pPr>
        <w:pStyle w:val="Footer"/>
      </w:pPr>
      <w:r>
        <w:rPr>
          <w:rStyle w:val="FootnoteReference"/>
        </w:rPr>
        <w:footnoteRef/>
      </w:r>
      <w:r>
        <w:t xml:space="preserve"> These estimates are calculated based on the t</w:t>
      </w:r>
      <w:r w:rsidRPr="00D27727">
        <w:t xml:space="preserve">otal funding received from the NIAA excluding PBC support </w:t>
      </w:r>
      <w:r w:rsidR="00724191">
        <w:t>during the Review period</w:t>
      </w:r>
      <w:r>
        <w:t>, which was $</w:t>
      </w:r>
      <w:r w:rsidRPr="000F581A">
        <w:t>11</w:t>
      </w:r>
      <w:r>
        <w:t>,</w:t>
      </w:r>
      <w:r w:rsidRPr="000F581A">
        <w:t>237</w:t>
      </w:r>
      <w:r>
        <w:t>,</w:t>
      </w:r>
      <w:r w:rsidRPr="000F581A">
        <w:t>070</w:t>
      </w:r>
      <w:r>
        <w:t>.</w:t>
      </w:r>
    </w:p>
  </w:footnote>
  <w:footnote w:id="20">
    <w:p w14:paraId="47E626D6" w14:textId="00CE5FD2" w:rsidR="005120D5" w:rsidRDefault="005120D5" w:rsidP="00981031">
      <w:pPr>
        <w:pStyle w:val="Footer"/>
      </w:pPr>
      <w:r>
        <w:rPr>
          <w:rStyle w:val="FootnoteReference"/>
        </w:rPr>
        <w:footnoteRef/>
      </w:r>
      <w:r>
        <w:t xml:space="preserve"> Active claims exclude the Wamba Wemba claim recognising a lack of dedicated NIAA funding for it during the Review period.</w:t>
      </w:r>
    </w:p>
  </w:footnote>
  <w:footnote w:id="21">
    <w:p w14:paraId="3789A066" w14:textId="4F40DEB1" w:rsidR="005120D5" w:rsidRDefault="005120D5" w:rsidP="00981031">
      <w:pPr>
        <w:pStyle w:val="Footer"/>
      </w:pPr>
      <w:r>
        <w:rPr>
          <w:rStyle w:val="FootnoteReference"/>
        </w:rPr>
        <w:footnoteRef/>
      </w:r>
      <w:r>
        <w:t xml:space="preserve"> The </w:t>
      </w:r>
      <w:proofErr w:type="spellStart"/>
      <w:r>
        <w:t>Taungurung</w:t>
      </w:r>
      <w:proofErr w:type="spellEnd"/>
      <w:r>
        <w:t xml:space="preserve"> ILUA has been included despite its deregistration given FNLRS’s considerable focus on it during the Review period.</w:t>
      </w:r>
    </w:p>
  </w:footnote>
  <w:footnote w:id="22">
    <w:p w14:paraId="592CDBD3" w14:textId="56CED24D" w:rsidR="005120D5" w:rsidRDefault="005120D5" w:rsidP="00D937C1">
      <w:pPr>
        <w:pStyle w:val="Footer"/>
      </w:pPr>
      <w:r>
        <w:rPr>
          <w:rStyle w:val="FootnoteReference"/>
        </w:rPr>
        <w:footnoteRef/>
      </w:r>
      <w:r>
        <w:t xml:space="preserve"> Strategic Review, page 21. </w:t>
      </w:r>
    </w:p>
  </w:footnote>
  <w:footnote w:id="23">
    <w:p w14:paraId="5A7A01C1" w14:textId="625931B7" w:rsidR="005120D5" w:rsidRPr="00F072A5" w:rsidRDefault="005120D5" w:rsidP="00CF2378">
      <w:pPr>
        <w:pStyle w:val="Footer"/>
      </w:pPr>
      <w:r w:rsidRPr="00F072A5">
        <w:rPr>
          <w:rStyle w:val="FootnoteReference"/>
        </w:rPr>
        <w:footnoteRef/>
      </w:r>
      <w:r w:rsidRPr="00F072A5">
        <w:t xml:space="preserve"> FNLRS. Annual Reports 2019-20 to 2021-22. </w:t>
      </w:r>
    </w:p>
  </w:footnote>
  <w:footnote w:id="24">
    <w:p w14:paraId="15A241AD" w14:textId="06AC1893" w:rsidR="005120D5" w:rsidRDefault="005120D5" w:rsidP="00D937C1">
      <w:pPr>
        <w:pStyle w:val="Footer"/>
      </w:pPr>
      <w:r w:rsidRPr="00F072A5">
        <w:rPr>
          <w:rStyle w:val="FootnoteReference"/>
        </w:rPr>
        <w:footnoteRef/>
      </w:r>
      <w:r w:rsidRPr="00F072A5">
        <w:t xml:space="preserve"> NIAA funding </w:t>
      </w:r>
      <w:r>
        <w:t xml:space="preserve">(provided to the Review) </w:t>
      </w:r>
      <w:r w:rsidRPr="00F072A5">
        <w:t>includes base, PBC support, mid-year and demand</w:t>
      </w:r>
      <w:r>
        <w:t>-</w:t>
      </w:r>
      <w:r w:rsidRPr="00F072A5">
        <w:t>driven funding; excludes carried-forward funding.</w:t>
      </w:r>
    </w:p>
  </w:footnote>
  <w:footnote w:id="25">
    <w:p w14:paraId="0CBE474B" w14:textId="2C9334A6" w:rsidR="005120D5" w:rsidRDefault="005120D5" w:rsidP="00CF2378">
      <w:pPr>
        <w:pStyle w:val="Footer"/>
      </w:pPr>
      <w:r>
        <w:rPr>
          <w:rStyle w:val="FootnoteReference"/>
        </w:rPr>
        <w:footnoteRef/>
      </w:r>
      <w:r>
        <w:t xml:space="preserve"> Data provided by FNLRS </w:t>
      </w:r>
      <w:r w:rsidRPr="007000D4">
        <w:t>(unpublished).</w:t>
      </w:r>
    </w:p>
  </w:footnote>
  <w:footnote w:id="26">
    <w:p w14:paraId="6E1AC22E" w14:textId="77777777" w:rsidR="00833B05" w:rsidRDefault="00833B05" w:rsidP="00833B05">
      <w:pPr>
        <w:pStyle w:val="FootnoteText"/>
      </w:pPr>
      <w:r>
        <w:rPr>
          <w:rStyle w:val="FootnoteReference"/>
        </w:rPr>
        <w:footnoteRef/>
      </w:r>
      <w:r>
        <w:t xml:space="preserve"> </w:t>
      </w:r>
      <w:r w:rsidRPr="00F072A5">
        <w:t>FNLRS. Annual Reports 2019-20 to 2021-22.</w:t>
      </w:r>
    </w:p>
  </w:footnote>
  <w:footnote w:id="27">
    <w:p w14:paraId="3AC514F0" w14:textId="24F642B8" w:rsidR="005120D5" w:rsidRDefault="005120D5" w:rsidP="00D937C1">
      <w:pPr>
        <w:pStyle w:val="Footer"/>
      </w:pPr>
      <w:r>
        <w:rPr>
          <w:rStyle w:val="FootnoteReference"/>
        </w:rPr>
        <w:footnoteRef/>
      </w:r>
      <w:r>
        <w:t xml:space="preserve"> </w:t>
      </w:r>
      <w:r w:rsidR="00B33A47" w:rsidRPr="00B33A47">
        <w:t>Australian Institute of Company Directors</w:t>
      </w:r>
      <w:r w:rsidRPr="00D31EEF">
        <w:t>. Governance Analysis Tool. Accessed September 2023.</w:t>
      </w:r>
    </w:p>
  </w:footnote>
  <w:footnote w:id="28">
    <w:p w14:paraId="7D653185" w14:textId="34C7D94E" w:rsidR="005120D5" w:rsidRDefault="005120D5" w:rsidP="00D937C1">
      <w:pPr>
        <w:pStyle w:val="Footer"/>
      </w:pPr>
      <w:r>
        <w:rPr>
          <w:rStyle w:val="FootnoteReference"/>
        </w:rPr>
        <w:footnoteRef/>
      </w:r>
      <w:r>
        <w:t xml:space="preserve"> FNLRS Annual Report 2020-2021.</w:t>
      </w:r>
    </w:p>
  </w:footnote>
  <w:footnote w:id="29">
    <w:p w14:paraId="0861A9A8" w14:textId="6C96EA47" w:rsidR="005120D5" w:rsidRDefault="005120D5" w:rsidP="004F0ABB">
      <w:pPr>
        <w:pStyle w:val="Footer"/>
      </w:pPr>
      <w:r>
        <w:rPr>
          <w:rStyle w:val="FootnoteReference"/>
        </w:rPr>
        <w:footnoteRef/>
      </w:r>
      <w:r>
        <w:t xml:space="preserve"> TOGEs are the bodies established as an outcome of agreements made under the</w:t>
      </w:r>
      <w:r w:rsidRPr="00056481">
        <w:rPr>
          <w:i/>
          <w:iCs/>
        </w:rPr>
        <w:t xml:space="preserve"> </w:t>
      </w:r>
      <w:r w:rsidRPr="0010561D">
        <w:t>Settlement Act</w:t>
      </w:r>
      <w:r>
        <w:t xml:space="preserve">, </w:t>
      </w:r>
      <w:proofErr w:type="gramStart"/>
      <w:r>
        <w:t>similar to</w:t>
      </w:r>
      <w:proofErr w:type="gramEnd"/>
      <w:r>
        <w:t xml:space="preserve"> a PBC in native title.</w:t>
      </w:r>
    </w:p>
  </w:footnote>
  <w:footnote w:id="30">
    <w:p w14:paraId="5AAB3A6E" w14:textId="53F3B43E" w:rsidR="005120D5" w:rsidRDefault="005120D5" w:rsidP="004F0ABB">
      <w:pPr>
        <w:pStyle w:val="Footer"/>
      </w:pPr>
      <w:r>
        <w:rPr>
          <w:rStyle w:val="FootnoteReference"/>
        </w:rPr>
        <w:footnoteRef/>
      </w:r>
      <w:r>
        <w:t xml:space="preserve"> All determinations and PBC incorporations occurred prior to the Review period, noting that the most recent determination at the time of the Review for the Gunditjmara and Eastern Maar Peoples was in 2011.</w:t>
      </w:r>
    </w:p>
  </w:footnote>
  <w:footnote w:id="31">
    <w:p w14:paraId="041273A0" w14:textId="38D31C31" w:rsidR="005120D5" w:rsidRDefault="005120D5" w:rsidP="00D937C1">
      <w:pPr>
        <w:pStyle w:val="Footer"/>
      </w:pPr>
      <w:r>
        <w:rPr>
          <w:rStyle w:val="FootnoteReference"/>
        </w:rPr>
        <w:footnoteRef/>
      </w:r>
      <w:r>
        <w:t xml:space="preserve"> Data provided directly to the Review by FNLRS.</w:t>
      </w:r>
    </w:p>
  </w:footnote>
  <w:footnote w:id="32">
    <w:p w14:paraId="5E91B851" w14:textId="41DC5F51" w:rsidR="005120D5" w:rsidRDefault="005120D5" w:rsidP="00D937C1">
      <w:pPr>
        <w:pStyle w:val="Footer"/>
      </w:pPr>
      <w:r>
        <w:rPr>
          <w:rStyle w:val="FootnoteReference"/>
        </w:rPr>
        <w:footnoteRef/>
      </w:r>
      <w:r>
        <w:t xml:space="preserve"> </w:t>
      </w:r>
      <w:r w:rsidRPr="00390822">
        <w:t>Australian Bureau of Statistics. SEIFA by LGA. 202</w:t>
      </w:r>
      <w:r>
        <w:t>1</w:t>
      </w:r>
      <w:r w:rsidRPr="00390822">
        <w:t>.</w:t>
      </w:r>
    </w:p>
  </w:footnote>
  <w:footnote w:id="33">
    <w:p w14:paraId="39659D85" w14:textId="2A2F67C4" w:rsidR="005120D5" w:rsidRDefault="005120D5">
      <w:pPr>
        <w:pStyle w:val="FootnoteText"/>
      </w:pPr>
      <w:r>
        <w:rPr>
          <w:rStyle w:val="FootnoteReference"/>
        </w:rPr>
        <w:footnoteRef/>
      </w:r>
      <w:r>
        <w:t xml:space="preserve"> </w:t>
      </w:r>
      <w:r w:rsidRPr="000B1083">
        <w:t>IRSD information for TOGE</w:t>
      </w:r>
      <w:r>
        <w:t>s</w:t>
      </w:r>
      <w:r w:rsidRPr="000B1083">
        <w:t xml:space="preserve"> </w:t>
      </w:r>
      <w:r>
        <w:t>are</w:t>
      </w:r>
      <w:r w:rsidRPr="000B1083">
        <w:t xml:space="preserve"> not included due to the absence of relevant data sources</w:t>
      </w:r>
      <w:r>
        <w:t>.</w:t>
      </w:r>
    </w:p>
  </w:footnote>
  <w:footnote w:id="34">
    <w:p w14:paraId="33B3B1D9" w14:textId="22161C0C" w:rsidR="005120D5" w:rsidRDefault="005120D5" w:rsidP="00D937C1">
      <w:pPr>
        <w:pStyle w:val="Footer"/>
      </w:pPr>
      <w:r>
        <w:rPr>
          <w:rStyle w:val="FootnoteReference"/>
        </w:rPr>
        <w:footnoteRef/>
      </w:r>
      <w:r>
        <w:t xml:space="preserve"> Average IRSD scores are approximate and consider the individual IRSD scores for all </w:t>
      </w:r>
      <w:r w:rsidR="009E00A9">
        <w:t>LGA</w:t>
      </w:r>
      <w:r>
        <w:t>s relevant to a PBC.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AADE9" w14:textId="2F797B08" w:rsidR="00CA17C8" w:rsidRDefault="00CA17C8">
    <w:pPr>
      <w:pStyle w:val="Header"/>
    </w:pPr>
    <w:r>
      <w:rPr>
        <w:noProof/>
      </w:rPr>
      <mc:AlternateContent>
        <mc:Choice Requires="wps">
          <w:drawing>
            <wp:anchor distT="0" distB="0" distL="0" distR="0" simplePos="0" relativeHeight="251660291" behindDoc="0" locked="0" layoutInCell="1" allowOverlap="1" wp14:anchorId="6271A843" wp14:editId="1B6DE061">
              <wp:simplePos x="635" y="635"/>
              <wp:positionH relativeFrom="page">
                <wp:align>center</wp:align>
              </wp:positionH>
              <wp:positionV relativeFrom="page">
                <wp:align>top</wp:align>
              </wp:positionV>
              <wp:extent cx="686435" cy="379730"/>
              <wp:effectExtent l="0" t="0" r="18415" b="1270"/>
              <wp:wrapNone/>
              <wp:docPr id="10728204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5FEA99C" w14:textId="45BDB2B1"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71A843" id="_x0000_t202" coordsize="21600,21600" o:spt="202" path="m,l,21600r21600,l21600,xe">
              <v:stroke joinstyle="miter"/>
              <v:path gradientshapeok="t" o:connecttype="rect"/>
            </v:shapetype>
            <v:shape id="Text Box 2" o:spid="_x0000_s1032" type="#_x0000_t202" alt="OFFICIAL" style="position:absolute;margin-left:0;margin-top:0;width:54.05pt;height:29.9pt;z-index:251660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fill o:detectmouseclick="t"/>
              <v:textbox style="mso-fit-shape-to-text:t" inset="0,15pt,0,0">
                <w:txbxContent>
                  <w:p w14:paraId="75FEA99C" w14:textId="45BDB2B1"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156E" w14:textId="4903EE59" w:rsidR="005120D5" w:rsidRDefault="00CA17C8">
    <w:pPr>
      <w:pStyle w:val="Header"/>
    </w:pPr>
    <w:r>
      <w:rPr>
        <w:noProof/>
        <w:sz w:val="20"/>
        <w:szCs w:val="20"/>
        <w:lang w:eastAsia="en-AU"/>
      </w:rPr>
      <mc:AlternateContent>
        <mc:Choice Requires="wps">
          <w:drawing>
            <wp:anchor distT="0" distB="0" distL="0" distR="0" simplePos="0" relativeHeight="251661315" behindDoc="0" locked="0" layoutInCell="1" allowOverlap="1" wp14:anchorId="36DBA20D" wp14:editId="7BD4816F">
              <wp:simplePos x="635" y="635"/>
              <wp:positionH relativeFrom="page">
                <wp:align>center</wp:align>
              </wp:positionH>
              <wp:positionV relativeFrom="page">
                <wp:align>top</wp:align>
              </wp:positionV>
              <wp:extent cx="686435" cy="379730"/>
              <wp:effectExtent l="0" t="0" r="18415" b="1270"/>
              <wp:wrapNone/>
              <wp:docPr id="112997805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3289F4E" w14:textId="58746753"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DBA20D" id="_x0000_t202" coordsize="21600,21600" o:spt="202" path="m,l,21600r21600,l21600,xe">
              <v:stroke joinstyle="miter"/>
              <v:path gradientshapeok="t" o:connecttype="rect"/>
            </v:shapetype>
            <v:shape id="Text Box 3" o:spid="_x0000_s1033" type="#_x0000_t202" alt="OFFICIAL" style="position:absolute;margin-left:0;margin-top:0;width:54.05pt;height:29.9pt;z-index:2516613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fill o:detectmouseclick="t"/>
              <v:textbox style="mso-fit-shape-to-text:t" inset="0,15pt,0,0">
                <w:txbxContent>
                  <w:p w14:paraId="53289F4E" w14:textId="58746753"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v:textbox>
              <w10:wrap anchorx="page" anchory="page"/>
            </v:shape>
          </w:pict>
        </mc:Fallback>
      </mc:AlternateContent>
    </w:r>
    <w:r w:rsidR="005120D5">
      <w:rPr>
        <w:noProof/>
        <w:sz w:val="20"/>
        <w:szCs w:val="20"/>
        <w:lang w:eastAsia="en-AU"/>
      </w:rPr>
      <w:drawing>
        <wp:anchor distT="0" distB="0" distL="114300" distR="114300" simplePos="0" relativeHeight="251658243" behindDoc="0" locked="0" layoutInCell="1" allowOverlap="1" wp14:anchorId="40E94D3D" wp14:editId="4B207DD8">
          <wp:simplePos x="0" y="0"/>
          <wp:positionH relativeFrom="page">
            <wp:posOffset>3337</wp:posOffset>
          </wp:positionH>
          <wp:positionV relativeFrom="page">
            <wp:posOffset>-6985</wp:posOffset>
          </wp:positionV>
          <wp:extent cx="7559749" cy="116958"/>
          <wp:effectExtent l="0" t="0" r="0" b="0"/>
          <wp:wrapNone/>
          <wp:docPr id="242254265" name="Picture 242254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254265" name="Picture 242254265">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142A9" w14:textId="51DDBF65" w:rsidR="005120D5" w:rsidRDefault="00CA17C8" w:rsidP="00665DC6">
    <w:pPr>
      <w:pStyle w:val="Header"/>
      <w:tabs>
        <w:tab w:val="clear" w:pos="4513"/>
        <w:tab w:val="clear" w:pos="9026"/>
        <w:tab w:val="left" w:pos="1758"/>
      </w:tabs>
    </w:pPr>
    <w:r>
      <w:rPr>
        <w:noProof/>
      </w:rPr>
      <mc:AlternateContent>
        <mc:Choice Requires="wps">
          <w:drawing>
            <wp:anchor distT="0" distB="0" distL="0" distR="0" simplePos="0" relativeHeight="251659267" behindDoc="0" locked="0" layoutInCell="1" allowOverlap="1" wp14:anchorId="43046932" wp14:editId="31BC6B69">
              <wp:simplePos x="991056" y="470889"/>
              <wp:positionH relativeFrom="page">
                <wp:align>center</wp:align>
              </wp:positionH>
              <wp:positionV relativeFrom="page">
                <wp:align>top</wp:align>
              </wp:positionV>
              <wp:extent cx="686435" cy="379730"/>
              <wp:effectExtent l="0" t="0" r="18415" b="1270"/>
              <wp:wrapNone/>
              <wp:docPr id="35291002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671C36A" w14:textId="65628B54"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046932" id="_x0000_t202" coordsize="21600,21600" o:spt="202" path="m,l,21600r21600,l21600,xe">
              <v:stroke joinstyle="miter"/>
              <v:path gradientshapeok="t" o:connecttype="rect"/>
            </v:shapetype>
            <v:shape id="Text Box 1" o:spid="_x0000_s1036" type="#_x0000_t202" alt="OFFICIAL" style="position:absolute;margin-left:0;margin-top:0;width:54.05pt;height:29.9pt;z-index:251659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5671C36A" w14:textId="65628B54"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v:textbox>
              <w10:wrap anchorx="page" anchory="page"/>
            </v:shape>
          </w:pict>
        </mc:Fallback>
      </mc:AlternateContent>
    </w:r>
    <w:r w:rsidR="005120D5">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AFEC9" w14:textId="71861E2E" w:rsidR="005120D5" w:rsidRDefault="00CA17C8" w:rsidP="001F32FA">
    <w:pPr>
      <w:pStyle w:val="Header"/>
    </w:pPr>
    <w:r>
      <w:rPr>
        <w:noProof/>
        <w:lang w:eastAsia="en-AU"/>
      </w:rPr>
      <mc:AlternateContent>
        <mc:Choice Requires="wps">
          <w:drawing>
            <wp:anchor distT="0" distB="0" distL="0" distR="0" simplePos="0" relativeHeight="251663363" behindDoc="0" locked="0" layoutInCell="1" allowOverlap="1" wp14:anchorId="4140C359" wp14:editId="41C89B22">
              <wp:simplePos x="635" y="635"/>
              <wp:positionH relativeFrom="page">
                <wp:align>center</wp:align>
              </wp:positionH>
              <wp:positionV relativeFrom="page">
                <wp:align>top</wp:align>
              </wp:positionV>
              <wp:extent cx="686435" cy="379730"/>
              <wp:effectExtent l="0" t="0" r="18415" b="1270"/>
              <wp:wrapNone/>
              <wp:docPr id="62723667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14731A0" w14:textId="2347859E"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40C359" id="_x0000_t202" coordsize="21600,21600" o:spt="202" path="m,l,21600r21600,l21600,xe">
              <v:stroke joinstyle="miter"/>
              <v:path gradientshapeok="t" o:connecttype="rect"/>
            </v:shapetype>
            <v:shape id="Text Box 5" o:spid="_x0000_s1038" type="#_x0000_t202" alt="OFFICIAL" style="position:absolute;margin-left:0;margin-top:0;width:54.05pt;height:29.9pt;z-index:2516633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fill o:detectmouseclick="t"/>
              <v:textbox style="mso-fit-shape-to-text:t" inset="0,15pt,0,0">
                <w:txbxContent>
                  <w:p w14:paraId="014731A0" w14:textId="2347859E"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v:textbox>
              <w10:wrap anchorx="page" anchory="page"/>
            </v:shape>
          </w:pict>
        </mc:Fallback>
      </mc:AlternateContent>
    </w:r>
    <w:r w:rsidR="005120D5" w:rsidRPr="007F3F81">
      <w:rPr>
        <w:noProof/>
        <w:lang w:eastAsia="en-AU"/>
      </w:rPr>
      <w:drawing>
        <wp:anchor distT="0" distB="0" distL="114300" distR="114300" simplePos="0" relativeHeight="251658240" behindDoc="0" locked="0" layoutInCell="1" allowOverlap="1" wp14:anchorId="41161B2A" wp14:editId="2E43208E">
          <wp:simplePos x="0" y="0"/>
          <wp:positionH relativeFrom="page">
            <wp:align>center</wp:align>
          </wp:positionH>
          <wp:positionV relativeFrom="page">
            <wp:align>top</wp:align>
          </wp:positionV>
          <wp:extent cx="10699200" cy="1152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E32B" w14:textId="353864B0" w:rsidR="005120D5" w:rsidRDefault="00CA17C8" w:rsidP="009C08CE">
    <w:pPr>
      <w:pStyle w:val="Header"/>
      <w:tabs>
        <w:tab w:val="clear" w:pos="4513"/>
        <w:tab w:val="clear" w:pos="9026"/>
      </w:tabs>
    </w:pPr>
    <w:r>
      <w:rPr>
        <w:noProof/>
        <w:lang w:eastAsia="en-AU"/>
      </w:rPr>
      <mc:AlternateContent>
        <mc:Choice Requires="wps">
          <w:drawing>
            <wp:anchor distT="0" distB="0" distL="0" distR="0" simplePos="0" relativeHeight="251662339" behindDoc="0" locked="0" layoutInCell="1" allowOverlap="1" wp14:anchorId="4F7B8037" wp14:editId="75BE6858">
              <wp:simplePos x="990600" y="457835"/>
              <wp:positionH relativeFrom="page">
                <wp:align>center</wp:align>
              </wp:positionH>
              <wp:positionV relativeFrom="page">
                <wp:align>top</wp:align>
              </wp:positionV>
              <wp:extent cx="686435" cy="379730"/>
              <wp:effectExtent l="0" t="0" r="18415" b="1270"/>
              <wp:wrapNone/>
              <wp:docPr id="202024732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46AC3C9" w14:textId="4EE5D960"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7B8037" id="_x0000_t202" coordsize="21600,21600" o:spt="202" path="m,l,21600r21600,l21600,xe">
              <v:stroke joinstyle="miter"/>
              <v:path gradientshapeok="t" o:connecttype="rect"/>
            </v:shapetype>
            <v:shape id="Text Box 4" o:spid="_x0000_s1040" type="#_x0000_t202" alt="OFFICIAL" style="position:absolute;margin-left:0;margin-top:0;width:54.05pt;height:29.9pt;z-index:2516623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H7mqr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446AC3C9" w14:textId="4EE5D960" w:rsidR="00CA17C8" w:rsidRPr="00CA17C8" w:rsidRDefault="00CA17C8" w:rsidP="00CA17C8">
                    <w:pPr>
                      <w:spacing w:after="0"/>
                      <w:rPr>
                        <w:rFonts w:ascii="Arial" w:eastAsia="Arial" w:hAnsi="Arial" w:cs="Arial"/>
                        <w:noProof/>
                        <w:color w:val="FF0000"/>
                        <w:sz w:val="24"/>
                        <w:szCs w:val="24"/>
                      </w:rPr>
                    </w:pPr>
                    <w:r w:rsidRPr="00CA17C8">
                      <w:rPr>
                        <w:rFonts w:ascii="Arial" w:eastAsia="Arial" w:hAnsi="Arial" w:cs="Arial"/>
                        <w:noProof/>
                        <w:color w:val="FF0000"/>
                        <w:sz w:val="24"/>
                        <w:szCs w:val="24"/>
                      </w:rPr>
                      <w:t>OFFICIAL</w:t>
                    </w:r>
                  </w:p>
                </w:txbxContent>
              </v:textbox>
              <w10:wrap anchorx="page" anchory="page"/>
            </v:shape>
          </w:pict>
        </mc:Fallback>
      </mc:AlternateContent>
    </w:r>
    <w:r w:rsidR="005120D5" w:rsidRPr="009C08CE">
      <w:rPr>
        <w:noProof/>
        <w:lang w:eastAsia="en-AU"/>
      </w:rPr>
      <w:drawing>
        <wp:anchor distT="0" distB="0" distL="114300" distR="114300" simplePos="0" relativeHeight="251658241" behindDoc="1" locked="0" layoutInCell="1" allowOverlap="1" wp14:anchorId="5AF5476F" wp14:editId="599DDCBE">
          <wp:simplePos x="0" y="0"/>
          <wp:positionH relativeFrom="page">
            <wp:align>center</wp:align>
          </wp:positionH>
          <wp:positionV relativeFrom="page">
            <wp:align>top</wp:align>
          </wp:positionV>
          <wp:extent cx="10908000" cy="11520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4371"/>
    <w:multiLevelType w:val="hybridMultilevel"/>
    <w:tmpl w:val="96E2D1B8"/>
    <w:lvl w:ilvl="0" w:tplc="65DC3B9E">
      <w:start w:val="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ABE54B2"/>
    <w:multiLevelType w:val="hybridMultilevel"/>
    <w:tmpl w:val="E9BC7F00"/>
    <w:lvl w:ilvl="0" w:tplc="8430A8C6">
      <w:start w:val="1"/>
      <w:numFmt w:val="bullet"/>
      <w:lvlText w:val=""/>
      <w:lvlJc w:val="left"/>
      <w:pPr>
        <w:ind w:left="1080" w:hanging="360"/>
      </w:pPr>
      <w:rPr>
        <w:rFonts w:ascii="Symbol" w:hAnsi="Symbol"/>
      </w:rPr>
    </w:lvl>
    <w:lvl w:ilvl="1" w:tplc="5DF6249A">
      <w:start w:val="1"/>
      <w:numFmt w:val="bullet"/>
      <w:lvlText w:val=""/>
      <w:lvlJc w:val="left"/>
      <w:pPr>
        <w:ind w:left="1080" w:hanging="360"/>
      </w:pPr>
      <w:rPr>
        <w:rFonts w:ascii="Symbol" w:hAnsi="Symbol"/>
      </w:rPr>
    </w:lvl>
    <w:lvl w:ilvl="2" w:tplc="6D0E379E">
      <w:start w:val="1"/>
      <w:numFmt w:val="bullet"/>
      <w:lvlText w:val=""/>
      <w:lvlJc w:val="left"/>
      <w:pPr>
        <w:ind w:left="1080" w:hanging="360"/>
      </w:pPr>
      <w:rPr>
        <w:rFonts w:ascii="Symbol" w:hAnsi="Symbol"/>
      </w:rPr>
    </w:lvl>
    <w:lvl w:ilvl="3" w:tplc="39B67D4A">
      <w:start w:val="1"/>
      <w:numFmt w:val="bullet"/>
      <w:lvlText w:val=""/>
      <w:lvlJc w:val="left"/>
      <w:pPr>
        <w:ind w:left="1080" w:hanging="360"/>
      </w:pPr>
      <w:rPr>
        <w:rFonts w:ascii="Symbol" w:hAnsi="Symbol"/>
      </w:rPr>
    </w:lvl>
    <w:lvl w:ilvl="4" w:tplc="E85254FA">
      <w:start w:val="1"/>
      <w:numFmt w:val="bullet"/>
      <w:lvlText w:val=""/>
      <w:lvlJc w:val="left"/>
      <w:pPr>
        <w:ind w:left="1080" w:hanging="360"/>
      </w:pPr>
      <w:rPr>
        <w:rFonts w:ascii="Symbol" w:hAnsi="Symbol"/>
      </w:rPr>
    </w:lvl>
    <w:lvl w:ilvl="5" w:tplc="4BDED71E">
      <w:start w:val="1"/>
      <w:numFmt w:val="bullet"/>
      <w:lvlText w:val=""/>
      <w:lvlJc w:val="left"/>
      <w:pPr>
        <w:ind w:left="1080" w:hanging="360"/>
      </w:pPr>
      <w:rPr>
        <w:rFonts w:ascii="Symbol" w:hAnsi="Symbol"/>
      </w:rPr>
    </w:lvl>
    <w:lvl w:ilvl="6" w:tplc="1C485308">
      <w:start w:val="1"/>
      <w:numFmt w:val="bullet"/>
      <w:lvlText w:val=""/>
      <w:lvlJc w:val="left"/>
      <w:pPr>
        <w:ind w:left="1080" w:hanging="360"/>
      </w:pPr>
      <w:rPr>
        <w:rFonts w:ascii="Symbol" w:hAnsi="Symbol"/>
      </w:rPr>
    </w:lvl>
    <w:lvl w:ilvl="7" w:tplc="D2F22350">
      <w:start w:val="1"/>
      <w:numFmt w:val="bullet"/>
      <w:lvlText w:val=""/>
      <w:lvlJc w:val="left"/>
      <w:pPr>
        <w:ind w:left="1080" w:hanging="360"/>
      </w:pPr>
      <w:rPr>
        <w:rFonts w:ascii="Symbol" w:hAnsi="Symbol"/>
      </w:rPr>
    </w:lvl>
    <w:lvl w:ilvl="8" w:tplc="381E66A0">
      <w:start w:val="1"/>
      <w:numFmt w:val="bullet"/>
      <w:lvlText w:val=""/>
      <w:lvlJc w:val="left"/>
      <w:pPr>
        <w:ind w:left="1080" w:hanging="360"/>
      </w:pPr>
      <w:rPr>
        <w:rFonts w:ascii="Symbol" w:hAnsi="Symbol"/>
      </w:rPr>
    </w:lvl>
  </w:abstractNum>
  <w:abstractNum w:abstractNumId="3" w15:restartNumberingAfterBreak="0">
    <w:nsid w:val="0CB539FD"/>
    <w:multiLevelType w:val="hybridMultilevel"/>
    <w:tmpl w:val="A5CC155A"/>
    <w:lvl w:ilvl="0" w:tplc="6026EA22">
      <w:start w:val="1"/>
      <w:numFmt w:val="bullet"/>
      <w:lvlText w:val=""/>
      <w:lvlJc w:val="left"/>
      <w:pPr>
        <w:ind w:left="1060" w:hanging="360"/>
      </w:pPr>
      <w:rPr>
        <w:rFonts w:ascii="Symbol" w:hAnsi="Symbol"/>
      </w:rPr>
    </w:lvl>
    <w:lvl w:ilvl="1" w:tplc="AA260A8A">
      <w:start w:val="1"/>
      <w:numFmt w:val="bullet"/>
      <w:lvlText w:val=""/>
      <w:lvlJc w:val="left"/>
      <w:pPr>
        <w:ind w:left="1060" w:hanging="360"/>
      </w:pPr>
      <w:rPr>
        <w:rFonts w:ascii="Symbol" w:hAnsi="Symbol"/>
      </w:rPr>
    </w:lvl>
    <w:lvl w:ilvl="2" w:tplc="92A44692">
      <w:start w:val="1"/>
      <w:numFmt w:val="bullet"/>
      <w:lvlText w:val=""/>
      <w:lvlJc w:val="left"/>
      <w:pPr>
        <w:ind w:left="1060" w:hanging="360"/>
      </w:pPr>
      <w:rPr>
        <w:rFonts w:ascii="Symbol" w:hAnsi="Symbol"/>
      </w:rPr>
    </w:lvl>
    <w:lvl w:ilvl="3" w:tplc="C06A4EEC">
      <w:start w:val="1"/>
      <w:numFmt w:val="bullet"/>
      <w:lvlText w:val=""/>
      <w:lvlJc w:val="left"/>
      <w:pPr>
        <w:ind w:left="1060" w:hanging="360"/>
      </w:pPr>
      <w:rPr>
        <w:rFonts w:ascii="Symbol" w:hAnsi="Symbol"/>
      </w:rPr>
    </w:lvl>
    <w:lvl w:ilvl="4" w:tplc="45E250DC">
      <w:start w:val="1"/>
      <w:numFmt w:val="bullet"/>
      <w:lvlText w:val=""/>
      <w:lvlJc w:val="left"/>
      <w:pPr>
        <w:ind w:left="1060" w:hanging="360"/>
      </w:pPr>
      <w:rPr>
        <w:rFonts w:ascii="Symbol" w:hAnsi="Symbol"/>
      </w:rPr>
    </w:lvl>
    <w:lvl w:ilvl="5" w:tplc="90CA22E0">
      <w:start w:val="1"/>
      <w:numFmt w:val="bullet"/>
      <w:lvlText w:val=""/>
      <w:lvlJc w:val="left"/>
      <w:pPr>
        <w:ind w:left="1060" w:hanging="360"/>
      </w:pPr>
      <w:rPr>
        <w:rFonts w:ascii="Symbol" w:hAnsi="Symbol"/>
      </w:rPr>
    </w:lvl>
    <w:lvl w:ilvl="6" w:tplc="3A9AADAA">
      <w:start w:val="1"/>
      <w:numFmt w:val="bullet"/>
      <w:lvlText w:val=""/>
      <w:lvlJc w:val="left"/>
      <w:pPr>
        <w:ind w:left="1060" w:hanging="360"/>
      </w:pPr>
      <w:rPr>
        <w:rFonts w:ascii="Symbol" w:hAnsi="Symbol"/>
      </w:rPr>
    </w:lvl>
    <w:lvl w:ilvl="7" w:tplc="03AC1D56">
      <w:start w:val="1"/>
      <w:numFmt w:val="bullet"/>
      <w:lvlText w:val=""/>
      <w:lvlJc w:val="left"/>
      <w:pPr>
        <w:ind w:left="1060" w:hanging="360"/>
      </w:pPr>
      <w:rPr>
        <w:rFonts w:ascii="Symbol" w:hAnsi="Symbol"/>
      </w:rPr>
    </w:lvl>
    <w:lvl w:ilvl="8" w:tplc="ABB6DD30">
      <w:start w:val="1"/>
      <w:numFmt w:val="bullet"/>
      <w:lvlText w:val=""/>
      <w:lvlJc w:val="left"/>
      <w:pPr>
        <w:ind w:left="1060" w:hanging="360"/>
      </w:pPr>
      <w:rPr>
        <w:rFonts w:ascii="Symbol" w:hAnsi="Symbol"/>
      </w:rPr>
    </w:lvl>
  </w:abstractNum>
  <w:abstractNum w:abstractNumId="4" w15:restartNumberingAfterBreak="0">
    <w:nsid w:val="0FD57FE3"/>
    <w:multiLevelType w:val="hybridMultilevel"/>
    <w:tmpl w:val="79B22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FFF0CE"/>
    <w:multiLevelType w:val="multilevel"/>
    <w:tmpl w:val="FFFFBCB2"/>
    <w:lvl w:ilvl="0">
      <w:start w:val="1"/>
      <w:numFmt w:val="decimal"/>
      <w:pStyle w:val="TableN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8E633B"/>
    <w:multiLevelType w:val="multilevel"/>
    <w:tmpl w:val="2F0C2ADE"/>
    <w:styleLink w:val="TableNListnumberedmultilevel"/>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4FB15BF"/>
    <w:multiLevelType w:val="hybridMultilevel"/>
    <w:tmpl w:val="EB0A8EE0"/>
    <w:lvl w:ilvl="0" w:tplc="7E74CBDA">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905FFB"/>
    <w:multiLevelType w:val="multilevel"/>
    <w:tmpl w:val="7382DD10"/>
    <w:numStyleLink w:val="Listnumberedmultilevel"/>
  </w:abstractNum>
  <w:abstractNum w:abstractNumId="10" w15:restartNumberingAfterBreak="0">
    <w:nsid w:val="1887184D"/>
    <w:multiLevelType w:val="hybridMultilevel"/>
    <w:tmpl w:val="CDC6CF80"/>
    <w:lvl w:ilvl="0" w:tplc="FF8401E0">
      <w:start w:val="1"/>
      <w:numFmt w:val="bullet"/>
      <w:lvlText w:val=""/>
      <w:lvlJc w:val="left"/>
      <w:pPr>
        <w:ind w:left="1080" w:hanging="360"/>
      </w:pPr>
      <w:rPr>
        <w:rFonts w:ascii="Symbol" w:hAnsi="Symbol"/>
      </w:rPr>
    </w:lvl>
    <w:lvl w:ilvl="1" w:tplc="357080B6">
      <w:start w:val="1"/>
      <w:numFmt w:val="bullet"/>
      <w:lvlText w:val=""/>
      <w:lvlJc w:val="left"/>
      <w:pPr>
        <w:ind w:left="1080" w:hanging="360"/>
      </w:pPr>
      <w:rPr>
        <w:rFonts w:ascii="Symbol" w:hAnsi="Symbol"/>
      </w:rPr>
    </w:lvl>
    <w:lvl w:ilvl="2" w:tplc="4A3409EA">
      <w:start w:val="1"/>
      <w:numFmt w:val="bullet"/>
      <w:lvlText w:val=""/>
      <w:lvlJc w:val="left"/>
      <w:pPr>
        <w:ind w:left="1080" w:hanging="360"/>
      </w:pPr>
      <w:rPr>
        <w:rFonts w:ascii="Symbol" w:hAnsi="Symbol"/>
      </w:rPr>
    </w:lvl>
    <w:lvl w:ilvl="3" w:tplc="D2464A4E">
      <w:start w:val="1"/>
      <w:numFmt w:val="bullet"/>
      <w:lvlText w:val=""/>
      <w:lvlJc w:val="left"/>
      <w:pPr>
        <w:ind w:left="1080" w:hanging="360"/>
      </w:pPr>
      <w:rPr>
        <w:rFonts w:ascii="Symbol" w:hAnsi="Symbol"/>
      </w:rPr>
    </w:lvl>
    <w:lvl w:ilvl="4" w:tplc="FFCE3578">
      <w:start w:val="1"/>
      <w:numFmt w:val="bullet"/>
      <w:lvlText w:val=""/>
      <w:lvlJc w:val="left"/>
      <w:pPr>
        <w:ind w:left="1080" w:hanging="360"/>
      </w:pPr>
      <w:rPr>
        <w:rFonts w:ascii="Symbol" w:hAnsi="Symbol"/>
      </w:rPr>
    </w:lvl>
    <w:lvl w:ilvl="5" w:tplc="92288A60">
      <w:start w:val="1"/>
      <w:numFmt w:val="bullet"/>
      <w:lvlText w:val=""/>
      <w:lvlJc w:val="left"/>
      <w:pPr>
        <w:ind w:left="1080" w:hanging="360"/>
      </w:pPr>
      <w:rPr>
        <w:rFonts w:ascii="Symbol" w:hAnsi="Symbol"/>
      </w:rPr>
    </w:lvl>
    <w:lvl w:ilvl="6" w:tplc="FA52DB12">
      <w:start w:val="1"/>
      <w:numFmt w:val="bullet"/>
      <w:lvlText w:val=""/>
      <w:lvlJc w:val="left"/>
      <w:pPr>
        <w:ind w:left="1080" w:hanging="360"/>
      </w:pPr>
      <w:rPr>
        <w:rFonts w:ascii="Symbol" w:hAnsi="Symbol"/>
      </w:rPr>
    </w:lvl>
    <w:lvl w:ilvl="7" w:tplc="E390A5C6">
      <w:start w:val="1"/>
      <w:numFmt w:val="bullet"/>
      <w:lvlText w:val=""/>
      <w:lvlJc w:val="left"/>
      <w:pPr>
        <w:ind w:left="1080" w:hanging="360"/>
      </w:pPr>
      <w:rPr>
        <w:rFonts w:ascii="Symbol" w:hAnsi="Symbol"/>
      </w:rPr>
    </w:lvl>
    <w:lvl w:ilvl="8" w:tplc="42BECCBE">
      <w:start w:val="1"/>
      <w:numFmt w:val="bullet"/>
      <w:lvlText w:val=""/>
      <w:lvlJc w:val="left"/>
      <w:pPr>
        <w:ind w:left="1080" w:hanging="360"/>
      </w:pPr>
      <w:rPr>
        <w:rFonts w:ascii="Symbol" w:hAnsi="Symbol"/>
      </w:rPr>
    </w:lvl>
  </w:abstractNum>
  <w:abstractNum w:abstractNumId="11" w15:restartNumberingAfterBreak="0">
    <w:nsid w:val="1AA13D2D"/>
    <w:multiLevelType w:val="multilevel"/>
    <w:tmpl w:val="9CD6342C"/>
    <w:lvl w:ilvl="0">
      <w:start w:val="1"/>
      <w:numFmt w:val="decimal"/>
      <w:pStyle w:val="TableNListnumbered0"/>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2" w15:restartNumberingAfterBreak="0">
    <w:nsid w:val="1C9F25AB"/>
    <w:multiLevelType w:val="hybridMultilevel"/>
    <w:tmpl w:val="7042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924250"/>
    <w:multiLevelType w:val="hybridMultilevel"/>
    <w:tmpl w:val="E9FE56F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11B6B"/>
    <w:multiLevelType w:val="hybridMultilevel"/>
    <w:tmpl w:val="21588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1E3785"/>
    <w:multiLevelType w:val="hybridMultilevel"/>
    <w:tmpl w:val="D25E1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3EB01F8"/>
    <w:multiLevelType w:val="hybridMultilevel"/>
    <w:tmpl w:val="45ECF1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970495C"/>
    <w:multiLevelType w:val="hybridMultilevel"/>
    <w:tmpl w:val="3ED4A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9" w15:restartNumberingAfterBreak="0">
    <w:nsid w:val="3E311827"/>
    <w:multiLevelType w:val="hybridMultilevel"/>
    <w:tmpl w:val="B4B63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656005"/>
    <w:multiLevelType w:val="hybridMultilevel"/>
    <w:tmpl w:val="B112A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70292F"/>
    <w:multiLevelType w:val="hybridMultilevel"/>
    <w:tmpl w:val="798A2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C250B9"/>
    <w:multiLevelType w:val="hybridMultilevel"/>
    <w:tmpl w:val="3C3C3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CE7A5A"/>
    <w:multiLevelType w:val="hybridMultilevel"/>
    <w:tmpl w:val="3AFC1E9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C11790B"/>
    <w:multiLevelType w:val="hybridMultilevel"/>
    <w:tmpl w:val="E2662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23209C"/>
    <w:multiLevelType w:val="hybridMultilevel"/>
    <w:tmpl w:val="F82E8E9A"/>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594FB4"/>
    <w:multiLevelType w:val="hybridMultilevel"/>
    <w:tmpl w:val="CF465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22736E"/>
    <w:multiLevelType w:val="hybridMultilevel"/>
    <w:tmpl w:val="95568072"/>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3F067F8"/>
    <w:multiLevelType w:val="hybridMultilevel"/>
    <w:tmpl w:val="DB2251DC"/>
    <w:lvl w:ilvl="0" w:tplc="D9D685EE">
      <w:start w:val="1"/>
      <w:numFmt w:val="bullet"/>
      <w:lvlText w:val=""/>
      <w:lvlJc w:val="left"/>
      <w:pPr>
        <w:ind w:left="1080" w:hanging="360"/>
      </w:pPr>
      <w:rPr>
        <w:rFonts w:ascii="Symbol" w:hAnsi="Symbol"/>
      </w:rPr>
    </w:lvl>
    <w:lvl w:ilvl="1" w:tplc="91304C1A">
      <w:start w:val="1"/>
      <w:numFmt w:val="bullet"/>
      <w:lvlText w:val=""/>
      <w:lvlJc w:val="left"/>
      <w:pPr>
        <w:ind w:left="1080" w:hanging="360"/>
      </w:pPr>
      <w:rPr>
        <w:rFonts w:ascii="Symbol" w:hAnsi="Symbol"/>
      </w:rPr>
    </w:lvl>
    <w:lvl w:ilvl="2" w:tplc="EBBAD744">
      <w:start w:val="1"/>
      <w:numFmt w:val="bullet"/>
      <w:lvlText w:val=""/>
      <w:lvlJc w:val="left"/>
      <w:pPr>
        <w:ind w:left="1080" w:hanging="360"/>
      </w:pPr>
      <w:rPr>
        <w:rFonts w:ascii="Symbol" w:hAnsi="Symbol"/>
      </w:rPr>
    </w:lvl>
    <w:lvl w:ilvl="3" w:tplc="05EC87BA">
      <w:start w:val="1"/>
      <w:numFmt w:val="bullet"/>
      <w:lvlText w:val=""/>
      <w:lvlJc w:val="left"/>
      <w:pPr>
        <w:ind w:left="1080" w:hanging="360"/>
      </w:pPr>
      <w:rPr>
        <w:rFonts w:ascii="Symbol" w:hAnsi="Symbol"/>
      </w:rPr>
    </w:lvl>
    <w:lvl w:ilvl="4" w:tplc="9562622A">
      <w:start w:val="1"/>
      <w:numFmt w:val="bullet"/>
      <w:lvlText w:val=""/>
      <w:lvlJc w:val="left"/>
      <w:pPr>
        <w:ind w:left="1080" w:hanging="360"/>
      </w:pPr>
      <w:rPr>
        <w:rFonts w:ascii="Symbol" w:hAnsi="Symbol"/>
      </w:rPr>
    </w:lvl>
    <w:lvl w:ilvl="5" w:tplc="71C06DE6">
      <w:start w:val="1"/>
      <w:numFmt w:val="bullet"/>
      <w:lvlText w:val=""/>
      <w:lvlJc w:val="left"/>
      <w:pPr>
        <w:ind w:left="1080" w:hanging="360"/>
      </w:pPr>
      <w:rPr>
        <w:rFonts w:ascii="Symbol" w:hAnsi="Symbol"/>
      </w:rPr>
    </w:lvl>
    <w:lvl w:ilvl="6" w:tplc="A91E66AC">
      <w:start w:val="1"/>
      <w:numFmt w:val="bullet"/>
      <w:lvlText w:val=""/>
      <w:lvlJc w:val="left"/>
      <w:pPr>
        <w:ind w:left="1080" w:hanging="360"/>
      </w:pPr>
      <w:rPr>
        <w:rFonts w:ascii="Symbol" w:hAnsi="Symbol"/>
      </w:rPr>
    </w:lvl>
    <w:lvl w:ilvl="7" w:tplc="511860EC">
      <w:start w:val="1"/>
      <w:numFmt w:val="bullet"/>
      <w:lvlText w:val=""/>
      <w:lvlJc w:val="left"/>
      <w:pPr>
        <w:ind w:left="1080" w:hanging="360"/>
      </w:pPr>
      <w:rPr>
        <w:rFonts w:ascii="Symbol" w:hAnsi="Symbol"/>
      </w:rPr>
    </w:lvl>
    <w:lvl w:ilvl="8" w:tplc="CDA0F358">
      <w:start w:val="1"/>
      <w:numFmt w:val="bullet"/>
      <w:lvlText w:val=""/>
      <w:lvlJc w:val="left"/>
      <w:pPr>
        <w:ind w:left="1080" w:hanging="360"/>
      </w:pPr>
      <w:rPr>
        <w:rFonts w:ascii="Symbol" w:hAnsi="Symbol"/>
      </w:rPr>
    </w:lvl>
  </w:abstractNum>
  <w:abstractNum w:abstractNumId="32" w15:restartNumberingAfterBreak="0">
    <w:nsid w:val="54C55940"/>
    <w:multiLevelType w:val="multilevel"/>
    <w:tmpl w:val="D3261AAA"/>
    <w:styleLink w:val="TableexpListnumberedmultilevel"/>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8B030FE"/>
    <w:multiLevelType w:val="multilevel"/>
    <w:tmpl w:val="7382DD10"/>
    <w:styleLink w:val="Listnumberedmultilevel"/>
    <w:lvl w:ilvl="0">
      <w:start w:val="1"/>
      <w:numFmt w:val="decimal"/>
      <w:pStyle w:val="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8DE0F14"/>
    <w:multiLevelType w:val="hybridMultilevel"/>
    <w:tmpl w:val="891465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AE26B73"/>
    <w:multiLevelType w:val="hybridMultilevel"/>
    <w:tmpl w:val="D2BE788A"/>
    <w:lvl w:ilvl="0" w:tplc="D1A424B0">
      <w:start w:val="1"/>
      <w:numFmt w:val="bullet"/>
      <w:lvlText w:val=""/>
      <w:lvlJc w:val="left"/>
      <w:pPr>
        <w:ind w:left="1080" w:hanging="360"/>
      </w:pPr>
      <w:rPr>
        <w:rFonts w:ascii="Symbol" w:hAnsi="Symbol"/>
      </w:rPr>
    </w:lvl>
    <w:lvl w:ilvl="1" w:tplc="B80658A2">
      <w:start w:val="1"/>
      <w:numFmt w:val="bullet"/>
      <w:lvlText w:val=""/>
      <w:lvlJc w:val="left"/>
      <w:pPr>
        <w:ind w:left="1080" w:hanging="360"/>
      </w:pPr>
      <w:rPr>
        <w:rFonts w:ascii="Symbol" w:hAnsi="Symbol"/>
      </w:rPr>
    </w:lvl>
    <w:lvl w:ilvl="2" w:tplc="D0E807C4">
      <w:start w:val="1"/>
      <w:numFmt w:val="bullet"/>
      <w:lvlText w:val=""/>
      <w:lvlJc w:val="left"/>
      <w:pPr>
        <w:ind w:left="1080" w:hanging="360"/>
      </w:pPr>
      <w:rPr>
        <w:rFonts w:ascii="Symbol" w:hAnsi="Symbol"/>
      </w:rPr>
    </w:lvl>
    <w:lvl w:ilvl="3" w:tplc="695EA884">
      <w:start w:val="1"/>
      <w:numFmt w:val="bullet"/>
      <w:lvlText w:val=""/>
      <w:lvlJc w:val="left"/>
      <w:pPr>
        <w:ind w:left="1080" w:hanging="360"/>
      </w:pPr>
      <w:rPr>
        <w:rFonts w:ascii="Symbol" w:hAnsi="Symbol"/>
      </w:rPr>
    </w:lvl>
    <w:lvl w:ilvl="4" w:tplc="3E8CE8E8">
      <w:start w:val="1"/>
      <w:numFmt w:val="bullet"/>
      <w:lvlText w:val=""/>
      <w:lvlJc w:val="left"/>
      <w:pPr>
        <w:ind w:left="1080" w:hanging="360"/>
      </w:pPr>
      <w:rPr>
        <w:rFonts w:ascii="Symbol" w:hAnsi="Symbol"/>
      </w:rPr>
    </w:lvl>
    <w:lvl w:ilvl="5" w:tplc="B1024982">
      <w:start w:val="1"/>
      <w:numFmt w:val="bullet"/>
      <w:lvlText w:val=""/>
      <w:lvlJc w:val="left"/>
      <w:pPr>
        <w:ind w:left="1080" w:hanging="360"/>
      </w:pPr>
      <w:rPr>
        <w:rFonts w:ascii="Symbol" w:hAnsi="Symbol"/>
      </w:rPr>
    </w:lvl>
    <w:lvl w:ilvl="6" w:tplc="8F146114">
      <w:start w:val="1"/>
      <w:numFmt w:val="bullet"/>
      <w:lvlText w:val=""/>
      <w:lvlJc w:val="left"/>
      <w:pPr>
        <w:ind w:left="1080" w:hanging="360"/>
      </w:pPr>
      <w:rPr>
        <w:rFonts w:ascii="Symbol" w:hAnsi="Symbol"/>
      </w:rPr>
    </w:lvl>
    <w:lvl w:ilvl="7" w:tplc="CAFEEB0C">
      <w:start w:val="1"/>
      <w:numFmt w:val="bullet"/>
      <w:lvlText w:val=""/>
      <w:lvlJc w:val="left"/>
      <w:pPr>
        <w:ind w:left="1080" w:hanging="360"/>
      </w:pPr>
      <w:rPr>
        <w:rFonts w:ascii="Symbol" w:hAnsi="Symbol"/>
      </w:rPr>
    </w:lvl>
    <w:lvl w:ilvl="8" w:tplc="C4F6CC38">
      <w:start w:val="1"/>
      <w:numFmt w:val="bullet"/>
      <w:lvlText w:val=""/>
      <w:lvlJc w:val="left"/>
      <w:pPr>
        <w:ind w:left="1080" w:hanging="360"/>
      </w:pPr>
      <w:rPr>
        <w:rFonts w:ascii="Symbol" w:hAnsi="Symbol"/>
      </w:rPr>
    </w:lvl>
  </w:abstractNum>
  <w:abstractNum w:abstractNumId="36" w15:restartNumberingAfterBreak="0">
    <w:nsid w:val="5BA91BA6"/>
    <w:multiLevelType w:val="hybridMultilevel"/>
    <w:tmpl w:val="BB925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223E7A"/>
    <w:multiLevelType w:val="hybridMultilevel"/>
    <w:tmpl w:val="979253A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176DED"/>
    <w:multiLevelType w:val="hybridMultilevel"/>
    <w:tmpl w:val="CA76AEA6"/>
    <w:lvl w:ilvl="0" w:tplc="81A87838">
      <w:start w:val="1"/>
      <w:numFmt w:val="bullet"/>
      <w:lvlText w:val=""/>
      <w:lvlJc w:val="left"/>
      <w:pPr>
        <w:ind w:left="1060" w:hanging="360"/>
      </w:pPr>
      <w:rPr>
        <w:rFonts w:ascii="Symbol" w:hAnsi="Symbol"/>
      </w:rPr>
    </w:lvl>
    <w:lvl w:ilvl="1" w:tplc="5FDE1E06">
      <w:start w:val="1"/>
      <w:numFmt w:val="bullet"/>
      <w:lvlText w:val=""/>
      <w:lvlJc w:val="left"/>
      <w:pPr>
        <w:ind w:left="1060" w:hanging="360"/>
      </w:pPr>
      <w:rPr>
        <w:rFonts w:ascii="Symbol" w:hAnsi="Symbol"/>
      </w:rPr>
    </w:lvl>
    <w:lvl w:ilvl="2" w:tplc="1B388D22">
      <w:start w:val="1"/>
      <w:numFmt w:val="bullet"/>
      <w:lvlText w:val=""/>
      <w:lvlJc w:val="left"/>
      <w:pPr>
        <w:ind w:left="1060" w:hanging="360"/>
      </w:pPr>
      <w:rPr>
        <w:rFonts w:ascii="Symbol" w:hAnsi="Symbol"/>
      </w:rPr>
    </w:lvl>
    <w:lvl w:ilvl="3" w:tplc="B240EE84">
      <w:start w:val="1"/>
      <w:numFmt w:val="bullet"/>
      <w:lvlText w:val=""/>
      <w:lvlJc w:val="left"/>
      <w:pPr>
        <w:ind w:left="1060" w:hanging="360"/>
      </w:pPr>
      <w:rPr>
        <w:rFonts w:ascii="Symbol" w:hAnsi="Symbol"/>
      </w:rPr>
    </w:lvl>
    <w:lvl w:ilvl="4" w:tplc="FE803BBC">
      <w:start w:val="1"/>
      <w:numFmt w:val="bullet"/>
      <w:lvlText w:val=""/>
      <w:lvlJc w:val="left"/>
      <w:pPr>
        <w:ind w:left="1060" w:hanging="360"/>
      </w:pPr>
      <w:rPr>
        <w:rFonts w:ascii="Symbol" w:hAnsi="Symbol"/>
      </w:rPr>
    </w:lvl>
    <w:lvl w:ilvl="5" w:tplc="003E935E">
      <w:start w:val="1"/>
      <w:numFmt w:val="bullet"/>
      <w:lvlText w:val=""/>
      <w:lvlJc w:val="left"/>
      <w:pPr>
        <w:ind w:left="1060" w:hanging="360"/>
      </w:pPr>
      <w:rPr>
        <w:rFonts w:ascii="Symbol" w:hAnsi="Symbol"/>
      </w:rPr>
    </w:lvl>
    <w:lvl w:ilvl="6" w:tplc="096CDB2A">
      <w:start w:val="1"/>
      <w:numFmt w:val="bullet"/>
      <w:lvlText w:val=""/>
      <w:lvlJc w:val="left"/>
      <w:pPr>
        <w:ind w:left="1060" w:hanging="360"/>
      </w:pPr>
      <w:rPr>
        <w:rFonts w:ascii="Symbol" w:hAnsi="Symbol"/>
      </w:rPr>
    </w:lvl>
    <w:lvl w:ilvl="7" w:tplc="8A820E58">
      <w:start w:val="1"/>
      <w:numFmt w:val="bullet"/>
      <w:lvlText w:val=""/>
      <w:lvlJc w:val="left"/>
      <w:pPr>
        <w:ind w:left="1060" w:hanging="360"/>
      </w:pPr>
      <w:rPr>
        <w:rFonts w:ascii="Symbol" w:hAnsi="Symbol"/>
      </w:rPr>
    </w:lvl>
    <w:lvl w:ilvl="8" w:tplc="BD2E0EF6">
      <w:start w:val="1"/>
      <w:numFmt w:val="bullet"/>
      <w:lvlText w:val=""/>
      <w:lvlJc w:val="left"/>
      <w:pPr>
        <w:ind w:left="1060" w:hanging="360"/>
      </w:pPr>
      <w:rPr>
        <w:rFonts w:ascii="Symbol" w:hAnsi="Symbol"/>
      </w:rPr>
    </w:lvl>
  </w:abstractNum>
  <w:abstractNum w:abstractNumId="39"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5BD1ED6"/>
    <w:multiLevelType w:val="hybridMultilevel"/>
    <w:tmpl w:val="600625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6810EB4"/>
    <w:multiLevelType w:val="hybridMultilevel"/>
    <w:tmpl w:val="8EB06B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8CA2F71"/>
    <w:multiLevelType w:val="hybridMultilevel"/>
    <w:tmpl w:val="6D14F23A"/>
    <w:lvl w:ilvl="0" w:tplc="2772C194">
      <w:start w:val="1"/>
      <w:numFmt w:val="bullet"/>
      <w:lvlText w:val=""/>
      <w:lvlJc w:val="left"/>
      <w:pPr>
        <w:ind w:left="1080" w:hanging="360"/>
      </w:pPr>
      <w:rPr>
        <w:rFonts w:ascii="Symbol" w:hAnsi="Symbol"/>
      </w:rPr>
    </w:lvl>
    <w:lvl w:ilvl="1" w:tplc="F490FFF2">
      <w:start w:val="1"/>
      <w:numFmt w:val="bullet"/>
      <w:lvlText w:val=""/>
      <w:lvlJc w:val="left"/>
      <w:pPr>
        <w:ind w:left="1080" w:hanging="360"/>
      </w:pPr>
      <w:rPr>
        <w:rFonts w:ascii="Symbol" w:hAnsi="Symbol"/>
      </w:rPr>
    </w:lvl>
    <w:lvl w:ilvl="2" w:tplc="B28E93BA">
      <w:start w:val="1"/>
      <w:numFmt w:val="bullet"/>
      <w:lvlText w:val=""/>
      <w:lvlJc w:val="left"/>
      <w:pPr>
        <w:ind w:left="1080" w:hanging="360"/>
      </w:pPr>
      <w:rPr>
        <w:rFonts w:ascii="Symbol" w:hAnsi="Symbol"/>
      </w:rPr>
    </w:lvl>
    <w:lvl w:ilvl="3" w:tplc="E88E30D6">
      <w:start w:val="1"/>
      <w:numFmt w:val="bullet"/>
      <w:lvlText w:val=""/>
      <w:lvlJc w:val="left"/>
      <w:pPr>
        <w:ind w:left="1080" w:hanging="360"/>
      </w:pPr>
      <w:rPr>
        <w:rFonts w:ascii="Symbol" w:hAnsi="Symbol"/>
      </w:rPr>
    </w:lvl>
    <w:lvl w:ilvl="4" w:tplc="E2A8E68E">
      <w:start w:val="1"/>
      <w:numFmt w:val="bullet"/>
      <w:lvlText w:val=""/>
      <w:lvlJc w:val="left"/>
      <w:pPr>
        <w:ind w:left="1080" w:hanging="360"/>
      </w:pPr>
      <w:rPr>
        <w:rFonts w:ascii="Symbol" w:hAnsi="Symbol"/>
      </w:rPr>
    </w:lvl>
    <w:lvl w:ilvl="5" w:tplc="5B3C98A2">
      <w:start w:val="1"/>
      <w:numFmt w:val="bullet"/>
      <w:lvlText w:val=""/>
      <w:lvlJc w:val="left"/>
      <w:pPr>
        <w:ind w:left="1080" w:hanging="360"/>
      </w:pPr>
      <w:rPr>
        <w:rFonts w:ascii="Symbol" w:hAnsi="Symbol"/>
      </w:rPr>
    </w:lvl>
    <w:lvl w:ilvl="6" w:tplc="E2FEAD70">
      <w:start w:val="1"/>
      <w:numFmt w:val="bullet"/>
      <w:lvlText w:val=""/>
      <w:lvlJc w:val="left"/>
      <w:pPr>
        <w:ind w:left="1080" w:hanging="360"/>
      </w:pPr>
      <w:rPr>
        <w:rFonts w:ascii="Symbol" w:hAnsi="Symbol"/>
      </w:rPr>
    </w:lvl>
    <w:lvl w:ilvl="7" w:tplc="0E8EB364">
      <w:start w:val="1"/>
      <w:numFmt w:val="bullet"/>
      <w:lvlText w:val=""/>
      <w:lvlJc w:val="left"/>
      <w:pPr>
        <w:ind w:left="1080" w:hanging="360"/>
      </w:pPr>
      <w:rPr>
        <w:rFonts w:ascii="Symbol" w:hAnsi="Symbol"/>
      </w:rPr>
    </w:lvl>
    <w:lvl w:ilvl="8" w:tplc="A68CEDBE">
      <w:start w:val="1"/>
      <w:numFmt w:val="bullet"/>
      <w:lvlText w:val=""/>
      <w:lvlJc w:val="left"/>
      <w:pPr>
        <w:ind w:left="1080" w:hanging="360"/>
      </w:pPr>
      <w:rPr>
        <w:rFonts w:ascii="Symbol" w:hAnsi="Symbol"/>
      </w:rPr>
    </w:lvl>
  </w:abstractNum>
  <w:abstractNum w:abstractNumId="43"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CB45C1B"/>
    <w:multiLevelType w:val="hybridMultilevel"/>
    <w:tmpl w:val="61009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192344">
    <w:abstractNumId w:val="1"/>
  </w:num>
  <w:num w:numId="2" w16cid:durableId="1491216593">
    <w:abstractNumId w:val="1"/>
  </w:num>
  <w:num w:numId="3" w16cid:durableId="1240679323">
    <w:abstractNumId w:val="18"/>
  </w:num>
  <w:num w:numId="4" w16cid:durableId="1089890700">
    <w:abstractNumId w:val="43"/>
  </w:num>
  <w:num w:numId="5" w16cid:durableId="726996962">
    <w:abstractNumId w:val="22"/>
  </w:num>
  <w:num w:numId="6" w16cid:durableId="763845644">
    <w:abstractNumId w:val="24"/>
  </w:num>
  <w:num w:numId="7" w16cid:durableId="1240824348">
    <w:abstractNumId w:val="26"/>
  </w:num>
  <w:num w:numId="8" w16cid:durableId="1041326644">
    <w:abstractNumId w:val="32"/>
  </w:num>
  <w:num w:numId="9" w16cid:durableId="414087157">
    <w:abstractNumId w:val="6"/>
  </w:num>
  <w:num w:numId="10" w16cid:durableId="2107311419">
    <w:abstractNumId w:val="9"/>
  </w:num>
  <w:num w:numId="11" w16cid:durableId="798452565">
    <w:abstractNumId w:val="11"/>
  </w:num>
  <w:num w:numId="12" w16cid:durableId="936794846">
    <w:abstractNumId w:val="5"/>
  </w:num>
  <w:num w:numId="13" w16cid:durableId="1421489133">
    <w:abstractNumId w:val="15"/>
  </w:num>
  <w:num w:numId="14" w16cid:durableId="742413610">
    <w:abstractNumId w:val="34"/>
  </w:num>
  <w:num w:numId="15" w16cid:durableId="1143936228">
    <w:abstractNumId w:val="28"/>
  </w:num>
  <w:num w:numId="16" w16cid:durableId="1546673206">
    <w:abstractNumId w:val="41"/>
  </w:num>
  <w:num w:numId="17" w16cid:durableId="5795589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353608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12665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245544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669243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91532144">
    <w:abstractNumId w:val="39"/>
  </w:num>
  <w:num w:numId="23" w16cid:durableId="499320074">
    <w:abstractNumId w:val="33"/>
  </w:num>
  <w:num w:numId="24" w16cid:durableId="655643301">
    <w:abstractNumId w:val="27"/>
  </w:num>
  <w:num w:numId="25" w16cid:durableId="160853984">
    <w:abstractNumId w:val="12"/>
  </w:num>
  <w:num w:numId="26" w16cid:durableId="1180663678">
    <w:abstractNumId w:val="17"/>
  </w:num>
  <w:num w:numId="27" w16cid:durableId="615599503">
    <w:abstractNumId w:val="7"/>
  </w:num>
  <w:num w:numId="28" w16cid:durableId="1779568414">
    <w:abstractNumId w:val="44"/>
  </w:num>
  <w:num w:numId="29" w16cid:durableId="566304512">
    <w:abstractNumId w:val="14"/>
  </w:num>
  <w:num w:numId="30" w16cid:durableId="1292904226">
    <w:abstractNumId w:val="20"/>
  </w:num>
  <w:num w:numId="31" w16cid:durableId="2024547305">
    <w:abstractNumId w:val="29"/>
  </w:num>
  <w:num w:numId="32" w16cid:durableId="1615794547">
    <w:abstractNumId w:val="19"/>
  </w:num>
  <w:num w:numId="33" w16cid:durableId="537476194">
    <w:abstractNumId w:val="23"/>
  </w:num>
  <w:num w:numId="34" w16cid:durableId="663702812">
    <w:abstractNumId w:val="4"/>
  </w:num>
  <w:num w:numId="35" w16cid:durableId="1672827019">
    <w:abstractNumId w:val="36"/>
  </w:num>
  <w:num w:numId="36" w16cid:durableId="511646771">
    <w:abstractNumId w:val="37"/>
  </w:num>
  <w:num w:numId="37" w16cid:durableId="1200896422">
    <w:abstractNumId w:val="25"/>
  </w:num>
  <w:num w:numId="38" w16cid:durableId="141507926">
    <w:abstractNumId w:val="13"/>
  </w:num>
  <w:num w:numId="39" w16cid:durableId="1747874099">
    <w:abstractNumId w:val="2"/>
  </w:num>
  <w:num w:numId="40" w16cid:durableId="1396588802">
    <w:abstractNumId w:val="0"/>
  </w:num>
  <w:num w:numId="41" w16cid:durableId="403113353">
    <w:abstractNumId w:val="21"/>
  </w:num>
  <w:num w:numId="42" w16cid:durableId="1885826008">
    <w:abstractNumId w:val="40"/>
  </w:num>
  <w:num w:numId="43" w16cid:durableId="855461325">
    <w:abstractNumId w:val="31"/>
  </w:num>
  <w:num w:numId="44" w16cid:durableId="90392099">
    <w:abstractNumId w:val="42"/>
  </w:num>
  <w:num w:numId="45" w16cid:durableId="840512015">
    <w:abstractNumId w:val="10"/>
  </w:num>
  <w:num w:numId="46" w16cid:durableId="1487436027">
    <w:abstractNumId w:val="35"/>
  </w:num>
  <w:num w:numId="47" w16cid:durableId="368188437">
    <w:abstractNumId w:val="38"/>
  </w:num>
  <w:num w:numId="48" w16cid:durableId="175004180">
    <w:abstractNumId w:val="3"/>
  </w:num>
  <w:num w:numId="49" w16cid:durableId="1143157129">
    <w:abstractNumId w:val="16"/>
  </w:num>
  <w:num w:numId="50" w16cid:durableId="1110932610">
    <w:abstractNumId w:val="30"/>
  </w:num>
  <w:num w:numId="51" w16cid:durableId="1784229312">
    <w:abstractNumId w:val="9"/>
  </w:num>
  <w:num w:numId="52" w16cid:durableId="2627638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506324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05201493">
    <w:abstractNumId w:val="9"/>
  </w:num>
  <w:num w:numId="55" w16cid:durableId="1585338531">
    <w:abstractNumId w:val="9"/>
  </w:num>
  <w:num w:numId="56" w16cid:durableId="14072688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82620396">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75B"/>
    <w:rsid w:val="00000015"/>
    <w:rsid w:val="000004F2"/>
    <w:rsid w:val="00000739"/>
    <w:rsid w:val="0000084F"/>
    <w:rsid w:val="00000A9B"/>
    <w:rsid w:val="00000C0C"/>
    <w:rsid w:val="00000C3F"/>
    <w:rsid w:val="00001257"/>
    <w:rsid w:val="00001345"/>
    <w:rsid w:val="000013B0"/>
    <w:rsid w:val="00001488"/>
    <w:rsid w:val="0000174D"/>
    <w:rsid w:val="00001953"/>
    <w:rsid w:val="000019F2"/>
    <w:rsid w:val="00001A68"/>
    <w:rsid w:val="00001CF2"/>
    <w:rsid w:val="00001FDC"/>
    <w:rsid w:val="000022D4"/>
    <w:rsid w:val="0000259E"/>
    <w:rsid w:val="00002C0C"/>
    <w:rsid w:val="00003184"/>
    <w:rsid w:val="000034D6"/>
    <w:rsid w:val="0000360B"/>
    <w:rsid w:val="000040F3"/>
    <w:rsid w:val="0000414D"/>
    <w:rsid w:val="000042C1"/>
    <w:rsid w:val="00004567"/>
    <w:rsid w:val="000048A3"/>
    <w:rsid w:val="00004DC9"/>
    <w:rsid w:val="00005042"/>
    <w:rsid w:val="00005046"/>
    <w:rsid w:val="000051FD"/>
    <w:rsid w:val="0000561F"/>
    <w:rsid w:val="00005853"/>
    <w:rsid w:val="00005ACA"/>
    <w:rsid w:val="00005AE6"/>
    <w:rsid w:val="00005D47"/>
    <w:rsid w:val="00005E4E"/>
    <w:rsid w:val="00006002"/>
    <w:rsid w:val="0000657F"/>
    <w:rsid w:val="000065A3"/>
    <w:rsid w:val="000067FA"/>
    <w:rsid w:val="00006D0B"/>
    <w:rsid w:val="00006F8A"/>
    <w:rsid w:val="00007118"/>
    <w:rsid w:val="000072D0"/>
    <w:rsid w:val="000075CC"/>
    <w:rsid w:val="0000761A"/>
    <w:rsid w:val="000077DB"/>
    <w:rsid w:val="00007A1F"/>
    <w:rsid w:val="00007C27"/>
    <w:rsid w:val="00007ED4"/>
    <w:rsid w:val="0001016A"/>
    <w:rsid w:val="00010435"/>
    <w:rsid w:val="000107EA"/>
    <w:rsid w:val="0001086A"/>
    <w:rsid w:val="00010905"/>
    <w:rsid w:val="00010A69"/>
    <w:rsid w:val="00010D3B"/>
    <w:rsid w:val="00010FA7"/>
    <w:rsid w:val="00010FE7"/>
    <w:rsid w:val="000112E4"/>
    <w:rsid w:val="0001135B"/>
    <w:rsid w:val="0001148F"/>
    <w:rsid w:val="00011490"/>
    <w:rsid w:val="000115FC"/>
    <w:rsid w:val="00011748"/>
    <w:rsid w:val="00011772"/>
    <w:rsid w:val="00011A31"/>
    <w:rsid w:val="00011B82"/>
    <w:rsid w:val="00011DDC"/>
    <w:rsid w:val="00011E3C"/>
    <w:rsid w:val="00011E5E"/>
    <w:rsid w:val="0001235D"/>
    <w:rsid w:val="000127A9"/>
    <w:rsid w:val="00012B9B"/>
    <w:rsid w:val="0001304B"/>
    <w:rsid w:val="000131D7"/>
    <w:rsid w:val="00013332"/>
    <w:rsid w:val="00013480"/>
    <w:rsid w:val="00013E7B"/>
    <w:rsid w:val="00013F28"/>
    <w:rsid w:val="00014100"/>
    <w:rsid w:val="000145DC"/>
    <w:rsid w:val="000148AC"/>
    <w:rsid w:val="0001496A"/>
    <w:rsid w:val="00014973"/>
    <w:rsid w:val="00014A1C"/>
    <w:rsid w:val="00014B1F"/>
    <w:rsid w:val="00014ECA"/>
    <w:rsid w:val="00014FA7"/>
    <w:rsid w:val="00015879"/>
    <w:rsid w:val="00015BAC"/>
    <w:rsid w:val="00015CF1"/>
    <w:rsid w:val="00015E04"/>
    <w:rsid w:val="000160CE"/>
    <w:rsid w:val="0001635D"/>
    <w:rsid w:val="000166AA"/>
    <w:rsid w:val="00016B52"/>
    <w:rsid w:val="00016F7A"/>
    <w:rsid w:val="00017635"/>
    <w:rsid w:val="00017722"/>
    <w:rsid w:val="000177B5"/>
    <w:rsid w:val="00017D4B"/>
    <w:rsid w:val="00017DDF"/>
    <w:rsid w:val="00017E79"/>
    <w:rsid w:val="00020077"/>
    <w:rsid w:val="00020311"/>
    <w:rsid w:val="000203EC"/>
    <w:rsid w:val="000206A3"/>
    <w:rsid w:val="000206E1"/>
    <w:rsid w:val="000208CA"/>
    <w:rsid w:val="000208CF"/>
    <w:rsid w:val="00020A3F"/>
    <w:rsid w:val="0002112B"/>
    <w:rsid w:val="000213D6"/>
    <w:rsid w:val="0002184D"/>
    <w:rsid w:val="00021ED4"/>
    <w:rsid w:val="00021F62"/>
    <w:rsid w:val="00021FDE"/>
    <w:rsid w:val="000222FE"/>
    <w:rsid w:val="00022311"/>
    <w:rsid w:val="00022601"/>
    <w:rsid w:val="00022637"/>
    <w:rsid w:val="0002265E"/>
    <w:rsid w:val="00022893"/>
    <w:rsid w:val="00022ABD"/>
    <w:rsid w:val="00022ADC"/>
    <w:rsid w:val="00022D0F"/>
    <w:rsid w:val="00022E18"/>
    <w:rsid w:val="000230B9"/>
    <w:rsid w:val="000231D6"/>
    <w:rsid w:val="0002329D"/>
    <w:rsid w:val="00023530"/>
    <w:rsid w:val="00023636"/>
    <w:rsid w:val="000237F2"/>
    <w:rsid w:val="00023BA4"/>
    <w:rsid w:val="00023E17"/>
    <w:rsid w:val="00023ECC"/>
    <w:rsid w:val="00023F83"/>
    <w:rsid w:val="00024464"/>
    <w:rsid w:val="00024521"/>
    <w:rsid w:val="00024553"/>
    <w:rsid w:val="00024F9B"/>
    <w:rsid w:val="000251C7"/>
    <w:rsid w:val="000251D9"/>
    <w:rsid w:val="0002553D"/>
    <w:rsid w:val="000256DA"/>
    <w:rsid w:val="00025B5C"/>
    <w:rsid w:val="00025BFA"/>
    <w:rsid w:val="00025D77"/>
    <w:rsid w:val="00025D8C"/>
    <w:rsid w:val="00025E45"/>
    <w:rsid w:val="00025E95"/>
    <w:rsid w:val="000261EF"/>
    <w:rsid w:val="00026503"/>
    <w:rsid w:val="00026504"/>
    <w:rsid w:val="00026A16"/>
    <w:rsid w:val="00026B17"/>
    <w:rsid w:val="00026C7E"/>
    <w:rsid w:val="00027142"/>
    <w:rsid w:val="0002734C"/>
    <w:rsid w:val="000273D9"/>
    <w:rsid w:val="000274AC"/>
    <w:rsid w:val="00027B59"/>
    <w:rsid w:val="00027CA7"/>
    <w:rsid w:val="00027E24"/>
    <w:rsid w:val="000306BD"/>
    <w:rsid w:val="0003081C"/>
    <w:rsid w:val="00030F91"/>
    <w:rsid w:val="0003119D"/>
    <w:rsid w:val="000313C0"/>
    <w:rsid w:val="000314AA"/>
    <w:rsid w:val="00031651"/>
    <w:rsid w:val="000316BA"/>
    <w:rsid w:val="000317D6"/>
    <w:rsid w:val="000319F3"/>
    <w:rsid w:val="00032074"/>
    <w:rsid w:val="000320DE"/>
    <w:rsid w:val="0003254E"/>
    <w:rsid w:val="00032747"/>
    <w:rsid w:val="00032B57"/>
    <w:rsid w:val="00033571"/>
    <w:rsid w:val="00033C62"/>
    <w:rsid w:val="00033CD8"/>
    <w:rsid w:val="00033DC2"/>
    <w:rsid w:val="00033E31"/>
    <w:rsid w:val="00034A00"/>
    <w:rsid w:val="00034E36"/>
    <w:rsid w:val="00034EEF"/>
    <w:rsid w:val="00035799"/>
    <w:rsid w:val="00035C66"/>
    <w:rsid w:val="00035C7E"/>
    <w:rsid w:val="000367FC"/>
    <w:rsid w:val="000368DC"/>
    <w:rsid w:val="00036A13"/>
    <w:rsid w:val="00036C76"/>
    <w:rsid w:val="00036EE1"/>
    <w:rsid w:val="00037106"/>
    <w:rsid w:val="00037185"/>
    <w:rsid w:val="00037553"/>
    <w:rsid w:val="000376DC"/>
    <w:rsid w:val="0003799F"/>
    <w:rsid w:val="00037CAF"/>
    <w:rsid w:val="00037E92"/>
    <w:rsid w:val="00037EA3"/>
    <w:rsid w:val="000400A9"/>
    <w:rsid w:val="00040207"/>
    <w:rsid w:val="00040494"/>
    <w:rsid w:val="00040B9C"/>
    <w:rsid w:val="00040D73"/>
    <w:rsid w:val="00040FA8"/>
    <w:rsid w:val="0004126D"/>
    <w:rsid w:val="00041780"/>
    <w:rsid w:val="00041A33"/>
    <w:rsid w:val="0004206C"/>
    <w:rsid w:val="00042323"/>
    <w:rsid w:val="00042516"/>
    <w:rsid w:val="000425C2"/>
    <w:rsid w:val="000425D7"/>
    <w:rsid w:val="00042CFD"/>
    <w:rsid w:val="00042F2A"/>
    <w:rsid w:val="00043017"/>
    <w:rsid w:val="0004382D"/>
    <w:rsid w:val="00043A2F"/>
    <w:rsid w:val="00043A8A"/>
    <w:rsid w:val="00043AB8"/>
    <w:rsid w:val="00043AFE"/>
    <w:rsid w:val="00044004"/>
    <w:rsid w:val="00044153"/>
    <w:rsid w:val="000443EE"/>
    <w:rsid w:val="00044C03"/>
    <w:rsid w:val="00044CBC"/>
    <w:rsid w:val="00044D71"/>
    <w:rsid w:val="00044F73"/>
    <w:rsid w:val="0004574E"/>
    <w:rsid w:val="00045805"/>
    <w:rsid w:val="00045AF7"/>
    <w:rsid w:val="00045C40"/>
    <w:rsid w:val="00045FA8"/>
    <w:rsid w:val="00045FED"/>
    <w:rsid w:val="000460A8"/>
    <w:rsid w:val="00046737"/>
    <w:rsid w:val="000467AB"/>
    <w:rsid w:val="000468CE"/>
    <w:rsid w:val="00046C0F"/>
    <w:rsid w:val="00046DFF"/>
    <w:rsid w:val="0004703C"/>
    <w:rsid w:val="00047850"/>
    <w:rsid w:val="00047C33"/>
    <w:rsid w:val="00047D30"/>
    <w:rsid w:val="0005004B"/>
    <w:rsid w:val="00050080"/>
    <w:rsid w:val="00050513"/>
    <w:rsid w:val="00050D37"/>
    <w:rsid w:val="00050D53"/>
    <w:rsid w:val="00050DA8"/>
    <w:rsid w:val="00051626"/>
    <w:rsid w:val="000516DF"/>
    <w:rsid w:val="00051835"/>
    <w:rsid w:val="0005195D"/>
    <w:rsid w:val="00051DE7"/>
    <w:rsid w:val="00051F79"/>
    <w:rsid w:val="000522AA"/>
    <w:rsid w:val="000527AC"/>
    <w:rsid w:val="0005320A"/>
    <w:rsid w:val="000534D9"/>
    <w:rsid w:val="00053592"/>
    <w:rsid w:val="00053ADE"/>
    <w:rsid w:val="00053D54"/>
    <w:rsid w:val="00053EE0"/>
    <w:rsid w:val="00053F07"/>
    <w:rsid w:val="00053F24"/>
    <w:rsid w:val="0005424B"/>
    <w:rsid w:val="00054D7D"/>
    <w:rsid w:val="00054DA1"/>
    <w:rsid w:val="00055079"/>
    <w:rsid w:val="000555C4"/>
    <w:rsid w:val="00055748"/>
    <w:rsid w:val="0005575C"/>
    <w:rsid w:val="00055819"/>
    <w:rsid w:val="00055865"/>
    <w:rsid w:val="00055C14"/>
    <w:rsid w:val="00055FF2"/>
    <w:rsid w:val="00056481"/>
    <w:rsid w:val="000566C1"/>
    <w:rsid w:val="00056A81"/>
    <w:rsid w:val="00056B8A"/>
    <w:rsid w:val="00056D5B"/>
    <w:rsid w:val="00057006"/>
    <w:rsid w:val="00057056"/>
    <w:rsid w:val="000571B2"/>
    <w:rsid w:val="000571DB"/>
    <w:rsid w:val="000574A5"/>
    <w:rsid w:val="000576AC"/>
    <w:rsid w:val="0005789D"/>
    <w:rsid w:val="00057BC2"/>
    <w:rsid w:val="00057C3A"/>
    <w:rsid w:val="00057C3F"/>
    <w:rsid w:val="00057DD1"/>
    <w:rsid w:val="00057DEF"/>
    <w:rsid w:val="00057F4E"/>
    <w:rsid w:val="000603EA"/>
    <w:rsid w:val="00060673"/>
    <w:rsid w:val="00060701"/>
    <w:rsid w:val="00060857"/>
    <w:rsid w:val="00060B52"/>
    <w:rsid w:val="00060CA4"/>
    <w:rsid w:val="00060CE9"/>
    <w:rsid w:val="00060FA6"/>
    <w:rsid w:val="0006118F"/>
    <w:rsid w:val="0006160A"/>
    <w:rsid w:val="0006163E"/>
    <w:rsid w:val="000616E0"/>
    <w:rsid w:val="00061731"/>
    <w:rsid w:val="000619B0"/>
    <w:rsid w:val="00061D02"/>
    <w:rsid w:val="0006238A"/>
    <w:rsid w:val="0006282B"/>
    <w:rsid w:val="00062D69"/>
    <w:rsid w:val="000630C2"/>
    <w:rsid w:val="000630DE"/>
    <w:rsid w:val="0006313E"/>
    <w:rsid w:val="000632D3"/>
    <w:rsid w:val="0006360F"/>
    <w:rsid w:val="00063A23"/>
    <w:rsid w:val="00063C6E"/>
    <w:rsid w:val="00063E09"/>
    <w:rsid w:val="0006408C"/>
    <w:rsid w:val="00064247"/>
    <w:rsid w:val="00064691"/>
    <w:rsid w:val="000648FE"/>
    <w:rsid w:val="00064973"/>
    <w:rsid w:val="00064D60"/>
    <w:rsid w:val="00064EDA"/>
    <w:rsid w:val="00065245"/>
    <w:rsid w:val="000652E1"/>
    <w:rsid w:val="000653CE"/>
    <w:rsid w:val="00065B57"/>
    <w:rsid w:val="00065C01"/>
    <w:rsid w:val="00065D85"/>
    <w:rsid w:val="00065DD1"/>
    <w:rsid w:val="00065ED3"/>
    <w:rsid w:val="00065F95"/>
    <w:rsid w:val="00066756"/>
    <w:rsid w:val="00066A4E"/>
    <w:rsid w:val="00066A8C"/>
    <w:rsid w:val="00066A8F"/>
    <w:rsid w:val="00066AE2"/>
    <w:rsid w:val="00066E0A"/>
    <w:rsid w:val="000670BA"/>
    <w:rsid w:val="000670DA"/>
    <w:rsid w:val="00067113"/>
    <w:rsid w:val="00067261"/>
    <w:rsid w:val="0006738A"/>
    <w:rsid w:val="000674C2"/>
    <w:rsid w:val="000674C5"/>
    <w:rsid w:val="000676AE"/>
    <w:rsid w:val="000677CE"/>
    <w:rsid w:val="00067856"/>
    <w:rsid w:val="000678AE"/>
    <w:rsid w:val="000678F5"/>
    <w:rsid w:val="00067ABC"/>
    <w:rsid w:val="00067D82"/>
    <w:rsid w:val="00067E01"/>
    <w:rsid w:val="0007014F"/>
    <w:rsid w:val="0007044D"/>
    <w:rsid w:val="00070682"/>
    <w:rsid w:val="00070818"/>
    <w:rsid w:val="00070B57"/>
    <w:rsid w:val="00070B68"/>
    <w:rsid w:val="00070BAE"/>
    <w:rsid w:val="00070E56"/>
    <w:rsid w:val="000713CA"/>
    <w:rsid w:val="0007155E"/>
    <w:rsid w:val="00071821"/>
    <w:rsid w:val="000718A0"/>
    <w:rsid w:val="00071CDD"/>
    <w:rsid w:val="00071F23"/>
    <w:rsid w:val="00072487"/>
    <w:rsid w:val="00072710"/>
    <w:rsid w:val="00072789"/>
    <w:rsid w:val="0007299F"/>
    <w:rsid w:val="00072CD3"/>
    <w:rsid w:val="00072D71"/>
    <w:rsid w:val="00072DD4"/>
    <w:rsid w:val="000731B5"/>
    <w:rsid w:val="00073570"/>
    <w:rsid w:val="0007364F"/>
    <w:rsid w:val="000736B5"/>
    <w:rsid w:val="00073710"/>
    <w:rsid w:val="0007383D"/>
    <w:rsid w:val="00073A84"/>
    <w:rsid w:val="00073AB9"/>
    <w:rsid w:val="000741F0"/>
    <w:rsid w:val="0007466D"/>
    <w:rsid w:val="000746D7"/>
    <w:rsid w:val="000748D1"/>
    <w:rsid w:val="00074927"/>
    <w:rsid w:val="00074BFB"/>
    <w:rsid w:val="00074D54"/>
    <w:rsid w:val="000750FC"/>
    <w:rsid w:val="0007532A"/>
    <w:rsid w:val="00075332"/>
    <w:rsid w:val="0007553A"/>
    <w:rsid w:val="00075601"/>
    <w:rsid w:val="0007595C"/>
    <w:rsid w:val="000759F4"/>
    <w:rsid w:val="00075AF1"/>
    <w:rsid w:val="00075D79"/>
    <w:rsid w:val="0007600E"/>
    <w:rsid w:val="00076294"/>
    <w:rsid w:val="00076405"/>
    <w:rsid w:val="00076473"/>
    <w:rsid w:val="00076784"/>
    <w:rsid w:val="00076AE2"/>
    <w:rsid w:val="0007722A"/>
    <w:rsid w:val="00077298"/>
    <w:rsid w:val="000773F6"/>
    <w:rsid w:val="00077498"/>
    <w:rsid w:val="00077592"/>
    <w:rsid w:val="00077A5A"/>
    <w:rsid w:val="00077D97"/>
    <w:rsid w:val="00077DC9"/>
    <w:rsid w:val="00077F6B"/>
    <w:rsid w:val="000806D4"/>
    <w:rsid w:val="00080806"/>
    <w:rsid w:val="00080CC6"/>
    <w:rsid w:val="00080DBA"/>
    <w:rsid w:val="00080DF8"/>
    <w:rsid w:val="00080E0D"/>
    <w:rsid w:val="00080FA5"/>
    <w:rsid w:val="00081020"/>
    <w:rsid w:val="00081D39"/>
    <w:rsid w:val="00081DBA"/>
    <w:rsid w:val="00082415"/>
    <w:rsid w:val="00082609"/>
    <w:rsid w:val="00082E9F"/>
    <w:rsid w:val="00082ECA"/>
    <w:rsid w:val="0008374A"/>
    <w:rsid w:val="00083840"/>
    <w:rsid w:val="00083992"/>
    <w:rsid w:val="00083BDA"/>
    <w:rsid w:val="00083C96"/>
    <w:rsid w:val="00083D6F"/>
    <w:rsid w:val="0008413F"/>
    <w:rsid w:val="000841A8"/>
    <w:rsid w:val="000843C9"/>
    <w:rsid w:val="00084525"/>
    <w:rsid w:val="0008496B"/>
    <w:rsid w:val="00084E2C"/>
    <w:rsid w:val="00084E61"/>
    <w:rsid w:val="00084EA4"/>
    <w:rsid w:val="00084EB7"/>
    <w:rsid w:val="00084EE3"/>
    <w:rsid w:val="000850A1"/>
    <w:rsid w:val="000853AF"/>
    <w:rsid w:val="000854B0"/>
    <w:rsid w:val="000857FE"/>
    <w:rsid w:val="00085DCB"/>
    <w:rsid w:val="00085E44"/>
    <w:rsid w:val="00085FE5"/>
    <w:rsid w:val="00086351"/>
    <w:rsid w:val="00086466"/>
    <w:rsid w:val="00086581"/>
    <w:rsid w:val="000867AE"/>
    <w:rsid w:val="000868A4"/>
    <w:rsid w:val="000868C8"/>
    <w:rsid w:val="00086B95"/>
    <w:rsid w:val="00086C6A"/>
    <w:rsid w:val="00086E77"/>
    <w:rsid w:val="00087181"/>
    <w:rsid w:val="000872DF"/>
    <w:rsid w:val="00087357"/>
    <w:rsid w:val="000878B6"/>
    <w:rsid w:val="000878B9"/>
    <w:rsid w:val="0008795B"/>
    <w:rsid w:val="00087A54"/>
    <w:rsid w:val="00087C3F"/>
    <w:rsid w:val="00087CC7"/>
    <w:rsid w:val="0009031D"/>
    <w:rsid w:val="00090489"/>
    <w:rsid w:val="00090B61"/>
    <w:rsid w:val="00090BF5"/>
    <w:rsid w:val="00090EC5"/>
    <w:rsid w:val="00090EE7"/>
    <w:rsid w:val="00090FE9"/>
    <w:rsid w:val="00090FEB"/>
    <w:rsid w:val="00090FFD"/>
    <w:rsid w:val="00091016"/>
    <w:rsid w:val="00091424"/>
    <w:rsid w:val="0009155B"/>
    <w:rsid w:val="0009158B"/>
    <w:rsid w:val="0009193D"/>
    <w:rsid w:val="0009194C"/>
    <w:rsid w:val="00091A80"/>
    <w:rsid w:val="00092F6F"/>
    <w:rsid w:val="000931FE"/>
    <w:rsid w:val="00093233"/>
    <w:rsid w:val="000934CA"/>
    <w:rsid w:val="000935C3"/>
    <w:rsid w:val="00093616"/>
    <w:rsid w:val="00093873"/>
    <w:rsid w:val="000939FD"/>
    <w:rsid w:val="00093FA9"/>
    <w:rsid w:val="00094069"/>
    <w:rsid w:val="000940A3"/>
    <w:rsid w:val="000940DB"/>
    <w:rsid w:val="00094203"/>
    <w:rsid w:val="000942D3"/>
    <w:rsid w:val="000945A5"/>
    <w:rsid w:val="000945EA"/>
    <w:rsid w:val="000947EE"/>
    <w:rsid w:val="00094ADC"/>
    <w:rsid w:val="000950B5"/>
    <w:rsid w:val="000951D7"/>
    <w:rsid w:val="00095386"/>
    <w:rsid w:val="000956B4"/>
    <w:rsid w:val="0009572D"/>
    <w:rsid w:val="000957B2"/>
    <w:rsid w:val="00095A3B"/>
    <w:rsid w:val="00095A92"/>
    <w:rsid w:val="00095F55"/>
    <w:rsid w:val="00096027"/>
    <w:rsid w:val="000968EE"/>
    <w:rsid w:val="00096FF1"/>
    <w:rsid w:val="0009744D"/>
    <w:rsid w:val="000974F6"/>
    <w:rsid w:val="000976E4"/>
    <w:rsid w:val="00097F7B"/>
    <w:rsid w:val="000A02C5"/>
    <w:rsid w:val="000A0310"/>
    <w:rsid w:val="000A049C"/>
    <w:rsid w:val="000A0510"/>
    <w:rsid w:val="000A051A"/>
    <w:rsid w:val="000A054C"/>
    <w:rsid w:val="000A05EF"/>
    <w:rsid w:val="000A05F2"/>
    <w:rsid w:val="000A0638"/>
    <w:rsid w:val="000A0B62"/>
    <w:rsid w:val="000A10C1"/>
    <w:rsid w:val="000A135C"/>
    <w:rsid w:val="000A13C3"/>
    <w:rsid w:val="000A1406"/>
    <w:rsid w:val="000A141F"/>
    <w:rsid w:val="000A1472"/>
    <w:rsid w:val="000A1485"/>
    <w:rsid w:val="000A1841"/>
    <w:rsid w:val="000A1A41"/>
    <w:rsid w:val="000A1D4E"/>
    <w:rsid w:val="000A239D"/>
    <w:rsid w:val="000A251A"/>
    <w:rsid w:val="000A2B26"/>
    <w:rsid w:val="000A2CC0"/>
    <w:rsid w:val="000A2F79"/>
    <w:rsid w:val="000A3038"/>
    <w:rsid w:val="000A31A7"/>
    <w:rsid w:val="000A3260"/>
    <w:rsid w:val="000A32B3"/>
    <w:rsid w:val="000A3417"/>
    <w:rsid w:val="000A3665"/>
    <w:rsid w:val="000A373F"/>
    <w:rsid w:val="000A381A"/>
    <w:rsid w:val="000A3C10"/>
    <w:rsid w:val="000A3C75"/>
    <w:rsid w:val="000A40AD"/>
    <w:rsid w:val="000A4200"/>
    <w:rsid w:val="000A42E1"/>
    <w:rsid w:val="000A44F7"/>
    <w:rsid w:val="000A45AD"/>
    <w:rsid w:val="000A45C1"/>
    <w:rsid w:val="000A4757"/>
    <w:rsid w:val="000A47A8"/>
    <w:rsid w:val="000A489C"/>
    <w:rsid w:val="000A49CC"/>
    <w:rsid w:val="000A4A45"/>
    <w:rsid w:val="000A4D0D"/>
    <w:rsid w:val="000A4D8B"/>
    <w:rsid w:val="000A4E81"/>
    <w:rsid w:val="000A5079"/>
    <w:rsid w:val="000A5893"/>
    <w:rsid w:val="000A5899"/>
    <w:rsid w:val="000A58B5"/>
    <w:rsid w:val="000A5BC5"/>
    <w:rsid w:val="000A5D30"/>
    <w:rsid w:val="000A6269"/>
    <w:rsid w:val="000A6378"/>
    <w:rsid w:val="000A6519"/>
    <w:rsid w:val="000A6716"/>
    <w:rsid w:val="000A695D"/>
    <w:rsid w:val="000A6B47"/>
    <w:rsid w:val="000A6FDD"/>
    <w:rsid w:val="000A725A"/>
    <w:rsid w:val="000A73F0"/>
    <w:rsid w:val="000A7A98"/>
    <w:rsid w:val="000B0070"/>
    <w:rsid w:val="000B00EB"/>
    <w:rsid w:val="000B01C0"/>
    <w:rsid w:val="000B085F"/>
    <w:rsid w:val="000B08A7"/>
    <w:rsid w:val="000B0A50"/>
    <w:rsid w:val="000B0F77"/>
    <w:rsid w:val="000B0FCD"/>
    <w:rsid w:val="000B1083"/>
    <w:rsid w:val="000B160E"/>
    <w:rsid w:val="000B1CE3"/>
    <w:rsid w:val="000B25C2"/>
    <w:rsid w:val="000B2AE7"/>
    <w:rsid w:val="000B2BD2"/>
    <w:rsid w:val="000B2CB2"/>
    <w:rsid w:val="000B2E53"/>
    <w:rsid w:val="000B305B"/>
    <w:rsid w:val="000B3383"/>
    <w:rsid w:val="000B3DDB"/>
    <w:rsid w:val="000B3F9B"/>
    <w:rsid w:val="000B48A6"/>
    <w:rsid w:val="000B4DBB"/>
    <w:rsid w:val="000B5047"/>
    <w:rsid w:val="000B5119"/>
    <w:rsid w:val="000B519F"/>
    <w:rsid w:val="000B55CC"/>
    <w:rsid w:val="000B56C5"/>
    <w:rsid w:val="000B59C7"/>
    <w:rsid w:val="000B5CB1"/>
    <w:rsid w:val="000B5E8D"/>
    <w:rsid w:val="000B5FC8"/>
    <w:rsid w:val="000B6481"/>
    <w:rsid w:val="000B657C"/>
    <w:rsid w:val="000B67B5"/>
    <w:rsid w:val="000B6C18"/>
    <w:rsid w:val="000B6D9A"/>
    <w:rsid w:val="000B6EC2"/>
    <w:rsid w:val="000B7650"/>
    <w:rsid w:val="000B7A9A"/>
    <w:rsid w:val="000B7E6D"/>
    <w:rsid w:val="000B7F0E"/>
    <w:rsid w:val="000C0049"/>
    <w:rsid w:val="000C012C"/>
    <w:rsid w:val="000C0256"/>
    <w:rsid w:val="000C02E0"/>
    <w:rsid w:val="000C02E4"/>
    <w:rsid w:val="000C0577"/>
    <w:rsid w:val="000C09F8"/>
    <w:rsid w:val="000C17BA"/>
    <w:rsid w:val="000C19C9"/>
    <w:rsid w:val="000C1C33"/>
    <w:rsid w:val="000C1D2F"/>
    <w:rsid w:val="000C1DE4"/>
    <w:rsid w:val="000C1FCE"/>
    <w:rsid w:val="000C1FD4"/>
    <w:rsid w:val="000C22B2"/>
    <w:rsid w:val="000C2496"/>
    <w:rsid w:val="000C27D0"/>
    <w:rsid w:val="000C2CFB"/>
    <w:rsid w:val="000C320D"/>
    <w:rsid w:val="000C33AE"/>
    <w:rsid w:val="000C3944"/>
    <w:rsid w:val="000C3FC8"/>
    <w:rsid w:val="000C40E9"/>
    <w:rsid w:val="000C41C8"/>
    <w:rsid w:val="000C436B"/>
    <w:rsid w:val="000C46A4"/>
    <w:rsid w:val="000C4808"/>
    <w:rsid w:val="000C4BDE"/>
    <w:rsid w:val="000C4E61"/>
    <w:rsid w:val="000C4EFC"/>
    <w:rsid w:val="000C5167"/>
    <w:rsid w:val="000C52F3"/>
    <w:rsid w:val="000C52F5"/>
    <w:rsid w:val="000C5943"/>
    <w:rsid w:val="000C5A3B"/>
    <w:rsid w:val="000C5B3C"/>
    <w:rsid w:val="000C5C02"/>
    <w:rsid w:val="000C612D"/>
    <w:rsid w:val="000C61CC"/>
    <w:rsid w:val="000C61E2"/>
    <w:rsid w:val="000C620E"/>
    <w:rsid w:val="000C62AF"/>
    <w:rsid w:val="000C62C0"/>
    <w:rsid w:val="000C645A"/>
    <w:rsid w:val="000C663A"/>
    <w:rsid w:val="000C66B3"/>
    <w:rsid w:val="000C66E2"/>
    <w:rsid w:val="000C6788"/>
    <w:rsid w:val="000C6A6B"/>
    <w:rsid w:val="000C6CD5"/>
    <w:rsid w:val="000C6F5D"/>
    <w:rsid w:val="000C7151"/>
    <w:rsid w:val="000C76D3"/>
    <w:rsid w:val="000C78C4"/>
    <w:rsid w:val="000C7926"/>
    <w:rsid w:val="000C7973"/>
    <w:rsid w:val="000C79E0"/>
    <w:rsid w:val="000D0447"/>
    <w:rsid w:val="000D06A6"/>
    <w:rsid w:val="000D0A02"/>
    <w:rsid w:val="000D1005"/>
    <w:rsid w:val="000D1184"/>
    <w:rsid w:val="000D13E5"/>
    <w:rsid w:val="000D184A"/>
    <w:rsid w:val="000D199D"/>
    <w:rsid w:val="000D1EB2"/>
    <w:rsid w:val="000D2003"/>
    <w:rsid w:val="000D237D"/>
    <w:rsid w:val="000D24ED"/>
    <w:rsid w:val="000D2535"/>
    <w:rsid w:val="000D253F"/>
    <w:rsid w:val="000D28EC"/>
    <w:rsid w:val="000D2D35"/>
    <w:rsid w:val="000D2EED"/>
    <w:rsid w:val="000D325F"/>
    <w:rsid w:val="000D3298"/>
    <w:rsid w:val="000D3522"/>
    <w:rsid w:val="000D3574"/>
    <w:rsid w:val="000D373F"/>
    <w:rsid w:val="000D37F3"/>
    <w:rsid w:val="000D39AD"/>
    <w:rsid w:val="000D39C9"/>
    <w:rsid w:val="000D3AD9"/>
    <w:rsid w:val="000D3E03"/>
    <w:rsid w:val="000D40AE"/>
    <w:rsid w:val="000D4195"/>
    <w:rsid w:val="000D423C"/>
    <w:rsid w:val="000D426B"/>
    <w:rsid w:val="000D43C8"/>
    <w:rsid w:val="000D43DB"/>
    <w:rsid w:val="000D43FC"/>
    <w:rsid w:val="000D456C"/>
    <w:rsid w:val="000D463D"/>
    <w:rsid w:val="000D478B"/>
    <w:rsid w:val="000D4AED"/>
    <w:rsid w:val="000D4DEB"/>
    <w:rsid w:val="000D5737"/>
    <w:rsid w:val="000D5772"/>
    <w:rsid w:val="000D5AF2"/>
    <w:rsid w:val="000D5B4B"/>
    <w:rsid w:val="000D5CE3"/>
    <w:rsid w:val="000D5D43"/>
    <w:rsid w:val="000D5E95"/>
    <w:rsid w:val="000D5F00"/>
    <w:rsid w:val="000D6136"/>
    <w:rsid w:val="000D6145"/>
    <w:rsid w:val="000D6510"/>
    <w:rsid w:val="000D65B7"/>
    <w:rsid w:val="000D66D1"/>
    <w:rsid w:val="000D676A"/>
    <w:rsid w:val="000D67E3"/>
    <w:rsid w:val="000D6833"/>
    <w:rsid w:val="000D6A47"/>
    <w:rsid w:val="000D6A89"/>
    <w:rsid w:val="000D6AF5"/>
    <w:rsid w:val="000D6B13"/>
    <w:rsid w:val="000D6E5C"/>
    <w:rsid w:val="000D6E72"/>
    <w:rsid w:val="000D6FA1"/>
    <w:rsid w:val="000D7301"/>
    <w:rsid w:val="000D7668"/>
    <w:rsid w:val="000D76D3"/>
    <w:rsid w:val="000D7B45"/>
    <w:rsid w:val="000D7D5D"/>
    <w:rsid w:val="000D7E8C"/>
    <w:rsid w:val="000E0378"/>
    <w:rsid w:val="000E077B"/>
    <w:rsid w:val="000E0A5A"/>
    <w:rsid w:val="000E0AA1"/>
    <w:rsid w:val="000E0D21"/>
    <w:rsid w:val="000E0F54"/>
    <w:rsid w:val="000E1005"/>
    <w:rsid w:val="000E1AA8"/>
    <w:rsid w:val="000E1CA8"/>
    <w:rsid w:val="000E1CFF"/>
    <w:rsid w:val="000E1E6F"/>
    <w:rsid w:val="000E1EE6"/>
    <w:rsid w:val="000E230A"/>
    <w:rsid w:val="000E2759"/>
    <w:rsid w:val="000E29B8"/>
    <w:rsid w:val="000E29D0"/>
    <w:rsid w:val="000E2A8F"/>
    <w:rsid w:val="000E3288"/>
    <w:rsid w:val="000E3303"/>
    <w:rsid w:val="000E339E"/>
    <w:rsid w:val="000E342C"/>
    <w:rsid w:val="000E347B"/>
    <w:rsid w:val="000E38FA"/>
    <w:rsid w:val="000E39A4"/>
    <w:rsid w:val="000E3BCD"/>
    <w:rsid w:val="000E3DB0"/>
    <w:rsid w:val="000E3F8E"/>
    <w:rsid w:val="000E451C"/>
    <w:rsid w:val="000E45B5"/>
    <w:rsid w:val="000E4663"/>
    <w:rsid w:val="000E4D84"/>
    <w:rsid w:val="000E4D98"/>
    <w:rsid w:val="000E5B95"/>
    <w:rsid w:val="000E636E"/>
    <w:rsid w:val="000E6870"/>
    <w:rsid w:val="000E6C72"/>
    <w:rsid w:val="000E6D94"/>
    <w:rsid w:val="000E6FBF"/>
    <w:rsid w:val="000E724C"/>
    <w:rsid w:val="000E74D2"/>
    <w:rsid w:val="000E7A04"/>
    <w:rsid w:val="000E7AF8"/>
    <w:rsid w:val="000F0338"/>
    <w:rsid w:val="000F0562"/>
    <w:rsid w:val="000F05F8"/>
    <w:rsid w:val="000F06CC"/>
    <w:rsid w:val="000F07F5"/>
    <w:rsid w:val="000F0A59"/>
    <w:rsid w:val="000F1A9B"/>
    <w:rsid w:val="000F1D7A"/>
    <w:rsid w:val="000F1FAD"/>
    <w:rsid w:val="000F21AA"/>
    <w:rsid w:val="000F2285"/>
    <w:rsid w:val="000F244B"/>
    <w:rsid w:val="000F257C"/>
    <w:rsid w:val="000F26D0"/>
    <w:rsid w:val="000F28D3"/>
    <w:rsid w:val="000F2968"/>
    <w:rsid w:val="000F2A1E"/>
    <w:rsid w:val="000F2DE2"/>
    <w:rsid w:val="000F2E04"/>
    <w:rsid w:val="000F3843"/>
    <w:rsid w:val="000F3A5B"/>
    <w:rsid w:val="000F3AF1"/>
    <w:rsid w:val="000F3CE5"/>
    <w:rsid w:val="000F4228"/>
    <w:rsid w:val="000F4639"/>
    <w:rsid w:val="000F4659"/>
    <w:rsid w:val="000F559B"/>
    <w:rsid w:val="000F5703"/>
    <w:rsid w:val="000F581A"/>
    <w:rsid w:val="000F5FF1"/>
    <w:rsid w:val="000F62CE"/>
    <w:rsid w:val="000F6607"/>
    <w:rsid w:val="000F6777"/>
    <w:rsid w:val="000F6811"/>
    <w:rsid w:val="000F6EE7"/>
    <w:rsid w:val="000F7052"/>
    <w:rsid w:val="000F739F"/>
    <w:rsid w:val="000F764B"/>
    <w:rsid w:val="000F7B4E"/>
    <w:rsid w:val="000F7C6C"/>
    <w:rsid w:val="00100099"/>
    <w:rsid w:val="001000E1"/>
    <w:rsid w:val="001001BB"/>
    <w:rsid w:val="00100556"/>
    <w:rsid w:val="00100571"/>
    <w:rsid w:val="001007C7"/>
    <w:rsid w:val="00100848"/>
    <w:rsid w:val="00100EA4"/>
    <w:rsid w:val="0010128D"/>
    <w:rsid w:val="00101528"/>
    <w:rsid w:val="00101857"/>
    <w:rsid w:val="00101DA5"/>
    <w:rsid w:val="0010241C"/>
    <w:rsid w:val="00102466"/>
    <w:rsid w:val="0010285D"/>
    <w:rsid w:val="00102A81"/>
    <w:rsid w:val="00102EAD"/>
    <w:rsid w:val="00102F27"/>
    <w:rsid w:val="00102FEC"/>
    <w:rsid w:val="001035B6"/>
    <w:rsid w:val="00103645"/>
    <w:rsid w:val="001039CC"/>
    <w:rsid w:val="00103CD6"/>
    <w:rsid w:val="00103DE9"/>
    <w:rsid w:val="0010402B"/>
    <w:rsid w:val="00104053"/>
    <w:rsid w:val="00104288"/>
    <w:rsid w:val="0010430A"/>
    <w:rsid w:val="0010431F"/>
    <w:rsid w:val="00104415"/>
    <w:rsid w:val="001044DB"/>
    <w:rsid w:val="00104526"/>
    <w:rsid w:val="0010452C"/>
    <w:rsid w:val="0010462B"/>
    <w:rsid w:val="00104638"/>
    <w:rsid w:val="0010470B"/>
    <w:rsid w:val="001047BE"/>
    <w:rsid w:val="00104D6E"/>
    <w:rsid w:val="00104F6D"/>
    <w:rsid w:val="0010509F"/>
    <w:rsid w:val="0010561D"/>
    <w:rsid w:val="001056E5"/>
    <w:rsid w:val="0010570C"/>
    <w:rsid w:val="00105C17"/>
    <w:rsid w:val="00105C46"/>
    <w:rsid w:val="00106164"/>
    <w:rsid w:val="00106654"/>
    <w:rsid w:val="001066C5"/>
    <w:rsid w:val="00106755"/>
    <w:rsid w:val="00106783"/>
    <w:rsid w:val="001069BF"/>
    <w:rsid w:val="00106D51"/>
    <w:rsid w:val="00106E8B"/>
    <w:rsid w:val="0010729F"/>
    <w:rsid w:val="001075F0"/>
    <w:rsid w:val="00107973"/>
    <w:rsid w:val="00107ADE"/>
    <w:rsid w:val="00107CD2"/>
    <w:rsid w:val="00107CE0"/>
    <w:rsid w:val="00107E4B"/>
    <w:rsid w:val="00107FDE"/>
    <w:rsid w:val="001101DF"/>
    <w:rsid w:val="00110218"/>
    <w:rsid w:val="001105A9"/>
    <w:rsid w:val="00110634"/>
    <w:rsid w:val="001107E1"/>
    <w:rsid w:val="001107F8"/>
    <w:rsid w:val="00110809"/>
    <w:rsid w:val="00110977"/>
    <w:rsid w:val="00110D65"/>
    <w:rsid w:val="00110FB5"/>
    <w:rsid w:val="001110E0"/>
    <w:rsid w:val="00111336"/>
    <w:rsid w:val="00111383"/>
    <w:rsid w:val="001114BC"/>
    <w:rsid w:val="00111653"/>
    <w:rsid w:val="00111AED"/>
    <w:rsid w:val="00111F56"/>
    <w:rsid w:val="0011216C"/>
    <w:rsid w:val="001122A2"/>
    <w:rsid w:val="00112493"/>
    <w:rsid w:val="001124FA"/>
    <w:rsid w:val="00112652"/>
    <w:rsid w:val="00112705"/>
    <w:rsid w:val="001127CC"/>
    <w:rsid w:val="00112EB7"/>
    <w:rsid w:val="00113085"/>
    <w:rsid w:val="0011325E"/>
    <w:rsid w:val="001133EA"/>
    <w:rsid w:val="0011348D"/>
    <w:rsid w:val="00113523"/>
    <w:rsid w:val="00113868"/>
    <w:rsid w:val="00113989"/>
    <w:rsid w:val="00113B97"/>
    <w:rsid w:val="00113CEC"/>
    <w:rsid w:val="00114380"/>
    <w:rsid w:val="001146A9"/>
    <w:rsid w:val="0011473A"/>
    <w:rsid w:val="0011485E"/>
    <w:rsid w:val="00114AA7"/>
    <w:rsid w:val="00114DCA"/>
    <w:rsid w:val="00114EEF"/>
    <w:rsid w:val="00115021"/>
    <w:rsid w:val="001154FC"/>
    <w:rsid w:val="00115586"/>
    <w:rsid w:val="0011565D"/>
    <w:rsid w:val="001158FE"/>
    <w:rsid w:val="001161FF"/>
    <w:rsid w:val="0011641E"/>
    <w:rsid w:val="001164D1"/>
    <w:rsid w:val="00116718"/>
    <w:rsid w:val="0011682E"/>
    <w:rsid w:val="0011684E"/>
    <w:rsid w:val="00116990"/>
    <w:rsid w:val="00116D72"/>
    <w:rsid w:val="00116ED5"/>
    <w:rsid w:val="0011750E"/>
    <w:rsid w:val="001178E8"/>
    <w:rsid w:val="00117E01"/>
    <w:rsid w:val="00117F32"/>
    <w:rsid w:val="001209D9"/>
    <w:rsid w:val="00120BAF"/>
    <w:rsid w:val="00120D45"/>
    <w:rsid w:val="00120F11"/>
    <w:rsid w:val="00121322"/>
    <w:rsid w:val="001214B3"/>
    <w:rsid w:val="0012165C"/>
    <w:rsid w:val="0012181B"/>
    <w:rsid w:val="0012187F"/>
    <w:rsid w:val="001218E1"/>
    <w:rsid w:val="00121952"/>
    <w:rsid w:val="00121D54"/>
    <w:rsid w:val="001222DC"/>
    <w:rsid w:val="00122B27"/>
    <w:rsid w:val="00122B3E"/>
    <w:rsid w:val="00123281"/>
    <w:rsid w:val="001233A3"/>
    <w:rsid w:val="001233BB"/>
    <w:rsid w:val="00123421"/>
    <w:rsid w:val="001234A6"/>
    <w:rsid w:val="00123722"/>
    <w:rsid w:val="0012380C"/>
    <w:rsid w:val="0012389B"/>
    <w:rsid w:val="00123985"/>
    <w:rsid w:val="00123A21"/>
    <w:rsid w:val="00123CB5"/>
    <w:rsid w:val="00123CC9"/>
    <w:rsid w:val="00123CD3"/>
    <w:rsid w:val="00123D15"/>
    <w:rsid w:val="00124015"/>
    <w:rsid w:val="00124295"/>
    <w:rsid w:val="00124658"/>
    <w:rsid w:val="001248E5"/>
    <w:rsid w:val="00124C39"/>
    <w:rsid w:val="00124CA3"/>
    <w:rsid w:val="001255BF"/>
    <w:rsid w:val="0012568C"/>
    <w:rsid w:val="001256E0"/>
    <w:rsid w:val="00125942"/>
    <w:rsid w:val="00125AB4"/>
    <w:rsid w:val="00125CA0"/>
    <w:rsid w:val="00125FC2"/>
    <w:rsid w:val="0012618C"/>
    <w:rsid w:val="001262C9"/>
    <w:rsid w:val="00126414"/>
    <w:rsid w:val="0012647E"/>
    <w:rsid w:val="00126734"/>
    <w:rsid w:val="00126915"/>
    <w:rsid w:val="00126D44"/>
    <w:rsid w:val="00126D8F"/>
    <w:rsid w:val="00126F75"/>
    <w:rsid w:val="001271FD"/>
    <w:rsid w:val="001272E5"/>
    <w:rsid w:val="0012768B"/>
    <w:rsid w:val="0012769C"/>
    <w:rsid w:val="00127790"/>
    <w:rsid w:val="001277D4"/>
    <w:rsid w:val="0012788B"/>
    <w:rsid w:val="00127DB2"/>
    <w:rsid w:val="00130583"/>
    <w:rsid w:val="00130687"/>
    <w:rsid w:val="00130923"/>
    <w:rsid w:val="00130AB7"/>
    <w:rsid w:val="00130DBC"/>
    <w:rsid w:val="00130DDD"/>
    <w:rsid w:val="00130F11"/>
    <w:rsid w:val="00131342"/>
    <w:rsid w:val="001313AA"/>
    <w:rsid w:val="00131517"/>
    <w:rsid w:val="00131689"/>
    <w:rsid w:val="0013175C"/>
    <w:rsid w:val="00131B07"/>
    <w:rsid w:val="00132248"/>
    <w:rsid w:val="001323B8"/>
    <w:rsid w:val="00132405"/>
    <w:rsid w:val="001325BF"/>
    <w:rsid w:val="001326CA"/>
    <w:rsid w:val="00132972"/>
    <w:rsid w:val="00132B0E"/>
    <w:rsid w:val="00132C79"/>
    <w:rsid w:val="001332E3"/>
    <w:rsid w:val="001333AC"/>
    <w:rsid w:val="00133556"/>
    <w:rsid w:val="00133A74"/>
    <w:rsid w:val="00133D0D"/>
    <w:rsid w:val="00133FC7"/>
    <w:rsid w:val="00133FEA"/>
    <w:rsid w:val="0013400F"/>
    <w:rsid w:val="00134073"/>
    <w:rsid w:val="0013425A"/>
    <w:rsid w:val="00134426"/>
    <w:rsid w:val="001344C0"/>
    <w:rsid w:val="0013480F"/>
    <w:rsid w:val="0013493E"/>
    <w:rsid w:val="00134AF2"/>
    <w:rsid w:val="00134B82"/>
    <w:rsid w:val="00135102"/>
    <w:rsid w:val="00135453"/>
    <w:rsid w:val="0013553F"/>
    <w:rsid w:val="0013594D"/>
    <w:rsid w:val="00135B6B"/>
    <w:rsid w:val="00135BBE"/>
    <w:rsid w:val="00135D45"/>
    <w:rsid w:val="00136438"/>
    <w:rsid w:val="001369AD"/>
    <w:rsid w:val="001369CE"/>
    <w:rsid w:val="00136A98"/>
    <w:rsid w:val="00136CA1"/>
    <w:rsid w:val="00136DFF"/>
    <w:rsid w:val="00136F96"/>
    <w:rsid w:val="00137228"/>
    <w:rsid w:val="001372DB"/>
    <w:rsid w:val="00137768"/>
    <w:rsid w:val="00137D4B"/>
    <w:rsid w:val="0014053A"/>
    <w:rsid w:val="001405AC"/>
    <w:rsid w:val="001408E1"/>
    <w:rsid w:val="0014098D"/>
    <w:rsid w:val="001409F0"/>
    <w:rsid w:val="00140CA5"/>
    <w:rsid w:val="0014178C"/>
    <w:rsid w:val="00141C95"/>
    <w:rsid w:val="00141FD0"/>
    <w:rsid w:val="00142465"/>
    <w:rsid w:val="0014283A"/>
    <w:rsid w:val="00142E8A"/>
    <w:rsid w:val="00143318"/>
    <w:rsid w:val="00143679"/>
    <w:rsid w:val="001436F8"/>
    <w:rsid w:val="0014372D"/>
    <w:rsid w:val="001438D8"/>
    <w:rsid w:val="00143A10"/>
    <w:rsid w:val="00143AF0"/>
    <w:rsid w:val="00143E43"/>
    <w:rsid w:val="00144010"/>
    <w:rsid w:val="00144375"/>
    <w:rsid w:val="001444D5"/>
    <w:rsid w:val="00144764"/>
    <w:rsid w:val="00144FC7"/>
    <w:rsid w:val="001451B8"/>
    <w:rsid w:val="0014528F"/>
    <w:rsid w:val="0014535D"/>
    <w:rsid w:val="00145734"/>
    <w:rsid w:val="001459AC"/>
    <w:rsid w:val="001459EE"/>
    <w:rsid w:val="001459FD"/>
    <w:rsid w:val="00145AFE"/>
    <w:rsid w:val="00145F64"/>
    <w:rsid w:val="00146099"/>
    <w:rsid w:val="00146683"/>
    <w:rsid w:val="001468DE"/>
    <w:rsid w:val="00146919"/>
    <w:rsid w:val="00146C49"/>
    <w:rsid w:val="00146C97"/>
    <w:rsid w:val="00146EFB"/>
    <w:rsid w:val="00147040"/>
    <w:rsid w:val="00147162"/>
    <w:rsid w:val="001471E5"/>
    <w:rsid w:val="00147366"/>
    <w:rsid w:val="0014762F"/>
    <w:rsid w:val="00147B5C"/>
    <w:rsid w:val="00147BAB"/>
    <w:rsid w:val="00147E27"/>
    <w:rsid w:val="00147E40"/>
    <w:rsid w:val="00147E94"/>
    <w:rsid w:val="00147F1F"/>
    <w:rsid w:val="00147F98"/>
    <w:rsid w:val="00150414"/>
    <w:rsid w:val="0015042F"/>
    <w:rsid w:val="001508F8"/>
    <w:rsid w:val="00150A82"/>
    <w:rsid w:val="00150F29"/>
    <w:rsid w:val="00151083"/>
    <w:rsid w:val="00151349"/>
    <w:rsid w:val="001516F0"/>
    <w:rsid w:val="0015172C"/>
    <w:rsid w:val="00151903"/>
    <w:rsid w:val="00151CE6"/>
    <w:rsid w:val="00151D95"/>
    <w:rsid w:val="001520F8"/>
    <w:rsid w:val="001521AA"/>
    <w:rsid w:val="001521C5"/>
    <w:rsid w:val="001522E4"/>
    <w:rsid w:val="00152336"/>
    <w:rsid w:val="00152D6D"/>
    <w:rsid w:val="00152E89"/>
    <w:rsid w:val="00152F73"/>
    <w:rsid w:val="001533D8"/>
    <w:rsid w:val="0015361A"/>
    <w:rsid w:val="00153748"/>
    <w:rsid w:val="0015389B"/>
    <w:rsid w:val="001538F0"/>
    <w:rsid w:val="00153CD9"/>
    <w:rsid w:val="00153DE2"/>
    <w:rsid w:val="00153F42"/>
    <w:rsid w:val="0015459D"/>
    <w:rsid w:val="00154812"/>
    <w:rsid w:val="001548A3"/>
    <w:rsid w:val="00154B06"/>
    <w:rsid w:val="00155025"/>
    <w:rsid w:val="001551D9"/>
    <w:rsid w:val="00155215"/>
    <w:rsid w:val="001552F6"/>
    <w:rsid w:val="00155506"/>
    <w:rsid w:val="0015550F"/>
    <w:rsid w:val="00155933"/>
    <w:rsid w:val="00155AE3"/>
    <w:rsid w:val="00155CDC"/>
    <w:rsid w:val="00155D6D"/>
    <w:rsid w:val="00155EA5"/>
    <w:rsid w:val="00155ED0"/>
    <w:rsid w:val="0015620E"/>
    <w:rsid w:val="00156339"/>
    <w:rsid w:val="0015663A"/>
    <w:rsid w:val="0015698F"/>
    <w:rsid w:val="00156AE1"/>
    <w:rsid w:val="00157118"/>
    <w:rsid w:val="00157169"/>
    <w:rsid w:val="001573E0"/>
    <w:rsid w:val="0015790F"/>
    <w:rsid w:val="00157A85"/>
    <w:rsid w:val="001600E3"/>
    <w:rsid w:val="0016036C"/>
    <w:rsid w:val="001603B0"/>
    <w:rsid w:val="00160476"/>
    <w:rsid w:val="001604BE"/>
    <w:rsid w:val="001605D5"/>
    <w:rsid w:val="00160795"/>
    <w:rsid w:val="00160808"/>
    <w:rsid w:val="00160DAD"/>
    <w:rsid w:val="001614D3"/>
    <w:rsid w:val="0016163E"/>
    <w:rsid w:val="0016171C"/>
    <w:rsid w:val="00161772"/>
    <w:rsid w:val="001618B9"/>
    <w:rsid w:val="001618BB"/>
    <w:rsid w:val="00161F4A"/>
    <w:rsid w:val="0016206B"/>
    <w:rsid w:val="00162120"/>
    <w:rsid w:val="0016229A"/>
    <w:rsid w:val="001628DE"/>
    <w:rsid w:val="00162A4F"/>
    <w:rsid w:val="00162C1E"/>
    <w:rsid w:val="00162D26"/>
    <w:rsid w:val="00163324"/>
    <w:rsid w:val="00163458"/>
    <w:rsid w:val="001636C2"/>
    <w:rsid w:val="00163A9F"/>
    <w:rsid w:val="00163C05"/>
    <w:rsid w:val="00163D61"/>
    <w:rsid w:val="001643E1"/>
    <w:rsid w:val="001645A3"/>
    <w:rsid w:val="001645F3"/>
    <w:rsid w:val="00164851"/>
    <w:rsid w:val="00164A56"/>
    <w:rsid w:val="00164F34"/>
    <w:rsid w:val="0016506B"/>
    <w:rsid w:val="00165074"/>
    <w:rsid w:val="001651FC"/>
    <w:rsid w:val="001656E5"/>
    <w:rsid w:val="00165711"/>
    <w:rsid w:val="001658DC"/>
    <w:rsid w:val="001658E0"/>
    <w:rsid w:val="00165A00"/>
    <w:rsid w:val="00165C70"/>
    <w:rsid w:val="00165DCE"/>
    <w:rsid w:val="00165EA0"/>
    <w:rsid w:val="0016601E"/>
    <w:rsid w:val="0016624D"/>
    <w:rsid w:val="0016632B"/>
    <w:rsid w:val="0016646A"/>
    <w:rsid w:val="001669CA"/>
    <w:rsid w:val="00166D7B"/>
    <w:rsid w:val="00166E1B"/>
    <w:rsid w:val="00167450"/>
    <w:rsid w:val="00167609"/>
    <w:rsid w:val="00167713"/>
    <w:rsid w:val="00167E99"/>
    <w:rsid w:val="001700D0"/>
    <w:rsid w:val="001703C5"/>
    <w:rsid w:val="00170458"/>
    <w:rsid w:val="001704A1"/>
    <w:rsid w:val="001709AA"/>
    <w:rsid w:val="00170BC9"/>
    <w:rsid w:val="00170CB4"/>
    <w:rsid w:val="00170E8D"/>
    <w:rsid w:val="0017101E"/>
    <w:rsid w:val="0017158F"/>
    <w:rsid w:val="001716DF"/>
    <w:rsid w:val="001717D5"/>
    <w:rsid w:val="00171CD1"/>
    <w:rsid w:val="00171F1E"/>
    <w:rsid w:val="00172487"/>
    <w:rsid w:val="00172997"/>
    <w:rsid w:val="00172B93"/>
    <w:rsid w:val="001732D8"/>
    <w:rsid w:val="00173353"/>
    <w:rsid w:val="0017359C"/>
    <w:rsid w:val="001735FE"/>
    <w:rsid w:val="00173C2C"/>
    <w:rsid w:val="00173D0B"/>
    <w:rsid w:val="00174009"/>
    <w:rsid w:val="00174072"/>
    <w:rsid w:val="001740B0"/>
    <w:rsid w:val="00174214"/>
    <w:rsid w:val="001742BF"/>
    <w:rsid w:val="0017471A"/>
    <w:rsid w:val="001748F5"/>
    <w:rsid w:val="0017494D"/>
    <w:rsid w:val="00174A93"/>
    <w:rsid w:val="00174B1D"/>
    <w:rsid w:val="00174D17"/>
    <w:rsid w:val="001751EA"/>
    <w:rsid w:val="00175305"/>
    <w:rsid w:val="0017562D"/>
    <w:rsid w:val="0017589F"/>
    <w:rsid w:val="001759B8"/>
    <w:rsid w:val="00175DD7"/>
    <w:rsid w:val="00175E77"/>
    <w:rsid w:val="00175FDA"/>
    <w:rsid w:val="001761CA"/>
    <w:rsid w:val="001761D9"/>
    <w:rsid w:val="00176643"/>
    <w:rsid w:val="001767E1"/>
    <w:rsid w:val="00176836"/>
    <w:rsid w:val="001768A8"/>
    <w:rsid w:val="00176BD4"/>
    <w:rsid w:val="00176D33"/>
    <w:rsid w:val="00176EB3"/>
    <w:rsid w:val="001772A4"/>
    <w:rsid w:val="0017758E"/>
    <w:rsid w:val="00177650"/>
    <w:rsid w:val="0017769C"/>
    <w:rsid w:val="001776D7"/>
    <w:rsid w:val="00177AD5"/>
    <w:rsid w:val="00177FBC"/>
    <w:rsid w:val="0018040A"/>
    <w:rsid w:val="0018055F"/>
    <w:rsid w:val="001808D0"/>
    <w:rsid w:val="001808F6"/>
    <w:rsid w:val="00180C9B"/>
    <w:rsid w:val="00180E5A"/>
    <w:rsid w:val="00180FC3"/>
    <w:rsid w:val="0018102E"/>
    <w:rsid w:val="00181749"/>
    <w:rsid w:val="0018175E"/>
    <w:rsid w:val="001817E9"/>
    <w:rsid w:val="00181A9B"/>
    <w:rsid w:val="00181C4B"/>
    <w:rsid w:val="00181D9A"/>
    <w:rsid w:val="00181EF6"/>
    <w:rsid w:val="00182053"/>
    <w:rsid w:val="001820EA"/>
    <w:rsid w:val="00182173"/>
    <w:rsid w:val="001821DB"/>
    <w:rsid w:val="00182334"/>
    <w:rsid w:val="00182412"/>
    <w:rsid w:val="001825D7"/>
    <w:rsid w:val="00182865"/>
    <w:rsid w:val="001829A4"/>
    <w:rsid w:val="00182A60"/>
    <w:rsid w:val="00182BB3"/>
    <w:rsid w:val="00182E67"/>
    <w:rsid w:val="00183296"/>
    <w:rsid w:val="001833E3"/>
    <w:rsid w:val="001834FA"/>
    <w:rsid w:val="001837C3"/>
    <w:rsid w:val="001837EB"/>
    <w:rsid w:val="00183853"/>
    <w:rsid w:val="001838FA"/>
    <w:rsid w:val="00183B6E"/>
    <w:rsid w:val="00183D5C"/>
    <w:rsid w:val="00183E93"/>
    <w:rsid w:val="00183EF6"/>
    <w:rsid w:val="001844DB"/>
    <w:rsid w:val="0018452A"/>
    <w:rsid w:val="00184696"/>
    <w:rsid w:val="001846B7"/>
    <w:rsid w:val="0018470C"/>
    <w:rsid w:val="001847BE"/>
    <w:rsid w:val="00184A10"/>
    <w:rsid w:val="00184D97"/>
    <w:rsid w:val="00184E86"/>
    <w:rsid w:val="00184EB2"/>
    <w:rsid w:val="00184F2E"/>
    <w:rsid w:val="00184F69"/>
    <w:rsid w:val="00185102"/>
    <w:rsid w:val="00185241"/>
    <w:rsid w:val="0018525B"/>
    <w:rsid w:val="001852C4"/>
    <w:rsid w:val="0018575B"/>
    <w:rsid w:val="00185B2B"/>
    <w:rsid w:val="00185CFC"/>
    <w:rsid w:val="00185E37"/>
    <w:rsid w:val="00185F46"/>
    <w:rsid w:val="00186106"/>
    <w:rsid w:val="00186133"/>
    <w:rsid w:val="00186200"/>
    <w:rsid w:val="00186295"/>
    <w:rsid w:val="001864DE"/>
    <w:rsid w:val="0018662E"/>
    <w:rsid w:val="001868DC"/>
    <w:rsid w:val="001868FC"/>
    <w:rsid w:val="00186935"/>
    <w:rsid w:val="00186AFC"/>
    <w:rsid w:val="00186CB4"/>
    <w:rsid w:val="00186D54"/>
    <w:rsid w:val="00186F5A"/>
    <w:rsid w:val="0018718E"/>
    <w:rsid w:val="00187266"/>
    <w:rsid w:val="0018765A"/>
    <w:rsid w:val="00187F78"/>
    <w:rsid w:val="00187F87"/>
    <w:rsid w:val="00190374"/>
    <w:rsid w:val="00190524"/>
    <w:rsid w:val="001905A9"/>
    <w:rsid w:val="0019097A"/>
    <w:rsid w:val="00190C7B"/>
    <w:rsid w:val="00190D51"/>
    <w:rsid w:val="00190D5B"/>
    <w:rsid w:val="00190E9A"/>
    <w:rsid w:val="0019125B"/>
    <w:rsid w:val="001915B3"/>
    <w:rsid w:val="00191730"/>
    <w:rsid w:val="00191DC6"/>
    <w:rsid w:val="00191F80"/>
    <w:rsid w:val="00192065"/>
    <w:rsid w:val="0019219D"/>
    <w:rsid w:val="00192309"/>
    <w:rsid w:val="0019230E"/>
    <w:rsid w:val="0019236B"/>
    <w:rsid w:val="0019259B"/>
    <w:rsid w:val="001925ED"/>
    <w:rsid w:val="00192AB5"/>
    <w:rsid w:val="00192B12"/>
    <w:rsid w:val="00192D0A"/>
    <w:rsid w:val="00192E4F"/>
    <w:rsid w:val="00193187"/>
    <w:rsid w:val="00193215"/>
    <w:rsid w:val="001936D5"/>
    <w:rsid w:val="00193717"/>
    <w:rsid w:val="00193A96"/>
    <w:rsid w:val="00193B20"/>
    <w:rsid w:val="00193D84"/>
    <w:rsid w:val="00193F7F"/>
    <w:rsid w:val="0019430B"/>
    <w:rsid w:val="00194513"/>
    <w:rsid w:val="00194945"/>
    <w:rsid w:val="00195070"/>
    <w:rsid w:val="001958AA"/>
    <w:rsid w:val="00195CAB"/>
    <w:rsid w:val="00195DF4"/>
    <w:rsid w:val="00195EB5"/>
    <w:rsid w:val="0019679F"/>
    <w:rsid w:val="0019691D"/>
    <w:rsid w:val="001969E2"/>
    <w:rsid w:val="00196A6D"/>
    <w:rsid w:val="00196E9A"/>
    <w:rsid w:val="00196F05"/>
    <w:rsid w:val="0019700F"/>
    <w:rsid w:val="0019736F"/>
    <w:rsid w:val="00197483"/>
    <w:rsid w:val="00197688"/>
    <w:rsid w:val="00197F15"/>
    <w:rsid w:val="00197FFD"/>
    <w:rsid w:val="001A00C0"/>
    <w:rsid w:val="001A03BD"/>
    <w:rsid w:val="001A03FF"/>
    <w:rsid w:val="001A0498"/>
    <w:rsid w:val="001A0579"/>
    <w:rsid w:val="001A0864"/>
    <w:rsid w:val="001A0B32"/>
    <w:rsid w:val="001A0CE8"/>
    <w:rsid w:val="001A0F82"/>
    <w:rsid w:val="001A10CC"/>
    <w:rsid w:val="001A120C"/>
    <w:rsid w:val="001A1378"/>
    <w:rsid w:val="001A13D4"/>
    <w:rsid w:val="001A1461"/>
    <w:rsid w:val="001A1E13"/>
    <w:rsid w:val="001A24BD"/>
    <w:rsid w:val="001A2A6F"/>
    <w:rsid w:val="001A2C21"/>
    <w:rsid w:val="001A2C49"/>
    <w:rsid w:val="001A2C4A"/>
    <w:rsid w:val="001A2C99"/>
    <w:rsid w:val="001A2EAD"/>
    <w:rsid w:val="001A2F27"/>
    <w:rsid w:val="001A2FDA"/>
    <w:rsid w:val="001A327F"/>
    <w:rsid w:val="001A3397"/>
    <w:rsid w:val="001A35AF"/>
    <w:rsid w:val="001A381F"/>
    <w:rsid w:val="001A3C25"/>
    <w:rsid w:val="001A3C93"/>
    <w:rsid w:val="001A3DB7"/>
    <w:rsid w:val="001A3E10"/>
    <w:rsid w:val="001A3E15"/>
    <w:rsid w:val="001A3E40"/>
    <w:rsid w:val="001A40C4"/>
    <w:rsid w:val="001A49AE"/>
    <w:rsid w:val="001A4CD5"/>
    <w:rsid w:val="001A4EF0"/>
    <w:rsid w:val="001A51C3"/>
    <w:rsid w:val="001A52B7"/>
    <w:rsid w:val="001A53DA"/>
    <w:rsid w:val="001A5466"/>
    <w:rsid w:val="001A54DB"/>
    <w:rsid w:val="001A58E6"/>
    <w:rsid w:val="001A5B14"/>
    <w:rsid w:val="001A5BBD"/>
    <w:rsid w:val="001A5C4C"/>
    <w:rsid w:val="001A5C8D"/>
    <w:rsid w:val="001A6390"/>
    <w:rsid w:val="001A642B"/>
    <w:rsid w:val="001A65F1"/>
    <w:rsid w:val="001A65F4"/>
    <w:rsid w:val="001A6734"/>
    <w:rsid w:val="001A6763"/>
    <w:rsid w:val="001A69D1"/>
    <w:rsid w:val="001A69D6"/>
    <w:rsid w:val="001A6CA6"/>
    <w:rsid w:val="001A6CC7"/>
    <w:rsid w:val="001A6FB1"/>
    <w:rsid w:val="001A7129"/>
    <w:rsid w:val="001A72F4"/>
    <w:rsid w:val="001A74F4"/>
    <w:rsid w:val="001A7559"/>
    <w:rsid w:val="001A75B7"/>
    <w:rsid w:val="001A786A"/>
    <w:rsid w:val="001A78A9"/>
    <w:rsid w:val="001A78EB"/>
    <w:rsid w:val="001A7C09"/>
    <w:rsid w:val="001A7CFE"/>
    <w:rsid w:val="001A7D33"/>
    <w:rsid w:val="001A7DA7"/>
    <w:rsid w:val="001B0001"/>
    <w:rsid w:val="001B0482"/>
    <w:rsid w:val="001B04BC"/>
    <w:rsid w:val="001B05DE"/>
    <w:rsid w:val="001B0783"/>
    <w:rsid w:val="001B0863"/>
    <w:rsid w:val="001B0BFC"/>
    <w:rsid w:val="001B0CD8"/>
    <w:rsid w:val="001B0CE2"/>
    <w:rsid w:val="001B0DB7"/>
    <w:rsid w:val="001B0E6C"/>
    <w:rsid w:val="001B1101"/>
    <w:rsid w:val="001B11CC"/>
    <w:rsid w:val="001B1251"/>
    <w:rsid w:val="001B1745"/>
    <w:rsid w:val="001B1BDA"/>
    <w:rsid w:val="001B1EAB"/>
    <w:rsid w:val="001B2099"/>
    <w:rsid w:val="001B2206"/>
    <w:rsid w:val="001B23F1"/>
    <w:rsid w:val="001B24B2"/>
    <w:rsid w:val="001B27D8"/>
    <w:rsid w:val="001B2CBA"/>
    <w:rsid w:val="001B2F3D"/>
    <w:rsid w:val="001B347C"/>
    <w:rsid w:val="001B372B"/>
    <w:rsid w:val="001B39E1"/>
    <w:rsid w:val="001B3AAA"/>
    <w:rsid w:val="001B4011"/>
    <w:rsid w:val="001B4089"/>
    <w:rsid w:val="001B41C7"/>
    <w:rsid w:val="001B43A1"/>
    <w:rsid w:val="001B44F7"/>
    <w:rsid w:val="001B48D4"/>
    <w:rsid w:val="001B49A5"/>
    <w:rsid w:val="001B4B3D"/>
    <w:rsid w:val="001B4E2E"/>
    <w:rsid w:val="001B50A7"/>
    <w:rsid w:val="001B5229"/>
    <w:rsid w:val="001B542E"/>
    <w:rsid w:val="001B5591"/>
    <w:rsid w:val="001B5691"/>
    <w:rsid w:val="001B56C4"/>
    <w:rsid w:val="001B56E9"/>
    <w:rsid w:val="001B619E"/>
    <w:rsid w:val="001B6CB8"/>
    <w:rsid w:val="001B6D65"/>
    <w:rsid w:val="001B7143"/>
    <w:rsid w:val="001B726C"/>
    <w:rsid w:val="001B7444"/>
    <w:rsid w:val="001B744D"/>
    <w:rsid w:val="001B76B9"/>
    <w:rsid w:val="001B79BA"/>
    <w:rsid w:val="001B79EC"/>
    <w:rsid w:val="001B7BCA"/>
    <w:rsid w:val="001C01C9"/>
    <w:rsid w:val="001C0382"/>
    <w:rsid w:val="001C042E"/>
    <w:rsid w:val="001C04CD"/>
    <w:rsid w:val="001C0702"/>
    <w:rsid w:val="001C0875"/>
    <w:rsid w:val="001C0C74"/>
    <w:rsid w:val="001C0D2A"/>
    <w:rsid w:val="001C0DC9"/>
    <w:rsid w:val="001C0E63"/>
    <w:rsid w:val="001C0FF8"/>
    <w:rsid w:val="001C149F"/>
    <w:rsid w:val="001C1616"/>
    <w:rsid w:val="001C1696"/>
    <w:rsid w:val="001C1879"/>
    <w:rsid w:val="001C18B6"/>
    <w:rsid w:val="001C1921"/>
    <w:rsid w:val="001C1A5F"/>
    <w:rsid w:val="001C1B19"/>
    <w:rsid w:val="001C237B"/>
    <w:rsid w:val="001C2724"/>
    <w:rsid w:val="001C28B0"/>
    <w:rsid w:val="001C28D5"/>
    <w:rsid w:val="001C301E"/>
    <w:rsid w:val="001C3189"/>
    <w:rsid w:val="001C34BF"/>
    <w:rsid w:val="001C35ED"/>
    <w:rsid w:val="001C361F"/>
    <w:rsid w:val="001C37FA"/>
    <w:rsid w:val="001C3C11"/>
    <w:rsid w:val="001C3C77"/>
    <w:rsid w:val="001C3D3C"/>
    <w:rsid w:val="001C3EC9"/>
    <w:rsid w:val="001C3FEE"/>
    <w:rsid w:val="001C4047"/>
    <w:rsid w:val="001C4091"/>
    <w:rsid w:val="001C40BE"/>
    <w:rsid w:val="001C4112"/>
    <w:rsid w:val="001C4142"/>
    <w:rsid w:val="001C416B"/>
    <w:rsid w:val="001C4537"/>
    <w:rsid w:val="001C4695"/>
    <w:rsid w:val="001C4893"/>
    <w:rsid w:val="001C4A33"/>
    <w:rsid w:val="001C4D3B"/>
    <w:rsid w:val="001C5013"/>
    <w:rsid w:val="001C52B6"/>
    <w:rsid w:val="001C54FE"/>
    <w:rsid w:val="001C56F6"/>
    <w:rsid w:val="001C5819"/>
    <w:rsid w:val="001C5910"/>
    <w:rsid w:val="001C613A"/>
    <w:rsid w:val="001C669F"/>
    <w:rsid w:val="001C66EC"/>
    <w:rsid w:val="001C67FF"/>
    <w:rsid w:val="001C6B53"/>
    <w:rsid w:val="001C6F4B"/>
    <w:rsid w:val="001C7131"/>
    <w:rsid w:val="001C78C9"/>
    <w:rsid w:val="001C7A84"/>
    <w:rsid w:val="001C7C2A"/>
    <w:rsid w:val="001C7CF1"/>
    <w:rsid w:val="001D033C"/>
    <w:rsid w:val="001D058C"/>
    <w:rsid w:val="001D0AAD"/>
    <w:rsid w:val="001D0EAE"/>
    <w:rsid w:val="001D0EC0"/>
    <w:rsid w:val="001D0F91"/>
    <w:rsid w:val="001D0FE7"/>
    <w:rsid w:val="001D119B"/>
    <w:rsid w:val="001D12B3"/>
    <w:rsid w:val="001D14EF"/>
    <w:rsid w:val="001D1695"/>
    <w:rsid w:val="001D1753"/>
    <w:rsid w:val="001D1DA4"/>
    <w:rsid w:val="001D23AF"/>
    <w:rsid w:val="001D26FF"/>
    <w:rsid w:val="001D2718"/>
    <w:rsid w:val="001D2806"/>
    <w:rsid w:val="001D28C1"/>
    <w:rsid w:val="001D2B4D"/>
    <w:rsid w:val="001D2D56"/>
    <w:rsid w:val="001D357E"/>
    <w:rsid w:val="001D3610"/>
    <w:rsid w:val="001D36C0"/>
    <w:rsid w:val="001D37E8"/>
    <w:rsid w:val="001D3DB3"/>
    <w:rsid w:val="001D3EB7"/>
    <w:rsid w:val="001D3EE6"/>
    <w:rsid w:val="001D41E7"/>
    <w:rsid w:val="001D4A7D"/>
    <w:rsid w:val="001D4CD5"/>
    <w:rsid w:val="001D4E60"/>
    <w:rsid w:val="001D4ECE"/>
    <w:rsid w:val="001D51F3"/>
    <w:rsid w:val="001D544B"/>
    <w:rsid w:val="001D554B"/>
    <w:rsid w:val="001D5A07"/>
    <w:rsid w:val="001D5A8B"/>
    <w:rsid w:val="001D678A"/>
    <w:rsid w:val="001D68D6"/>
    <w:rsid w:val="001D6979"/>
    <w:rsid w:val="001D6A55"/>
    <w:rsid w:val="001D6E13"/>
    <w:rsid w:val="001D7439"/>
    <w:rsid w:val="001D74DE"/>
    <w:rsid w:val="001D7681"/>
    <w:rsid w:val="001D76B5"/>
    <w:rsid w:val="001D7710"/>
    <w:rsid w:val="001D7905"/>
    <w:rsid w:val="001D7BE1"/>
    <w:rsid w:val="001D7E67"/>
    <w:rsid w:val="001D7F52"/>
    <w:rsid w:val="001E0086"/>
    <w:rsid w:val="001E018A"/>
    <w:rsid w:val="001E02D4"/>
    <w:rsid w:val="001E0401"/>
    <w:rsid w:val="001E06ED"/>
    <w:rsid w:val="001E0773"/>
    <w:rsid w:val="001E0A37"/>
    <w:rsid w:val="001E0B57"/>
    <w:rsid w:val="001E0E27"/>
    <w:rsid w:val="001E1278"/>
    <w:rsid w:val="001E1304"/>
    <w:rsid w:val="001E1375"/>
    <w:rsid w:val="001E138B"/>
    <w:rsid w:val="001E1992"/>
    <w:rsid w:val="001E1B36"/>
    <w:rsid w:val="001E1CC6"/>
    <w:rsid w:val="001E1D2D"/>
    <w:rsid w:val="001E1FB0"/>
    <w:rsid w:val="001E2168"/>
    <w:rsid w:val="001E21F9"/>
    <w:rsid w:val="001E2295"/>
    <w:rsid w:val="001E2460"/>
    <w:rsid w:val="001E2628"/>
    <w:rsid w:val="001E26B1"/>
    <w:rsid w:val="001E2CE3"/>
    <w:rsid w:val="001E31FE"/>
    <w:rsid w:val="001E3264"/>
    <w:rsid w:val="001E3354"/>
    <w:rsid w:val="001E34E3"/>
    <w:rsid w:val="001E34FF"/>
    <w:rsid w:val="001E37F8"/>
    <w:rsid w:val="001E385A"/>
    <w:rsid w:val="001E387B"/>
    <w:rsid w:val="001E397C"/>
    <w:rsid w:val="001E3997"/>
    <w:rsid w:val="001E39D1"/>
    <w:rsid w:val="001E3A91"/>
    <w:rsid w:val="001E3B0A"/>
    <w:rsid w:val="001E3DDA"/>
    <w:rsid w:val="001E3E89"/>
    <w:rsid w:val="001E42D2"/>
    <w:rsid w:val="001E4366"/>
    <w:rsid w:val="001E450A"/>
    <w:rsid w:val="001E4902"/>
    <w:rsid w:val="001E4A00"/>
    <w:rsid w:val="001E4CA0"/>
    <w:rsid w:val="001E4CDC"/>
    <w:rsid w:val="001E5205"/>
    <w:rsid w:val="001E52E7"/>
    <w:rsid w:val="001E53C3"/>
    <w:rsid w:val="001E5456"/>
    <w:rsid w:val="001E5637"/>
    <w:rsid w:val="001E596B"/>
    <w:rsid w:val="001E5A4D"/>
    <w:rsid w:val="001E5B7C"/>
    <w:rsid w:val="001E5BB6"/>
    <w:rsid w:val="001E5FB8"/>
    <w:rsid w:val="001E643A"/>
    <w:rsid w:val="001E64E4"/>
    <w:rsid w:val="001E6505"/>
    <w:rsid w:val="001E66C5"/>
    <w:rsid w:val="001E6723"/>
    <w:rsid w:val="001E6B7A"/>
    <w:rsid w:val="001E6BF9"/>
    <w:rsid w:val="001E6C28"/>
    <w:rsid w:val="001E7608"/>
    <w:rsid w:val="001E7659"/>
    <w:rsid w:val="001E7A5A"/>
    <w:rsid w:val="001E7A70"/>
    <w:rsid w:val="001E7D81"/>
    <w:rsid w:val="001E7F22"/>
    <w:rsid w:val="001F0218"/>
    <w:rsid w:val="001F0632"/>
    <w:rsid w:val="001F08AD"/>
    <w:rsid w:val="001F0CC4"/>
    <w:rsid w:val="001F0DB7"/>
    <w:rsid w:val="001F0E37"/>
    <w:rsid w:val="001F1389"/>
    <w:rsid w:val="001F13DA"/>
    <w:rsid w:val="001F166C"/>
    <w:rsid w:val="001F1A14"/>
    <w:rsid w:val="001F1B4A"/>
    <w:rsid w:val="001F1CDB"/>
    <w:rsid w:val="001F1F44"/>
    <w:rsid w:val="001F1FFF"/>
    <w:rsid w:val="001F2431"/>
    <w:rsid w:val="001F24A7"/>
    <w:rsid w:val="001F24F3"/>
    <w:rsid w:val="001F282E"/>
    <w:rsid w:val="001F28EA"/>
    <w:rsid w:val="001F292B"/>
    <w:rsid w:val="001F2931"/>
    <w:rsid w:val="001F2AA0"/>
    <w:rsid w:val="001F2C54"/>
    <w:rsid w:val="001F2C69"/>
    <w:rsid w:val="001F2F9F"/>
    <w:rsid w:val="001F32FA"/>
    <w:rsid w:val="001F3AD3"/>
    <w:rsid w:val="001F3C43"/>
    <w:rsid w:val="001F3D38"/>
    <w:rsid w:val="001F40AA"/>
    <w:rsid w:val="001F426E"/>
    <w:rsid w:val="001F4854"/>
    <w:rsid w:val="001F48F2"/>
    <w:rsid w:val="001F495E"/>
    <w:rsid w:val="001F4D40"/>
    <w:rsid w:val="001F4D63"/>
    <w:rsid w:val="001F4F87"/>
    <w:rsid w:val="001F5029"/>
    <w:rsid w:val="001F5071"/>
    <w:rsid w:val="001F5103"/>
    <w:rsid w:val="001F512E"/>
    <w:rsid w:val="001F5299"/>
    <w:rsid w:val="001F52AD"/>
    <w:rsid w:val="001F5363"/>
    <w:rsid w:val="001F5C39"/>
    <w:rsid w:val="001F66FC"/>
    <w:rsid w:val="001F6A98"/>
    <w:rsid w:val="001F6C89"/>
    <w:rsid w:val="001F6CA9"/>
    <w:rsid w:val="001F6ECD"/>
    <w:rsid w:val="001F6F94"/>
    <w:rsid w:val="001F7290"/>
    <w:rsid w:val="001F72E0"/>
    <w:rsid w:val="001F7737"/>
    <w:rsid w:val="001F7C35"/>
    <w:rsid w:val="001F7CE2"/>
    <w:rsid w:val="001F7DDA"/>
    <w:rsid w:val="0020000D"/>
    <w:rsid w:val="002004A3"/>
    <w:rsid w:val="00200504"/>
    <w:rsid w:val="002006E4"/>
    <w:rsid w:val="00200AF5"/>
    <w:rsid w:val="00200C1B"/>
    <w:rsid w:val="00200FDF"/>
    <w:rsid w:val="002010E0"/>
    <w:rsid w:val="002014B5"/>
    <w:rsid w:val="00201C48"/>
    <w:rsid w:val="00202195"/>
    <w:rsid w:val="0020244F"/>
    <w:rsid w:val="0020288C"/>
    <w:rsid w:val="002028A6"/>
    <w:rsid w:val="00202F44"/>
    <w:rsid w:val="0020306F"/>
    <w:rsid w:val="002033FC"/>
    <w:rsid w:val="00203662"/>
    <w:rsid w:val="002039E6"/>
    <w:rsid w:val="00203A9F"/>
    <w:rsid w:val="00203B43"/>
    <w:rsid w:val="002040D1"/>
    <w:rsid w:val="002042EB"/>
    <w:rsid w:val="002043F4"/>
    <w:rsid w:val="00204642"/>
    <w:rsid w:val="0020478A"/>
    <w:rsid w:val="00204B46"/>
    <w:rsid w:val="00205243"/>
    <w:rsid w:val="002057C8"/>
    <w:rsid w:val="00205D7E"/>
    <w:rsid w:val="00206224"/>
    <w:rsid w:val="002063AC"/>
    <w:rsid w:val="0020643A"/>
    <w:rsid w:val="002065C7"/>
    <w:rsid w:val="002065DE"/>
    <w:rsid w:val="00206896"/>
    <w:rsid w:val="00206F74"/>
    <w:rsid w:val="002070A1"/>
    <w:rsid w:val="002070EA"/>
    <w:rsid w:val="0020753B"/>
    <w:rsid w:val="00207806"/>
    <w:rsid w:val="0021082E"/>
    <w:rsid w:val="00210A10"/>
    <w:rsid w:val="00210AC3"/>
    <w:rsid w:val="00210AD6"/>
    <w:rsid w:val="00210BA8"/>
    <w:rsid w:val="002111C8"/>
    <w:rsid w:val="0021136A"/>
    <w:rsid w:val="002113EE"/>
    <w:rsid w:val="002116BA"/>
    <w:rsid w:val="0021175C"/>
    <w:rsid w:val="00211775"/>
    <w:rsid w:val="002117DE"/>
    <w:rsid w:val="002117EF"/>
    <w:rsid w:val="002119FC"/>
    <w:rsid w:val="00211A76"/>
    <w:rsid w:val="00211AB0"/>
    <w:rsid w:val="00211ABE"/>
    <w:rsid w:val="00211C99"/>
    <w:rsid w:val="00211CB5"/>
    <w:rsid w:val="00211CC5"/>
    <w:rsid w:val="00211DEB"/>
    <w:rsid w:val="00211E93"/>
    <w:rsid w:val="00212556"/>
    <w:rsid w:val="00212611"/>
    <w:rsid w:val="00212F40"/>
    <w:rsid w:val="002137B2"/>
    <w:rsid w:val="00213976"/>
    <w:rsid w:val="00213A2E"/>
    <w:rsid w:val="00213A3C"/>
    <w:rsid w:val="00213D8C"/>
    <w:rsid w:val="00213DEB"/>
    <w:rsid w:val="002147DB"/>
    <w:rsid w:val="002149AE"/>
    <w:rsid w:val="00214A1E"/>
    <w:rsid w:val="00214B1A"/>
    <w:rsid w:val="00214C96"/>
    <w:rsid w:val="00214FAB"/>
    <w:rsid w:val="002151EA"/>
    <w:rsid w:val="002152C8"/>
    <w:rsid w:val="0021585C"/>
    <w:rsid w:val="00215C31"/>
    <w:rsid w:val="002164D6"/>
    <w:rsid w:val="002165EB"/>
    <w:rsid w:val="002166B8"/>
    <w:rsid w:val="00216EE8"/>
    <w:rsid w:val="00217334"/>
    <w:rsid w:val="0021734D"/>
    <w:rsid w:val="002176B6"/>
    <w:rsid w:val="00217724"/>
    <w:rsid w:val="002178FD"/>
    <w:rsid w:val="00217B63"/>
    <w:rsid w:val="00217CC0"/>
    <w:rsid w:val="00217E47"/>
    <w:rsid w:val="002200CA"/>
    <w:rsid w:val="00220563"/>
    <w:rsid w:val="00220D53"/>
    <w:rsid w:val="00220D61"/>
    <w:rsid w:val="002215A2"/>
    <w:rsid w:val="0022182B"/>
    <w:rsid w:val="00221AB0"/>
    <w:rsid w:val="00221D0F"/>
    <w:rsid w:val="00221D89"/>
    <w:rsid w:val="00222663"/>
    <w:rsid w:val="0022270F"/>
    <w:rsid w:val="002227D1"/>
    <w:rsid w:val="00222892"/>
    <w:rsid w:val="00222936"/>
    <w:rsid w:val="00222B6F"/>
    <w:rsid w:val="00222C7B"/>
    <w:rsid w:val="002233B9"/>
    <w:rsid w:val="00223B63"/>
    <w:rsid w:val="00223E7A"/>
    <w:rsid w:val="00224128"/>
    <w:rsid w:val="002241E1"/>
    <w:rsid w:val="0022427F"/>
    <w:rsid w:val="002247E2"/>
    <w:rsid w:val="00224D3B"/>
    <w:rsid w:val="0022519B"/>
    <w:rsid w:val="00225798"/>
    <w:rsid w:val="0022592A"/>
    <w:rsid w:val="00226053"/>
    <w:rsid w:val="0022649D"/>
    <w:rsid w:val="00226551"/>
    <w:rsid w:val="00226794"/>
    <w:rsid w:val="002269BF"/>
    <w:rsid w:val="00226A56"/>
    <w:rsid w:val="00226A61"/>
    <w:rsid w:val="00226E59"/>
    <w:rsid w:val="00226F6D"/>
    <w:rsid w:val="00226FFA"/>
    <w:rsid w:val="002270DB"/>
    <w:rsid w:val="002272DB"/>
    <w:rsid w:val="002273F3"/>
    <w:rsid w:val="002276AF"/>
    <w:rsid w:val="0022788E"/>
    <w:rsid w:val="00227B58"/>
    <w:rsid w:val="00230261"/>
    <w:rsid w:val="00230410"/>
    <w:rsid w:val="00230436"/>
    <w:rsid w:val="00230591"/>
    <w:rsid w:val="00230939"/>
    <w:rsid w:val="0023096D"/>
    <w:rsid w:val="002309A3"/>
    <w:rsid w:val="002309C0"/>
    <w:rsid w:val="00230E3E"/>
    <w:rsid w:val="00231193"/>
    <w:rsid w:val="00231195"/>
    <w:rsid w:val="002311B3"/>
    <w:rsid w:val="00231722"/>
    <w:rsid w:val="002317E4"/>
    <w:rsid w:val="00231805"/>
    <w:rsid w:val="00231B52"/>
    <w:rsid w:val="00231C44"/>
    <w:rsid w:val="0023211B"/>
    <w:rsid w:val="002324DC"/>
    <w:rsid w:val="002327FD"/>
    <w:rsid w:val="00232EC3"/>
    <w:rsid w:val="002330EA"/>
    <w:rsid w:val="002331A8"/>
    <w:rsid w:val="0023346F"/>
    <w:rsid w:val="00233AEF"/>
    <w:rsid w:val="00233B25"/>
    <w:rsid w:val="00233E3D"/>
    <w:rsid w:val="00234089"/>
    <w:rsid w:val="00234276"/>
    <w:rsid w:val="002342A7"/>
    <w:rsid w:val="0023451F"/>
    <w:rsid w:val="00234819"/>
    <w:rsid w:val="00234A68"/>
    <w:rsid w:val="00235069"/>
    <w:rsid w:val="00235281"/>
    <w:rsid w:val="0023532D"/>
    <w:rsid w:val="00235980"/>
    <w:rsid w:val="00235A09"/>
    <w:rsid w:val="00235B4B"/>
    <w:rsid w:val="00235B98"/>
    <w:rsid w:val="00235BB5"/>
    <w:rsid w:val="00235E28"/>
    <w:rsid w:val="00235F9A"/>
    <w:rsid w:val="002360BA"/>
    <w:rsid w:val="00236369"/>
    <w:rsid w:val="00236672"/>
    <w:rsid w:val="0023689F"/>
    <w:rsid w:val="002368D4"/>
    <w:rsid w:val="00236A3B"/>
    <w:rsid w:val="00236B3D"/>
    <w:rsid w:val="00236D7E"/>
    <w:rsid w:val="00236E63"/>
    <w:rsid w:val="00236E9B"/>
    <w:rsid w:val="00237232"/>
    <w:rsid w:val="002372F6"/>
    <w:rsid w:val="00237660"/>
    <w:rsid w:val="00237723"/>
    <w:rsid w:val="00237D8D"/>
    <w:rsid w:val="00237E4B"/>
    <w:rsid w:val="002403B1"/>
    <w:rsid w:val="002403B2"/>
    <w:rsid w:val="00240D3D"/>
    <w:rsid w:val="002412CF"/>
    <w:rsid w:val="00241435"/>
    <w:rsid w:val="002418C3"/>
    <w:rsid w:val="00241BB8"/>
    <w:rsid w:val="00241D55"/>
    <w:rsid w:val="00241D96"/>
    <w:rsid w:val="00241F3E"/>
    <w:rsid w:val="00241F68"/>
    <w:rsid w:val="002423AA"/>
    <w:rsid w:val="002423B3"/>
    <w:rsid w:val="00242935"/>
    <w:rsid w:val="00242A66"/>
    <w:rsid w:val="00242C99"/>
    <w:rsid w:val="00242DDF"/>
    <w:rsid w:val="00242F90"/>
    <w:rsid w:val="00242F96"/>
    <w:rsid w:val="00243061"/>
    <w:rsid w:val="002430D1"/>
    <w:rsid w:val="002434FA"/>
    <w:rsid w:val="00243585"/>
    <w:rsid w:val="002436A3"/>
    <w:rsid w:val="00243A05"/>
    <w:rsid w:val="00243EC7"/>
    <w:rsid w:val="002449FC"/>
    <w:rsid w:val="00244B63"/>
    <w:rsid w:val="00244BDD"/>
    <w:rsid w:val="00244F77"/>
    <w:rsid w:val="00245610"/>
    <w:rsid w:val="0024568D"/>
    <w:rsid w:val="0024573A"/>
    <w:rsid w:val="00245B07"/>
    <w:rsid w:val="00245C7E"/>
    <w:rsid w:val="00245DA9"/>
    <w:rsid w:val="00245E6B"/>
    <w:rsid w:val="00245E8B"/>
    <w:rsid w:val="0024602E"/>
    <w:rsid w:val="0024628A"/>
    <w:rsid w:val="00246526"/>
    <w:rsid w:val="0024675F"/>
    <w:rsid w:val="002468B8"/>
    <w:rsid w:val="00246B94"/>
    <w:rsid w:val="00246BFF"/>
    <w:rsid w:val="00246D91"/>
    <w:rsid w:val="00246E56"/>
    <w:rsid w:val="00246FE7"/>
    <w:rsid w:val="002473CF"/>
    <w:rsid w:val="002475A3"/>
    <w:rsid w:val="002475AF"/>
    <w:rsid w:val="00247630"/>
    <w:rsid w:val="00247774"/>
    <w:rsid w:val="002477DF"/>
    <w:rsid w:val="00247AD0"/>
    <w:rsid w:val="00247B16"/>
    <w:rsid w:val="00247B99"/>
    <w:rsid w:val="00247C9D"/>
    <w:rsid w:val="00247FCB"/>
    <w:rsid w:val="002502A1"/>
    <w:rsid w:val="002503ED"/>
    <w:rsid w:val="00250547"/>
    <w:rsid w:val="00250A49"/>
    <w:rsid w:val="00250DCD"/>
    <w:rsid w:val="00251013"/>
    <w:rsid w:val="00251057"/>
    <w:rsid w:val="00251117"/>
    <w:rsid w:val="0025127D"/>
    <w:rsid w:val="0025143A"/>
    <w:rsid w:val="002517F6"/>
    <w:rsid w:val="00251857"/>
    <w:rsid w:val="00251A7D"/>
    <w:rsid w:val="00251FE7"/>
    <w:rsid w:val="00252137"/>
    <w:rsid w:val="00252313"/>
    <w:rsid w:val="002524CD"/>
    <w:rsid w:val="00252C3F"/>
    <w:rsid w:val="002530C2"/>
    <w:rsid w:val="00253211"/>
    <w:rsid w:val="002537F8"/>
    <w:rsid w:val="00253A93"/>
    <w:rsid w:val="00253B8F"/>
    <w:rsid w:val="00253C66"/>
    <w:rsid w:val="00253CA0"/>
    <w:rsid w:val="00253D30"/>
    <w:rsid w:val="00253D7F"/>
    <w:rsid w:val="002543D6"/>
    <w:rsid w:val="0025477C"/>
    <w:rsid w:val="00254803"/>
    <w:rsid w:val="00254A80"/>
    <w:rsid w:val="00254D4B"/>
    <w:rsid w:val="00254D56"/>
    <w:rsid w:val="00254F69"/>
    <w:rsid w:val="00254F8E"/>
    <w:rsid w:val="002552EA"/>
    <w:rsid w:val="00255480"/>
    <w:rsid w:val="0025549C"/>
    <w:rsid w:val="002556A4"/>
    <w:rsid w:val="0025571A"/>
    <w:rsid w:val="002558D9"/>
    <w:rsid w:val="00255AD9"/>
    <w:rsid w:val="00255BE9"/>
    <w:rsid w:val="00255E48"/>
    <w:rsid w:val="00256051"/>
    <w:rsid w:val="00256207"/>
    <w:rsid w:val="00256318"/>
    <w:rsid w:val="0025636D"/>
    <w:rsid w:val="0025663C"/>
    <w:rsid w:val="0025674D"/>
    <w:rsid w:val="00256868"/>
    <w:rsid w:val="00256F91"/>
    <w:rsid w:val="00257828"/>
    <w:rsid w:val="00257865"/>
    <w:rsid w:val="00257A8E"/>
    <w:rsid w:val="00257F38"/>
    <w:rsid w:val="00260319"/>
    <w:rsid w:val="00260357"/>
    <w:rsid w:val="00260493"/>
    <w:rsid w:val="0026063A"/>
    <w:rsid w:val="0026065E"/>
    <w:rsid w:val="00260945"/>
    <w:rsid w:val="00260F01"/>
    <w:rsid w:val="00260F9C"/>
    <w:rsid w:val="002610A1"/>
    <w:rsid w:val="002611A3"/>
    <w:rsid w:val="0026150F"/>
    <w:rsid w:val="002615FD"/>
    <w:rsid w:val="00261728"/>
    <w:rsid w:val="00261C43"/>
    <w:rsid w:val="00261CBF"/>
    <w:rsid w:val="00261DC6"/>
    <w:rsid w:val="00261FE8"/>
    <w:rsid w:val="002622EB"/>
    <w:rsid w:val="00262453"/>
    <w:rsid w:val="00262D67"/>
    <w:rsid w:val="0026306D"/>
    <w:rsid w:val="002630CC"/>
    <w:rsid w:val="002632AA"/>
    <w:rsid w:val="0026340F"/>
    <w:rsid w:val="0026372D"/>
    <w:rsid w:val="00263962"/>
    <w:rsid w:val="00263C02"/>
    <w:rsid w:val="0026402F"/>
    <w:rsid w:val="00264055"/>
    <w:rsid w:val="00264063"/>
    <w:rsid w:val="002643B6"/>
    <w:rsid w:val="00264698"/>
    <w:rsid w:val="0026469E"/>
    <w:rsid w:val="00264861"/>
    <w:rsid w:val="00264915"/>
    <w:rsid w:val="00264951"/>
    <w:rsid w:val="002649FB"/>
    <w:rsid w:val="00264C63"/>
    <w:rsid w:val="00264CCA"/>
    <w:rsid w:val="00264FC5"/>
    <w:rsid w:val="002651EC"/>
    <w:rsid w:val="0026530F"/>
    <w:rsid w:val="00265352"/>
    <w:rsid w:val="0026541D"/>
    <w:rsid w:val="002654DE"/>
    <w:rsid w:val="0026560D"/>
    <w:rsid w:val="00265760"/>
    <w:rsid w:val="002658D8"/>
    <w:rsid w:val="0026596B"/>
    <w:rsid w:val="00265A0C"/>
    <w:rsid w:val="00265FBC"/>
    <w:rsid w:val="00266002"/>
    <w:rsid w:val="0026621E"/>
    <w:rsid w:val="002665F6"/>
    <w:rsid w:val="00266BB8"/>
    <w:rsid w:val="00267061"/>
    <w:rsid w:val="002670AF"/>
    <w:rsid w:val="002670F4"/>
    <w:rsid w:val="00267564"/>
    <w:rsid w:val="0026764A"/>
    <w:rsid w:val="00267739"/>
    <w:rsid w:val="00267E09"/>
    <w:rsid w:val="00267EE3"/>
    <w:rsid w:val="002702DD"/>
    <w:rsid w:val="002704E2"/>
    <w:rsid w:val="00270604"/>
    <w:rsid w:val="0027097D"/>
    <w:rsid w:val="00270AB1"/>
    <w:rsid w:val="00270ACA"/>
    <w:rsid w:val="00270C14"/>
    <w:rsid w:val="00270EBC"/>
    <w:rsid w:val="0027117B"/>
    <w:rsid w:val="002712B2"/>
    <w:rsid w:val="002712CE"/>
    <w:rsid w:val="002713B4"/>
    <w:rsid w:val="00271486"/>
    <w:rsid w:val="002714C7"/>
    <w:rsid w:val="002714F7"/>
    <w:rsid w:val="002715A6"/>
    <w:rsid w:val="0027170D"/>
    <w:rsid w:val="0027172F"/>
    <w:rsid w:val="00271CB2"/>
    <w:rsid w:val="00271E2D"/>
    <w:rsid w:val="00272084"/>
    <w:rsid w:val="00272689"/>
    <w:rsid w:val="00272762"/>
    <w:rsid w:val="00272D6F"/>
    <w:rsid w:val="002733B9"/>
    <w:rsid w:val="002735AE"/>
    <w:rsid w:val="00273772"/>
    <w:rsid w:val="00273DEF"/>
    <w:rsid w:val="00273E9F"/>
    <w:rsid w:val="00273FCA"/>
    <w:rsid w:val="00274070"/>
    <w:rsid w:val="00274149"/>
    <w:rsid w:val="0027420B"/>
    <w:rsid w:val="00274281"/>
    <w:rsid w:val="002742A1"/>
    <w:rsid w:val="00274311"/>
    <w:rsid w:val="002745FE"/>
    <w:rsid w:val="0027487F"/>
    <w:rsid w:val="00274B9D"/>
    <w:rsid w:val="00274E93"/>
    <w:rsid w:val="00274FB9"/>
    <w:rsid w:val="00275100"/>
    <w:rsid w:val="002752FF"/>
    <w:rsid w:val="00275373"/>
    <w:rsid w:val="002755E2"/>
    <w:rsid w:val="0027618E"/>
    <w:rsid w:val="00276368"/>
    <w:rsid w:val="00276A94"/>
    <w:rsid w:val="00276EF8"/>
    <w:rsid w:val="00277802"/>
    <w:rsid w:val="00277A69"/>
    <w:rsid w:val="002805B0"/>
    <w:rsid w:val="00280776"/>
    <w:rsid w:val="00280841"/>
    <w:rsid w:val="00280A7E"/>
    <w:rsid w:val="00280CAF"/>
    <w:rsid w:val="0028103F"/>
    <w:rsid w:val="00281075"/>
    <w:rsid w:val="002811D1"/>
    <w:rsid w:val="002815C2"/>
    <w:rsid w:val="002815F5"/>
    <w:rsid w:val="00281983"/>
    <w:rsid w:val="00281D42"/>
    <w:rsid w:val="00281DB8"/>
    <w:rsid w:val="00281DC1"/>
    <w:rsid w:val="00281DF8"/>
    <w:rsid w:val="00282969"/>
    <w:rsid w:val="0028297B"/>
    <w:rsid w:val="00282A13"/>
    <w:rsid w:val="00282FEF"/>
    <w:rsid w:val="00283128"/>
    <w:rsid w:val="00283230"/>
    <w:rsid w:val="002832CE"/>
    <w:rsid w:val="0028332A"/>
    <w:rsid w:val="0028332C"/>
    <w:rsid w:val="00283379"/>
    <w:rsid w:val="002841E2"/>
    <w:rsid w:val="002841E3"/>
    <w:rsid w:val="002845D9"/>
    <w:rsid w:val="0028466B"/>
    <w:rsid w:val="002847A5"/>
    <w:rsid w:val="00284965"/>
    <w:rsid w:val="00284ABE"/>
    <w:rsid w:val="00284B28"/>
    <w:rsid w:val="00284BD5"/>
    <w:rsid w:val="002858E4"/>
    <w:rsid w:val="002859C6"/>
    <w:rsid w:val="002859CD"/>
    <w:rsid w:val="00285D33"/>
    <w:rsid w:val="00285E09"/>
    <w:rsid w:val="002863C7"/>
    <w:rsid w:val="00286430"/>
    <w:rsid w:val="0028651A"/>
    <w:rsid w:val="00286BDB"/>
    <w:rsid w:val="00286C39"/>
    <w:rsid w:val="00286C7E"/>
    <w:rsid w:val="00286FDA"/>
    <w:rsid w:val="002872B8"/>
    <w:rsid w:val="00287387"/>
    <w:rsid w:val="002877C7"/>
    <w:rsid w:val="002879C4"/>
    <w:rsid w:val="00287DDE"/>
    <w:rsid w:val="00290194"/>
    <w:rsid w:val="0029039B"/>
    <w:rsid w:val="002903B3"/>
    <w:rsid w:val="0029083A"/>
    <w:rsid w:val="00290A6E"/>
    <w:rsid w:val="00290CA9"/>
    <w:rsid w:val="00290D95"/>
    <w:rsid w:val="00290F91"/>
    <w:rsid w:val="002910C7"/>
    <w:rsid w:val="002910EA"/>
    <w:rsid w:val="002913F2"/>
    <w:rsid w:val="0029176A"/>
    <w:rsid w:val="00291DAF"/>
    <w:rsid w:val="00291DB5"/>
    <w:rsid w:val="00291E21"/>
    <w:rsid w:val="00291E30"/>
    <w:rsid w:val="00291F55"/>
    <w:rsid w:val="00291F58"/>
    <w:rsid w:val="002920BE"/>
    <w:rsid w:val="002920CF"/>
    <w:rsid w:val="0029214B"/>
    <w:rsid w:val="002922EA"/>
    <w:rsid w:val="0029230B"/>
    <w:rsid w:val="002924F5"/>
    <w:rsid w:val="002926FE"/>
    <w:rsid w:val="00292826"/>
    <w:rsid w:val="00292C01"/>
    <w:rsid w:val="0029320C"/>
    <w:rsid w:val="00293305"/>
    <w:rsid w:val="00293462"/>
    <w:rsid w:val="00293492"/>
    <w:rsid w:val="0029356E"/>
    <w:rsid w:val="00293893"/>
    <w:rsid w:val="00293CAA"/>
    <w:rsid w:val="00293F75"/>
    <w:rsid w:val="00294261"/>
    <w:rsid w:val="0029456A"/>
    <w:rsid w:val="00294714"/>
    <w:rsid w:val="00294B11"/>
    <w:rsid w:val="0029502F"/>
    <w:rsid w:val="00295030"/>
    <w:rsid w:val="002952D9"/>
    <w:rsid w:val="002958E6"/>
    <w:rsid w:val="00295B60"/>
    <w:rsid w:val="00295BDF"/>
    <w:rsid w:val="00295E48"/>
    <w:rsid w:val="00296165"/>
    <w:rsid w:val="00296457"/>
    <w:rsid w:val="0029674E"/>
    <w:rsid w:val="00296762"/>
    <w:rsid w:val="0029682B"/>
    <w:rsid w:val="002968F0"/>
    <w:rsid w:val="00296DDB"/>
    <w:rsid w:val="00296E0D"/>
    <w:rsid w:val="002976C2"/>
    <w:rsid w:val="00297A88"/>
    <w:rsid w:val="00297E38"/>
    <w:rsid w:val="00297E4A"/>
    <w:rsid w:val="00297E92"/>
    <w:rsid w:val="00297EA7"/>
    <w:rsid w:val="00297FDD"/>
    <w:rsid w:val="002A01D2"/>
    <w:rsid w:val="002A0208"/>
    <w:rsid w:val="002A0670"/>
    <w:rsid w:val="002A0C2E"/>
    <w:rsid w:val="002A0E09"/>
    <w:rsid w:val="002A109B"/>
    <w:rsid w:val="002A11BA"/>
    <w:rsid w:val="002A125E"/>
    <w:rsid w:val="002A1777"/>
    <w:rsid w:val="002A1979"/>
    <w:rsid w:val="002A19C6"/>
    <w:rsid w:val="002A1AFE"/>
    <w:rsid w:val="002A1BD0"/>
    <w:rsid w:val="002A20C3"/>
    <w:rsid w:val="002A223F"/>
    <w:rsid w:val="002A23DC"/>
    <w:rsid w:val="002A2957"/>
    <w:rsid w:val="002A2A2C"/>
    <w:rsid w:val="002A2B0C"/>
    <w:rsid w:val="002A2FFA"/>
    <w:rsid w:val="002A350E"/>
    <w:rsid w:val="002A387D"/>
    <w:rsid w:val="002A3EFE"/>
    <w:rsid w:val="002A411A"/>
    <w:rsid w:val="002A4264"/>
    <w:rsid w:val="002A48CA"/>
    <w:rsid w:val="002A4901"/>
    <w:rsid w:val="002A4D04"/>
    <w:rsid w:val="002A4ECF"/>
    <w:rsid w:val="002A4F4D"/>
    <w:rsid w:val="002A52A0"/>
    <w:rsid w:val="002A5330"/>
    <w:rsid w:val="002A57AF"/>
    <w:rsid w:val="002A5BDF"/>
    <w:rsid w:val="002A6032"/>
    <w:rsid w:val="002A6361"/>
    <w:rsid w:val="002A63C3"/>
    <w:rsid w:val="002A64E2"/>
    <w:rsid w:val="002A6781"/>
    <w:rsid w:val="002A67DC"/>
    <w:rsid w:val="002A69AA"/>
    <w:rsid w:val="002A6B0C"/>
    <w:rsid w:val="002A7017"/>
    <w:rsid w:val="002A71C4"/>
    <w:rsid w:val="002A7212"/>
    <w:rsid w:val="002A7799"/>
    <w:rsid w:val="002A7D6A"/>
    <w:rsid w:val="002A7E09"/>
    <w:rsid w:val="002A7F2E"/>
    <w:rsid w:val="002B0099"/>
    <w:rsid w:val="002B0B87"/>
    <w:rsid w:val="002B0CF6"/>
    <w:rsid w:val="002B0D34"/>
    <w:rsid w:val="002B0D3F"/>
    <w:rsid w:val="002B0D9C"/>
    <w:rsid w:val="002B1041"/>
    <w:rsid w:val="002B11AF"/>
    <w:rsid w:val="002B13F3"/>
    <w:rsid w:val="002B143C"/>
    <w:rsid w:val="002B15B5"/>
    <w:rsid w:val="002B15BB"/>
    <w:rsid w:val="002B193B"/>
    <w:rsid w:val="002B1A51"/>
    <w:rsid w:val="002B20A8"/>
    <w:rsid w:val="002B219B"/>
    <w:rsid w:val="002B2784"/>
    <w:rsid w:val="002B2F68"/>
    <w:rsid w:val="002B2FE6"/>
    <w:rsid w:val="002B3147"/>
    <w:rsid w:val="002B346D"/>
    <w:rsid w:val="002B348D"/>
    <w:rsid w:val="002B34A6"/>
    <w:rsid w:val="002B3908"/>
    <w:rsid w:val="002B3910"/>
    <w:rsid w:val="002B3929"/>
    <w:rsid w:val="002B3EE6"/>
    <w:rsid w:val="002B404B"/>
    <w:rsid w:val="002B421B"/>
    <w:rsid w:val="002B424F"/>
    <w:rsid w:val="002B4735"/>
    <w:rsid w:val="002B474B"/>
    <w:rsid w:val="002B47DF"/>
    <w:rsid w:val="002B4953"/>
    <w:rsid w:val="002B49BE"/>
    <w:rsid w:val="002B4D4D"/>
    <w:rsid w:val="002B4DEB"/>
    <w:rsid w:val="002B512B"/>
    <w:rsid w:val="002B5186"/>
    <w:rsid w:val="002B525B"/>
    <w:rsid w:val="002B52F1"/>
    <w:rsid w:val="002B5342"/>
    <w:rsid w:val="002B55B7"/>
    <w:rsid w:val="002B566B"/>
    <w:rsid w:val="002B5822"/>
    <w:rsid w:val="002B5B09"/>
    <w:rsid w:val="002B5F92"/>
    <w:rsid w:val="002B6055"/>
    <w:rsid w:val="002B62E8"/>
    <w:rsid w:val="002B648C"/>
    <w:rsid w:val="002B64F9"/>
    <w:rsid w:val="002B6669"/>
    <w:rsid w:val="002B6B34"/>
    <w:rsid w:val="002B6B99"/>
    <w:rsid w:val="002B6DF8"/>
    <w:rsid w:val="002B7264"/>
    <w:rsid w:val="002B72CD"/>
    <w:rsid w:val="002B74E0"/>
    <w:rsid w:val="002B778C"/>
    <w:rsid w:val="002B77D4"/>
    <w:rsid w:val="002B7A6E"/>
    <w:rsid w:val="002B7DF3"/>
    <w:rsid w:val="002C01A1"/>
    <w:rsid w:val="002C0233"/>
    <w:rsid w:val="002C0241"/>
    <w:rsid w:val="002C032D"/>
    <w:rsid w:val="002C047D"/>
    <w:rsid w:val="002C0B33"/>
    <w:rsid w:val="002C1074"/>
    <w:rsid w:val="002C1415"/>
    <w:rsid w:val="002C14B2"/>
    <w:rsid w:val="002C15C2"/>
    <w:rsid w:val="002C16CE"/>
    <w:rsid w:val="002C1CBE"/>
    <w:rsid w:val="002C1DF5"/>
    <w:rsid w:val="002C1E26"/>
    <w:rsid w:val="002C2465"/>
    <w:rsid w:val="002C25B7"/>
    <w:rsid w:val="002C291A"/>
    <w:rsid w:val="002C2B02"/>
    <w:rsid w:val="002C2B82"/>
    <w:rsid w:val="002C2C69"/>
    <w:rsid w:val="002C3219"/>
    <w:rsid w:val="002C322F"/>
    <w:rsid w:val="002C338D"/>
    <w:rsid w:val="002C3444"/>
    <w:rsid w:val="002C34AB"/>
    <w:rsid w:val="002C3651"/>
    <w:rsid w:val="002C3985"/>
    <w:rsid w:val="002C4142"/>
    <w:rsid w:val="002C451C"/>
    <w:rsid w:val="002C4574"/>
    <w:rsid w:val="002C468B"/>
    <w:rsid w:val="002C483A"/>
    <w:rsid w:val="002C4A53"/>
    <w:rsid w:val="002C4C55"/>
    <w:rsid w:val="002C4CE5"/>
    <w:rsid w:val="002C4D1F"/>
    <w:rsid w:val="002C4E44"/>
    <w:rsid w:val="002C5812"/>
    <w:rsid w:val="002C5A9D"/>
    <w:rsid w:val="002C5FA2"/>
    <w:rsid w:val="002C6174"/>
    <w:rsid w:val="002C61F3"/>
    <w:rsid w:val="002C6288"/>
    <w:rsid w:val="002C62B0"/>
    <w:rsid w:val="002C62EE"/>
    <w:rsid w:val="002C637A"/>
    <w:rsid w:val="002C6513"/>
    <w:rsid w:val="002C6849"/>
    <w:rsid w:val="002C6BC6"/>
    <w:rsid w:val="002C701B"/>
    <w:rsid w:val="002C7067"/>
    <w:rsid w:val="002C72B5"/>
    <w:rsid w:val="002C73AD"/>
    <w:rsid w:val="002C7744"/>
    <w:rsid w:val="002C7ABB"/>
    <w:rsid w:val="002C7BA3"/>
    <w:rsid w:val="002C7CC6"/>
    <w:rsid w:val="002D0174"/>
    <w:rsid w:val="002D097F"/>
    <w:rsid w:val="002D0A22"/>
    <w:rsid w:val="002D0B98"/>
    <w:rsid w:val="002D0C6A"/>
    <w:rsid w:val="002D105B"/>
    <w:rsid w:val="002D1065"/>
    <w:rsid w:val="002D1164"/>
    <w:rsid w:val="002D1198"/>
    <w:rsid w:val="002D1269"/>
    <w:rsid w:val="002D1662"/>
    <w:rsid w:val="002D195B"/>
    <w:rsid w:val="002D1D83"/>
    <w:rsid w:val="002D1F39"/>
    <w:rsid w:val="002D22F0"/>
    <w:rsid w:val="002D27EB"/>
    <w:rsid w:val="002D2815"/>
    <w:rsid w:val="002D281A"/>
    <w:rsid w:val="002D2ABE"/>
    <w:rsid w:val="002D2DC2"/>
    <w:rsid w:val="002D2DE8"/>
    <w:rsid w:val="002D2F32"/>
    <w:rsid w:val="002D30D5"/>
    <w:rsid w:val="002D31C5"/>
    <w:rsid w:val="002D31D7"/>
    <w:rsid w:val="002D32A8"/>
    <w:rsid w:val="002D32F5"/>
    <w:rsid w:val="002D34B4"/>
    <w:rsid w:val="002D3561"/>
    <w:rsid w:val="002D36C7"/>
    <w:rsid w:val="002D36F2"/>
    <w:rsid w:val="002D3D21"/>
    <w:rsid w:val="002D3F57"/>
    <w:rsid w:val="002D4406"/>
    <w:rsid w:val="002D4577"/>
    <w:rsid w:val="002D45EA"/>
    <w:rsid w:val="002D49A6"/>
    <w:rsid w:val="002D4BCE"/>
    <w:rsid w:val="002D4D76"/>
    <w:rsid w:val="002D4EEC"/>
    <w:rsid w:val="002D4EFA"/>
    <w:rsid w:val="002D4FC6"/>
    <w:rsid w:val="002D5045"/>
    <w:rsid w:val="002D52E2"/>
    <w:rsid w:val="002D56C7"/>
    <w:rsid w:val="002D57C2"/>
    <w:rsid w:val="002D57D5"/>
    <w:rsid w:val="002D58F2"/>
    <w:rsid w:val="002D5B75"/>
    <w:rsid w:val="002D5C06"/>
    <w:rsid w:val="002D5D70"/>
    <w:rsid w:val="002D6198"/>
    <w:rsid w:val="002D624F"/>
    <w:rsid w:val="002D6342"/>
    <w:rsid w:val="002D63A8"/>
    <w:rsid w:val="002D63C2"/>
    <w:rsid w:val="002D663F"/>
    <w:rsid w:val="002D67C2"/>
    <w:rsid w:val="002D6827"/>
    <w:rsid w:val="002D69FC"/>
    <w:rsid w:val="002D6A55"/>
    <w:rsid w:val="002D6AC5"/>
    <w:rsid w:val="002D6CBD"/>
    <w:rsid w:val="002D6FDF"/>
    <w:rsid w:val="002D71AC"/>
    <w:rsid w:val="002D7579"/>
    <w:rsid w:val="002D7591"/>
    <w:rsid w:val="002D7612"/>
    <w:rsid w:val="002D79D9"/>
    <w:rsid w:val="002D7ACE"/>
    <w:rsid w:val="002D7BD3"/>
    <w:rsid w:val="002D7F72"/>
    <w:rsid w:val="002E001F"/>
    <w:rsid w:val="002E05C9"/>
    <w:rsid w:val="002E065B"/>
    <w:rsid w:val="002E089A"/>
    <w:rsid w:val="002E0AA9"/>
    <w:rsid w:val="002E0CDC"/>
    <w:rsid w:val="002E0EEF"/>
    <w:rsid w:val="002E0FD5"/>
    <w:rsid w:val="002E1167"/>
    <w:rsid w:val="002E11F8"/>
    <w:rsid w:val="002E1363"/>
    <w:rsid w:val="002E16E1"/>
    <w:rsid w:val="002E18B7"/>
    <w:rsid w:val="002E1FC1"/>
    <w:rsid w:val="002E21A0"/>
    <w:rsid w:val="002E2628"/>
    <w:rsid w:val="002E2740"/>
    <w:rsid w:val="002E2880"/>
    <w:rsid w:val="002E2CB1"/>
    <w:rsid w:val="002E2D49"/>
    <w:rsid w:val="002E2D66"/>
    <w:rsid w:val="002E3150"/>
    <w:rsid w:val="002E3262"/>
    <w:rsid w:val="002E3335"/>
    <w:rsid w:val="002E3671"/>
    <w:rsid w:val="002E3B09"/>
    <w:rsid w:val="002E3B4B"/>
    <w:rsid w:val="002E3C32"/>
    <w:rsid w:val="002E3DB7"/>
    <w:rsid w:val="002E3F4F"/>
    <w:rsid w:val="002E42D3"/>
    <w:rsid w:val="002E4533"/>
    <w:rsid w:val="002E453F"/>
    <w:rsid w:val="002E4A44"/>
    <w:rsid w:val="002E4BC0"/>
    <w:rsid w:val="002E4C62"/>
    <w:rsid w:val="002E5495"/>
    <w:rsid w:val="002E552A"/>
    <w:rsid w:val="002E594A"/>
    <w:rsid w:val="002E5A2F"/>
    <w:rsid w:val="002E5C2D"/>
    <w:rsid w:val="002E5D9B"/>
    <w:rsid w:val="002E5E2D"/>
    <w:rsid w:val="002E60CD"/>
    <w:rsid w:val="002E63F1"/>
    <w:rsid w:val="002E642D"/>
    <w:rsid w:val="002E6531"/>
    <w:rsid w:val="002E7242"/>
    <w:rsid w:val="002E7623"/>
    <w:rsid w:val="002E768A"/>
    <w:rsid w:val="002E7E84"/>
    <w:rsid w:val="002E7F38"/>
    <w:rsid w:val="002F0134"/>
    <w:rsid w:val="002F032A"/>
    <w:rsid w:val="002F0423"/>
    <w:rsid w:val="002F0762"/>
    <w:rsid w:val="002F0BF8"/>
    <w:rsid w:val="002F0E1B"/>
    <w:rsid w:val="002F0F63"/>
    <w:rsid w:val="002F1007"/>
    <w:rsid w:val="002F116A"/>
    <w:rsid w:val="002F12A9"/>
    <w:rsid w:val="002F1418"/>
    <w:rsid w:val="002F1872"/>
    <w:rsid w:val="002F1AB9"/>
    <w:rsid w:val="002F1D0C"/>
    <w:rsid w:val="002F208D"/>
    <w:rsid w:val="002F23E1"/>
    <w:rsid w:val="002F24E1"/>
    <w:rsid w:val="002F26B8"/>
    <w:rsid w:val="002F26C0"/>
    <w:rsid w:val="002F26C1"/>
    <w:rsid w:val="002F2778"/>
    <w:rsid w:val="002F2932"/>
    <w:rsid w:val="002F2E38"/>
    <w:rsid w:val="002F3020"/>
    <w:rsid w:val="002F3128"/>
    <w:rsid w:val="002F3353"/>
    <w:rsid w:val="002F3444"/>
    <w:rsid w:val="002F35E4"/>
    <w:rsid w:val="002F3666"/>
    <w:rsid w:val="002F3846"/>
    <w:rsid w:val="002F38A6"/>
    <w:rsid w:val="002F38D1"/>
    <w:rsid w:val="002F3911"/>
    <w:rsid w:val="002F3BF3"/>
    <w:rsid w:val="002F3C16"/>
    <w:rsid w:val="002F3C43"/>
    <w:rsid w:val="002F3FCC"/>
    <w:rsid w:val="002F4016"/>
    <w:rsid w:val="002F44AA"/>
    <w:rsid w:val="002F44BC"/>
    <w:rsid w:val="002F46CA"/>
    <w:rsid w:val="002F477F"/>
    <w:rsid w:val="002F49A9"/>
    <w:rsid w:val="002F4B07"/>
    <w:rsid w:val="002F4DE3"/>
    <w:rsid w:val="002F4DF7"/>
    <w:rsid w:val="002F5261"/>
    <w:rsid w:val="002F53C2"/>
    <w:rsid w:val="002F5843"/>
    <w:rsid w:val="002F5907"/>
    <w:rsid w:val="002F5993"/>
    <w:rsid w:val="002F5BCC"/>
    <w:rsid w:val="002F5DA2"/>
    <w:rsid w:val="002F62CA"/>
    <w:rsid w:val="002F640A"/>
    <w:rsid w:val="002F66DD"/>
    <w:rsid w:val="002F6913"/>
    <w:rsid w:val="002F6A23"/>
    <w:rsid w:val="002F6CE8"/>
    <w:rsid w:val="002F6E55"/>
    <w:rsid w:val="002F6F63"/>
    <w:rsid w:val="002F7187"/>
    <w:rsid w:val="002F7243"/>
    <w:rsid w:val="002F7282"/>
    <w:rsid w:val="002F72ED"/>
    <w:rsid w:val="002F76E1"/>
    <w:rsid w:val="002F7813"/>
    <w:rsid w:val="002F7B44"/>
    <w:rsid w:val="002F7C74"/>
    <w:rsid w:val="002F7FFE"/>
    <w:rsid w:val="003009D1"/>
    <w:rsid w:val="00300A6B"/>
    <w:rsid w:val="00300DF8"/>
    <w:rsid w:val="00300F0D"/>
    <w:rsid w:val="003016D5"/>
    <w:rsid w:val="00301955"/>
    <w:rsid w:val="00301AF3"/>
    <w:rsid w:val="00301C55"/>
    <w:rsid w:val="00301F98"/>
    <w:rsid w:val="00302076"/>
    <w:rsid w:val="00302462"/>
    <w:rsid w:val="00302688"/>
    <w:rsid w:val="003027EF"/>
    <w:rsid w:val="00302D86"/>
    <w:rsid w:val="00302FAC"/>
    <w:rsid w:val="00303333"/>
    <w:rsid w:val="00303CF7"/>
    <w:rsid w:val="00303DBB"/>
    <w:rsid w:val="00303E3E"/>
    <w:rsid w:val="00303FAE"/>
    <w:rsid w:val="00304039"/>
    <w:rsid w:val="003040A5"/>
    <w:rsid w:val="003040C4"/>
    <w:rsid w:val="0030433F"/>
    <w:rsid w:val="00304703"/>
    <w:rsid w:val="003047E1"/>
    <w:rsid w:val="00304B4D"/>
    <w:rsid w:val="00304DBE"/>
    <w:rsid w:val="00304EDD"/>
    <w:rsid w:val="00304EE2"/>
    <w:rsid w:val="00304F8D"/>
    <w:rsid w:val="003050BA"/>
    <w:rsid w:val="0030520A"/>
    <w:rsid w:val="00305348"/>
    <w:rsid w:val="00305730"/>
    <w:rsid w:val="0030578F"/>
    <w:rsid w:val="00305811"/>
    <w:rsid w:val="00305C23"/>
    <w:rsid w:val="00305DE6"/>
    <w:rsid w:val="00305E1D"/>
    <w:rsid w:val="00305FD0"/>
    <w:rsid w:val="00305FE7"/>
    <w:rsid w:val="0030617D"/>
    <w:rsid w:val="00306254"/>
    <w:rsid w:val="0030630E"/>
    <w:rsid w:val="0030633A"/>
    <w:rsid w:val="0030678D"/>
    <w:rsid w:val="00306869"/>
    <w:rsid w:val="00306D90"/>
    <w:rsid w:val="00306DF5"/>
    <w:rsid w:val="00307117"/>
    <w:rsid w:val="003073F9"/>
    <w:rsid w:val="00307449"/>
    <w:rsid w:val="003075A4"/>
    <w:rsid w:val="0030766D"/>
    <w:rsid w:val="0030783B"/>
    <w:rsid w:val="00307A78"/>
    <w:rsid w:val="00307ABF"/>
    <w:rsid w:val="00307BA9"/>
    <w:rsid w:val="003100BB"/>
    <w:rsid w:val="00310331"/>
    <w:rsid w:val="003108BF"/>
    <w:rsid w:val="003109FA"/>
    <w:rsid w:val="00310A13"/>
    <w:rsid w:val="00310B44"/>
    <w:rsid w:val="00310B70"/>
    <w:rsid w:val="0031128B"/>
    <w:rsid w:val="0031141E"/>
    <w:rsid w:val="003117CE"/>
    <w:rsid w:val="003118E5"/>
    <w:rsid w:val="00311B35"/>
    <w:rsid w:val="00311BCE"/>
    <w:rsid w:val="0031236A"/>
    <w:rsid w:val="0031272D"/>
    <w:rsid w:val="00312842"/>
    <w:rsid w:val="003129D1"/>
    <w:rsid w:val="00312E3C"/>
    <w:rsid w:val="0031357B"/>
    <w:rsid w:val="00313592"/>
    <w:rsid w:val="003138FC"/>
    <w:rsid w:val="00313B98"/>
    <w:rsid w:val="00313D38"/>
    <w:rsid w:val="003140DE"/>
    <w:rsid w:val="00314193"/>
    <w:rsid w:val="00314516"/>
    <w:rsid w:val="00314616"/>
    <w:rsid w:val="003146F1"/>
    <w:rsid w:val="0031481A"/>
    <w:rsid w:val="00314972"/>
    <w:rsid w:val="00314E18"/>
    <w:rsid w:val="003150BF"/>
    <w:rsid w:val="0031512D"/>
    <w:rsid w:val="0031565A"/>
    <w:rsid w:val="00315878"/>
    <w:rsid w:val="003158D2"/>
    <w:rsid w:val="00315AD6"/>
    <w:rsid w:val="00315B57"/>
    <w:rsid w:val="003161C1"/>
    <w:rsid w:val="003161C3"/>
    <w:rsid w:val="003169CF"/>
    <w:rsid w:val="00316B88"/>
    <w:rsid w:val="00316C97"/>
    <w:rsid w:val="00316CE8"/>
    <w:rsid w:val="00316D58"/>
    <w:rsid w:val="00316FBE"/>
    <w:rsid w:val="003170F2"/>
    <w:rsid w:val="003171EB"/>
    <w:rsid w:val="003175F1"/>
    <w:rsid w:val="00317703"/>
    <w:rsid w:val="00317B03"/>
    <w:rsid w:val="00317E25"/>
    <w:rsid w:val="00317E40"/>
    <w:rsid w:val="00317E5C"/>
    <w:rsid w:val="00317E91"/>
    <w:rsid w:val="00317EE9"/>
    <w:rsid w:val="003200C6"/>
    <w:rsid w:val="00320198"/>
    <w:rsid w:val="0032020D"/>
    <w:rsid w:val="003203BC"/>
    <w:rsid w:val="003206BF"/>
    <w:rsid w:val="00320728"/>
    <w:rsid w:val="003207B5"/>
    <w:rsid w:val="003207FE"/>
    <w:rsid w:val="00320924"/>
    <w:rsid w:val="0032099F"/>
    <w:rsid w:val="00320B40"/>
    <w:rsid w:val="00320D6C"/>
    <w:rsid w:val="00320DA6"/>
    <w:rsid w:val="00321CB8"/>
    <w:rsid w:val="00321E03"/>
    <w:rsid w:val="0032270A"/>
    <w:rsid w:val="003228EC"/>
    <w:rsid w:val="00322FEA"/>
    <w:rsid w:val="00323044"/>
    <w:rsid w:val="00323080"/>
    <w:rsid w:val="00323172"/>
    <w:rsid w:val="003231DA"/>
    <w:rsid w:val="00323E89"/>
    <w:rsid w:val="003241A7"/>
    <w:rsid w:val="003246D1"/>
    <w:rsid w:val="0032483A"/>
    <w:rsid w:val="0032494E"/>
    <w:rsid w:val="003249FA"/>
    <w:rsid w:val="00324AC4"/>
    <w:rsid w:val="00324B35"/>
    <w:rsid w:val="00324DDE"/>
    <w:rsid w:val="003252B2"/>
    <w:rsid w:val="003252C9"/>
    <w:rsid w:val="00325383"/>
    <w:rsid w:val="00325A37"/>
    <w:rsid w:val="00325E09"/>
    <w:rsid w:val="0032661D"/>
    <w:rsid w:val="003266E5"/>
    <w:rsid w:val="00326A2D"/>
    <w:rsid w:val="00326B77"/>
    <w:rsid w:val="00326CC3"/>
    <w:rsid w:val="0032709D"/>
    <w:rsid w:val="003270DD"/>
    <w:rsid w:val="00327179"/>
    <w:rsid w:val="00327548"/>
    <w:rsid w:val="00327583"/>
    <w:rsid w:val="003275BB"/>
    <w:rsid w:val="00327EEB"/>
    <w:rsid w:val="00330862"/>
    <w:rsid w:val="003308C5"/>
    <w:rsid w:val="0033096F"/>
    <w:rsid w:val="003309E4"/>
    <w:rsid w:val="00330A2D"/>
    <w:rsid w:val="00330B1F"/>
    <w:rsid w:val="00330E52"/>
    <w:rsid w:val="00330FDA"/>
    <w:rsid w:val="00331116"/>
    <w:rsid w:val="0033123B"/>
    <w:rsid w:val="0033142F"/>
    <w:rsid w:val="00331447"/>
    <w:rsid w:val="00331764"/>
    <w:rsid w:val="003317FC"/>
    <w:rsid w:val="00331A22"/>
    <w:rsid w:val="00331BF8"/>
    <w:rsid w:val="00331CBB"/>
    <w:rsid w:val="00331CFB"/>
    <w:rsid w:val="00331DEB"/>
    <w:rsid w:val="00331EA1"/>
    <w:rsid w:val="00331F13"/>
    <w:rsid w:val="00331FB8"/>
    <w:rsid w:val="003327EF"/>
    <w:rsid w:val="00332DF6"/>
    <w:rsid w:val="00332E96"/>
    <w:rsid w:val="00333054"/>
    <w:rsid w:val="003330AB"/>
    <w:rsid w:val="003333B6"/>
    <w:rsid w:val="00333440"/>
    <w:rsid w:val="0033364E"/>
    <w:rsid w:val="0033379B"/>
    <w:rsid w:val="003337D5"/>
    <w:rsid w:val="00333986"/>
    <w:rsid w:val="003339A7"/>
    <w:rsid w:val="00333D4B"/>
    <w:rsid w:val="00333D6D"/>
    <w:rsid w:val="003341B5"/>
    <w:rsid w:val="0033423E"/>
    <w:rsid w:val="00334345"/>
    <w:rsid w:val="0033442A"/>
    <w:rsid w:val="00334460"/>
    <w:rsid w:val="00334541"/>
    <w:rsid w:val="0033472D"/>
    <w:rsid w:val="003348E2"/>
    <w:rsid w:val="003349C1"/>
    <w:rsid w:val="00334E7B"/>
    <w:rsid w:val="0033564A"/>
    <w:rsid w:val="003357D1"/>
    <w:rsid w:val="00335869"/>
    <w:rsid w:val="003359AC"/>
    <w:rsid w:val="0033610D"/>
    <w:rsid w:val="003368C0"/>
    <w:rsid w:val="00336984"/>
    <w:rsid w:val="00336AAD"/>
    <w:rsid w:val="00336B17"/>
    <w:rsid w:val="00336B7D"/>
    <w:rsid w:val="00336B7E"/>
    <w:rsid w:val="00336E09"/>
    <w:rsid w:val="00336F2F"/>
    <w:rsid w:val="00337090"/>
    <w:rsid w:val="00337400"/>
    <w:rsid w:val="00337DAC"/>
    <w:rsid w:val="00337EA4"/>
    <w:rsid w:val="00337F99"/>
    <w:rsid w:val="00340462"/>
    <w:rsid w:val="0034086F"/>
    <w:rsid w:val="00340C00"/>
    <w:rsid w:val="00340C81"/>
    <w:rsid w:val="00341534"/>
    <w:rsid w:val="00341B11"/>
    <w:rsid w:val="00341B72"/>
    <w:rsid w:val="00341B7A"/>
    <w:rsid w:val="00341F6F"/>
    <w:rsid w:val="00342280"/>
    <w:rsid w:val="003424DF"/>
    <w:rsid w:val="003426A3"/>
    <w:rsid w:val="00342CDC"/>
    <w:rsid w:val="00342F39"/>
    <w:rsid w:val="0034363E"/>
    <w:rsid w:val="003436B2"/>
    <w:rsid w:val="00343942"/>
    <w:rsid w:val="0034395D"/>
    <w:rsid w:val="003439A9"/>
    <w:rsid w:val="00343BC2"/>
    <w:rsid w:val="00343C22"/>
    <w:rsid w:val="00343D62"/>
    <w:rsid w:val="00343E55"/>
    <w:rsid w:val="00343F52"/>
    <w:rsid w:val="00343F8A"/>
    <w:rsid w:val="003440CD"/>
    <w:rsid w:val="003444E4"/>
    <w:rsid w:val="00344B09"/>
    <w:rsid w:val="00344B71"/>
    <w:rsid w:val="00344EE8"/>
    <w:rsid w:val="0034513C"/>
    <w:rsid w:val="0034513F"/>
    <w:rsid w:val="003451B3"/>
    <w:rsid w:val="00345266"/>
    <w:rsid w:val="003453ED"/>
    <w:rsid w:val="0034544B"/>
    <w:rsid w:val="00345463"/>
    <w:rsid w:val="00345752"/>
    <w:rsid w:val="0034621D"/>
    <w:rsid w:val="00346313"/>
    <w:rsid w:val="0034653B"/>
    <w:rsid w:val="00346CB6"/>
    <w:rsid w:val="00346D93"/>
    <w:rsid w:val="00346FAF"/>
    <w:rsid w:val="00347152"/>
    <w:rsid w:val="003471C0"/>
    <w:rsid w:val="003472C9"/>
    <w:rsid w:val="00347D75"/>
    <w:rsid w:val="00347E1D"/>
    <w:rsid w:val="00347F09"/>
    <w:rsid w:val="003504BE"/>
    <w:rsid w:val="003504CA"/>
    <w:rsid w:val="003506F2"/>
    <w:rsid w:val="00350CBA"/>
    <w:rsid w:val="00350E1A"/>
    <w:rsid w:val="00351353"/>
    <w:rsid w:val="003518B4"/>
    <w:rsid w:val="00351A59"/>
    <w:rsid w:val="00351B44"/>
    <w:rsid w:val="00351BD3"/>
    <w:rsid w:val="00351C86"/>
    <w:rsid w:val="00351DCE"/>
    <w:rsid w:val="0035203B"/>
    <w:rsid w:val="003522F5"/>
    <w:rsid w:val="00352340"/>
    <w:rsid w:val="003528E7"/>
    <w:rsid w:val="003529E4"/>
    <w:rsid w:val="003529F3"/>
    <w:rsid w:val="00352AA1"/>
    <w:rsid w:val="00352D7C"/>
    <w:rsid w:val="00352E22"/>
    <w:rsid w:val="003530CB"/>
    <w:rsid w:val="003531AE"/>
    <w:rsid w:val="003533EC"/>
    <w:rsid w:val="0035360C"/>
    <w:rsid w:val="003537A8"/>
    <w:rsid w:val="00353843"/>
    <w:rsid w:val="003538C0"/>
    <w:rsid w:val="00353EAA"/>
    <w:rsid w:val="003549CD"/>
    <w:rsid w:val="0035513C"/>
    <w:rsid w:val="003551CE"/>
    <w:rsid w:val="00355787"/>
    <w:rsid w:val="003559B6"/>
    <w:rsid w:val="00355BD3"/>
    <w:rsid w:val="00355F26"/>
    <w:rsid w:val="00355F3A"/>
    <w:rsid w:val="003560A6"/>
    <w:rsid w:val="003560C6"/>
    <w:rsid w:val="003561A6"/>
    <w:rsid w:val="00356705"/>
    <w:rsid w:val="00356737"/>
    <w:rsid w:val="00356B2A"/>
    <w:rsid w:val="00356BA0"/>
    <w:rsid w:val="00356F90"/>
    <w:rsid w:val="00357007"/>
    <w:rsid w:val="00357433"/>
    <w:rsid w:val="00357573"/>
    <w:rsid w:val="003575F1"/>
    <w:rsid w:val="0035775D"/>
    <w:rsid w:val="00357C5D"/>
    <w:rsid w:val="00357E92"/>
    <w:rsid w:val="00357F8A"/>
    <w:rsid w:val="00357FA3"/>
    <w:rsid w:val="003603D4"/>
    <w:rsid w:val="00360404"/>
    <w:rsid w:val="003605B6"/>
    <w:rsid w:val="00360785"/>
    <w:rsid w:val="00360890"/>
    <w:rsid w:val="003609A0"/>
    <w:rsid w:val="00360B7A"/>
    <w:rsid w:val="00360BBD"/>
    <w:rsid w:val="00360C64"/>
    <w:rsid w:val="00360F91"/>
    <w:rsid w:val="0036115D"/>
    <w:rsid w:val="0036158F"/>
    <w:rsid w:val="00361C04"/>
    <w:rsid w:val="00361CBB"/>
    <w:rsid w:val="00361CF7"/>
    <w:rsid w:val="00361FBF"/>
    <w:rsid w:val="00361FFE"/>
    <w:rsid w:val="003622DC"/>
    <w:rsid w:val="0036244E"/>
    <w:rsid w:val="00362565"/>
    <w:rsid w:val="0036299C"/>
    <w:rsid w:val="00362C58"/>
    <w:rsid w:val="00362D6C"/>
    <w:rsid w:val="00362F61"/>
    <w:rsid w:val="00362FF2"/>
    <w:rsid w:val="00363048"/>
    <w:rsid w:val="0036337F"/>
    <w:rsid w:val="003633DC"/>
    <w:rsid w:val="00363528"/>
    <w:rsid w:val="00363583"/>
    <w:rsid w:val="003635CC"/>
    <w:rsid w:val="00363692"/>
    <w:rsid w:val="00363746"/>
    <w:rsid w:val="00363BEC"/>
    <w:rsid w:val="00363CE7"/>
    <w:rsid w:val="00363F23"/>
    <w:rsid w:val="00363F8C"/>
    <w:rsid w:val="003640FE"/>
    <w:rsid w:val="00364419"/>
    <w:rsid w:val="0036453C"/>
    <w:rsid w:val="003645CE"/>
    <w:rsid w:val="0036460E"/>
    <w:rsid w:val="003649EB"/>
    <w:rsid w:val="00364B03"/>
    <w:rsid w:val="00364CF1"/>
    <w:rsid w:val="00365144"/>
    <w:rsid w:val="00365363"/>
    <w:rsid w:val="00365373"/>
    <w:rsid w:val="003653B9"/>
    <w:rsid w:val="00365806"/>
    <w:rsid w:val="0036598D"/>
    <w:rsid w:val="00365BC6"/>
    <w:rsid w:val="00365C70"/>
    <w:rsid w:val="00365C82"/>
    <w:rsid w:val="00365DAB"/>
    <w:rsid w:val="00365ED9"/>
    <w:rsid w:val="00365F2B"/>
    <w:rsid w:val="00365F2D"/>
    <w:rsid w:val="00366835"/>
    <w:rsid w:val="00366C82"/>
    <w:rsid w:val="00366E3E"/>
    <w:rsid w:val="00366EBA"/>
    <w:rsid w:val="00366FA6"/>
    <w:rsid w:val="0036733B"/>
    <w:rsid w:val="0036749F"/>
    <w:rsid w:val="00367698"/>
    <w:rsid w:val="00367721"/>
    <w:rsid w:val="003677F3"/>
    <w:rsid w:val="00367A90"/>
    <w:rsid w:val="00367BE7"/>
    <w:rsid w:val="00367D3B"/>
    <w:rsid w:val="003700CE"/>
    <w:rsid w:val="00370204"/>
    <w:rsid w:val="0037021E"/>
    <w:rsid w:val="00370402"/>
    <w:rsid w:val="003704C7"/>
    <w:rsid w:val="00370F2E"/>
    <w:rsid w:val="00370F74"/>
    <w:rsid w:val="00371144"/>
    <w:rsid w:val="00371364"/>
    <w:rsid w:val="003715A1"/>
    <w:rsid w:val="0037174F"/>
    <w:rsid w:val="003718E7"/>
    <w:rsid w:val="00371A7D"/>
    <w:rsid w:val="00371AA1"/>
    <w:rsid w:val="00371B43"/>
    <w:rsid w:val="00371BC5"/>
    <w:rsid w:val="00371C58"/>
    <w:rsid w:val="00371CCA"/>
    <w:rsid w:val="00371F72"/>
    <w:rsid w:val="00372BDA"/>
    <w:rsid w:val="00372EF7"/>
    <w:rsid w:val="00372F8A"/>
    <w:rsid w:val="0037348E"/>
    <w:rsid w:val="00373735"/>
    <w:rsid w:val="00373A6F"/>
    <w:rsid w:val="003744DA"/>
    <w:rsid w:val="00374766"/>
    <w:rsid w:val="00374785"/>
    <w:rsid w:val="003747EC"/>
    <w:rsid w:val="00374C6C"/>
    <w:rsid w:val="00374D72"/>
    <w:rsid w:val="00374FFD"/>
    <w:rsid w:val="003751D1"/>
    <w:rsid w:val="00375F97"/>
    <w:rsid w:val="00376580"/>
    <w:rsid w:val="003768F7"/>
    <w:rsid w:val="00376D64"/>
    <w:rsid w:val="0037707F"/>
    <w:rsid w:val="00377098"/>
    <w:rsid w:val="00377522"/>
    <w:rsid w:val="0037756D"/>
    <w:rsid w:val="00377A7E"/>
    <w:rsid w:val="00377B9D"/>
    <w:rsid w:val="00377D3B"/>
    <w:rsid w:val="00377E20"/>
    <w:rsid w:val="00377EB7"/>
    <w:rsid w:val="0038013E"/>
    <w:rsid w:val="00380541"/>
    <w:rsid w:val="00380621"/>
    <w:rsid w:val="003806A2"/>
    <w:rsid w:val="00380844"/>
    <w:rsid w:val="00380969"/>
    <w:rsid w:val="00380AEF"/>
    <w:rsid w:val="00381176"/>
    <w:rsid w:val="003811DA"/>
    <w:rsid w:val="003817AF"/>
    <w:rsid w:val="0038195F"/>
    <w:rsid w:val="00381CED"/>
    <w:rsid w:val="00382016"/>
    <w:rsid w:val="00382017"/>
    <w:rsid w:val="00382781"/>
    <w:rsid w:val="00382B2C"/>
    <w:rsid w:val="00382D12"/>
    <w:rsid w:val="00382D70"/>
    <w:rsid w:val="00382FE2"/>
    <w:rsid w:val="00383150"/>
    <w:rsid w:val="00383191"/>
    <w:rsid w:val="00383699"/>
    <w:rsid w:val="00383ECB"/>
    <w:rsid w:val="0038407E"/>
    <w:rsid w:val="0038484D"/>
    <w:rsid w:val="00384973"/>
    <w:rsid w:val="003849AD"/>
    <w:rsid w:val="00384B0D"/>
    <w:rsid w:val="00384D08"/>
    <w:rsid w:val="00384DFB"/>
    <w:rsid w:val="003850E4"/>
    <w:rsid w:val="00385263"/>
    <w:rsid w:val="00385351"/>
    <w:rsid w:val="003854A4"/>
    <w:rsid w:val="003857B0"/>
    <w:rsid w:val="00385831"/>
    <w:rsid w:val="0038584C"/>
    <w:rsid w:val="00385A09"/>
    <w:rsid w:val="00385B98"/>
    <w:rsid w:val="00385C7C"/>
    <w:rsid w:val="00385F66"/>
    <w:rsid w:val="00386231"/>
    <w:rsid w:val="003867FB"/>
    <w:rsid w:val="003869B0"/>
    <w:rsid w:val="00386A2F"/>
    <w:rsid w:val="00386B0D"/>
    <w:rsid w:val="00386C2D"/>
    <w:rsid w:val="00386C89"/>
    <w:rsid w:val="00386FF5"/>
    <w:rsid w:val="00387204"/>
    <w:rsid w:val="00387552"/>
    <w:rsid w:val="003876E8"/>
    <w:rsid w:val="00387E26"/>
    <w:rsid w:val="0039024C"/>
    <w:rsid w:val="00390303"/>
    <w:rsid w:val="003903F3"/>
    <w:rsid w:val="00390520"/>
    <w:rsid w:val="003905FE"/>
    <w:rsid w:val="00390822"/>
    <w:rsid w:val="00390BE4"/>
    <w:rsid w:val="00390CE6"/>
    <w:rsid w:val="00390E2C"/>
    <w:rsid w:val="00390E58"/>
    <w:rsid w:val="00390ED0"/>
    <w:rsid w:val="0039138A"/>
    <w:rsid w:val="00391994"/>
    <w:rsid w:val="00391ACB"/>
    <w:rsid w:val="00391B71"/>
    <w:rsid w:val="00391F3D"/>
    <w:rsid w:val="00391F5D"/>
    <w:rsid w:val="00392103"/>
    <w:rsid w:val="003925DA"/>
    <w:rsid w:val="003926FD"/>
    <w:rsid w:val="00392C50"/>
    <w:rsid w:val="0039344B"/>
    <w:rsid w:val="0039360F"/>
    <w:rsid w:val="003936D8"/>
    <w:rsid w:val="00393A0F"/>
    <w:rsid w:val="00393D40"/>
    <w:rsid w:val="00393DC6"/>
    <w:rsid w:val="00394022"/>
    <w:rsid w:val="003946F5"/>
    <w:rsid w:val="00394C0A"/>
    <w:rsid w:val="00394CE4"/>
    <w:rsid w:val="00395151"/>
    <w:rsid w:val="00395272"/>
    <w:rsid w:val="003957C2"/>
    <w:rsid w:val="00395D4C"/>
    <w:rsid w:val="00395EE6"/>
    <w:rsid w:val="0039637A"/>
    <w:rsid w:val="003963B0"/>
    <w:rsid w:val="00396636"/>
    <w:rsid w:val="00396652"/>
    <w:rsid w:val="0039669F"/>
    <w:rsid w:val="00396786"/>
    <w:rsid w:val="00396D6B"/>
    <w:rsid w:val="003972DA"/>
    <w:rsid w:val="00397972"/>
    <w:rsid w:val="00397A56"/>
    <w:rsid w:val="00397B6F"/>
    <w:rsid w:val="00397BAB"/>
    <w:rsid w:val="00397C68"/>
    <w:rsid w:val="00397F0A"/>
    <w:rsid w:val="00397FCB"/>
    <w:rsid w:val="003A0032"/>
    <w:rsid w:val="003A0075"/>
    <w:rsid w:val="003A00D5"/>
    <w:rsid w:val="003A0661"/>
    <w:rsid w:val="003A0727"/>
    <w:rsid w:val="003A08DE"/>
    <w:rsid w:val="003A09C9"/>
    <w:rsid w:val="003A0F24"/>
    <w:rsid w:val="003A156C"/>
    <w:rsid w:val="003A1AF8"/>
    <w:rsid w:val="003A1CC2"/>
    <w:rsid w:val="003A21DC"/>
    <w:rsid w:val="003A2293"/>
    <w:rsid w:val="003A2581"/>
    <w:rsid w:val="003A2678"/>
    <w:rsid w:val="003A2769"/>
    <w:rsid w:val="003A2787"/>
    <w:rsid w:val="003A2B40"/>
    <w:rsid w:val="003A33B5"/>
    <w:rsid w:val="003A39BA"/>
    <w:rsid w:val="003A3D80"/>
    <w:rsid w:val="003A426E"/>
    <w:rsid w:val="003A44E3"/>
    <w:rsid w:val="003A4668"/>
    <w:rsid w:val="003A46D1"/>
    <w:rsid w:val="003A498C"/>
    <w:rsid w:val="003A4AA3"/>
    <w:rsid w:val="003A4B4D"/>
    <w:rsid w:val="003A4C8F"/>
    <w:rsid w:val="003A4E20"/>
    <w:rsid w:val="003A4E95"/>
    <w:rsid w:val="003A4F46"/>
    <w:rsid w:val="003A5478"/>
    <w:rsid w:val="003A56FE"/>
    <w:rsid w:val="003A58D9"/>
    <w:rsid w:val="003A5976"/>
    <w:rsid w:val="003A5B83"/>
    <w:rsid w:val="003A5BEA"/>
    <w:rsid w:val="003A5C32"/>
    <w:rsid w:val="003A5C7D"/>
    <w:rsid w:val="003A5DD7"/>
    <w:rsid w:val="003A6221"/>
    <w:rsid w:val="003A622B"/>
    <w:rsid w:val="003A626D"/>
    <w:rsid w:val="003A6275"/>
    <w:rsid w:val="003A630A"/>
    <w:rsid w:val="003A6530"/>
    <w:rsid w:val="003A661D"/>
    <w:rsid w:val="003A6638"/>
    <w:rsid w:val="003A6AC9"/>
    <w:rsid w:val="003A6F62"/>
    <w:rsid w:val="003A7374"/>
    <w:rsid w:val="003A7892"/>
    <w:rsid w:val="003A7DAC"/>
    <w:rsid w:val="003A7E38"/>
    <w:rsid w:val="003B06C9"/>
    <w:rsid w:val="003B0D30"/>
    <w:rsid w:val="003B1281"/>
    <w:rsid w:val="003B12D3"/>
    <w:rsid w:val="003B138B"/>
    <w:rsid w:val="003B16EF"/>
    <w:rsid w:val="003B1794"/>
    <w:rsid w:val="003B17CF"/>
    <w:rsid w:val="003B1C68"/>
    <w:rsid w:val="003B1DFD"/>
    <w:rsid w:val="003B1FA4"/>
    <w:rsid w:val="003B2885"/>
    <w:rsid w:val="003B296C"/>
    <w:rsid w:val="003B2A80"/>
    <w:rsid w:val="003B2A82"/>
    <w:rsid w:val="003B3160"/>
    <w:rsid w:val="003B34D9"/>
    <w:rsid w:val="003B41CC"/>
    <w:rsid w:val="003B42C1"/>
    <w:rsid w:val="003B4329"/>
    <w:rsid w:val="003B43A3"/>
    <w:rsid w:val="003B4530"/>
    <w:rsid w:val="003B467C"/>
    <w:rsid w:val="003B48F5"/>
    <w:rsid w:val="003B4A42"/>
    <w:rsid w:val="003B4DC3"/>
    <w:rsid w:val="003B4E21"/>
    <w:rsid w:val="003B4EA7"/>
    <w:rsid w:val="003B5013"/>
    <w:rsid w:val="003B5217"/>
    <w:rsid w:val="003B526D"/>
    <w:rsid w:val="003B53EF"/>
    <w:rsid w:val="003B5517"/>
    <w:rsid w:val="003B59F0"/>
    <w:rsid w:val="003B5D00"/>
    <w:rsid w:val="003B65F4"/>
    <w:rsid w:val="003B6B06"/>
    <w:rsid w:val="003B6E60"/>
    <w:rsid w:val="003B6EEB"/>
    <w:rsid w:val="003B743C"/>
    <w:rsid w:val="003B799F"/>
    <w:rsid w:val="003B7EC3"/>
    <w:rsid w:val="003C0091"/>
    <w:rsid w:val="003C01A1"/>
    <w:rsid w:val="003C01F2"/>
    <w:rsid w:val="003C04C0"/>
    <w:rsid w:val="003C0621"/>
    <w:rsid w:val="003C07B0"/>
    <w:rsid w:val="003C0951"/>
    <w:rsid w:val="003C09BD"/>
    <w:rsid w:val="003C0AD1"/>
    <w:rsid w:val="003C0F3A"/>
    <w:rsid w:val="003C17DF"/>
    <w:rsid w:val="003C1B68"/>
    <w:rsid w:val="003C1BCF"/>
    <w:rsid w:val="003C1CC1"/>
    <w:rsid w:val="003C1D67"/>
    <w:rsid w:val="003C1F67"/>
    <w:rsid w:val="003C220B"/>
    <w:rsid w:val="003C241C"/>
    <w:rsid w:val="003C24B4"/>
    <w:rsid w:val="003C272A"/>
    <w:rsid w:val="003C292A"/>
    <w:rsid w:val="003C2A36"/>
    <w:rsid w:val="003C2D28"/>
    <w:rsid w:val="003C31DC"/>
    <w:rsid w:val="003C3266"/>
    <w:rsid w:val="003C32F2"/>
    <w:rsid w:val="003C34E4"/>
    <w:rsid w:val="003C3644"/>
    <w:rsid w:val="003C36C6"/>
    <w:rsid w:val="003C381D"/>
    <w:rsid w:val="003C388B"/>
    <w:rsid w:val="003C388D"/>
    <w:rsid w:val="003C4486"/>
    <w:rsid w:val="003C498A"/>
    <w:rsid w:val="003C49D9"/>
    <w:rsid w:val="003C4A4C"/>
    <w:rsid w:val="003C4E55"/>
    <w:rsid w:val="003C4ECF"/>
    <w:rsid w:val="003C5258"/>
    <w:rsid w:val="003C55B0"/>
    <w:rsid w:val="003C57B9"/>
    <w:rsid w:val="003C58E4"/>
    <w:rsid w:val="003C5A7B"/>
    <w:rsid w:val="003C5B24"/>
    <w:rsid w:val="003C5C35"/>
    <w:rsid w:val="003C5C3C"/>
    <w:rsid w:val="003C5CEE"/>
    <w:rsid w:val="003C5CFF"/>
    <w:rsid w:val="003C6197"/>
    <w:rsid w:val="003C6257"/>
    <w:rsid w:val="003C64DE"/>
    <w:rsid w:val="003C674A"/>
    <w:rsid w:val="003C6977"/>
    <w:rsid w:val="003C6CDC"/>
    <w:rsid w:val="003C6D17"/>
    <w:rsid w:val="003C6D4E"/>
    <w:rsid w:val="003C6EA4"/>
    <w:rsid w:val="003C6F4E"/>
    <w:rsid w:val="003C7069"/>
    <w:rsid w:val="003C7172"/>
    <w:rsid w:val="003C72ED"/>
    <w:rsid w:val="003C7415"/>
    <w:rsid w:val="003C7919"/>
    <w:rsid w:val="003C7CE8"/>
    <w:rsid w:val="003C7F95"/>
    <w:rsid w:val="003D0048"/>
    <w:rsid w:val="003D0BE6"/>
    <w:rsid w:val="003D0DCA"/>
    <w:rsid w:val="003D0E1D"/>
    <w:rsid w:val="003D1078"/>
    <w:rsid w:val="003D15DC"/>
    <w:rsid w:val="003D1787"/>
    <w:rsid w:val="003D1B50"/>
    <w:rsid w:val="003D219F"/>
    <w:rsid w:val="003D2762"/>
    <w:rsid w:val="003D27D9"/>
    <w:rsid w:val="003D28E8"/>
    <w:rsid w:val="003D2D1C"/>
    <w:rsid w:val="003D2FA0"/>
    <w:rsid w:val="003D3827"/>
    <w:rsid w:val="003D3975"/>
    <w:rsid w:val="003D399D"/>
    <w:rsid w:val="003D3C50"/>
    <w:rsid w:val="003D3F88"/>
    <w:rsid w:val="003D40DD"/>
    <w:rsid w:val="003D4139"/>
    <w:rsid w:val="003D4207"/>
    <w:rsid w:val="003D4692"/>
    <w:rsid w:val="003D4781"/>
    <w:rsid w:val="003D4948"/>
    <w:rsid w:val="003D4C88"/>
    <w:rsid w:val="003D4F3E"/>
    <w:rsid w:val="003D5076"/>
    <w:rsid w:val="003D540A"/>
    <w:rsid w:val="003D54EB"/>
    <w:rsid w:val="003D55BF"/>
    <w:rsid w:val="003D5959"/>
    <w:rsid w:val="003D5A97"/>
    <w:rsid w:val="003D5B35"/>
    <w:rsid w:val="003D5DD3"/>
    <w:rsid w:val="003D5EA4"/>
    <w:rsid w:val="003D5EE7"/>
    <w:rsid w:val="003D650C"/>
    <w:rsid w:val="003D655A"/>
    <w:rsid w:val="003D66DD"/>
    <w:rsid w:val="003D6A41"/>
    <w:rsid w:val="003D6C19"/>
    <w:rsid w:val="003D6C99"/>
    <w:rsid w:val="003D6F3A"/>
    <w:rsid w:val="003D6F94"/>
    <w:rsid w:val="003D6FCC"/>
    <w:rsid w:val="003D6FFE"/>
    <w:rsid w:val="003D78C5"/>
    <w:rsid w:val="003D7D15"/>
    <w:rsid w:val="003D7DC4"/>
    <w:rsid w:val="003D7E5F"/>
    <w:rsid w:val="003E010E"/>
    <w:rsid w:val="003E0180"/>
    <w:rsid w:val="003E019C"/>
    <w:rsid w:val="003E0207"/>
    <w:rsid w:val="003E0455"/>
    <w:rsid w:val="003E0895"/>
    <w:rsid w:val="003E0E6D"/>
    <w:rsid w:val="003E0F9C"/>
    <w:rsid w:val="003E1463"/>
    <w:rsid w:val="003E15D7"/>
    <w:rsid w:val="003E2058"/>
    <w:rsid w:val="003E2414"/>
    <w:rsid w:val="003E265C"/>
    <w:rsid w:val="003E2DEA"/>
    <w:rsid w:val="003E347D"/>
    <w:rsid w:val="003E34FC"/>
    <w:rsid w:val="003E3931"/>
    <w:rsid w:val="003E3953"/>
    <w:rsid w:val="003E3C4F"/>
    <w:rsid w:val="003E3C53"/>
    <w:rsid w:val="003E3DE1"/>
    <w:rsid w:val="003E3EE8"/>
    <w:rsid w:val="003E403A"/>
    <w:rsid w:val="003E40A2"/>
    <w:rsid w:val="003E454D"/>
    <w:rsid w:val="003E4653"/>
    <w:rsid w:val="003E473A"/>
    <w:rsid w:val="003E47E1"/>
    <w:rsid w:val="003E4827"/>
    <w:rsid w:val="003E49FB"/>
    <w:rsid w:val="003E4D6D"/>
    <w:rsid w:val="003E4E4E"/>
    <w:rsid w:val="003E5633"/>
    <w:rsid w:val="003E5858"/>
    <w:rsid w:val="003E5DAA"/>
    <w:rsid w:val="003E5EEF"/>
    <w:rsid w:val="003E62A7"/>
    <w:rsid w:val="003E6656"/>
    <w:rsid w:val="003E6966"/>
    <w:rsid w:val="003E6B30"/>
    <w:rsid w:val="003E6CCC"/>
    <w:rsid w:val="003E6D9D"/>
    <w:rsid w:val="003E6E93"/>
    <w:rsid w:val="003E7176"/>
    <w:rsid w:val="003E7832"/>
    <w:rsid w:val="003E7A8C"/>
    <w:rsid w:val="003E7B6C"/>
    <w:rsid w:val="003E7C78"/>
    <w:rsid w:val="003E7E52"/>
    <w:rsid w:val="003E7F3D"/>
    <w:rsid w:val="003F0099"/>
    <w:rsid w:val="003F0201"/>
    <w:rsid w:val="003F0639"/>
    <w:rsid w:val="003F065E"/>
    <w:rsid w:val="003F09F0"/>
    <w:rsid w:val="003F0B7F"/>
    <w:rsid w:val="003F0C85"/>
    <w:rsid w:val="003F1049"/>
    <w:rsid w:val="003F1A30"/>
    <w:rsid w:val="003F1C4A"/>
    <w:rsid w:val="003F1FA7"/>
    <w:rsid w:val="003F2693"/>
    <w:rsid w:val="003F27A5"/>
    <w:rsid w:val="003F2958"/>
    <w:rsid w:val="003F29D2"/>
    <w:rsid w:val="003F2A65"/>
    <w:rsid w:val="003F335A"/>
    <w:rsid w:val="003F3530"/>
    <w:rsid w:val="003F3E7A"/>
    <w:rsid w:val="003F4141"/>
    <w:rsid w:val="003F421C"/>
    <w:rsid w:val="003F4531"/>
    <w:rsid w:val="003F45A4"/>
    <w:rsid w:val="003F4885"/>
    <w:rsid w:val="003F4A8A"/>
    <w:rsid w:val="003F5058"/>
    <w:rsid w:val="003F50E1"/>
    <w:rsid w:val="003F528C"/>
    <w:rsid w:val="003F52C2"/>
    <w:rsid w:val="003F53F7"/>
    <w:rsid w:val="003F5422"/>
    <w:rsid w:val="003F5448"/>
    <w:rsid w:val="003F54D7"/>
    <w:rsid w:val="003F55A3"/>
    <w:rsid w:val="003F55F9"/>
    <w:rsid w:val="003F5696"/>
    <w:rsid w:val="003F5697"/>
    <w:rsid w:val="003F5724"/>
    <w:rsid w:val="003F5854"/>
    <w:rsid w:val="003F595F"/>
    <w:rsid w:val="003F5AD3"/>
    <w:rsid w:val="003F5D0B"/>
    <w:rsid w:val="003F5FF2"/>
    <w:rsid w:val="003F60B4"/>
    <w:rsid w:val="003F6251"/>
    <w:rsid w:val="003F6395"/>
    <w:rsid w:val="003F6489"/>
    <w:rsid w:val="003F658B"/>
    <w:rsid w:val="003F67EF"/>
    <w:rsid w:val="003F6B77"/>
    <w:rsid w:val="003F6EE2"/>
    <w:rsid w:val="003F71DA"/>
    <w:rsid w:val="003F7409"/>
    <w:rsid w:val="003F7CF9"/>
    <w:rsid w:val="003F7E3A"/>
    <w:rsid w:val="0040000D"/>
    <w:rsid w:val="004003D4"/>
    <w:rsid w:val="004006A2"/>
    <w:rsid w:val="0040070D"/>
    <w:rsid w:val="00400811"/>
    <w:rsid w:val="0040108D"/>
    <w:rsid w:val="00401210"/>
    <w:rsid w:val="004018AB"/>
    <w:rsid w:val="00401C7A"/>
    <w:rsid w:val="00401D69"/>
    <w:rsid w:val="00401D7F"/>
    <w:rsid w:val="00401DCC"/>
    <w:rsid w:val="00401F14"/>
    <w:rsid w:val="0040203E"/>
    <w:rsid w:val="00402488"/>
    <w:rsid w:val="004024FD"/>
    <w:rsid w:val="00402668"/>
    <w:rsid w:val="00402725"/>
    <w:rsid w:val="00402B2F"/>
    <w:rsid w:val="00402B92"/>
    <w:rsid w:val="00402C49"/>
    <w:rsid w:val="00402DE8"/>
    <w:rsid w:val="004031AA"/>
    <w:rsid w:val="00403319"/>
    <w:rsid w:val="004035D0"/>
    <w:rsid w:val="004037AF"/>
    <w:rsid w:val="00403D4A"/>
    <w:rsid w:val="00403EAF"/>
    <w:rsid w:val="0040401B"/>
    <w:rsid w:val="004040AC"/>
    <w:rsid w:val="004044F7"/>
    <w:rsid w:val="004046C8"/>
    <w:rsid w:val="004046E1"/>
    <w:rsid w:val="0040495E"/>
    <w:rsid w:val="00404DD5"/>
    <w:rsid w:val="00404EBF"/>
    <w:rsid w:val="004051E2"/>
    <w:rsid w:val="004052AC"/>
    <w:rsid w:val="004055A1"/>
    <w:rsid w:val="004057D7"/>
    <w:rsid w:val="004058D4"/>
    <w:rsid w:val="00405B32"/>
    <w:rsid w:val="00405DC6"/>
    <w:rsid w:val="00406361"/>
    <w:rsid w:val="00406473"/>
    <w:rsid w:val="004065E2"/>
    <w:rsid w:val="00406C35"/>
    <w:rsid w:val="00406C7A"/>
    <w:rsid w:val="00406F3B"/>
    <w:rsid w:val="00406FCA"/>
    <w:rsid w:val="00407126"/>
    <w:rsid w:val="00407166"/>
    <w:rsid w:val="0040725F"/>
    <w:rsid w:val="004072A7"/>
    <w:rsid w:val="004076F3"/>
    <w:rsid w:val="004078C1"/>
    <w:rsid w:val="00407BAC"/>
    <w:rsid w:val="00407C77"/>
    <w:rsid w:val="00407D5C"/>
    <w:rsid w:val="00407DE5"/>
    <w:rsid w:val="0041024E"/>
    <w:rsid w:val="004106CF"/>
    <w:rsid w:val="00410904"/>
    <w:rsid w:val="00410CD4"/>
    <w:rsid w:val="00410ED0"/>
    <w:rsid w:val="004112B8"/>
    <w:rsid w:val="00411415"/>
    <w:rsid w:val="00411592"/>
    <w:rsid w:val="00411863"/>
    <w:rsid w:val="00411950"/>
    <w:rsid w:val="00411C2D"/>
    <w:rsid w:val="00411E9F"/>
    <w:rsid w:val="00412090"/>
    <w:rsid w:val="0041209F"/>
    <w:rsid w:val="0041260B"/>
    <w:rsid w:val="0041274A"/>
    <w:rsid w:val="004127AD"/>
    <w:rsid w:val="004128C2"/>
    <w:rsid w:val="00412C18"/>
    <w:rsid w:val="004133B6"/>
    <w:rsid w:val="00413443"/>
    <w:rsid w:val="00413505"/>
    <w:rsid w:val="00413538"/>
    <w:rsid w:val="00413553"/>
    <w:rsid w:val="0041366C"/>
    <w:rsid w:val="004136F7"/>
    <w:rsid w:val="00413A52"/>
    <w:rsid w:val="00413AA0"/>
    <w:rsid w:val="00413BD7"/>
    <w:rsid w:val="00413DD5"/>
    <w:rsid w:val="00413EAD"/>
    <w:rsid w:val="00414392"/>
    <w:rsid w:val="004143D8"/>
    <w:rsid w:val="00414738"/>
    <w:rsid w:val="004148C7"/>
    <w:rsid w:val="004148D7"/>
    <w:rsid w:val="004149A4"/>
    <w:rsid w:val="00414B4C"/>
    <w:rsid w:val="00414DB1"/>
    <w:rsid w:val="00414E20"/>
    <w:rsid w:val="00414F63"/>
    <w:rsid w:val="00414F96"/>
    <w:rsid w:val="004150B3"/>
    <w:rsid w:val="0041517F"/>
    <w:rsid w:val="00415429"/>
    <w:rsid w:val="004154B8"/>
    <w:rsid w:val="004154BD"/>
    <w:rsid w:val="00415726"/>
    <w:rsid w:val="00415A56"/>
    <w:rsid w:val="00415B3E"/>
    <w:rsid w:val="00415BF4"/>
    <w:rsid w:val="00415E1D"/>
    <w:rsid w:val="00415EE9"/>
    <w:rsid w:val="00415FED"/>
    <w:rsid w:val="004161C8"/>
    <w:rsid w:val="00416222"/>
    <w:rsid w:val="00416462"/>
    <w:rsid w:val="0041662A"/>
    <w:rsid w:val="004167AF"/>
    <w:rsid w:val="00416899"/>
    <w:rsid w:val="0041708A"/>
    <w:rsid w:val="0041717C"/>
    <w:rsid w:val="00417202"/>
    <w:rsid w:val="00417228"/>
    <w:rsid w:val="004173F5"/>
    <w:rsid w:val="00417415"/>
    <w:rsid w:val="0041748C"/>
    <w:rsid w:val="0041793A"/>
    <w:rsid w:val="00417BF6"/>
    <w:rsid w:val="00417C64"/>
    <w:rsid w:val="00417DD6"/>
    <w:rsid w:val="00417E02"/>
    <w:rsid w:val="00420388"/>
    <w:rsid w:val="0042063C"/>
    <w:rsid w:val="004207E0"/>
    <w:rsid w:val="004208A1"/>
    <w:rsid w:val="00420AFD"/>
    <w:rsid w:val="00420E0E"/>
    <w:rsid w:val="00420E50"/>
    <w:rsid w:val="00420EAF"/>
    <w:rsid w:val="00421192"/>
    <w:rsid w:val="0042123C"/>
    <w:rsid w:val="004218EC"/>
    <w:rsid w:val="00421C05"/>
    <w:rsid w:val="00421EB9"/>
    <w:rsid w:val="00421F55"/>
    <w:rsid w:val="00422478"/>
    <w:rsid w:val="0042299C"/>
    <w:rsid w:val="00422D13"/>
    <w:rsid w:val="0042317B"/>
    <w:rsid w:val="004231B6"/>
    <w:rsid w:val="00423284"/>
    <w:rsid w:val="004238A5"/>
    <w:rsid w:val="00423AE1"/>
    <w:rsid w:val="00423E7D"/>
    <w:rsid w:val="004241B4"/>
    <w:rsid w:val="004241FD"/>
    <w:rsid w:val="0042428D"/>
    <w:rsid w:val="00424350"/>
    <w:rsid w:val="0042448A"/>
    <w:rsid w:val="004245A3"/>
    <w:rsid w:val="0042465D"/>
    <w:rsid w:val="004246A1"/>
    <w:rsid w:val="00424BDF"/>
    <w:rsid w:val="0042503C"/>
    <w:rsid w:val="004251EB"/>
    <w:rsid w:val="0042532B"/>
    <w:rsid w:val="00425A3B"/>
    <w:rsid w:val="00425A6B"/>
    <w:rsid w:val="00425C4C"/>
    <w:rsid w:val="00425DA3"/>
    <w:rsid w:val="0042606E"/>
    <w:rsid w:val="00426568"/>
    <w:rsid w:val="00426695"/>
    <w:rsid w:val="00426A13"/>
    <w:rsid w:val="00426C36"/>
    <w:rsid w:val="00426C5A"/>
    <w:rsid w:val="00426DE9"/>
    <w:rsid w:val="00427031"/>
    <w:rsid w:val="00427099"/>
    <w:rsid w:val="0042718C"/>
    <w:rsid w:val="0042791E"/>
    <w:rsid w:val="00427A73"/>
    <w:rsid w:val="00427ABA"/>
    <w:rsid w:val="00427C85"/>
    <w:rsid w:val="00427CF0"/>
    <w:rsid w:val="00427E2B"/>
    <w:rsid w:val="00427E2C"/>
    <w:rsid w:val="00427FEB"/>
    <w:rsid w:val="004304E2"/>
    <w:rsid w:val="004305DE"/>
    <w:rsid w:val="00430612"/>
    <w:rsid w:val="004306AD"/>
    <w:rsid w:val="004307AB"/>
    <w:rsid w:val="00430935"/>
    <w:rsid w:val="00430983"/>
    <w:rsid w:val="00430FBD"/>
    <w:rsid w:val="00431045"/>
    <w:rsid w:val="00431172"/>
    <w:rsid w:val="004311AC"/>
    <w:rsid w:val="00431541"/>
    <w:rsid w:val="0043162F"/>
    <w:rsid w:val="0043165E"/>
    <w:rsid w:val="00431788"/>
    <w:rsid w:val="0043190E"/>
    <w:rsid w:val="00431CEB"/>
    <w:rsid w:val="00431D26"/>
    <w:rsid w:val="00431F68"/>
    <w:rsid w:val="00432031"/>
    <w:rsid w:val="00432137"/>
    <w:rsid w:val="0043253B"/>
    <w:rsid w:val="00432763"/>
    <w:rsid w:val="00432A3C"/>
    <w:rsid w:val="00432B40"/>
    <w:rsid w:val="00432D45"/>
    <w:rsid w:val="00432F63"/>
    <w:rsid w:val="00433367"/>
    <w:rsid w:val="0043351D"/>
    <w:rsid w:val="00433582"/>
    <w:rsid w:val="00433728"/>
    <w:rsid w:val="00433954"/>
    <w:rsid w:val="0043395F"/>
    <w:rsid w:val="00433A02"/>
    <w:rsid w:val="00433A35"/>
    <w:rsid w:val="00433DAF"/>
    <w:rsid w:val="00433DF0"/>
    <w:rsid w:val="004342DA"/>
    <w:rsid w:val="0043446B"/>
    <w:rsid w:val="004344ED"/>
    <w:rsid w:val="00434640"/>
    <w:rsid w:val="004346F9"/>
    <w:rsid w:val="0043471E"/>
    <w:rsid w:val="004347B6"/>
    <w:rsid w:val="004347FD"/>
    <w:rsid w:val="0043492A"/>
    <w:rsid w:val="00434969"/>
    <w:rsid w:val="00434E15"/>
    <w:rsid w:val="00434E88"/>
    <w:rsid w:val="0043503C"/>
    <w:rsid w:val="004350FD"/>
    <w:rsid w:val="0043521F"/>
    <w:rsid w:val="00435601"/>
    <w:rsid w:val="00435633"/>
    <w:rsid w:val="00435764"/>
    <w:rsid w:val="00435798"/>
    <w:rsid w:val="00435979"/>
    <w:rsid w:val="0043597B"/>
    <w:rsid w:val="00435A05"/>
    <w:rsid w:val="00435ABC"/>
    <w:rsid w:val="00435E6F"/>
    <w:rsid w:val="004360F9"/>
    <w:rsid w:val="00436442"/>
    <w:rsid w:val="004364AD"/>
    <w:rsid w:val="004364DA"/>
    <w:rsid w:val="0043650B"/>
    <w:rsid w:val="00436541"/>
    <w:rsid w:val="0043661E"/>
    <w:rsid w:val="0043697B"/>
    <w:rsid w:val="00436A3B"/>
    <w:rsid w:val="00436B00"/>
    <w:rsid w:val="00436CC7"/>
    <w:rsid w:val="00436E04"/>
    <w:rsid w:val="004370B6"/>
    <w:rsid w:val="00437505"/>
    <w:rsid w:val="004376A9"/>
    <w:rsid w:val="00437744"/>
    <w:rsid w:val="00437E11"/>
    <w:rsid w:val="00437EEF"/>
    <w:rsid w:val="00440133"/>
    <w:rsid w:val="004405D0"/>
    <w:rsid w:val="004406D4"/>
    <w:rsid w:val="00440737"/>
    <w:rsid w:val="00440C68"/>
    <w:rsid w:val="00440E7F"/>
    <w:rsid w:val="00441370"/>
    <w:rsid w:val="00441771"/>
    <w:rsid w:val="00441AC3"/>
    <w:rsid w:val="00441B90"/>
    <w:rsid w:val="00441EBB"/>
    <w:rsid w:val="00442080"/>
    <w:rsid w:val="00442114"/>
    <w:rsid w:val="0044246D"/>
    <w:rsid w:val="004424AB"/>
    <w:rsid w:val="004425D9"/>
    <w:rsid w:val="00442751"/>
    <w:rsid w:val="00442AF7"/>
    <w:rsid w:val="00442B16"/>
    <w:rsid w:val="00442B2B"/>
    <w:rsid w:val="00442D3B"/>
    <w:rsid w:val="00442F30"/>
    <w:rsid w:val="004431AB"/>
    <w:rsid w:val="00443601"/>
    <w:rsid w:val="00443933"/>
    <w:rsid w:val="00443A09"/>
    <w:rsid w:val="00443A6B"/>
    <w:rsid w:val="00443EB5"/>
    <w:rsid w:val="00444256"/>
    <w:rsid w:val="00444307"/>
    <w:rsid w:val="0044441D"/>
    <w:rsid w:val="004444DE"/>
    <w:rsid w:val="0044473C"/>
    <w:rsid w:val="00444AE9"/>
    <w:rsid w:val="00444C50"/>
    <w:rsid w:val="004452CF"/>
    <w:rsid w:val="00445542"/>
    <w:rsid w:val="00445611"/>
    <w:rsid w:val="0044593E"/>
    <w:rsid w:val="00445BE7"/>
    <w:rsid w:val="00445EBA"/>
    <w:rsid w:val="00445EF0"/>
    <w:rsid w:val="00446272"/>
    <w:rsid w:val="004462EF"/>
    <w:rsid w:val="004464E3"/>
    <w:rsid w:val="00446518"/>
    <w:rsid w:val="00446704"/>
    <w:rsid w:val="0044674E"/>
    <w:rsid w:val="00446820"/>
    <w:rsid w:val="00446B51"/>
    <w:rsid w:val="00446BF2"/>
    <w:rsid w:val="00446E52"/>
    <w:rsid w:val="00447131"/>
    <w:rsid w:val="004475AA"/>
    <w:rsid w:val="00447876"/>
    <w:rsid w:val="00447919"/>
    <w:rsid w:val="00447C38"/>
    <w:rsid w:val="00447C8A"/>
    <w:rsid w:val="00450021"/>
    <w:rsid w:val="00450244"/>
    <w:rsid w:val="00450853"/>
    <w:rsid w:val="00450A0B"/>
    <w:rsid w:val="00450CE8"/>
    <w:rsid w:val="00450D92"/>
    <w:rsid w:val="00451011"/>
    <w:rsid w:val="004511B9"/>
    <w:rsid w:val="00451443"/>
    <w:rsid w:val="00451688"/>
    <w:rsid w:val="0045173D"/>
    <w:rsid w:val="004517B8"/>
    <w:rsid w:val="004517C4"/>
    <w:rsid w:val="00451D8A"/>
    <w:rsid w:val="0045203E"/>
    <w:rsid w:val="00452417"/>
    <w:rsid w:val="004524D3"/>
    <w:rsid w:val="004525DA"/>
    <w:rsid w:val="004526EE"/>
    <w:rsid w:val="0045273B"/>
    <w:rsid w:val="00452817"/>
    <w:rsid w:val="00452A5E"/>
    <w:rsid w:val="00452BC5"/>
    <w:rsid w:val="00452C37"/>
    <w:rsid w:val="00452E2A"/>
    <w:rsid w:val="0045307F"/>
    <w:rsid w:val="004530D7"/>
    <w:rsid w:val="00453550"/>
    <w:rsid w:val="004536F5"/>
    <w:rsid w:val="004537CA"/>
    <w:rsid w:val="00453848"/>
    <w:rsid w:val="004538E1"/>
    <w:rsid w:val="004538E3"/>
    <w:rsid w:val="00453D0F"/>
    <w:rsid w:val="00454922"/>
    <w:rsid w:val="00454D0C"/>
    <w:rsid w:val="0045504E"/>
    <w:rsid w:val="0045509F"/>
    <w:rsid w:val="0045537A"/>
    <w:rsid w:val="004553E1"/>
    <w:rsid w:val="00455473"/>
    <w:rsid w:val="00455573"/>
    <w:rsid w:val="004556B5"/>
    <w:rsid w:val="004556CE"/>
    <w:rsid w:val="004556FE"/>
    <w:rsid w:val="00455A5E"/>
    <w:rsid w:val="00455A88"/>
    <w:rsid w:val="00455B18"/>
    <w:rsid w:val="004560A8"/>
    <w:rsid w:val="00456318"/>
    <w:rsid w:val="004564F3"/>
    <w:rsid w:val="004566B6"/>
    <w:rsid w:val="00456F3E"/>
    <w:rsid w:val="004573C2"/>
    <w:rsid w:val="00457965"/>
    <w:rsid w:val="0046050F"/>
    <w:rsid w:val="004607E2"/>
    <w:rsid w:val="00460A3A"/>
    <w:rsid w:val="00460F7E"/>
    <w:rsid w:val="00461977"/>
    <w:rsid w:val="00461C8E"/>
    <w:rsid w:val="00461CFA"/>
    <w:rsid w:val="00461F84"/>
    <w:rsid w:val="00462082"/>
    <w:rsid w:val="0046261B"/>
    <w:rsid w:val="00462690"/>
    <w:rsid w:val="004627F1"/>
    <w:rsid w:val="004628D3"/>
    <w:rsid w:val="0046295A"/>
    <w:rsid w:val="004629E7"/>
    <w:rsid w:val="00462AB2"/>
    <w:rsid w:val="00462D89"/>
    <w:rsid w:val="00462FF0"/>
    <w:rsid w:val="004638B2"/>
    <w:rsid w:val="00463C9B"/>
    <w:rsid w:val="00463EA1"/>
    <w:rsid w:val="004642E5"/>
    <w:rsid w:val="00464705"/>
    <w:rsid w:val="0046492E"/>
    <w:rsid w:val="00464954"/>
    <w:rsid w:val="00464A59"/>
    <w:rsid w:val="00464C8C"/>
    <w:rsid w:val="00464F23"/>
    <w:rsid w:val="0046507C"/>
    <w:rsid w:val="004651A8"/>
    <w:rsid w:val="004652B5"/>
    <w:rsid w:val="004656B7"/>
    <w:rsid w:val="00465EE5"/>
    <w:rsid w:val="00465FC8"/>
    <w:rsid w:val="0046617E"/>
    <w:rsid w:val="00466290"/>
    <w:rsid w:val="00466369"/>
    <w:rsid w:val="004664F2"/>
    <w:rsid w:val="004665AF"/>
    <w:rsid w:val="004667EB"/>
    <w:rsid w:val="00466924"/>
    <w:rsid w:val="00466A35"/>
    <w:rsid w:val="00466C5D"/>
    <w:rsid w:val="00466C99"/>
    <w:rsid w:val="00466DE0"/>
    <w:rsid w:val="00466F76"/>
    <w:rsid w:val="00466FC2"/>
    <w:rsid w:val="00467450"/>
    <w:rsid w:val="00467519"/>
    <w:rsid w:val="00467575"/>
    <w:rsid w:val="004676F2"/>
    <w:rsid w:val="00467A71"/>
    <w:rsid w:val="00470373"/>
    <w:rsid w:val="0047052B"/>
    <w:rsid w:val="004708FF"/>
    <w:rsid w:val="00470F06"/>
    <w:rsid w:val="00471004"/>
    <w:rsid w:val="00471717"/>
    <w:rsid w:val="004718BC"/>
    <w:rsid w:val="004718F2"/>
    <w:rsid w:val="00471B1C"/>
    <w:rsid w:val="00471DB0"/>
    <w:rsid w:val="00471F10"/>
    <w:rsid w:val="00472014"/>
    <w:rsid w:val="00472018"/>
    <w:rsid w:val="00472242"/>
    <w:rsid w:val="0047233D"/>
    <w:rsid w:val="0047264F"/>
    <w:rsid w:val="004727F8"/>
    <w:rsid w:val="00472B2D"/>
    <w:rsid w:val="00472E4D"/>
    <w:rsid w:val="00472F35"/>
    <w:rsid w:val="0047310F"/>
    <w:rsid w:val="004731B2"/>
    <w:rsid w:val="004733D2"/>
    <w:rsid w:val="0047380F"/>
    <w:rsid w:val="00473976"/>
    <w:rsid w:val="00473B16"/>
    <w:rsid w:val="00473BAA"/>
    <w:rsid w:val="00473C1A"/>
    <w:rsid w:val="00474214"/>
    <w:rsid w:val="00474301"/>
    <w:rsid w:val="00474368"/>
    <w:rsid w:val="0047471F"/>
    <w:rsid w:val="004748AB"/>
    <w:rsid w:val="00474902"/>
    <w:rsid w:val="00474B0E"/>
    <w:rsid w:val="00474B9B"/>
    <w:rsid w:val="00474BBC"/>
    <w:rsid w:val="00474D34"/>
    <w:rsid w:val="00474E45"/>
    <w:rsid w:val="00474EF5"/>
    <w:rsid w:val="00475014"/>
    <w:rsid w:val="0047549F"/>
    <w:rsid w:val="00475727"/>
    <w:rsid w:val="0047576F"/>
    <w:rsid w:val="00475B3C"/>
    <w:rsid w:val="00475D9A"/>
    <w:rsid w:val="00475DD4"/>
    <w:rsid w:val="00475EFB"/>
    <w:rsid w:val="00476372"/>
    <w:rsid w:val="004764EF"/>
    <w:rsid w:val="004766EA"/>
    <w:rsid w:val="00476C0A"/>
    <w:rsid w:val="004771A7"/>
    <w:rsid w:val="0047737F"/>
    <w:rsid w:val="00477484"/>
    <w:rsid w:val="004774A6"/>
    <w:rsid w:val="004775C6"/>
    <w:rsid w:val="00477857"/>
    <w:rsid w:val="00477B0C"/>
    <w:rsid w:val="00477EC6"/>
    <w:rsid w:val="00480204"/>
    <w:rsid w:val="0048028F"/>
    <w:rsid w:val="00480657"/>
    <w:rsid w:val="0048084C"/>
    <w:rsid w:val="004809BD"/>
    <w:rsid w:val="00480A04"/>
    <w:rsid w:val="00480A2B"/>
    <w:rsid w:val="00480C0E"/>
    <w:rsid w:val="00481168"/>
    <w:rsid w:val="00481193"/>
    <w:rsid w:val="00481782"/>
    <w:rsid w:val="004818D2"/>
    <w:rsid w:val="00481967"/>
    <w:rsid w:val="00481F60"/>
    <w:rsid w:val="00482419"/>
    <w:rsid w:val="0048255A"/>
    <w:rsid w:val="004826C0"/>
    <w:rsid w:val="00482953"/>
    <w:rsid w:val="00482DFF"/>
    <w:rsid w:val="004830D0"/>
    <w:rsid w:val="004835AA"/>
    <w:rsid w:val="004837A8"/>
    <w:rsid w:val="00483A93"/>
    <w:rsid w:val="00483B43"/>
    <w:rsid w:val="00483CBC"/>
    <w:rsid w:val="00483E50"/>
    <w:rsid w:val="00484091"/>
    <w:rsid w:val="004845A6"/>
    <w:rsid w:val="004845C7"/>
    <w:rsid w:val="00484787"/>
    <w:rsid w:val="0048487E"/>
    <w:rsid w:val="00484DA5"/>
    <w:rsid w:val="00484E4F"/>
    <w:rsid w:val="0048518F"/>
    <w:rsid w:val="004851DD"/>
    <w:rsid w:val="004851F5"/>
    <w:rsid w:val="004852B2"/>
    <w:rsid w:val="004852DC"/>
    <w:rsid w:val="00485387"/>
    <w:rsid w:val="0048575F"/>
    <w:rsid w:val="00485806"/>
    <w:rsid w:val="00485818"/>
    <w:rsid w:val="0048584E"/>
    <w:rsid w:val="004858CE"/>
    <w:rsid w:val="00485FCF"/>
    <w:rsid w:val="00485FF3"/>
    <w:rsid w:val="00486065"/>
    <w:rsid w:val="004861F1"/>
    <w:rsid w:val="004863C3"/>
    <w:rsid w:val="004864EB"/>
    <w:rsid w:val="00486555"/>
    <w:rsid w:val="004865AC"/>
    <w:rsid w:val="0048661E"/>
    <w:rsid w:val="0048697E"/>
    <w:rsid w:val="004869F2"/>
    <w:rsid w:val="00486CA5"/>
    <w:rsid w:val="00486E9C"/>
    <w:rsid w:val="00486F06"/>
    <w:rsid w:val="00487148"/>
    <w:rsid w:val="0048714F"/>
    <w:rsid w:val="0048718B"/>
    <w:rsid w:val="004872BC"/>
    <w:rsid w:val="004872DC"/>
    <w:rsid w:val="00487586"/>
    <w:rsid w:val="00487881"/>
    <w:rsid w:val="0048798A"/>
    <w:rsid w:val="004903FF"/>
    <w:rsid w:val="00490491"/>
    <w:rsid w:val="004904EA"/>
    <w:rsid w:val="004909DF"/>
    <w:rsid w:val="00490F11"/>
    <w:rsid w:val="00491065"/>
    <w:rsid w:val="004910AF"/>
    <w:rsid w:val="00491442"/>
    <w:rsid w:val="0049145E"/>
    <w:rsid w:val="00491502"/>
    <w:rsid w:val="00491A07"/>
    <w:rsid w:val="00491AD0"/>
    <w:rsid w:val="00491C68"/>
    <w:rsid w:val="00491E2E"/>
    <w:rsid w:val="00492339"/>
    <w:rsid w:val="00492A40"/>
    <w:rsid w:val="00492B17"/>
    <w:rsid w:val="00492B92"/>
    <w:rsid w:val="00492BE4"/>
    <w:rsid w:val="00492BE8"/>
    <w:rsid w:val="00492D20"/>
    <w:rsid w:val="00492F19"/>
    <w:rsid w:val="00493317"/>
    <w:rsid w:val="00493717"/>
    <w:rsid w:val="004937B3"/>
    <w:rsid w:val="00493929"/>
    <w:rsid w:val="0049395D"/>
    <w:rsid w:val="00493A18"/>
    <w:rsid w:val="00493D9C"/>
    <w:rsid w:val="00493E4B"/>
    <w:rsid w:val="00493EA1"/>
    <w:rsid w:val="00494230"/>
    <w:rsid w:val="00494483"/>
    <w:rsid w:val="00494611"/>
    <w:rsid w:val="00494791"/>
    <w:rsid w:val="00494800"/>
    <w:rsid w:val="00494C10"/>
    <w:rsid w:val="004951BC"/>
    <w:rsid w:val="004953B7"/>
    <w:rsid w:val="00495FB6"/>
    <w:rsid w:val="00496330"/>
    <w:rsid w:val="004967C9"/>
    <w:rsid w:val="00496A7D"/>
    <w:rsid w:val="00496A9C"/>
    <w:rsid w:val="00496AC8"/>
    <w:rsid w:val="00496EB0"/>
    <w:rsid w:val="004970B7"/>
    <w:rsid w:val="004973E5"/>
    <w:rsid w:val="004975C2"/>
    <w:rsid w:val="004978A5"/>
    <w:rsid w:val="00497FF2"/>
    <w:rsid w:val="004A00C7"/>
    <w:rsid w:val="004A0111"/>
    <w:rsid w:val="004A061C"/>
    <w:rsid w:val="004A06D5"/>
    <w:rsid w:val="004A06D6"/>
    <w:rsid w:val="004A077F"/>
    <w:rsid w:val="004A0D44"/>
    <w:rsid w:val="004A0E47"/>
    <w:rsid w:val="004A1116"/>
    <w:rsid w:val="004A12EF"/>
    <w:rsid w:val="004A173A"/>
    <w:rsid w:val="004A1907"/>
    <w:rsid w:val="004A192D"/>
    <w:rsid w:val="004A1A25"/>
    <w:rsid w:val="004A1A45"/>
    <w:rsid w:val="004A1BCA"/>
    <w:rsid w:val="004A1D6E"/>
    <w:rsid w:val="004A2335"/>
    <w:rsid w:val="004A26B2"/>
    <w:rsid w:val="004A2753"/>
    <w:rsid w:val="004A2BB2"/>
    <w:rsid w:val="004A2D37"/>
    <w:rsid w:val="004A3206"/>
    <w:rsid w:val="004A3233"/>
    <w:rsid w:val="004A3289"/>
    <w:rsid w:val="004A3292"/>
    <w:rsid w:val="004A334A"/>
    <w:rsid w:val="004A3526"/>
    <w:rsid w:val="004A3781"/>
    <w:rsid w:val="004A3838"/>
    <w:rsid w:val="004A3FB3"/>
    <w:rsid w:val="004A4279"/>
    <w:rsid w:val="004A445D"/>
    <w:rsid w:val="004A4823"/>
    <w:rsid w:val="004A48F7"/>
    <w:rsid w:val="004A4BA4"/>
    <w:rsid w:val="004A4C57"/>
    <w:rsid w:val="004A5483"/>
    <w:rsid w:val="004A5688"/>
    <w:rsid w:val="004A574B"/>
    <w:rsid w:val="004A5871"/>
    <w:rsid w:val="004A5C38"/>
    <w:rsid w:val="004A5CD9"/>
    <w:rsid w:val="004A6152"/>
    <w:rsid w:val="004A61EC"/>
    <w:rsid w:val="004A6293"/>
    <w:rsid w:val="004A6FC8"/>
    <w:rsid w:val="004A7163"/>
    <w:rsid w:val="004A71E7"/>
    <w:rsid w:val="004A754A"/>
    <w:rsid w:val="004A7587"/>
    <w:rsid w:val="004A780C"/>
    <w:rsid w:val="004A7929"/>
    <w:rsid w:val="004A7AE7"/>
    <w:rsid w:val="004A7EA0"/>
    <w:rsid w:val="004A7F16"/>
    <w:rsid w:val="004B0133"/>
    <w:rsid w:val="004B01EE"/>
    <w:rsid w:val="004B04C9"/>
    <w:rsid w:val="004B0FB1"/>
    <w:rsid w:val="004B1634"/>
    <w:rsid w:val="004B17E7"/>
    <w:rsid w:val="004B1B64"/>
    <w:rsid w:val="004B242D"/>
    <w:rsid w:val="004B2503"/>
    <w:rsid w:val="004B2B65"/>
    <w:rsid w:val="004B2B9F"/>
    <w:rsid w:val="004B2ECD"/>
    <w:rsid w:val="004B2F0E"/>
    <w:rsid w:val="004B3011"/>
    <w:rsid w:val="004B308A"/>
    <w:rsid w:val="004B3525"/>
    <w:rsid w:val="004B376C"/>
    <w:rsid w:val="004B3770"/>
    <w:rsid w:val="004B38F9"/>
    <w:rsid w:val="004B39D6"/>
    <w:rsid w:val="004B3A4D"/>
    <w:rsid w:val="004B3B10"/>
    <w:rsid w:val="004B4499"/>
    <w:rsid w:val="004B4D26"/>
    <w:rsid w:val="004B4F78"/>
    <w:rsid w:val="004B51D2"/>
    <w:rsid w:val="004B547E"/>
    <w:rsid w:val="004B5C12"/>
    <w:rsid w:val="004B5CAA"/>
    <w:rsid w:val="004B5D07"/>
    <w:rsid w:val="004B61BB"/>
    <w:rsid w:val="004B61F7"/>
    <w:rsid w:val="004B66B4"/>
    <w:rsid w:val="004B66E0"/>
    <w:rsid w:val="004B678D"/>
    <w:rsid w:val="004B67ED"/>
    <w:rsid w:val="004B6C82"/>
    <w:rsid w:val="004B6D9C"/>
    <w:rsid w:val="004B7128"/>
    <w:rsid w:val="004B755F"/>
    <w:rsid w:val="004B75BF"/>
    <w:rsid w:val="004B75FB"/>
    <w:rsid w:val="004B771C"/>
    <w:rsid w:val="004B7BB3"/>
    <w:rsid w:val="004C00CD"/>
    <w:rsid w:val="004C0C02"/>
    <w:rsid w:val="004C0CDC"/>
    <w:rsid w:val="004C0D89"/>
    <w:rsid w:val="004C109C"/>
    <w:rsid w:val="004C10EB"/>
    <w:rsid w:val="004C1193"/>
    <w:rsid w:val="004C14AC"/>
    <w:rsid w:val="004C1504"/>
    <w:rsid w:val="004C169C"/>
    <w:rsid w:val="004C1744"/>
    <w:rsid w:val="004C1A1E"/>
    <w:rsid w:val="004C1C0C"/>
    <w:rsid w:val="004C1C52"/>
    <w:rsid w:val="004C1F10"/>
    <w:rsid w:val="004C201E"/>
    <w:rsid w:val="004C2028"/>
    <w:rsid w:val="004C29FB"/>
    <w:rsid w:val="004C2AA1"/>
    <w:rsid w:val="004C2B61"/>
    <w:rsid w:val="004C2FB3"/>
    <w:rsid w:val="004C3C65"/>
    <w:rsid w:val="004C3F1B"/>
    <w:rsid w:val="004C3F3F"/>
    <w:rsid w:val="004C46A7"/>
    <w:rsid w:val="004C487E"/>
    <w:rsid w:val="004C49E8"/>
    <w:rsid w:val="004C50B0"/>
    <w:rsid w:val="004C5783"/>
    <w:rsid w:val="004C5B6B"/>
    <w:rsid w:val="004C5C77"/>
    <w:rsid w:val="004C5F13"/>
    <w:rsid w:val="004C60AC"/>
    <w:rsid w:val="004C6ADC"/>
    <w:rsid w:val="004C6C3A"/>
    <w:rsid w:val="004C6D44"/>
    <w:rsid w:val="004C73BF"/>
    <w:rsid w:val="004C7B12"/>
    <w:rsid w:val="004D00B3"/>
    <w:rsid w:val="004D052C"/>
    <w:rsid w:val="004D05F4"/>
    <w:rsid w:val="004D0734"/>
    <w:rsid w:val="004D0D39"/>
    <w:rsid w:val="004D0FB1"/>
    <w:rsid w:val="004D12DC"/>
    <w:rsid w:val="004D1527"/>
    <w:rsid w:val="004D1996"/>
    <w:rsid w:val="004D1AFB"/>
    <w:rsid w:val="004D1BEE"/>
    <w:rsid w:val="004D1C27"/>
    <w:rsid w:val="004D1EA4"/>
    <w:rsid w:val="004D1F00"/>
    <w:rsid w:val="004D202E"/>
    <w:rsid w:val="004D2090"/>
    <w:rsid w:val="004D20CD"/>
    <w:rsid w:val="004D221D"/>
    <w:rsid w:val="004D22F2"/>
    <w:rsid w:val="004D2BB1"/>
    <w:rsid w:val="004D2CFE"/>
    <w:rsid w:val="004D2D57"/>
    <w:rsid w:val="004D2FD9"/>
    <w:rsid w:val="004D3239"/>
    <w:rsid w:val="004D3348"/>
    <w:rsid w:val="004D3397"/>
    <w:rsid w:val="004D3599"/>
    <w:rsid w:val="004D391A"/>
    <w:rsid w:val="004D3B76"/>
    <w:rsid w:val="004D3BAE"/>
    <w:rsid w:val="004D3FE9"/>
    <w:rsid w:val="004D4081"/>
    <w:rsid w:val="004D45A4"/>
    <w:rsid w:val="004D46FB"/>
    <w:rsid w:val="004D48D7"/>
    <w:rsid w:val="004D4BB3"/>
    <w:rsid w:val="004D4BF3"/>
    <w:rsid w:val="004D4D38"/>
    <w:rsid w:val="004D4E27"/>
    <w:rsid w:val="004D4F72"/>
    <w:rsid w:val="004D50B7"/>
    <w:rsid w:val="004D5111"/>
    <w:rsid w:val="004D5C0C"/>
    <w:rsid w:val="004D5D57"/>
    <w:rsid w:val="004D5F54"/>
    <w:rsid w:val="004D67FD"/>
    <w:rsid w:val="004D6901"/>
    <w:rsid w:val="004D69A6"/>
    <w:rsid w:val="004D6A21"/>
    <w:rsid w:val="004D6A5C"/>
    <w:rsid w:val="004D6DB8"/>
    <w:rsid w:val="004D7B19"/>
    <w:rsid w:val="004D7D05"/>
    <w:rsid w:val="004D7D7F"/>
    <w:rsid w:val="004D7F0C"/>
    <w:rsid w:val="004D7F4A"/>
    <w:rsid w:val="004E00A9"/>
    <w:rsid w:val="004E0214"/>
    <w:rsid w:val="004E0455"/>
    <w:rsid w:val="004E07C4"/>
    <w:rsid w:val="004E0DD6"/>
    <w:rsid w:val="004E11CB"/>
    <w:rsid w:val="004E121E"/>
    <w:rsid w:val="004E13A3"/>
    <w:rsid w:val="004E16F8"/>
    <w:rsid w:val="004E19CC"/>
    <w:rsid w:val="004E1A62"/>
    <w:rsid w:val="004E1C46"/>
    <w:rsid w:val="004E1C6C"/>
    <w:rsid w:val="004E1F33"/>
    <w:rsid w:val="004E20BF"/>
    <w:rsid w:val="004E21AF"/>
    <w:rsid w:val="004E2488"/>
    <w:rsid w:val="004E2564"/>
    <w:rsid w:val="004E259A"/>
    <w:rsid w:val="004E286B"/>
    <w:rsid w:val="004E2937"/>
    <w:rsid w:val="004E2B68"/>
    <w:rsid w:val="004E2C00"/>
    <w:rsid w:val="004E3343"/>
    <w:rsid w:val="004E338E"/>
    <w:rsid w:val="004E3630"/>
    <w:rsid w:val="004E39AD"/>
    <w:rsid w:val="004E3FEB"/>
    <w:rsid w:val="004E41BE"/>
    <w:rsid w:val="004E4239"/>
    <w:rsid w:val="004E42EC"/>
    <w:rsid w:val="004E4610"/>
    <w:rsid w:val="004E4813"/>
    <w:rsid w:val="004E485D"/>
    <w:rsid w:val="004E4957"/>
    <w:rsid w:val="004E4CA9"/>
    <w:rsid w:val="004E506A"/>
    <w:rsid w:val="004E5123"/>
    <w:rsid w:val="004E55F0"/>
    <w:rsid w:val="004E56BA"/>
    <w:rsid w:val="004E5FE9"/>
    <w:rsid w:val="004E6030"/>
    <w:rsid w:val="004E645B"/>
    <w:rsid w:val="004E64EE"/>
    <w:rsid w:val="004E655F"/>
    <w:rsid w:val="004E65AD"/>
    <w:rsid w:val="004E667C"/>
    <w:rsid w:val="004E673D"/>
    <w:rsid w:val="004E6864"/>
    <w:rsid w:val="004E6A54"/>
    <w:rsid w:val="004E6AC3"/>
    <w:rsid w:val="004E6AC5"/>
    <w:rsid w:val="004E7197"/>
    <w:rsid w:val="004E749B"/>
    <w:rsid w:val="004E76C8"/>
    <w:rsid w:val="004E76E4"/>
    <w:rsid w:val="004E76E9"/>
    <w:rsid w:val="004E7712"/>
    <w:rsid w:val="004E7765"/>
    <w:rsid w:val="004E789F"/>
    <w:rsid w:val="004E794B"/>
    <w:rsid w:val="004E7BE8"/>
    <w:rsid w:val="004E7E42"/>
    <w:rsid w:val="004F00A3"/>
    <w:rsid w:val="004F016A"/>
    <w:rsid w:val="004F048D"/>
    <w:rsid w:val="004F0918"/>
    <w:rsid w:val="004F0A0C"/>
    <w:rsid w:val="004F0ABB"/>
    <w:rsid w:val="004F0B2B"/>
    <w:rsid w:val="004F0D60"/>
    <w:rsid w:val="004F0F08"/>
    <w:rsid w:val="004F14B5"/>
    <w:rsid w:val="004F162A"/>
    <w:rsid w:val="004F1D3D"/>
    <w:rsid w:val="004F1E9C"/>
    <w:rsid w:val="004F1FFB"/>
    <w:rsid w:val="004F20F2"/>
    <w:rsid w:val="004F2447"/>
    <w:rsid w:val="004F2CAE"/>
    <w:rsid w:val="004F2CBC"/>
    <w:rsid w:val="004F2FAB"/>
    <w:rsid w:val="004F329C"/>
    <w:rsid w:val="004F332C"/>
    <w:rsid w:val="004F3483"/>
    <w:rsid w:val="004F3510"/>
    <w:rsid w:val="004F36A3"/>
    <w:rsid w:val="004F3767"/>
    <w:rsid w:val="004F3F9B"/>
    <w:rsid w:val="004F4319"/>
    <w:rsid w:val="004F48F6"/>
    <w:rsid w:val="004F50A8"/>
    <w:rsid w:val="004F5247"/>
    <w:rsid w:val="004F5A6A"/>
    <w:rsid w:val="004F5BDB"/>
    <w:rsid w:val="004F5DDD"/>
    <w:rsid w:val="004F61E5"/>
    <w:rsid w:val="004F63F7"/>
    <w:rsid w:val="004F652E"/>
    <w:rsid w:val="004F6563"/>
    <w:rsid w:val="004F66A8"/>
    <w:rsid w:val="004F6723"/>
    <w:rsid w:val="004F68E5"/>
    <w:rsid w:val="004F69F6"/>
    <w:rsid w:val="004F6AB3"/>
    <w:rsid w:val="004F6AD1"/>
    <w:rsid w:val="004F6C03"/>
    <w:rsid w:val="004F6ED2"/>
    <w:rsid w:val="004F75FD"/>
    <w:rsid w:val="004F7CE8"/>
    <w:rsid w:val="004F7EC8"/>
    <w:rsid w:val="004F7F68"/>
    <w:rsid w:val="005005BA"/>
    <w:rsid w:val="00500885"/>
    <w:rsid w:val="005009B4"/>
    <w:rsid w:val="005009CF"/>
    <w:rsid w:val="00500AB6"/>
    <w:rsid w:val="00500CB3"/>
    <w:rsid w:val="00500DD7"/>
    <w:rsid w:val="00500F46"/>
    <w:rsid w:val="005010BD"/>
    <w:rsid w:val="00501483"/>
    <w:rsid w:val="005015D1"/>
    <w:rsid w:val="005016BD"/>
    <w:rsid w:val="00501703"/>
    <w:rsid w:val="0050196C"/>
    <w:rsid w:val="00501AC3"/>
    <w:rsid w:val="00501B29"/>
    <w:rsid w:val="00501D7A"/>
    <w:rsid w:val="00501E5E"/>
    <w:rsid w:val="00501F6E"/>
    <w:rsid w:val="00502035"/>
    <w:rsid w:val="005020FE"/>
    <w:rsid w:val="0050259B"/>
    <w:rsid w:val="005026D0"/>
    <w:rsid w:val="00502873"/>
    <w:rsid w:val="005028DC"/>
    <w:rsid w:val="0050292B"/>
    <w:rsid w:val="00502BD1"/>
    <w:rsid w:val="00502E0D"/>
    <w:rsid w:val="0050318D"/>
    <w:rsid w:val="0050319E"/>
    <w:rsid w:val="0050378C"/>
    <w:rsid w:val="005037E5"/>
    <w:rsid w:val="005039FE"/>
    <w:rsid w:val="00503A55"/>
    <w:rsid w:val="00503AE8"/>
    <w:rsid w:val="00503B16"/>
    <w:rsid w:val="00503C01"/>
    <w:rsid w:val="00503F98"/>
    <w:rsid w:val="00503FEF"/>
    <w:rsid w:val="00504BB8"/>
    <w:rsid w:val="005054B1"/>
    <w:rsid w:val="00505851"/>
    <w:rsid w:val="00505B20"/>
    <w:rsid w:val="00506144"/>
    <w:rsid w:val="0050618B"/>
    <w:rsid w:val="005064D8"/>
    <w:rsid w:val="005066F5"/>
    <w:rsid w:val="00506741"/>
    <w:rsid w:val="00506878"/>
    <w:rsid w:val="00506AF6"/>
    <w:rsid w:val="00506F3D"/>
    <w:rsid w:val="00507233"/>
    <w:rsid w:val="00507311"/>
    <w:rsid w:val="00507641"/>
    <w:rsid w:val="00507A71"/>
    <w:rsid w:val="00507AE6"/>
    <w:rsid w:val="00507C39"/>
    <w:rsid w:val="00507E40"/>
    <w:rsid w:val="00510040"/>
    <w:rsid w:val="00510075"/>
    <w:rsid w:val="00510122"/>
    <w:rsid w:val="005103BF"/>
    <w:rsid w:val="00510C2B"/>
    <w:rsid w:val="00510D0C"/>
    <w:rsid w:val="0051103A"/>
    <w:rsid w:val="0051159D"/>
    <w:rsid w:val="005117B6"/>
    <w:rsid w:val="005117E0"/>
    <w:rsid w:val="00512041"/>
    <w:rsid w:val="005120D5"/>
    <w:rsid w:val="005122A5"/>
    <w:rsid w:val="0051240E"/>
    <w:rsid w:val="00512424"/>
    <w:rsid w:val="0051247D"/>
    <w:rsid w:val="005127C6"/>
    <w:rsid w:val="005127F9"/>
    <w:rsid w:val="0051280E"/>
    <w:rsid w:val="00512877"/>
    <w:rsid w:val="00512BBF"/>
    <w:rsid w:val="00512F6C"/>
    <w:rsid w:val="00513923"/>
    <w:rsid w:val="0051395D"/>
    <w:rsid w:val="00513E13"/>
    <w:rsid w:val="00514005"/>
    <w:rsid w:val="0051428D"/>
    <w:rsid w:val="00514485"/>
    <w:rsid w:val="00514556"/>
    <w:rsid w:val="00514636"/>
    <w:rsid w:val="00514A00"/>
    <w:rsid w:val="00514B72"/>
    <w:rsid w:val="00514CA2"/>
    <w:rsid w:val="00514F47"/>
    <w:rsid w:val="00515196"/>
    <w:rsid w:val="00515488"/>
    <w:rsid w:val="00515571"/>
    <w:rsid w:val="00515584"/>
    <w:rsid w:val="00515596"/>
    <w:rsid w:val="00515672"/>
    <w:rsid w:val="005157F0"/>
    <w:rsid w:val="00515924"/>
    <w:rsid w:val="00515A5E"/>
    <w:rsid w:val="00515AEA"/>
    <w:rsid w:val="00515DB3"/>
    <w:rsid w:val="005163CD"/>
    <w:rsid w:val="005165AD"/>
    <w:rsid w:val="00516904"/>
    <w:rsid w:val="00516EF5"/>
    <w:rsid w:val="00517991"/>
    <w:rsid w:val="00517B73"/>
    <w:rsid w:val="00517EB0"/>
    <w:rsid w:val="00520025"/>
    <w:rsid w:val="0052017B"/>
    <w:rsid w:val="0052028C"/>
    <w:rsid w:val="005205FE"/>
    <w:rsid w:val="00520733"/>
    <w:rsid w:val="005207F1"/>
    <w:rsid w:val="00520C4C"/>
    <w:rsid w:val="00520C90"/>
    <w:rsid w:val="00520E94"/>
    <w:rsid w:val="00521117"/>
    <w:rsid w:val="005211C9"/>
    <w:rsid w:val="005217B7"/>
    <w:rsid w:val="005219AF"/>
    <w:rsid w:val="005219F6"/>
    <w:rsid w:val="00521A41"/>
    <w:rsid w:val="00521BE8"/>
    <w:rsid w:val="00521E79"/>
    <w:rsid w:val="005220AA"/>
    <w:rsid w:val="0052215C"/>
    <w:rsid w:val="0052248B"/>
    <w:rsid w:val="005226B6"/>
    <w:rsid w:val="005226CD"/>
    <w:rsid w:val="00522B38"/>
    <w:rsid w:val="00522D7E"/>
    <w:rsid w:val="0052303A"/>
    <w:rsid w:val="00523332"/>
    <w:rsid w:val="00523369"/>
    <w:rsid w:val="005233D6"/>
    <w:rsid w:val="0052367A"/>
    <w:rsid w:val="005236A7"/>
    <w:rsid w:val="00523712"/>
    <w:rsid w:val="0052377B"/>
    <w:rsid w:val="005238D0"/>
    <w:rsid w:val="005239EB"/>
    <w:rsid w:val="00523C1A"/>
    <w:rsid w:val="00523DB3"/>
    <w:rsid w:val="00524044"/>
    <w:rsid w:val="0052461C"/>
    <w:rsid w:val="00524B96"/>
    <w:rsid w:val="00524DA3"/>
    <w:rsid w:val="00524E23"/>
    <w:rsid w:val="00524F0E"/>
    <w:rsid w:val="00525448"/>
    <w:rsid w:val="00525652"/>
    <w:rsid w:val="00525B63"/>
    <w:rsid w:val="00525C2F"/>
    <w:rsid w:val="00525DFE"/>
    <w:rsid w:val="00525E77"/>
    <w:rsid w:val="0052607C"/>
    <w:rsid w:val="0052614D"/>
    <w:rsid w:val="00526200"/>
    <w:rsid w:val="005263F0"/>
    <w:rsid w:val="00526870"/>
    <w:rsid w:val="00526956"/>
    <w:rsid w:val="00526ACC"/>
    <w:rsid w:val="00526DC1"/>
    <w:rsid w:val="0052744F"/>
    <w:rsid w:val="0052787E"/>
    <w:rsid w:val="005278E4"/>
    <w:rsid w:val="005278F9"/>
    <w:rsid w:val="00527CC1"/>
    <w:rsid w:val="00530318"/>
    <w:rsid w:val="005305EA"/>
    <w:rsid w:val="005306A9"/>
    <w:rsid w:val="005306F9"/>
    <w:rsid w:val="00530763"/>
    <w:rsid w:val="00530E19"/>
    <w:rsid w:val="00530F0A"/>
    <w:rsid w:val="00530F85"/>
    <w:rsid w:val="00531130"/>
    <w:rsid w:val="0053124C"/>
    <w:rsid w:val="0053151C"/>
    <w:rsid w:val="00531A2D"/>
    <w:rsid w:val="00531B66"/>
    <w:rsid w:val="00531B68"/>
    <w:rsid w:val="00531CA7"/>
    <w:rsid w:val="00531CD1"/>
    <w:rsid w:val="00531DA2"/>
    <w:rsid w:val="0053277C"/>
    <w:rsid w:val="0053294D"/>
    <w:rsid w:val="0053296B"/>
    <w:rsid w:val="00532B47"/>
    <w:rsid w:val="00532C28"/>
    <w:rsid w:val="00532D21"/>
    <w:rsid w:val="005331C4"/>
    <w:rsid w:val="00533241"/>
    <w:rsid w:val="005332D5"/>
    <w:rsid w:val="00533321"/>
    <w:rsid w:val="005339DC"/>
    <w:rsid w:val="00533A10"/>
    <w:rsid w:val="00533A89"/>
    <w:rsid w:val="005340BE"/>
    <w:rsid w:val="00534183"/>
    <w:rsid w:val="0053425B"/>
    <w:rsid w:val="0053451A"/>
    <w:rsid w:val="00534F5F"/>
    <w:rsid w:val="005350A5"/>
    <w:rsid w:val="00535106"/>
    <w:rsid w:val="005351D7"/>
    <w:rsid w:val="005352CF"/>
    <w:rsid w:val="0053532F"/>
    <w:rsid w:val="0053534B"/>
    <w:rsid w:val="0053539E"/>
    <w:rsid w:val="0053548A"/>
    <w:rsid w:val="00535600"/>
    <w:rsid w:val="005358AF"/>
    <w:rsid w:val="00536350"/>
    <w:rsid w:val="005366DB"/>
    <w:rsid w:val="00536845"/>
    <w:rsid w:val="005368A7"/>
    <w:rsid w:val="00536E56"/>
    <w:rsid w:val="00536F9C"/>
    <w:rsid w:val="00537086"/>
    <w:rsid w:val="00537176"/>
    <w:rsid w:val="005374D2"/>
    <w:rsid w:val="005375EC"/>
    <w:rsid w:val="00537620"/>
    <w:rsid w:val="005379F1"/>
    <w:rsid w:val="00537AF1"/>
    <w:rsid w:val="00537E30"/>
    <w:rsid w:val="005406DF"/>
    <w:rsid w:val="005407C9"/>
    <w:rsid w:val="005409ED"/>
    <w:rsid w:val="00540E39"/>
    <w:rsid w:val="00540E7D"/>
    <w:rsid w:val="00540F93"/>
    <w:rsid w:val="005410AF"/>
    <w:rsid w:val="005414E1"/>
    <w:rsid w:val="00541A04"/>
    <w:rsid w:val="00541B58"/>
    <w:rsid w:val="00541BBC"/>
    <w:rsid w:val="00541D80"/>
    <w:rsid w:val="00541E40"/>
    <w:rsid w:val="00541E8E"/>
    <w:rsid w:val="00541FAC"/>
    <w:rsid w:val="0054293E"/>
    <w:rsid w:val="00542B82"/>
    <w:rsid w:val="00542D4C"/>
    <w:rsid w:val="00542D55"/>
    <w:rsid w:val="00542F46"/>
    <w:rsid w:val="0054307A"/>
    <w:rsid w:val="005430E3"/>
    <w:rsid w:val="005432FD"/>
    <w:rsid w:val="00543327"/>
    <w:rsid w:val="00543525"/>
    <w:rsid w:val="00543688"/>
    <w:rsid w:val="005436E6"/>
    <w:rsid w:val="00543799"/>
    <w:rsid w:val="0054384F"/>
    <w:rsid w:val="0054411F"/>
    <w:rsid w:val="00544236"/>
    <w:rsid w:val="00544276"/>
    <w:rsid w:val="0054449A"/>
    <w:rsid w:val="00544724"/>
    <w:rsid w:val="005448C1"/>
    <w:rsid w:val="005449AC"/>
    <w:rsid w:val="0054548C"/>
    <w:rsid w:val="005460B0"/>
    <w:rsid w:val="00546213"/>
    <w:rsid w:val="005462C0"/>
    <w:rsid w:val="005463A0"/>
    <w:rsid w:val="00546753"/>
    <w:rsid w:val="00546758"/>
    <w:rsid w:val="00546C05"/>
    <w:rsid w:val="00547027"/>
    <w:rsid w:val="005472EB"/>
    <w:rsid w:val="0054796A"/>
    <w:rsid w:val="005479D1"/>
    <w:rsid w:val="00547ACC"/>
    <w:rsid w:val="00547B1D"/>
    <w:rsid w:val="00547CF2"/>
    <w:rsid w:val="00547D71"/>
    <w:rsid w:val="00547EF0"/>
    <w:rsid w:val="0055026E"/>
    <w:rsid w:val="005505B4"/>
    <w:rsid w:val="00550862"/>
    <w:rsid w:val="005509F9"/>
    <w:rsid w:val="00550C94"/>
    <w:rsid w:val="00550D50"/>
    <w:rsid w:val="00550DE4"/>
    <w:rsid w:val="00551550"/>
    <w:rsid w:val="005515EA"/>
    <w:rsid w:val="00551B8D"/>
    <w:rsid w:val="00551DDB"/>
    <w:rsid w:val="0055236A"/>
    <w:rsid w:val="0055263A"/>
    <w:rsid w:val="005527A6"/>
    <w:rsid w:val="0055291A"/>
    <w:rsid w:val="00552A1F"/>
    <w:rsid w:val="00552D51"/>
    <w:rsid w:val="00552F0C"/>
    <w:rsid w:val="005534F2"/>
    <w:rsid w:val="00553666"/>
    <w:rsid w:val="00553BC0"/>
    <w:rsid w:val="00553CAC"/>
    <w:rsid w:val="005540AF"/>
    <w:rsid w:val="00554120"/>
    <w:rsid w:val="0055435E"/>
    <w:rsid w:val="00554609"/>
    <w:rsid w:val="00554832"/>
    <w:rsid w:val="005549B1"/>
    <w:rsid w:val="00554A9F"/>
    <w:rsid w:val="00554E36"/>
    <w:rsid w:val="005550E5"/>
    <w:rsid w:val="00555728"/>
    <w:rsid w:val="005558F6"/>
    <w:rsid w:val="00555A8B"/>
    <w:rsid w:val="00555F61"/>
    <w:rsid w:val="00556010"/>
    <w:rsid w:val="005566FF"/>
    <w:rsid w:val="005567FD"/>
    <w:rsid w:val="005568A5"/>
    <w:rsid w:val="005569B0"/>
    <w:rsid w:val="00556C1D"/>
    <w:rsid w:val="00556CBC"/>
    <w:rsid w:val="00557068"/>
    <w:rsid w:val="00557259"/>
    <w:rsid w:val="005573D5"/>
    <w:rsid w:val="0055757D"/>
    <w:rsid w:val="00557584"/>
    <w:rsid w:val="005579DE"/>
    <w:rsid w:val="005579DF"/>
    <w:rsid w:val="00557AFB"/>
    <w:rsid w:val="00557BEA"/>
    <w:rsid w:val="00557C5D"/>
    <w:rsid w:val="00557FE3"/>
    <w:rsid w:val="00560519"/>
    <w:rsid w:val="00560919"/>
    <w:rsid w:val="005610AA"/>
    <w:rsid w:val="00561782"/>
    <w:rsid w:val="00561990"/>
    <w:rsid w:val="00561B21"/>
    <w:rsid w:val="00561DEC"/>
    <w:rsid w:val="005622A6"/>
    <w:rsid w:val="005623BA"/>
    <w:rsid w:val="00563066"/>
    <w:rsid w:val="0056315C"/>
    <w:rsid w:val="00563270"/>
    <w:rsid w:val="005633C4"/>
    <w:rsid w:val="005635E2"/>
    <w:rsid w:val="005638BF"/>
    <w:rsid w:val="005639B8"/>
    <w:rsid w:val="00563C3A"/>
    <w:rsid w:val="00563DA7"/>
    <w:rsid w:val="00563EAC"/>
    <w:rsid w:val="0056415B"/>
    <w:rsid w:val="0056424B"/>
    <w:rsid w:val="0056447A"/>
    <w:rsid w:val="005645C8"/>
    <w:rsid w:val="005649B3"/>
    <w:rsid w:val="00564EAE"/>
    <w:rsid w:val="005650FE"/>
    <w:rsid w:val="0056548B"/>
    <w:rsid w:val="0056563B"/>
    <w:rsid w:val="0056582D"/>
    <w:rsid w:val="005659F2"/>
    <w:rsid w:val="00565E09"/>
    <w:rsid w:val="00566343"/>
    <w:rsid w:val="0056634D"/>
    <w:rsid w:val="00566E8E"/>
    <w:rsid w:val="005671B8"/>
    <w:rsid w:val="00567892"/>
    <w:rsid w:val="00567A7F"/>
    <w:rsid w:val="00567B4D"/>
    <w:rsid w:val="00567CAE"/>
    <w:rsid w:val="00570151"/>
    <w:rsid w:val="0057037C"/>
    <w:rsid w:val="005703AE"/>
    <w:rsid w:val="0057053E"/>
    <w:rsid w:val="00570572"/>
    <w:rsid w:val="005707CB"/>
    <w:rsid w:val="00570940"/>
    <w:rsid w:val="005710CA"/>
    <w:rsid w:val="0057149D"/>
    <w:rsid w:val="0057184D"/>
    <w:rsid w:val="00571A6E"/>
    <w:rsid w:val="00571B92"/>
    <w:rsid w:val="00571ED6"/>
    <w:rsid w:val="005723D1"/>
    <w:rsid w:val="005729C2"/>
    <w:rsid w:val="005729FD"/>
    <w:rsid w:val="00572C59"/>
    <w:rsid w:val="00572E71"/>
    <w:rsid w:val="00572EA9"/>
    <w:rsid w:val="00572F92"/>
    <w:rsid w:val="0057323E"/>
    <w:rsid w:val="005735BB"/>
    <w:rsid w:val="0057365C"/>
    <w:rsid w:val="00573826"/>
    <w:rsid w:val="00573AAE"/>
    <w:rsid w:val="00573C1E"/>
    <w:rsid w:val="0057413C"/>
    <w:rsid w:val="00574158"/>
    <w:rsid w:val="005742A3"/>
    <w:rsid w:val="00574542"/>
    <w:rsid w:val="005745F7"/>
    <w:rsid w:val="00574690"/>
    <w:rsid w:val="00574858"/>
    <w:rsid w:val="0057499B"/>
    <w:rsid w:val="005749E6"/>
    <w:rsid w:val="00574A93"/>
    <w:rsid w:val="00574D57"/>
    <w:rsid w:val="00574E1B"/>
    <w:rsid w:val="00574FC2"/>
    <w:rsid w:val="0057500B"/>
    <w:rsid w:val="0057532D"/>
    <w:rsid w:val="00575509"/>
    <w:rsid w:val="00575A58"/>
    <w:rsid w:val="00575C7D"/>
    <w:rsid w:val="00575D3D"/>
    <w:rsid w:val="00576127"/>
    <w:rsid w:val="005762F6"/>
    <w:rsid w:val="00576B2D"/>
    <w:rsid w:val="00576B4B"/>
    <w:rsid w:val="00576CF2"/>
    <w:rsid w:val="00576E1A"/>
    <w:rsid w:val="00577064"/>
    <w:rsid w:val="0057737A"/>
    <w:rsid w:val="0057738C"/>
    <w:rsid w:val="005775AF"/>
    <w:rsid w:val="00577943"/>
    <w:rsid w:val="00577DFC"/>
    <w:rsid w:val="005801C4"/>
    <w:rsid w:val="00580237"/>
    <w:rsid w:val="005804EC"/>
    <w:rsid w:val="0058069D"/>
    <w:rsid w:val="00580850"/>
    <w:rsid w:val="00580AF8"/>
    <w:rsid w:val="00580C97"/>
    <w:rsid w:val="00580DF6"/>
    <w:rsid w:val="00581004"/>
    <w:rsid w:val="0058101F"/>
    <w:rsid w:val="00581147"/>
    <w:rsid w:val="00581227"/>
    <w:rsid w:val="0058168B"/>
    <w:rsid w:val="005816CC"/>
    <w:rsid w:val="00581B75"/>
    <w:rsid w:val="00581D7B"/>
    <w:rsid w:val="00581EDA"/>
    <w:rsid w:val="00582082"/>
    <w:rsid w:val="005821F6"/>
    <w:rsid w:val="00582233"/>
    <w:rsid w:val="00582237"/>
    <w:rsid w:val="0058227C"/>
    <w:rsid w:val="005823FB"/>
    <w:rsid w:val="00582576"/>
    <w:rsid w:val="005828DA"/>
    <w:rsid w:val="00582AED"/>
    <w:rsid w:val="00582C1D"/>
    <w:rsid w:val="00582DC6"/>
    <w:rsid w:val="005830F4"/>
    <w:rsid w:val="005831CC"/>
    <w:rsid w:val="00583421"/>
    <w:rsid w:val="00583497"/>
    <w:rsid w:val="00583875"/>
    <w:rsid w:val="00583935"/>
    <w:rsid w:val="00583FBA"/>
    <w:rsid w:val="00584163"/>
    <w:rsid w:val="00584236"/>
    <w:rsid w:val="005843FD"/>
    <w:rsid w:val="00584510"/>
    <w:rsid w:val="005845DA"/>
    <w:rsid w:val="0058463E"/>
    <w:rsid w:val="00584710"/>
    <w:rsid w:val="005847B2"/>
    <w:rsid w:val="005847DF"/>
    <w:rsid w:val="00584C3E"/>
    <w:rsid w:val="00584DAC"/>
    <w:rsid w:val="00585162"/>
    <w:rsid w:val="005852DB"/>
    <w:rsid w:val="00585306"/>
    <w:rsid w:val="00585496"/>
    <w:rsid w:val="005854F2"/>
    <w:rsid w:val="005856B6"/>
    <w:rsid w:val="00585801"/>
    <w:rsid w:val="00585AF4"/>
    <w:rsid w:val="00585E42"/>
    <w:rsid w:val="00586546"/>
    <w:rsid w:val="0058686A"/>
    <w:rsid w:val="00586917"/>
    <w:rsid w:val="00586D6B"/>
    <w:rsid w:val="005874F2"/>
    <w:rsid w:val="00587864"/>
    <w:rsid w:val="00587B22"/>
    <w:rsid w:val="00587BC6"/>
    <w:rsid w:val="00587F37"/>
    <w:rsid w:val="005904DE"/>
    <w:rsid w:val="0059061D"/>
    <w:rsid w:val="0059078A"/>
    <w:rsid w:val="00590A56"/>
    <w:rsid w:val="00590CD9"/>
    <w:rsid w:val="00590F6B"/>
    <w:rsid w:val="00590FB8"/>
    <w:rsid w:val="005911E9"/>
    <w:rsid w:val="00591878"/>
    <w:rsid w:val="0059197C"/>
    <w:rsid w:val="00591A2F"/>
    <w:rsid w:val="00591E8B"/>
    <w:rsid w:val="0059231F"/>
    <w:rsid w:val="00592919"/>
    <w:rsid w:val="00592ADE"/>
    <w:rsid w:val="005930FC"/>
    <w:rsid w:val="005932F3"/>
    <w:rsid w:val="0059383F"/>
    <w:rsid w:val="00593856"/>
    <w:rsid w:val="005938F5"/>
    <w:rsid w:val="00593E10"/>
    <w:rsid w:val="00593E6E"/>
    <w:rsid w:val="00593EBB"/>
    <w:rsid w:val="0059421E"/>
    <w:rsid w:val="00594407"/>
    <w:rsid w:val="005944A2"/>
    <w:rsid w:val="00594906"/>
    <w:rsid w:val="00594C97"/>
    <w:rsid w:val="00594D4E"/>
    <w:rsid w:val="00594E66"/>
    <w:rsid w:val="00595125"/>
    <w:rsid w:val="005954B6"/>
    <w:rsid w:val="00595722"/>
    <w:rsid w:val="00595E1B"/>
    <w:rsid w:val="00596085"/>
    <w:rsid w:val="005961F7"/>
    <w:rsid w:val="005963DD"/>
    <w:rsid w:val="0059653F"/>
    <w:rsid w:val="00596585"/>
    <w:rsid w:val="005965D1"/>
    <w:rsid w:val="0059664A"/>
    <w:rsid w:val="00596AC0"/>
    <w:rsid w:val="00596D4E"/>
    <w:rsid w:val="00596D5F"/>
    <w:rsid w:val="00596F00"/>
    <w:rsid w:val="0059718F"/>
    <w:rsid w:val="0059725C"/>
    <w:rsid w:val="005974DD"/>
    <w:rsid w:val="00597529"/>
    <w:rsid w:val="00597614"/>
    <w:rsid w:val="00597A47"/>
    <w:rsid w:val="00597BDD"/>
    <w:rsid w:val="00597CD7"/>
    <w:rsid w:val="00597E49"/>
    <w:rsid w:val="005A062F"/>
    <w:rsid w:val="005A076F"/>
    <w:rsid w:val="005A096E"/>
    <w:rsid w:val="005A0C8E"/>
    <w:rsid w:val="005A0F03"/>
    <w:rsid w:val="005A115A"/>
    <w:rsid w:val="005A124E"/>
    <w:rsid w:val="005A1309"/>
    <w:rsid w:val="005A1376"/>
    <w:rsid w:val="005A15F0"/>
    <w:rsid w:val="005A1647"/>
    <w:rsid w:val="005A1A26"/>
    <w:rsid w:val="005A1A3E"/>
    <w:rsid w:val="005A1D88"/>
    <w:rsid w:val="005A2274"/>
    <w:rsid w:val="005A2363"/>
    <w:rsid w:val="005A2928"/>
    <w:rsid w:val="005A2A59"/>
    <w:rsid w:val="005A2CD1"/>
    <w:rsid w:val="005A2F84"/>
    <w:rsid w:val="005A2FA1"/>
    <w:rsid w:val="005A33C9"/>
    <w:rsid w:val="005A391C"/>
    <w:rsid w:val="005A3B4F"/>
    <w:rsid w:val="005A3B74"/>
    <w:rsid w:val="005A3B93"/>
    <w:rsid w:val="005A3BFC"/>
    <w:rsid w:val="005A3EED"/>
    <w:rsid w:val="005A3F06"/>
    <w:rsid w:val="005A40C7"/>
    <w:rsid w:val="005A4847"/>
    <w:rsid w:val="005A4D87"/>
    <w:rsid w:val="005A4F83"/>
    <w:rsid w:val="005A4F8F"/>
    <w:rsid w:val="005A4FF3"/>
    <w:rsid w:val="005A54C0"/>
    <w:rsid w:val="005A55AE"/>
    <w:rsid w:val="005A58EC"/>
    <w:rsid w:val="005A59E7"/>
    <w:rsid w:val="005A67FA"/>
    <w:rsid w:val="005A6A29"/>
    <w:rsid w:val="005A6AA2"/>
    <w:rsid w:val="005A6BD1"/>
    <w:rsid w:val="005A6D4E"/>
    <w:rsid w:val="005A6D8C"/>
    <w:rsid w:val="005A6E13"/>
    <w:rsid w:val="005A7173"/>
    <w:rsid w:val="005A7754"/>
    <w:rsid w:val="005A7B56"/>
    <w:rsid w:val="005A7C2B"/>
    <w:rsid w:val="005A7CD2"/>
    <w:rsid w:val="005A7DE9"/>
    <w:rsid w:val="005B016D"/>
    <w:rsid w:val="005B03B3"/>
    <w:rsid w:val="005B0EF5"/>
    <w:rsid w:val="005B13BE"/>
    <w:rsid w:val="005B19A9"/>
    <w:rsid w:val="005B1AE4"/>
    <w:rsid w:val="005B1AEC"/>
    <w:rsid w:val="005B1DD0"/>
    <w:rsid w:val="005B1E26"/>
    <w:rsid w:val="005B1E36"/>
    <w:rsid w:val="005B2767"/>
    <w:rsid w:val="005B2DE1"/>
    <w:rsid w:val="005B2EAB"/>
    <w:rsid w:val="005B3580"/>
    <w:rsid w:val="005B35B6"/>
    <w:rsid w:val="005B3A4F"/>
    <w:rsid w:val="005B3A6D"/>
    <w:rsid w:val="005B421F"/>
    <w:rsid w:val="005B424A"/>
    <w:rsid w:val="005B447D"/>
    <w:rsid w:val="005B486C"/>
    <w:rsid w:val="005B4922"/>
    <w:rsid w:val="005B4960"/>
    <w:rsid w:val="005B520A"/>
    <w:rsid w:val="005B579D"/>
    <w:rsid w:val="005B580B"/>
    <w:rsid w:val="005B58B9"/>
    <w:rsid w:val="005B58D7"/>
    <w:rsid w:val="005B5A29"/>
    <w:rsid w:val="005B5EF7"/>
    <w:rsid w:val="005B5F27"/>
    <w:rsid w:val="005B5FC6"/>
    <w:rsid w:val="005B6218"/>
    <w:rsid w:val="005B6286"/>
    <w:rsid w:val="005B63FC"/>
    <w:rsid w:val="005B678A"/>
    <w:rsid w:val="005B6AA0"/>
    <w:rsid w:val="005B6DEA"/>
    <w:rsid w:val="005B7140"/>
    <w:rsid w:val="005B71B8"/>
    <w:rsid w:val="005B746B"/>
    <w:rsid w:val="005B7561"/>
    <w:rsid w:val="005B7AAD"/>
    <w:rsid w:val="005B7BEC"/>
    <w:rsid w:val="005B7CEE"/>
    <w:rsid w:val="005B7D36"/>
    <w:rsid w:val="005C007C"/>
    <w:rsid w:val="005C020E"/>
    <w:rsid w:val="005C0331"/>
    <w:rsid w:val="005C04FA"/>
    <w:rsid w:val="005C050E"/>
    <w:rsid w:val="005C0534"/>
    <w:rsid w:val="005C05B7"/>
    <w:rsid w:val="005C0943"/>
    <w:rsid w:val="005C095D"/>
    <w:rsid w:val="005C0F5E"/>
    <w:rsid w:val="005C0FEA"/>
    <w:rsid w:val="005C1784"/>
    <w:rsid w:val="005C19A6"/>
    <w:rsid w:val="005C19FC"/>
    <w:rsid w:val="005C1AD9"/>
    <w:rsid w:val="005C1C1F"/>
    <w:rsid w:val="005C1D75"/>
    <w:rsid w:val="005C1E1F"/>
    <w:rsid w:val="005C1EAC"/>
    <w:rsid w:val="005C1F7F"/>
    <w:rsid w:val="005C212D"/>
    <w:rsid w:val="005C21F3"/>
    <w:rsid w:val="005C22D8"/>
    <w:rsid w:val="005C2776"/>
    <w:rsid w:val="005C29CF"/>
    <w:rsid w:val="005C2D82"/>
    <w:rsid w:val="005C313F"/>
    <w:rsid w:val="005C3271"/>
    <w:rsid w:val="005C34E4"/>
    <w:rsid w:val="005C3910"/>
    <w:rsid w:val="005C391F"/>
    <w:rsid w:val="005C3C6A"/>
    <w:rsid w:val="005C3D1F"/>
    <w:rsid w:val="005C3F74"/>
    <w:rsid w:val="005C4566"/>
    <w:rsid w:val="005C45D6"/>
    <w:rsid w:val="005C4A2C"/>
    <w:rsid w:val="005C4EEF"/>
    <w:rsid w:val="005C52DE"/>
    <w:rsid w:val="005C538B"/>
    <w:rsid w:val="005C53BB"/>
    <w:rsid w:val="005C569D"/>
    <w:rsid w:val="005C57FC"/>
    <w:rsid w:val="005C5ADC"/>
    <w:rsid w:val="005C5B8D"/>
    <w:rsid w:val="005C5EB2"/>
    <w:rsid w:val="005C6224"/>
    <w:rsid w:val="005C6312"/>
    <w:rsid w:val="005C6406"/>
    <w:rsid w:val="005C6566"/>
    <w:rsid w:val="005C666F"/>
    <w:rsid w:val="005C66A7"/>
    <w:rsid w:val="005C688A"/>
    <w:rsid w:val="005C68DC"/>
    <w:rsid w:val="005C6923"/>
    <w:rsid w:val="005C696E"/>
    <w:rsid w:val="005C6BA9"/>
    <w:rsid w:val="005C6D64"/>
    <w:rsid w:val="005C73C1"/>
    <w:rsid w:val="005C74E5"/>
    <w:rsid w:val="005C7592"/>
    <w:rsid w:val="005C77DD"/>
    <w:rsid w:val="005C7A7F"/>
    <w:rsid w:val="005C7C2D"/>
    <w:rsid w:val="005C7FD8"/>
    <w:rsid w:val="005C7FDB"/>
    <w:rsid w:val="005D0308"/>
    <w:rsid w:val="005D0331"/>
    <w:rsid w:val="005D0548"/>
    <w:rsid w:val="005D0612"/>
    <w:rsid w:val="005D0651"/>
    <w:rsid w:val="005D0C03"/>
    <w:rsid w:val="005D0FA7"/>
    <w:rsid w:val="005D116A"/>
    <w:rsid w:val="005D11C4"/>
    <w:rsid w:val="005D1392"/>
    <w:rsid w:val="005D143B"/>
    <w:rsid w:val="005D1518"/>
    <w:rsid w:val="005D1983"/>
    <w:rsid w:val="005D1A24"/>
    <w:rsid w:val="005D1D93"/>
    <w:rsid w:val="005D2148"/>
    <w:rsid w:val="005D23CF"/>
    <w:rsid w:val="005D2536"/>
    <w:rsid w:val="005D2A03"/>
    <w:rsid w:val="005D2A59"/>
    <w:rsid w:val="005D2AF2"/>
    <w:rsid w:val="005D2B8F"/>
    <w:rsid w:val="005D2C63"/>
    <w:rsid w:val="005D2D8E"/>
    <w:rsid w:val="005D3261"/>
    <w:rsid w:val="005D32D7"/>
    <w:rsid w:val="005D33A0"/>
    <w:rsid w:val="005D33A3"/>
    <w:rsid w:val="005D3635"/>
    <w:rsid w:val="005D3BF5"/>
    <w:rsid w:val="005D3CB6"/>
    <w:rsid w:val="005D3F50"/>
    <w:rsid w:val="005D3F74"/>
    <w:rsid w:val="005D418F"/>
    <w:rsid w:val="005D4281"/>
    <w:rsid w:val="005D43E0"/>
    <w:rsid w:val="005D4729"/>
    <w:rsid w:val="005D4AF3"/>
    <w:rsid w:val="005D4C97"/>
    <w:rsid w:val="005D5021"/>
    <w:rsid w:val="005D50C6"/>
    <w:rsid w:val="005D50DA"/>
    <w:rsid w:val="005D5116"/>
    <w:rsid w:val="005D5614"/>
    <w:rsid w:val="005D5708"/>
    <w:rsid w:val="005D59BD"/>
    <w:rsid w:val="005D5C3F"/>
    <w:rsid w:val="005D5E49"/>
    <w:rsid w:val="005D5E75"/>
    <w:rsid w:val="005D62EA"/>
    <w:rsid w:val="005D63EB"/>
    <w:rsid w:val="005D6809"/>
    <w:rsid w:val="005D6B7C"/>
    <w:rsid w:val="005D70DE"/>
    <w:rsid w:val="005D77FA"/>
    <w:rsid w:val="005D7952"/>
    <w:rsid w:val="005D7AD7"/>
    <w:rsid w:val="005D7CA5"/>
    <w:rsid w:val="005D7E85"/>
    <w:rsid w:val="005D7ECD"/>
    <w:rsid w:val="005D7F8B"/>
    <w:rsid w:val="005E0070"/>
    <w:rsid w:val="005E04BE"/>
    <w:rsid w:val="005E0529"/>
    <w:rsid w:val="005E0630"/>
    <w:rsid w:val="005E08E9"/>
    <w:rsid w:val="005E11A4"/>
    <w:rsid w:val="005E11B4"/>
    <w:rsid w:val="005E1847"/>
    <w:rsid w:val="005E18E7"/>
    <w:rsid w:val="005E1E30"/>
    <w:rsid w:val="005E1EC0"/>
    <w:rsid w:val="005E1F0F"/>
    <w:rsid w:val="005E205C"/>
    <w:rsid w:val="005E20A3"/>
    <w:rsid w:val="005E261F"/>
    <w:rsid w:val="005E2783"/>
    <w:rsid w:val="005E27A5"/>
    <w:rsid w:val="005E280E"/>
    <w:rsid w:val="005E2A02"/>
    <w:rsid w:val="005E2C22"/>
    <w:rsid w:val="005E2C8A"/>
    <w:rsid w:val="005E369B"/>
    <w:rsid w:val="005E36E2"/>
    <w:rsid w:val="005E3818"/>
    <w:rsid w:val="005E391A"/>
    <w:rsid w:val="005E3A29"/>
    <w:rsid w:val="005E3AE4"/>
    <w:rsid w:val="005E3F3A"/>
    <w:rsid w:val="005E3F53"/>
    <w:rsid w:val="005E3FC2"/>
    <w:rsid w:val="005E411A"/>
    <w:rsid w:val="005E4635"/>
    <w:rsid w:val="005E49A0"/>
    <w:rsid w:val="005E4AB4"/>
    <w:rsid w:val="005E4BAD"/>
    <w:rsid w:val="005E4CAA"/>
    <w:rsid w:val="005E4E17"/>
    <w:rsid w:val="005E4E87"/>
    <w:rsid w:val="005E4EF7"/>
    <w:rsid w:val="005E5394"/>
    <w:rsid w:val="005E56D7"/>
    <w:rsid w:val="005E5DBD"/>
    <w:rsid w:val="005E606F"/>
    <w:rsid w:val="005E60FD"/>
    <w:rsid w:val="005E62F1"/>
    <w:rsid w:val="005E641B"/>
    <w:rsid w:val="005E668C"/>
    <w:rsid w:val="005E7241"/>
    <w:rsid w:val="005E78AE"/>
    <w:rsid w:val="005E7B09"/>
    <w:rsid w:val="005E7B0B"/>
    <w:rsid w:val="005E7CC4"/>
    <w:rsid w:val="005F01E1"/>
    <w:rsid w:val="005F06E4"/>
    <w:rsid w:val="005F0C29"/>
    <w:rsid w:val="005F0E66"/>
    <w:rsid w:val="005F102E"/>
    <w:rsid w:val="005F134E"/>
    <w:rsid w:val="005F1523"/>
    <w:rsid w:val="005F15EE"/>
    <w:rsid w:val="005F1769"/>
    <w:rsid w:val="005F18C5"/>
    <w:rsid w:val="005F19FC"/>
    <w:rsid w:val="005F1BC7"/>
    <w:rsid w:val="005F1C49"/>
    <w:rsid w:val="005F1E44"/>
    <w:rsid w:val="005F265A"/>
    <w:rsid w:val="005F29E7"/>
    <w:rsid w:val="005F2AA5"/>
    <w:rsid w:val="005F2B68"/>
    <w:rsid w:val="005F2B92"/>
    <w:rsid w:val="005F2E6C"/>
    <w:rsid w:val="005F2ED2"/>
    <w:rsid w:val="005F3104"/>
    <w:rsid w:val="005F31B1"/>
    <w:rsid w:val="005F341E"/>
    <w:rsid w:val="005F3516"/>
    <w:rsid w:val="005F37AB"/>
    <w:rsid w:val="005F382F"/>
    <w:rsid w:val="005F3863"/>
    <w:rsid w:val="005F3965"/>
    <w:rsid w:val="005F3F17"/>
    <w:rsid w:val="005F42E9"/>
    <w:rsid w:val="005F4448"/>
    <w:rsid w:val="005F44FD"/>
    <w:rsid w:val="005F4783"/>
    <w:rsid w:val="005F490E"/>
    <w:rsid w:val="005F4A17"/>
    <w:rsid w:val="005F4A5E"/>
    <w:rsid w:val="005F4B71"/>
    <w:rsid w:val="005F4D6C"/>
    <w:rsid w:val="005F4DA8"/>
    <w:rsid w:val="005F4DFE"/>
    <w:rsid w:val="005F51C6"/>
    <w:rsid w:val="005F53E7"/>
    <w:rsid w:val="005F5701"/>
    <w:rsid w:val="005F5BD7"/>
    <w:rsid w:val="005F5CCB"/>
    <w:rsid w:val="005F5CF8"/>
    <w:rsid w:val="005F5DB4"/>
    <w:rsid w:val="005F5FBF"/>
    <w:rsid w:val="005F6347"/>
    <w:rsid w:val="005F6906"/>
    <w:rsid w:val="005F6BD9"/>
    <w:rsid w:val="005F6E51"/>
    <w:rsid w:val="005F76C0"/>
    <w:rsid w:val="005F79D3"/>
    <w:rsid w:val="005F7E35"/>
    <w:rsid w:val="005F7FAE"/>
    <w:rsid w:val="00600516"/>
    <w:rsid w:val="0060082F"/>
    <w:rsid w:val="00600867"/>
    <w:rsid w:val="00600CA6"/>
    <w:rsid w:val="00600D03"/>
    <w:rsid w:val="00600F9B"/>
    <w:rsid w:val="006013D6"/>
    <w:rsid w:val="006016A5"/>
    <w:rsid w:val="00601847"/>
    <w:rsid w:val="00601A3C"/>
    <w:rsid w:val="00601AB1"/>
    <w:rsid w:val="00601CDB"/>
    <w:rsid w:val="00601E25"/>
    <w:rsid w:val="00602221"/>
    <w:rsid w:val="00602297"/>
    <w:rsid w:val="00602332"/>
    <w:rsid w:val="006023BE"/>
    <w:rsid w:val="006024D5"/>
    <w:rsid w:val="006025FE"/>
    <w:rsid w:val="0060276B"/>
    <w:rsid w:val="00602BA0"/>
    <w:rsid w:val="00602DDE"/>
    <w:rsid w:val="006030E5"/>
    <w:rsid w:val="0060326B"/>
    <w:rsid w:val="00603479"/>
    <w:rsid w:val="00603726"/>
    <w:rsid w:val="0060385A"/>
    <w:rsid w:val="00603AC3"/>
    <w:rsid w:val="00603BEB"/>
    <w:rsid w:val="00603D0B"/>
    <w:rsid w:val="00603D7C"/>
    <w:rsid w:val="00603E4F"/>
    <w:rsid w:val="00604219"/>
    <w:rsid w:val="00604A64"/>
    <w:rsid w:val="00604C19"/>
    <w:rsid w:val="006058E6"/>
    <w:rsid w:val="00605A3F"/>
    <w:rsid w:val="00605C04"/>
    <w:rsid w:val="00605C5C"/>
    <w:rsid w:val="00605CC5"/>
    <w:rsid w:val="00605F38"/>
    <w:rsid w:val="00605FA5"/>
    <w:rsid w:val="00606283"/>
    <w:rsid w:val="00606472"/>
    <w:rsid w:val="00606B1D"/>
    <w:rsid w:val="00606B6F"/>
    <w:rsid w:val="00606BE2"/>
    <w:rsid w:val="00606D70"/>
    <w:rsid w:val="00606E79"/>
    <w:rsid w:val="00606ECE"/>
    <w:rsid w:val="00606FFC"/>
    <w:rsid w:val="00607351"/>
    <w:rsid w:val="00607355"/>
    <w:rsid w:val="00607669"/>
    <w:rsid w:val="00607710"/>
    <w:rsid w:val="00607726"/>
    <w:rsid w:val="00607810"/>
    <w:rsid w:val="006078E8"/>
    <w:rsid w:val="00607C9A"/>
    <w:rsid w:val="00607E6A"/>
    <w:rsid w:val="00610105"/>
    <w:rsid w:val="00610153"/>
    <w:rsid w:val="0061015C"/>
    <w:rsid w:val="006101C1"/>
    <w:rsid w:val="00610859"/>
    <w:rsid w:val="00610D55"/>
    <w:rsid w:val="00610DBA"/>
    <w:rsid w:val="0061142B"/>
    <w:rsid w:val="0061163D"/>
    <w:rsid w:val="00611786"/>
    <w:rsid w:val="00611991"/>
    <w:rsid w:val="00611BA9"/>
    <w:rsid w:val="00611DA2"/>
    <w:rsid w:val="00612152"/>
    <w:rsid w:val="006123E2"/>
    <w:rsid w:val="0061246D"/>
    <w:rsid w:val="006125F8"/>
    <w:rsid w:val="0061304E"/>
    <w:rsid w:val="00613075"/>
    <w:rsid w:val="006133D9"/>
    <w:rsid w:val="00613A1C"/>
    <w:rsid w:val="00613BD5"/>
    <w:rsid w:val="00613FC6"/>
    <w:rsid w:val="0061416F"/>
    <w:rsid w:val="0061450C"/>
    <w:rsid w:val="00614642"/>
    <w:rsid w:val="006146ED"/>
    <w:rsid w:val="006147E6"/>
    <w:rsid w:val="006148ED"/>
    <w:rsid w:val="00614913"/>
    <w:rsid w:val="00614A29"/>
    <w:rsid w:val="00614AAC"/>
    <w:rsid w:val="00614AF2"/>
    <w:rsid w:val="00614CB5"/>
    <w:rsid w:val="00614FA3"/>
    <w:rsid w:val="0061511B"/>
    <w:rsid w:val="006151C2"/>
    <w:rsid w:val="0061545C"/>
    <w:rsid w:val="006154CD"/>
    <w:rsid w:val="006159A5"/>
    <w:rsid w:val="00615DA1"/>
    <w:rsid w:val="00615DB4"/>
    <w:rsid w:val="00615E32"/>
    <w:rsid w:val="00615EB0"/>
    <w:rsid w:val="00615FBD"/>
    <w:rsid w:val="0061603E"/>
    <w:rsid w:val="006161C9"/>
    <w:rsid w:val="00616571"/>
    <w:rsid w:val="00616816"/>
    <w:rsid w:val="0061688D"/>
    <w:rsid w:val="006168B4"/>
    <w:rsid w:val="00616B12"/>
    <w:rsid w:val="00616B7A"/>
    <w:rsid w:val="00616B81"/>
    <w:rsid w:val="00617229"/>
    <w:rsid w:val="006172ED"/>
    <w:rsid w:val="00617784"/>
    <w:rsid w:val="006201B4"/>
    <w:rsid w:val="00620269"/>
    <w:rsid w:val="0062060D"/>
    <w:rsid w:val="006207D3"/>
    <w:rsid w:val="00620D31"/>
    <w:rsid w:val="00620E1C"/>
    <w:rsid w:val="00620E50"/>
    <w:rsid w:val="00620ED0"/>
    <w:rsid w:val="0062125C"/>
    <w:rsid w:val="0062129B"/>
    <w:rsid w:val="006215E9"/>
    <w:rsid w:val="006218A9"/>
    <w:rsid w:val="006219F9"/>
    <w:rsid w:val="00621D41"/>
    <w:rsid w:val="00621FEC"/>
    <w:rsid w:val="0062224D"/>
    <w:rsid w:val="0062225A"/>
    <w:rsid w:val="006228AB"/>
    <w:rsid w:val="00622905"/>
    <w:rsid w:val="00622AB5"/>
    <w:rsid w:val="00622C54"/>
    <w:rsid w:val="00622CC8"/>
    <w:rsid w:val="00623556"/>
    <w:rsid w:val="006238F0"/>
    <w:rsid w:val="00623BB4"/>
    <w:rsid w:val="00623C12"/>
    <w:rsid w:val="00623D98"/>
    <w:rsid w:val="0062428B"/>
    <w:rsid w:val="00624431"/>
    <w:rsid w:val="00624AEF"/>
    <w:rsid w:val="00624BA8"/>
    <w:rsid w:val="00624C97"/>
    <w:rsid w:val="00624D61"/>
    <w:rsid w:val="00624FD3"/>
    <w:rsid w:val="00625270"/>
    <w:rsid w:val="0062538F"/>
    <w:rsid w:val="0062591F"/>
    <w:rsid w:val="00625931"/>
    <w:rsid w:val="00625C74"/>
    <w:rsid w:val="00625EEB"/>
    <w:rsid w:val="006261FF"/>
    <w:rsid w:val="00626747"/>
    <w:rsid w:val="00626C59"/>
    <w:rsid w:val="00626CB9"/>
    <w:rsid w:val="00626F2D"/>
    <w:rsid w:val="006270E5"/>
    <w:rsid w:val="00627390"/>
    <w:rsid w:val="006274B3"/>
    <w:rsid w:val="00627943"/>
    <w:rsid w:val="00627B92"/>
    <w:rsid w:val="00627BF9"/>
    <w:rsid w:val="00627D30"/>
    <w:rsid w:val="00627E20"/>
    <w:rsid w:val="00630075"/>
    <w:rsid w:val="0063061E"/>
    <w:rsid w:val="00630625"/>
    <w:rsid w:val="0063064C"/>
    <w:rsid w:val="00630738"/>
    <w:rsid w:val="00630955"/>
    <w:rsid w:val="00630AE3"/>
    <w:rsid w:val="00630BA1"/>
    <w:rsid w:val="00630BD0"/>
    <w:rsid w:val="00630C12"/>
    <w:rsid w:val="00630CA4"/>
    <w:rsid w:val="00631130"/>
    <w:rsid w:val="006316E9"/>
    <w:rsid w:val="0063174B"/>
    <w:rsid w:val="00631D65"/>
    <w:rsid w:val="00631D89"/>
    <w:rsid w:val="00632A7C"/>
    <w:rsid w:val="00632B8D"/>
    <w:rsid w:val="00632D58"/>
    <w:rsid w:val="00632D64"/>
    <w:rsid w:val="00632EC6"/>
    <w:rsid w:val="006330A8"/>
    <w:rsid w:val="0063316A"/>
    <w:rsid w:val="00633340"/>
    <w:rsid w:val="00633A33"/>
    <w:rsid w:val="00633AC9"/>
    <w:rsid w:val="00633B6F"/>
    <w:rsid w:val="00633C6F"/>
    <w:rsid w:val="00633D6F"/>
    <w:rsid w:val="006341A4"/>
    <w:rsid w:val="006343BF"/>
    <w:rsid w:val="00634628"/>
    <w:rsid w:val="006347B1"/>
    <w:rsid w:val="00634B2E"/>
    <w:rsid w:val="00634DF0"/>
    <w:rsid w:val="00634FCB"/>
    <w:rsid w:val="006350FD"/>
    <w:rsid w:val="0063518A"/>
    <w:rsid w:val="006351F2"/>
    <w:rsid w:val="006351F5"/>
    <w:rsid w:val="006354D8"/>
    <w:rsid w:val="006358BF"/>
    <w:rsid w:val="00635CE6"/>
    <w:rsid w:val="00635FC1"/>
    <w:rsid w:val="006360F5"/>
    <w:rsid w:val="00636A96"/>
    <w:rsid w:val="00636DCC"/>
    <w:rsid w:val="00636E38"/>
    <w:rsid w:val="006371C0"/>
    <w:rsid w:val="00637456"/>
    <w:rsid w:val="006376B4"/>
    <w:rsid w:val="006377E5"/>
    <w:rsid w:val="0063783F"/>
    <w:rsid w:val="0063786B"/>
    <w:rsid w:val="0063787D"/>
    <w:rsid w:val="006379CA"/>
    <w:rsid w:val="00637B9B"/>
    <w:rsid w:val="00637C1F"/>
    <w:rsid w:val="00637C68"/>
    <w:rsid w:val="00640105"/>
    <w:rsid w:val="0064044B"/>
    <w:rsid w:val="00640496"/>
    <w:rsid w:val="0064062C"/>
    <w:rsid w:val="0064064A"/>
    <w:rsid w:val="0064074F"/>
    <w:rsid w:val="00640817"/>
    <w:rsid w:val="00640AC2"/>
    <w:rsid w:val="00640BF6"/>
    <w:rsid w:val="006414E1"/>
    <w:rsid w:val="006419F7"/>
    <w:rsid w:val="00641AC1"/>
    <w:rsid w:val="00641D8A"/>
    <w:rsid w:val="00641E38"/>
    <w:rsid w:val="00641E9E"/>
    <w:rsid w:val="0064209C"/>
    <w:rsid w:val="00642102"/>
    <w:rsid w:val="00642199"/>
    <w:rsid w:val="00642246"/>
    <w:rsid w:val="00642346"/>
    <w:rsid w:val="00642606"/>
    <w:rsid w:val="006426E3"/>
    <w:rsid w:val="006427F9"/>
    <w:rsid w:val="00642BCA"/>
    <w:rsid w:val="00642D49"/>
    <w:rsid w:val="00642D87"/>
    <w:rsid w:val="00642DAA"/>
    <w:rsid w:val="00642F83"/>
    <w:rsid w:val="00642FA1"/>
    <w:rsid w:val="00643153"/>
    <w:rsid w:val="00643183"/>
    <w:rsid w:val="006434D4"/>
    <w:rsid w:val="006436C6"/>
    <w:rsid w:val="006437A0"/>
    <w:rsid w:val="00643C71"/>
    <w:rsid w:val="00643DF2"/>
    <w:rsid w:val="00644149"/>
    <w:rsid w:val="00644593"/>
    <w:rsid w:val="006445F5"/>
    <w:rsid w:val="00644854"/>
    <w:rsid w:val="0064493B"/>
    <w:rsid w:val="00644B58"/>
    <w:rsid w:val="00644C4B"/>
    <w:rsid w:val="00644ED3"/>
    <w:rsid w:val="006452B4"/>
    <w:rsid w:val="00645612"/>
    <w:rsid w:val="00645E42"/>
    <w:rsid w:val="006463AA"/>
    <w:rsid w:val="0064640E"/>
    <w:rsid w:val="006465AF"/>
    <w:rsid w:val="00646624"/>
    <w:rsid w:val="00646765"/>
    <w:rsid w:val="00646936"/>
    <w:rsid w:val="00646C2F"/>
    <w:rsid w:val="00646C68"/>
    <w:rsid w:val="00646D8A"/>
    <w:rsid w:val="00646E08"/>
    <w:rsid w:val="00646F5A"/>
    <w:rsid w:val="00647093"/>
    <w:rsid w:val="0064739B"/>
    <w:rsid w:val="006474CA"/>
    <w:rsid w:val="006475ED"/>
    <w:rsid w:val="00647740"/>
    <w:rsid w:val="00647866"/>
    <w:rsid w:val="006479C1"/>
    <w:rsid w:val="00647D35"/>
    <w:rsid w:val="00647F28"/>
    <w:rsid w:val="006501FC"/>
    <w:rsid w:val="006506F1"/>
    <w:rsid w:val="0065071D"/>
    <w:rsid w:val="00650735"/>
    <w:rsid w:val="00650AAB"/>
    <w:rsid w:val="00650D36"/>
    <w:rsid w:val="00651287"/>
    <w:rsid w:val="00651475"/>
    <w:rsid w:val="00651655"/>
    <w:rsid w:val="006517E5"/>
    <w:rsid w:val="00651BC6"/>
    <w:rsid w:val="00651E17"/>
    <w:rsid w:val="00652065"/>
    <w:rsid w:val="00652185"/>
    <w:rsid w:val="006523F9"/>
    <w:rsid w:val="0065249A"/>
    <w:rsid w:val="00652EEA"/>
    <w:rsid w:val="006531F7"/>
    <w:rsid w:val="00653299"/>
    <w:rsid w:val="006532BB"/>
    <w:rsid w:val="00653663"/>
    <w:rsid w:val="0065379D"/>
    <w:rsid w:val="0065382F"/>
    <w:rsid w:val="00653916"/>
    <w:rsid w:val="00653933"/>
    <w:rsid w:val="00653E04"/>
    <w:rsid w:val="0065419D"/>
    <w:rsid w:val="00654297"/>
    <w:rsid w:val="00654624"/>
    <w:rsid w:val="0065473C"/>
    <w:rsid w:val="00654BBB"/>
    <w:rsid w:val="00654FBD"/>
    <w:rsid w:val="00655422"/>
    <w:rsid w:val="00655579"/>
    <w:rsid w:val="006555CA"/>
    <w:rsid w:val="00655787"/>
    <w:rsid w:val="00655B76"/>
    <w:rsid w:val="00655DEF"/>
    <w:rsid w:val="00655F39"/>
    <w:rsid w:val="00655FB2"/>
    <w:rsid w:val="00655FBE"/>
    <w:rsid w:val="00656198"/>
    <w:rsid w:val="00656977"/>
    <w:rsid w:val="006571EB"/>
    <w:rsid w:val="006572BC"/>
    <w:rsid w:val="006572C3"/>
    <w:rsid w:val="00657544"/>
    <w:rsid w:val="006576F2"/>
    <w:rsid w:val="00657A0F"/>
    <w:rsid w:val="00657C0C"/>
    <w:rsid w:val="00657C57"/>
    <w:rsid w:val="00657F2C"/>
    <w:rsid w:val="006601A1"/>
    <w:rsid w:val="0066026D"/>
    <w:rsid w:val="00660393"/>
    <w:rsid w:val="006603A5"/>
    <w:rsid w:val="006606E5"/>
    <w:rsid w:val="006608A6"/>
    <w:rsid w:val="00660FB8"/>
    <w:rsid w:val="00661019"/>
    <w:rsid w:val="00661101"/>
    <w:rsid w:val="0066127B"/>
    <w:rsid w:val="006612AC"/>
    <w:rsid w:val="0066138D"/>
    <w:rsid w:val="00661752"/>
    <w:rsid w:val="00661A71"/>
    <w:rsid w:val="00661A91"/>
    <w:rsid w:val="00661B80"/>
    <w:rsid w:val="006622D7"/>
    <w:rsid w:val="006624AD"/>
    <w:rsid w:val="00662B2C"/>
    <w:rsid w:val="00662B37"/>
    <w:rsid w:val="00662DA9"/>
    <w:rsid w:val="00662E95"/>
    <w:rsid w:val="00662FBD"/>
    <w:rsid w:val="00663084"/>
    <w:rsid w:val="006634CE"/>
    <w:rsid w:val="00663A55"/>
    <w:rsid w:val="00663BC3"/>
    <w:rsid w:val="00663D6A"/>
    <w:rsid w:val="00663E7F"/>
    <w:rsid w:val="00663ED6"/>
    <w:rsid w:val="00663EF1"/>
    <w:rsid w:val="0066402C"/>
    <w:rsid w:val="0066417A"/>
    <w:rsid w:val="00664755"/>
    <w:rsid w:val="006647F0"/>
    <w:rsid w:val="00664801"/>
    <w:rsid w:val="00664886"/>
    <w:rsid w:val="006652E9"/>
    <w:rsid w:val="00665631"/>
    <w:rsid w:val="006656BE"/>
    <w:rsid w:val="00665941"/>
    <w:rsid w:val="00665DC6"/>
    <w:rsid w:val="006661B6"/>
    <w:rsid w:val="00666432"/>
    <w:rsid w:val="006664E0"/>
    <w:rsid w:val="00666D5C"/>
    <w:rsid w:val="00666F18"/>
    <w:rsid w:val="00667252"/>
    <w:rsid w:val="0066746F"/>
    <w:rsid w:val="006677C5"/>
    <w:rsid w:val="006678A7"/>
    <w:rsid w:val="00667A5F"/>
    <w:rsid w:val="00667B9A"/>
    <w:rsid w:val="00667CD8"/>
    <w:rsid w:val="00667DFB"/>
    <w:rsid w:val="00667F1B"/>
    <w:rsid w:val="0067008D"/>
    <w:rsid w:val="00670227"/>
    <w:rsid w:val="006702F5"/>
    <w:rsid w:val="00670515"/>
    <w:rsid w:val="0067052A"/>
    <w:rsid w:val="0067058B"/>
    <w:rsid w:val="006705CE"/>
    <w:rsid w:val="0067081C"/>
    <w:rsid w:val="006708B4"/>
    <w:rsid w:val="0067090C"/>
    <w:rsid w:val="00670A44"/>
    <w:rsid w:val="00670C19"/>
    <w:rsid w:val="0067101C"/>
    <w:rsid w:val="006711D2"/>
    <w:rsid w:val="00671421"/>
    <w:rsid w:val="006715FB"/>
    <w:rsid w:val="00671A0E"/>
    <w:rsid w:val="00671BB7"/>
    <w:rsid w:val="00671C07"/>
    <w:rsid w:val="00671C55"/>
    <w:rsid w:val="00671CC5"/>
    <w:rsid w:val="00671D14"/>
    <w:rsid w:val="00671D52"/>
    <w:rsid w:val="00672097"/>
    <w:rsid w:val="00672386"/>
    <w:rsid w:val="00672573"/>
    <w:rsid w:val="00672742"/>
    <w:rsid w:val="0067288C"/>
    <w:rsid w:val="00672FF8"/>
    <w:rsid w:val="00673486"/>
    <w:rsid w:val="00673649"/>
    <w:rsid w:val="00673D74"/>
    <w:rsid w:val="00673FB1"/>
    <w:rsid w:val="00674131"/>
    <w:rsid w:val="00674328"/>
    <w:rsid w:val="00674688"/>
    <w:rsid w:val="006746A6"/>
    <w:rsid w:val="00674C46"/>
    <w:rsid w:val="00674E45"/>
    <w:rsid w:val="0067509D"/>
    <w:rsid w:val="006750E5"/>
    <w:rsid w:val="0067529E"/>
    <w:rsid w:val="006755BC"/>
    <w:rsid w:val="00675C1F"/>
    <w:rsid w:val="00675C22"/>
    <w:rsid w:val="00675DBB"/>
    <w:rsid w:val="00675E27"/>
    <w:rsid w:val="00675F24"/>
    <w:rsid w:val="00676020"/>
    <w:rsid w:val="006760C3"/>
    <w:rsid w:val="006760D4"/>
    <w:rsid w:val="0067621B"/>
    <w:rsid w:val="00676311"/>
    <w:rsid w:val="0067632D"/>
    <w:rsid w:val="00676330"/>
    <w:rsid w:val="00676599"/>
    <w:rsid w:val="00676852"/>
    <w:rsid w:val="006768F3"/>
    <w:rsid w:val="006768FD"/>
    <w:rsid w:val="0067699A"/>
    <w:rsid w:val="00676AC9"/>
    <w:rsid w:val="00676B79"/>
    <w:rsid w:val="00676DAF"/>
    <w:rsid w:val="00676E07"/>
    <w:rsid w:val="006770B0"/>
    <w:rsid w:val="00677214"/>
    <w:rsid w:val="00677287"/>
    <w:rsid w:val="006772FB"/>
    <w:rsid w:val="0067783D"/>
    <w:rsid w:val="00677846"/>
    <w:rsid w:val="006778D0"/>
    <w:rsid w:val="006801B3"/>
    <w:rsid w:val="006804BC"/>
    <w:rsid w:val="0068052F"/>
    <w:rsid w:val="00680532"/>
    <w:rsid w:val="00680652"/>
    <w:rsid w:val="00680673"/>
    <w:rsid w:val="00680722"/>
    <w:rsid w:val="006808F5"/>
    <w:rsid w:val="00681102"/>
    <w:rsid w:val="00681651"/>
    <w:rsid w:val="006817C8"/>
    <w:rsid w:val="00681BE4"/>
    <w:rsid w:val="00681C71"/>
    <w:rsid w:val="00681E71"/>
    <w:rsid w:val="00681FBB"/>
    <w:rsid w:val="0068218C"/>
    <w:rsid w:val="0068232C"/>
    <w:rsid w:val="0068251D"/>
    <w:rsid w:val="006825A3"/>
    <w:rsid w:val="006825B9"/>
    <w:rsid w:val="00683271"/>
    <w:rsid w:val="00683699"/>
    <w:rsid w:val="006837BE"/>
    <w:rsid w:val="00683AA1"/>
    <w:rsid w:val="00683F10"/>
    <w:rsid w:val="00684510"/>
    <w:rsid w:val="0068454A"/>
    <w:rsid w:val="006848B7"/>
    <w:rsid w:val="00684AC6"/>
    <w:rsid w:val="00684F59"/>
    <w:rsid w:val="00685093"/>
    <w:rsid w:val="00685191"/>
    <w:rsid w:val="006851EE"/>
    <w:rsid w:val="0068539D"/>
    <w:rsid w:val="006854A4"/>
    <w:rsid w:val="006855FF"/>
    <w:rsid w:val="0068567C"/>
    <w:rsid w:val="006857A3"/>
    <w:rsid w:val="006857D9"/>
    <w:rsid w:val="00685A1B"/>
    <w:rsid w:val="00685CE7"/>
    <w:rsid w:val="00685DA0"/>
    <w:rsid w:val="00685E34"/>
    <w:rsid w:val="00685FAF"/>
    <w:rsid w:val="00685FB0"/>
    <w:rsid w:val="006860D0"/>
    <w:rsid w:val="0068653B"/>
    <w:rsid w:val="00686559"/>
    <w:rsid w:val="006867BA"/>
    <w:rsid w:val="006868B9"/>
    <w:rsid w:val="00686C8D"/>
    <w:rsid w:val="00686D8E"/>
    <w:rsid w:val="00687C30"/>
    <w:rsid w:val="00690060"/>
    <w:rsid w:val="006902F6"/>
    <w:rsid w:val="00690926"/>
    <w:rsid w:val="0069096C"/>
    <w:rsid w:val="00690B7A"/>
    <w:rsid w:val="00690D20"/>
    <w:rsid w:val="00690E62"/>
    <w:rsid w:val="00690E9A"/>
    <w:rsid w:val="00690EBF"/>
    <w:rsid w:val="0069101B"/>
    <w:rsid w:val="00691042"/>
    <w:rsid w:val="006911A9"/>
    <w:rsid w:val="00691353"/>
    <w:rsid w:val="00691D70"/>
    <w:rsid w:val="00691EBE"/>
    <w:rsid w:val="00691ED1"/>
    <w:rsid w:val="00691F14"/>
    <w:rsid w:val="0069243F"/>
    <w:rsid w:val="00692655"/>
    <w:rsid w:val="00692904"/>
    <w:rsid w:val="00692CB0"/>
    <w:rsid w:val="00692E4E"/>
    <w:rsid w:val="00692EE6"/>
    <w:rsid w:val="0069305C"/>
    <w:rsid w:val="0069306A"/>
    <w:rsid w:val="006933CE"/>
    <w:rsid w:val="006933FB"/>
    <w:rsid w:val="006934A8"/>
    <w:rsid w:val="00693727"/>
    <w:rsid w:val="0069378B"/>
    <w:rsid w:val="00693AA2"/>
    <w:rsid w:val="00693AFC"/>
    <w:rsid w:val="00693B53"/>
    <w:rsid w:val="00693D1C"/>
    <w:rsid w:val="00693F05"/>
    <w:rsid w:val="00694577"/>
    <w:rsid w:val="006945DE"/>
    <w:rsid w:val="00694DBB"/>
    <w:rsid w:val="00694FF6"/>
    <w:rsid w:val="00695050"/>
    <w:rsid w:val="0069518C"/>
    <w:rsid w:val="00695A0C"/>
    <w:rsid w:val="00695A30"/>
    <w:rsid w:val="00695A78"/>
    <w:rsid w:val="00695B43"/>
    <w:rsid w:val="00695BA9"/>
    <w:rsid w:val="00695BC6"/>
    <w:rsid w:val="00695EFF"/>
    <w:rsid w:val="00696031"/>
    <w:rsid w:val="006964CA"/>
    <w:rsid w:val="006967CA"/>
    <w:rsid w:val="006968DD"/>
    <w:rsid w:val="00696A54"/>
    <w:rsid w:val="00696CB6"/>
    <w:rsid w:val="00696CD0"/>
    <w:rsid w:val="00697006"/>
    <w:rsid w:val="006972E8"/>
    <w:rsid w:val="00697338"/>
    <w:rsid w:val="006974E5"/>
    <w:rsid w:val="006975EE"/>
    <w:rsid w:val="006977C8"/>
    <w:rsid w:val="00697ACE"/>
    <w:rsid w:val="00697B9A"/>
    <w:rsid w:val="00697D45"/>
    <w:rsid w:val="00697D9B"/>
    <w:rsid w:val="00697E8F"/>
    <w:rsid w:val="00697F88"/>
    <w:rsid w:val="006A0021"/>
    <w:rsid w:val="006A026D"/>
    <w:rsid w:val="006A059F"/>
    <w:rsid w:val="006A0657"/>
    <w:rsid w:val="006A0974"/>
    <w:rsid w:val="006A0DB1"/>
    <w:rsid w:val="006A10E7"/>
    <w:rsid w:val="006A1281"/>
    <w:rsid w:val="006A1332"/>
    <w:rsid w:val="006A180E"/>
    <w:rsid w:val="006A1B5F"/>
    <w:rsid w:val="006A1BCE"/>
    <w:rsid w:val="006A1D6D"/>
    <w:rsid w:val="006A1E0B"/>
    <w:rsid w:val="006A208A"/>
    <w:rsid w:val="006A20BC"/>
    <w:rsid w:val="006A231D"/>
    <w:rsid w:val="006A24B4"/>
    <w:rsid w:val="006A2B07"/>
    <w:rsid w:val="006A2C21"/>
    <w:rsid w:val="006A2E51"/>
    <w:rsid w:val="006A31F7"/>
    <w:rsid w:val="006A324F"/>
    <w:rsid w:val="006A362C"/>
    <w:rsid w:val="006A3898"/>
    <w:rsid w:val="006A3C27"/>
    <w:rsid w:val="006A3C3A"/>
    <w:rsid w:val="006A40B9"/>
    <w:rsid w:val="006A4148"/>
    <w:rsid w:val="006A49AA"/>
    <w:rsid w:val="006A4D6E"/>
    <w:rsid w:val="006A54AE"/>
    <w:rsid w:val="006A5895"/>
    <w:rsid w:val="006A5913"/>
    <w:rsid w:val="006A5BE1"/>
    <w:rsid w:val="006A5CE5"/>
    <w:rsid w:val="006A63C3"/>
    <w:rsid w:val="006A647F"/>
    <w:rsid w:val="006A64B9"/>
    <w:rsid w:val="006A66F7"/>
    <w:rsid w:val="006A689E"/>
    <w:rsid w:val="006A695E"/>
    <w:rsid w:val="006A6B91"/>
    <w:rsid w:val="006A6C77"/>
    <w:rsid w:val="006A6CE5"/>
    <w:rsid w:val="006A729C"/>
    <w:rsid w:val="006A73D6"/>
    <w:rsid w:val="006A7526"/>
    <w:rsid w:val="006A790F"/>
    <w:rsid w:val="006A7A92"/>
    <w:rsid w:val="006B0037"/>
    <w:rsid w:val="006B013F"/>
    <w:rsid w:val="006B016A"/>
    <w:rsid w:val="006B0645"/>
    <w:rsid w:val="006B11DE"/>
    <w:rsid w:val="006B1445"/>
    <w:rsid w:val="006B1EB8"/>
    <w:rsid w:val="006B1EDE"/>
    <w:rsid w:val="006B239F"/>
    <w:rsid w:val="006B311B"/>
    <w:rsid w:val="006B31E1"/>
    <w:rsid w:val="006B34C4"/>
    <w:rsid w:val="006B34E6"/>
    <w:rsid w:val="006B3556"/>
    <w:rsid w:val="006B37EC"/>
    <w:rsid w:val="006B3933"/>
    <w:rsid w:val="006B3A91"/>
    <w:rsid w:val="006B4039"/>
    <w:rsid w:val="006B436A"/>
    <w:rsid w:val="006B470A"/>
    <w:rsid w:val="006B4783"/>
    <w:rsid w:val="006B49F1"/>
    <w:rsid w:val="006B4A8B"/>
    <w:rsid w:val="006B4B48"/>
    <w:rsid w:val="006B4DCD"/>
    <w:rsid w:val="006B4FF9"/>
    <w:rsid w:val="006B5086"/>
    <w:rsid w:val="006B5307"/>
    <w:rsid w:val="006B5779"/>
    <w:rsid w:val="006B57EE"/>
    <w:rsid w:val="006B5D07"/>
    <w:rsid w:val="006B5DC7"/>
    <w:rsid w:val="006B5DDE"/>
    <w:rsid w:val="006B60E3"/>
    <w:rsid w:val="006B6334"/>
    <w:rsid w:val="006B633D"/>
    <w:rsid w:val="006B66FD"/>
    <w:rsid w:val="006B67D5"/>
    <w:rsid w:val="006B697A"/>
    <w:rsid w:val="006B6CBD"/>
    <w:rsid w:val="006B704E"/>
    <w:rsid w:val="006B717E"/>
    <w:rsid w:val="006B746E"/>
    <w:rsid w:val="006B7491"/>
    <w:rsid w:val="006B762A"/>
    <w:rsid w:val="006B7662"/>
    <w:rsid w:val="006B7F01"/>
    <w:rsid w:val="006C0465"/>
    <w:rsid w:val="006C05DD"/>
    <w:rsid w:val="006C0BB4"/>
    <w:rsid w:val="006C0D95"/>
    <w:rsid w:val="006C1368"/>
    <w:rsid w:val="006C1A3D"/>
    <w:rsid w:val="006C1BE8"/>
    <w:rsid w:val="006C28F3"/>
    <w:rsid w:val="006C2AEE"/>
    <w:rsid w:val="006C2D84"/>
    <w:rsid w:val="006C33F7"/>
    <w:rsid w:val="006C3641"/>
    <w:rsid w:val="006C38AF"/>
    <w:rsid w:val="006C392F"/>
    <w:rsid w:val="006C3931"/>
    <w:rsid w:val="006C3A4D"/>
    <w:rsid w:val="006C3DD9"/>
    <w:rsid w:val="006C3EFB"/>
    <w:rsid w:val="006C3F25"/>
    <w:rsid w:val="006C3FA1"/>
    <w:rsid w:val="006C4017"/>
    <w:rsid w:val="006C405D"/>
    <w:rsid w:val="006C4EB1"/>
    <w:rsid w:val="006C4EBF"/>
    <w:rsid w:val="006C5078"/>
    <w:rsid w:val="006C5281"/>
    <w:rsid w:val="006C5614"/>
    <w:rsid w:val="006C5A0C"/>
    <w:rsid w:val="006C5A10"/>
    <w:rsid w:val="006C6303"/>
    <w:rsid w:val="006C684A"/>
    <w:rsid w:val="006C6B33"/>
    <w:rsid w:val="006C6C74"/>
    <w:rsid w:val="006C73AC"/>
    <w:rsid w:val="006C7801"/>
    <w:rsid w:val="006C7823"/>
    <w:rsid w:val="006C7848"/>
    <w:rsid w:val="006C7890"/>
    <w:rsid w:val="006C7B58"/>
    <w:rsid w:val="006C7C1E"/>
    <w:rsid w:val="006D007A"/>
    <w:rsid w:val="006D00EC"/>
    <w:rsid w:val="006D095E"/>
    <w:rsid w:val="006D0A5F"/>
    <w:rsid w:val="006D0B56"/>
    <w:rsid w:val="006D0B97"/>
    <w:rsid w:val="006D0D51"/>
    <w:rsid w:val="006D0F04"/>
    <w:rsid w:val="006D0F49"/>
    <w:rsid w:val="006D1043"/>
    <w:rsid w:val="006D148B"/>
    <w:rsid w:val="006D18A5"/>
    <w:rsid w:val="006D1C89"/>
    <w:rsid w:val="006D235E"/>
    <w:rsid w:val="006D2BA6"/>
    <w:rsid w:val="006D333F"/>
    <w:rsid w:val="006D33D7"/>
    <w:rsid w:val="006D3480"/>
    <w:rsid w:val="006D3501"/>
    <w:rsid w:val="006D3664"/>
    <w:rsid w:val="006D3898"/>
    <w:rsid w:val="006D38D2"/>
    <w:rsid w:val="006D39F3"/>
    <w:rsid w:val="006D3D14"/>
    <w:rsid w:val="006D3D81"/>
    <w:rsid w:val="006D3E14"/>
    <w:rsid w:val="006D3EAD"/>
    <w:rsid w:val="006D4021"/>
    <w:rsid w:val="006D449F"/>
    <w:rsid w:val="006D4509"/>
    <w:rsid w:val="006D4BED"/>
    <w:rsid w:val="006D4D1A"/>
    <w:rsid w:val="006D4ED6"/>
    <w:rsid w:val="006D541A"/>
    <w:rsid w:val="006D551A"/>
    <w:rsid w:val="006D585D"/>
    <w:rsid w:val="006D5B42"/>
    <w:rsid w:val="006D5C4F"/>
    <w:rsid w:val="006D670A"/>
    <w:rsid w:val="006D6CD1"/>
    <w:rsid w:val="006D6EAA"/>
    <w:rsid w:val="006D71A4"/>
    <w:rsid w:val="006D736B"/>
    <w:rsid w:val="006D7548"/>
    <w:rsid w:val="006D7AA3"/>
    <w:rsid w:val="006D7B06"/>
    <w:rsid w:val="006E00BC"/>
    <w:rsid w:val="006E02E8"/>
    <w:rsid w:val="006E08C8"/>
    <w:rsid w:val="006E101A"/>
    <w:rsid w:val="006E11FD"/>
    <w:rsid w:val="006E1240"/>
    <w:rsid w:val="006E12D4"/>
    <w:rsid w:val="006E155E"/>
    <w:rsid w:val="006E16D5"/>
    <w:rsid w:val="006E17F6"/>
    <w:rsid w:val="006E192D"/>
    <w:rsid w:val="006E20D8"/>
    <w:rsid w:val="006E215A"/>
    <w:rsid w:val="006E21DF"/>
    <w:rsid w:val="006E23A5"/>
    <w:rsid w:val="006E240F"/>
    <w:rsid w:val="006E2743"/>
    <w:rsid w:val="006E2812"/>
    <w:rsid w:val="006E2C7F"/>
    <w:rsid w:val="006E2CB6"/>
    <w:rsid w:val="006E305C"/>
    <w:rsid w:val="006E31DA"/>
    <w:rsid w:val="006E3211"/>
    <w:rsid w:val="006E32A2"/>
    <w:rsid w:val="006E3814"/>
    <w:rsid w:val="006E3EC1"/>
    <w:rsid w:val="006E41E2"/>
    <w:rsid w:val="006E427D"/>
    <w:rsid w:val="006E4769"/>
    <w:rsid w:val="006E4B9C"/>
    <w:rsid w:val="006E55EA"/>
    <w:rsid w:val="006E56B1"/>
    <w:rsid w:val="006E5A2F"/>
    <w:rsid w:val="006E5AF6"/>
    <w:rsid w:val="006E5E3F"/>
    <w:rsid w:val="006E60B0"/>
    <w:rsid w:val="006E64C2"/>
    <w:rsid w:val="006E64C6"/>
    <w:rsid w:val="006E66CD"/>
    <w:rsid w:val="006E6C4A"/>
    <w:rsid w:val="006E6E17"/>
    <w:rsid w:val="006E7412"/>
    <w:rsid w:val="006E77A4"/>
    <w:rsid w:val="006E7C27"/>
    <w:rsid w:val="006E7CBB"/>
    <w:rsid w:val="006E7D66"/>
    <w:rsid w:val="006E7DB3"/>
    <w:rsid w:val="006E7DDC"/>
    <w:rsid w:val="006E7F41"/>
    <w:rsid w:val="006F0171"/>
    <w:rsid w:val="006F0281"/>
    <w:rsid w:val="006F02CF"/>
    <w:rsid w:val="006F03D3"/>
    <w:rsid w:val="006F05B0"/>
    <w:rsid w:val="006F07E4"/>
    <w:rsid w:val="006F093D"/>
    <w:rsid w:val="006F095E"/>
    <w:rsid w:val="006F0B5C"/>
    <w:rsid w:val="006F0CD0"/>
    <w:rsid w:val="006F0CD4"/>
    <w:rsid w:val="006F0D8A"/>
    <w:rsid w:val="006F0E72"/>
    <w:rsid w:val="006F10BE"/>
    <w:rsid w:val="006F11E3"/>
    <w:rsid w:val="006F12A2"/>
    <w:rsid w:val="006F13B7"/>
    <w:rsid w:val="006F1450"/>
    <w:rsid w:val="006F166B"/>
    <w:rsid w:val="006F17C4"/>
    <w:rsid w:val="006F1AA6"/>
    <w:rsid w:val="006F1B1B"/>
    <w:rsid w:val="006F1BBF"/>
    <w:rsid w:val="006F1CE1"/>
    <w:rsid w:val="006F1D78"/>
    <w:rsid w:val="006F1D83"/>
    <w:rsid w:val="006F20DB"/>
    <w:rsid w:val="006F2190"/>
    <w:rsid w:val="006F22F1"/>
    <w:rsid w:val="006F251F"/>
    <w:rsid w:val="006F281D"/>
    <w:rsid w:val="006F28BD"/>
    <w:rsid w:val="006F2B2B"/>
    <w:rsid w:val="006F2F62"/>
    <w:rsid w:val="006F2FF9"/>
    <w:rsid w:val="006F30F4"/>
    <w:rsid w:val="006F3729"/>
    <w:rsid w:val="006F3734"/>
    <w:rsid w:val="006F3786"/>
    <w:rsid w:val="006F3ABB"/>
    <w:rsid w:val="006F3CC7"/>
    <w:rsid w:val="006F3D7B"/>
    <w:rsid w:val="006F3DCD"/>
    <w:rsid w:val="006F40A0"/>
    <w:rsid w:val="006F41FE"/>
    <w:rsid w:val="006F429E"/>
    <w:rsid w:val="006F477C"/>
    <w:rsid w:val="006F48BD"/>
    <w:rsid w:val="006F4932"/>
    <w:rsid w:val="006F496D"/>
    <w:rsid w:val="006F49B2"/>
    <w:rsid w:val="006F4CF8"/>
    <w:rsid w:val="006F4D29"/>
    <w:rsid w:val="006F501B"/>
    <w:rsid w:val="006F5224"/>
    <w:rsid w:val="006F5328"/>
    <w:rsid w:val="006F564A"/>
    <w:rsid w:val="006F58FE"/>
    <w:rsid w:val="006F5B5A"/>
    <w:rsid w:val="006F61B2"/>
    <w:rsid w:val="006F625D"/>
    <w:rsid w:val="006F633B"/>
    <w:rsid w:val="006F686D"/>
    <w:rsid w:val="006F6AE3"/>
    <w:rsid w:val="006F6F4D"/>
    <w:rsid w:val="006F72F4"/>
    <w:rsid w:val="006F76DA"/>
    <w:rsid w:val="006F7B3E"/>
    <w:rsid w:val="00700118"/>
    <w:rsid w:val="00700458"/>
    <w:rsid w:val="00700729"/>
    <w:rsid w:val="007007AE"/>
    <w:rsid w:val="00700852"/>
    <w:rsid w:val="00700902"/>
    <w:rsid w:val="00700AB2"/>
    <w:rsid w:val="00700B34"/>
    <w:rsid w:val="007010AF"/>
    <w:rsid w:val="00701213"/>
    <w:rsid w:val="00701A10"/>
    <w:rsid w:val="00701A7A"/>
    <w:rsid w:val="00701ADC"/>
    <w:rsid w:val="00701F14"/>
    <w:rsid w:val="00702368"/>
    <w:rsid w:val="007026B6"/>
    <w:rsid w:val="007030DE"/>
    <w:rsid w:val="0070396E"/>
    <w:rsid w:val="00703B33"/>
    <w:rsid w:val="0070425A"/>
    <w:rsid w:val="00704278"/>
    <w:rsid w:val="00704F65"/>
    <w:rsid w:val="0070503D"/>
    <w:rsid w:val="00705177"/>
    <w:rsid w:val="00705257"/>
    <w:rsid w:val="007055AB"/>
    <w:rsid w:val="007056C9"/>
    <w:rsid w:val="0070570C"/>
    <w:rsid w:val="00705A95"/>
    <w:rsid w:val="00705B99"/>
    <w:rsid w:val="00705CC8"/>
    <w:rsid w:val="0070624D"/>
    <w:rsid w:val="00706448"/>
    <w:rsid w:val="0070662D"/>
    <w:rsid w:val="00706B31"/>
    <w:rsid w:val="00706B3F"/>
    <w:rsid w:val="00706D12"/>
    <w:rsid w:val="00706D19"/>
    <w:rsid w:val="00706D64"/>
    <w:rsid w:val="00707011"/>
    <w:rsid w:val="00707312"/>
    <w:rsid w:val="007073C7"/>
    <w:rsid w:val="0070740B"/>
    <w:rsid w:val="00707B6E"/>
    <w:rsid w:val="007103DD"/>
    <w:rsid w:val="007107EC"/>
    <w:rsid w:val="00710FB8"/>
    <w:rsid w:val="00710FD1"/>
    <w:rsid w:val="007110F2"/>
    <w:rsid w:val="007111A1"/>
    <w:rsid w:val="00711232"/>
    <w:rsid w:val="0071126C"/>
    <w:rsid w:val="0071148A"/>
    <w:rsid w:val="00711754"/>
    <w:rsid w:val="00711A60"/>
    <w:rsid w:val="00712410"/>
    <w:rsid w:val="0071266A"/>
    <w:rsid w:val="0071275B"/>
    <w:rsid w:val="00712791"/>
    <w:rsid w:val="00712AAC"/>
    <w:rsid w:val="00712B92"/>
    <w:rsid w:val="00712BA6"/>
    <w:rsid w:val="00712CDC"/>
    <w:rsid w:val="0071316F"/>
    <w:rsid w:val="0071318B"/>
    <w:rsid w:val="007132BE"/>
    <w:rsid w:val="00713476"/>
    <w:rsid w:val="00713AF3"/>
    <w:rsid w:val="00713B7C"/>
    <w:rsid w:val="00713DC4"/>
    <w:rsid w:val="00713F2B"/>
    <w:rsid w:val="0071423C"/>
    <w:rsid w:val="007147BF"/>
    <w:rsid w:val="00714860"/>
    <w:rsid w:val="007148E9"/>
    <w:rsid w:val="00714BF4"/>
    <w:rsid w:val="00714FB6"/>
    <w:rsid w:val="00715271"/>
    <w:rsid w:val="00715294"/>
    <w:rsid w:val="0071572F"/>
    <w:rsid w:val="007159E4"/>
    <w:rsid w:val="00715BAE"/>
    <w:rsid w:val="00715C48"/>
    <w:rsid w:val="007162E5"/>
    <w:rsid w:val="007166E5"/>
    <w:rsid w:val="00716B2B"/>
    <w:rsid w:val="00716D22"/>
    <w:rsid w:val="00716E6F"/>
    <w:rsid w:val="0071703B"/>
    <w:rsid w:val="007172A5"/>
    <w:rsid w:val="007172C2"/>
    <w:rsid w:val="0071751C"/>
    <w:rsid w:val="00720586"/>
    <w:rsid w:val="0072061D"/>
    <w:rsid w:val="007208FB"/>
    <w:rsid w:val="00720B86"/>
    <w:rsid w:val="00720BDA"/>
    <w:rsid w:val="00720C60"/>
    <w:rsid w:val="00720CF5"/>
    <w:rsid w:val="0072144A"/>
    <w:rsid w:val="00721A30"/>
    <w:rsid w:val="00721FDE"/>
    <w:rsid w:val="007226D5"/>
    <w:rsid w:val="007227EC"/>
    <w:rsid w:val="00722BA9"/>
    <w:rsid w:val="00722D8B"/>
    <w:rsid w:val="00722E37"/>
    <w:rsid w:val="007230DC"/>
    <w:rsid w:val="007234E3"/>
    <w:rsid w:val="007236B3"/>
    <w:rsid w:val="00723704"/>
    <w:rsid w:val="0072373C"/>
    <w:rsid w:val="007238B1"/>
    <w:rsid w:val="00723A41"/>
    <w:rsid w:val="00723C4D"/>
    <w:rsid w:val="00723E91"/>
    <w:rsid w:val="00723FB3"/>
    <w:rsid w:val="00724191"/>
    <w:rsid w:val="00724299"/>
    <w:rsid w:val="00724467"/>
    <w:rsid w:val="007245DC"/>
    <w:rsid w:val="00724CD0"/>
    <w:rsid w:val="00724D44"/>
    <w:rsid w:val="00724FA2"/>
    <w:rsid w:val="0072512C"/>
    <w:rsid w:val="007251CB"/>
    <w:rsid w:val="00725232"/>
    <w:rsid w:val="00725769"/>
    <w:rsid w:val="00725903"/>
    <w:rsid w:val="00725F79"/>
    <w:rsid w:val="0072624F"/>
    <w:rsid w:val="00726486"/>
    <w:rsid w:val="007265BB"/>
    <w:rsid w:val="00726740"/>
    <w:rsid w:val="00726981"/>
    <w:rsid w:val="00726B91"/>
    <w:rsid w:val="00726D42"/>
    <w:rsid w:val="00726E8F"/>
    <w:rsid w:val="00726ECC"/>
    <w:rsid w:val="007273ED"/>
    <w:rsid w:val="00727829"/>
    <w:rsid w:val="00727E8E"/>
    <w:rsid w:val="00727ED5"/>
    <w:rsid w:val="00727F2F"/>
    <w:rsid w:val="0073033D"/>
    <w:rsid w:val="00730498"/>
    <w:rsid w:val="00730799"/>
    <w:rsid w:val="007307AA"/>
    <w:rsid w:val="007307C8"/>
    <w:rsid w:val="00730EFE"/>
    <w:rsid w:val="007310DF"/>
    <w:rsid w:val="0073114F"/>
    <w:rsid w:val="00731255"/>
    <w:rsid w:val="007312EA"/>
    <w:rsid w:val="00731358"/>
    <w:rsid w:val="0073148A"/>
    <w:rsid w:val="007315B6"/>
    <w:rsid w:val="007318FA"/>
    <w:rsid w:val="007319F2"/>
    <w:rsid w:val="00731C80"/>
    <w:rsid w:val="00731F61"/>
    <w:rsid w:val="0073234A"/>
    <w:rsid w:val="00732726"/>
    <w:rsid w:val="007327F7"/>
    <w:rsid w:val="007329FC"/>
    <w:rsid w:val="00732BC3"/>
    <w:rsid w:val="00732D6F"/>
    <w:rsid w:val="00733049"/>
    <w:rsid w:val="007331C2"/>
    <w:rsid w:val="0073331A"/>
    <w:rsid w:val="00733395"/>
    <w:rsid w:val="00733601"/>
    <w:rsid w:val="007337A3"/>
    <w:rsid w:val="007338CA"/>
    <w:rsid w:val="0073394D"/>
    <w:rsid w:val="00733B1B"/>
    <w:rsid w:val="00734065"/>
    <w:rsid w:val="00734322"/>
    <w:rsid w:val="00734497"/>
    <w:rsid w:val="007347F4"/>
    <w:rsid w:val="00734D4C"/>
    <w:rsid w:val="00734FB1"/>
    <w:rsid w:val="00735073"/>
    <w:rsid w:val="007353E9"/>
    <w:rsid w:val="00735426"/>
    <w:rsid w:val="0073560A"/>
    <w:rsid w:val="00735BC3"/>
    <w:rsid w:val="00735C6B"/>
    <w:rsid w:val="007362AC"/>
    <w:rsid w:val="0073636F"/>
    <w:rsid w:val="007365B4"/>
    <w:rsid w:val="00736780"/>
    <w:rsid w:val="0073714B"/>
    <w:rsid w:val="00737868"/>
    <w:rsid w:val="0073790F"/>
    <w:rsid w:val="0073797B"/>
    <w:rsid w:val="007379EC"/>
    <w:rsid w:val="00737AAB"/>
    <w:rsid w:val="00737CF2"/>
    <w:rsid w:val="007402D1"/>
    <w:rsid w:val="0074033C"/>
    <w:rsid w:val="0074057A"/>
    <w:rsid w:val="007406C0"/>
    <w:rsid w:val="0074085D"/>
    <w:rsid w:val="00740A51"/>
    <w:rsid w:val="00740B03"/>
    <w:rsid w:val="00741241"/>
    <w:rsid w:val="00741250"/>
    <w:rsid w:val="0074173C"/>
    <w:rsid w:val="0074176D"/>
    <w:rsid w:val="00741D99"/>
    <w:rsid w:val="007420DE"/>
    <w:rsid w:val="0074227A"/>
    <w:rsid w:val="0074259C"/>
    <w:rsid w:val="00742723"/>
    <w:rsid w:val="00742E48"/>
    <w:rsid w:val="007432E2"/>
    <w:rsid w:val="007435D8"/>
    <w:rsid w:val="007436E9"/>
    <w:rsid w:val="00743720"/>
    <w:rsid w:val="00743C0D"/>
    <w:rsid w:val="00743D45"/>
    <w:rsid w:val="00743EFC"/>
    <w:rsid w:val="00743F0D"/>
    <w:rsid w:val="00744278"/>
    <w:rsid w:val="0074437D"/>
    <w:rsid w:val="0074444B"/>
    <w:rsid w:val="007446BD"/>
    <w:rsid w:val="00744707"/>
    <w:rsid w:val="007448F2"/>
    <w:rsid w:val="0074490D"/>
    <w:rsid w:val="0074492C"/>
    <w:rsid w:val="00744930"/>
    <w:rsid w:val="00744A44"/>
    <w:rsid w:val="00744D0B"/>
    <w:rsid w:val="007451C8"/>
    <w:rsid w:val="007453AE"/>
    <w:rsid w:val="0074576A"/>
    <w:rsid w:val="00745FAF"/>
    <w:rsid w:val="00745FFB"/>
    <w:rsid w:val="00746E24"/>
    <w:rsid w:val="00746E5C"/>
    <w:rsid w:val="0074713B"/>
    <w:rsid w:val="0074726A"/>
    <w:rsid w:val="007473DC"/>
    <w:rsid w:val="00747437"/>
    <w:rsid w:val="007474E9"/>
    <w:rsid w:val="00747727"/>
    <w:rsid w:val="00747A88"/>
    <w:rsid w:val="00747D21"/>
    <w:rsid w:val="007509CC"/>
    <w:rsid w:val="00750A04"/>
    <w:rsid w:val="00750A3D"/>
    <w:rsid w:val="00750AFF"/>
    <w:rsid w:val="007510B3"/>
    <w:rsid w:val="00751101"/>
    <w:rsid w:val="007511C0"/>
    <w:rsid w:val="007512EC"/>
    <w:rsid w:val="00751561"/>
    <w:rsid w:val="0075195A"/>
    <w:rsid w:val="007519B5"/>
    <w:rsid w:val="00751CCA"/>
    <w:rsid w:val="00751DB1"/>
    <w:rsid w:val="00751DFB"/>
    <w:rsid w:val="00751F97"/>
    <w:rsid w:val="007520B5"/>
    <w:rsid w:val="007520D9"/>
    <w:rsid w:val="007521C5"/>
    <w:rsid w:val="007524C0"/>
    <w:rsid w:val="0075256E"/>
    <w:rsid w:val="00753034"/>
    <w:rsid w:val="007534A8"/>
    <w:rsid w:val="007536FD"/>
    <w:rsid w:val="007537FC"/>
    <w:rsid w:val="00753F3A"/>
    <w:rsid w:val="0075466E"/>
    <w:rsid w:val="00754C40"/>
    <w:rsid w:val="00754C5B"/>
    <w:rsid w:val="00755329"/>
    <w:rsid w:val="0075532C"/>
    <w:rsid w:val="00755766"/>
    <w:rsid w:val="00755B7F"/>
    <w:rsid w:val="00755E2B"/>
    <w:rsid w:val="0075642D"/>
    <w:rsid w:val="0075647D"/>
    <w:rsid w:val="00756577"/>
    <w:rsid w:val="0075684A"/>
    <w:rsid w:val="00757102"/>
    <w:rsid w:val="00757507"/>
    <w:rsid w:val="007575A8"/>
    <w:rsid w:val="007577DB"/>
    <w:rsid w:val="00760225"/>
    <w:rsid w:val="00760CC8"/>
    <w:rsid w:val="00760DE0"/>
    <w:rsid w:val="00761065"/>
    <w:rsid w:val="00761124"/>
    <w:rsid w:val="00761257"/>
    <w:rsid w:val="007614FA"/>
    <w:rsid w:val="0076150B"/>
    <w:rsid w:val="007615C1"/>
    <w:rsid w:val="00761614"/>
    <w:rsid w:val="00761934"/>
    <w:rsid w:val="0076194B"/>
    <w:rsid w:val="00761A22"/>
    <w:rsid w:val="00761DD8"/>
    <w:rsid w:val="00761F69"/>
    <w:rsid w:val="0076208A"/>
    <w:rsid w:val="00762A58"/>
    <w:rsid w:val="00763484"/>
    <w:rsid w:val="00763BAE"/>
    <w:rsid w:val="00763DD6"/>
    <w:rsid w:val="00763FC3"/>
    <w:rsid w:val="0076462C"/>
    <w:rsid w:val="00764880"/>
    <w:rsid w:val="007648D8"/>
    <w:rsid w:val="00764BA5"/>
    <w:rsid w:val="00764C73"/>
    <w:rsid w:val="00765139"/>
    <w:rsid w:val="007653A4"/>
    <w:rsid w:val="007654EB"/>
    <w:rsid w:val="00765586"/>
    <w:rsid w:val="0076562B"/>
    <w:rsid w:val="00765653"/>
    <w:rsid w:val="00765810"/>
    <w:rsid w:val="0076599A"/>
    <w:rsid w:val="00765B80"/>
    <w:rsid w:val="00765E1C"/>
    <w:rsid w:val="00765F9B"/>
    <w:rsid w:val="007660E8"/>
    <w:rsid w:val="007662BE"/>
    <w:rsid w:val="00766362"/>
    <w:rsid w:val="007663DC"/>
    <w:rsid w:val="00766498"/>
    <w:rsid w:val="007667C6"/>
    <w:rsid w:val="00766813"/>
    <w:rsid w:val="00766AC7"/>
    <w:rsid w:val="00766BCC"/>
    <w:rsid w:val="00766BE9"/>
    <w:rsid w:val="00766F9E"/>
    <w:rsid w:val="0076712A"/>
    <w:rsid w:val="007672FC"/>
    <w:rsid w:val="0076740E"/>
    <w:rsid w:val="0076747C"/>
    <w:rsid w:val="0076778A"/>
    <w:rsid w:val="007679CA"/>
    <w:rsid w:val="00767D9D"/>
    <w:rsid w:val="007701CE"/>
    <w:rsid w:val="007703FA"/>
    <w:rsid w:val="00770449"/>
    <w:rsid w:val="007706BC"/>
    <w:rsid w:val="007706C9"/>
    <w:rsid w:val="007708A1"/>
    <w:rsid w:val="00770EC6"/>
    <w:rsid w:val="00771062"/>
    <w:rsid w:val="0077115E"/>
    <w:rsid w:val="00771253"/>
    <w:rsid w:val="0077177A"/>
    <w:rsid w:val="00771863"/>
    <w:rsid w:val="00771910"/>
    <w:rsid w:val="00771A75"/>
    <w:rsid w:val="00771F00"/>
    <w:rsid w:val="00772033"/>
    <w:rsid w:val="007720EC"/>
    <w:rsid w:val="0077211E"/>
    <w:rsid w:val="00772246"/>
    <w:rsid w:val="007728BA"/>
    <w:rsid w:val="007733F3"/>
    <w:rsid w:val="007735EB"/>
    <w:rsid w:val="00773788"/>
    <w:rsid w:val="0077380F"/>
    <w:rsid w:val="00773C4D"/>
    <w:rsid w:val="00773C96"/>
    <w:rsid w:val="00773E06"/>
    <w:rsid w:val="00773E0A"/>
    <w:rsid w:val="00773E1C"/>
    <w:rsid w:val="007740E2"/>
    <w:rsid w:val="0077411D"/>
    <w:rsid w:val="007741FA"/>
    <w:rsid w:val="007745F5"/>
    <w:rsid w:val="0077486E"/>
    <w:rsid w:val="00774B2A"/>
    <w:rsid w:val="00774B64"/>
    <w:rsid w:val="00774BA7"/>
    <w:rsid w:val="00774D03"/>
    <w:rsid w:val="00775141"/>
    <w:rsid w:val="007752C4"/>
    <w:rsid w:val="00775DC2"/>
    <w:rsid w:val="0077606C"/>
    <w:rsid w:val="00776118"/>
    <w:rsid w:val="0077633E"/>
    <w:rsid w:val="0077649C"/>
    <w:rsid w:val="00776902"/>
    <w:rsid w:val="00776DBA"/>
    <w:rsid w:val="00776E4E"/>
    <w:rsid w:val="00776F54"/>
    <w:rsid w:val="00776FAA"/>
    <w:rsid w:val="00777002"/>
    <w:rsid w:val="00777308"/>
    <w:rsid w:val="007774E1"/>
    <w:rsid w:val="007779DA"/>
    <w:rsid w:val="00777D68"/>
    <w:rsid w:val="00777DC5"/>
    <w:rsid w:val="00780366"/>
    <w:rsid w:val="00780A5E"/>
    <w:rsid w:val="00780AD1"/>
    <w:rsid w:val="00780BA9"/>
    <w:rsid w:val="00780DAA"/>
    <w:rsid w:val="00780E93"/>
    <w:rsid w:val="00781338"/>
    <w:rsid w:val="00781795"/>
    <w:rsid w:val="0078182C"/>
    <w:rsid w:val="00781A61"/>
    <w:rsid w:val="00781C7B"/>
    <w:rsid w:val="00781C82"/>
    <w:rsid w:val="0078259D"/>
    <w:rsid w:val="00782754"/>
    <w:rsid w:val="0078278B"/>
    <w:rsid w:val="00783000"/>
    <w:rsid w:val="00783B34"/>
    <w:rsid w:val="00783CA9"/>
    <w:rsid w:val="00783DC1"/>
    <w:rsid w:val="00783EAD"/>
    <w:rsid w:val="00783F1E"/>
    <w:rsid w:val="00784175"/>
    <w:rsid w:val="007841BB"/>
    <w:rsid w:val="007842C4"/>
    <w:rsid w:val="00784678"/>
    <w:rsid w:val="00784721"/>
    <w:rsid w:val="007847D5"/>
    <w:rsid w:val="00784EC0"/>
    <w:rsid w:val="00785235"/>
    <w:rsid w:val="007854B6"/>
    <w:rsid w:val="007854E6"/>
    <w:rsid w:val="00785BC4"/>
    <w:rsid w:val="00785FDB"/>
    <w:rsid w:val="00786110"/>
    <w:rsid w:val="0078619C"/>
    <w:rsid w:val="007867F0"/>
    <w:rsid w:val="00786C35"/>
    <w:rsid w:val="00786D7D"/>
    <w:rsid w:val="007873EA"/>
    <w:rsid w:val="007873F8"/>
    <w:rsid w:val="00787654"/>
    <w:rsid w:val="007878CE"/>
    <w:rsid w:val="007879FF"/>
    <w:rsid w:val="00787D62"/>
    <w:rsid w:val="00787FD7"/>
    <w:rsid w:val="00790014"/>
    <w:rsid w:val="00790667"/>
    <w:rsid w:val="007908F2"/>
    <w:rsid w:val="00790CDC"/>
    <w:rsid w:val="00790F81"/>
    <w:rsid w:val="0079112C"/>
    <w:rsid w:val="007913D7"/>
    <w:rsid w:val="007915C9"/>
    <w:rsid w:val="00791648"/>
    <w:rsid w:val="007919EB"/>
    <w:rsid w:val="00791ADF"/>
    <w:rsid w:val="00791B4D"/>
    <w:rsid w:val="00791BBE"/>
    <w:rsid w:val="00791C42"/>
    <w:rsid w:val="00791D36"/>
    <w:rsid w:val="00792410"/>
    <w:rsid w:val="0079268A"/>
    <w:rsid w:val="00792DAC"/>
    <w:rsid w:val="00792F9A"/>
    <w:rsid w:val="007933D4"/>
    <w:rsid w:val="0079346A"/>
    <w:rsid w:val="00793542"/>
    <w:rsid w:val="0079360F"/>
    <w:rsid w:val="007937FF"/>
    <w:rsid w:val="007939D1"/>
    <w:rsid w:val="00793A1F"/>
    <w:rsid w:val="00793D33"/>
    <w:rsid w:val="00793F26"/>
    <w:rsid w:val="0079473D"/>
    <w:rsid w:val="00794793"/>
    <w:rsid w:val="00794CAD"/>
    <w:rsid w:val="00794E4B"/>
    <w:rsid w:val="00794EAD"/>
    <w:rsid w:val="00794FA8"/>
    <w:rsid w:val="00794FF0"/>
    <w:rsid w:val="00795122"/>
    <w:rsid w:val="00795154"/>
    <w:rsid w:val="00795212"/>
    <w:rsid w:val="0079534C"/>
    <w:rsid w:val="007958CC"/>
    <w:rsid w:val="00795EC9"/>
    <w:rsid w:val="00796178"/>
    <w:rsid w:val="0079665E"/>
    <w:rsid w:val="007966B7"/>
    <w:rsid w:val="007966C1"/>
    <w:rsid w:val="00796ADA"/>
    <w:rsid w:val="00797430"/>
    <w:rsid w:val="0079765B"/>
    <w:rsid w:val="0079780C"/>
    <w:rsid w:val="00797A19"/>
    <w:rsid w:val="00797A4E"/>
    <w:rsid w:val="00797C9E"/>
    <w:rsid w:val="00797D60"/>
    <w:rsid w:val="00797E5C"/>
    <w:rsid w:val="007A0210"/>
    <w:rsid w:val="007A0259"/>
    <w:rsid w:val="007A03CC"/>
    <w:rsid w:val="007A0527"/>
    <w:rsid w:val="007A059A"/>
    <w:rsid w:val="007A066F"/>
    <w:rsid w:val="007A06AB"/>
    <w:rsid w:val="007A0769"/>
    <w:rsid w:val="007A07CF"/>
    <w:rsid w:val="007A0E18"/>
    <w:rsid w:val="007A0EF8"/>
    <w:rsid w:val="007A10CF"/>
    <w:rsid w:val="007A152F"/>
    <w:rsid w:val="007A1625"/>
    <w:rsid w:val="007A178E"/>
    <w:rsid w:val="007A18F5"/>
    <w:rsid w:val="007A1B84"/>
    <w:rsid w:val="007A1BA3"/>
    <w:rsid w:val="007A1F0D"/>
    <w:rsid w:val="007A21D2"/>
    <w:rsid w:val="007A233E"/>
    <w:rsid w:val="007A24D3"/>
    <w:rsid w:val="007A2698"/>
    <w:rsid w:val="007A26AB"/>
    <w:rsid w:val="007A2A4B"/>
    <w:rsid w:val="007A2BEE"/>
    <w:rsid w:val="007A2C41"/>
    <w:rsid w:val="007A31AB"/>
    <w:rsid w:val="007A3483"/>
    <w:rsid w:val="007A3782"/>
    <w:rsid w:val="007A3961"/>
    <w:rsid w:val="007A3985"/>
    <w:rsid w:val="007A3A7A"/>
    <w:rsid w:val="007A3CAA"/>
    <w:rsid w:val="007A3FD1"/>
    <w:rsid w:val="007A4203"/>
    <w:rsid w:val="007A45ED"/>
    <w:rsid w:val="007A4A9F"/>
    <w:rsid w:val="007A4B5D"/>
    <w:rsid w:val="007A4D2E"/>
    <w:rsid w:val="007A4E77"/>
    <w:rsid w:val="007A503F"/>
    <w:rsid w:val="007A5288"/>
    <w:rsid w:val="007A57A6"/>
    <w:rsid w:val="007A581A"/>
    <w:rsid w:val="007A59C1"/>
    <w:rsid w:val="007A65ED"/>
    <w:rsid w:val="007A67B3"/>
    <w:rsid w:val="007A67EB"/>
    <w:rsid w:val="007A69A4"/>
    <w:rsid w:val="007A6ABF"/>
    <w:rsid w:val="007A6C4F"/>
    <w:rsid w:val="007A6D23"/>
    <w:rsid w:val="007A6DF9"/>
    <w:rsid w:val="007A756F"/>
    <w:rsid w:val="007A76BA"/>
    <w:rsid w:val="007A7956"/>
    <w:rsid w:val="007A7A4D"/>
    <w:rsid w:val="007A7B42"/>
    <w:rsid w:val="007A7C2F"/>
    <w:rsid w:val="007A7E88"/>
    <w:rsid w:val="007A7F11"/>
    <w:rsid w:val="007B0587"/>
    <w:rsid w:val="007B070D"/>
    <w:rsid w:val="007B0D87"/>
    <w:rsid w:val="007B0E31"/>
    <w:rsid w:val="007B0E6F"/>
    <w:rsid w:val="007B1322"/>
    <w:rsid w:val="007B1331"/>
    <w:rsid w:val="007B14DF"/>
    <w:rsid w:val="007B151E"/>
    <w:rsid w:val="007B1530"/>
    <w:rsid w:val="007B1642"/>
    <w:rsid w:val="007B1941"/>
    <w:rsid w:val="007B1B21"/>
    <w:rsid w:val="007B1B85"/>
    <w:rsid w:val="007B1D13"/>
    <w:rsid w:val="007B211A"/>
    <w:rsid w:val="007B26C3"/>
    <w:rsid w:val="007B282C"/>
    <w:rsid w:val="007B2C29"/>
    <w:rsid w:val="007B367B"/>
    <w:rsid w:val="007B39E0"/>
    <w:rsid w:val="007B3B91"/>
    <w:rsid w:val="007B3CEF"/>
    <w:rsid w:val="007B4782"/>
    <w:rsid w:val="007B4928"/>
    <w:rsid w:val="007B49B4"/>
    <w:rsid w:val="007B4C38"/>
    <w:rsid w:val="007B50FC"/>
    <w:rsid w:val="007B5178"/>
    <w:rsid w:val="007B51B1"/>
    <w:rsid w:val="007B535C"/>
    <w:rsid w:val="007B5396"/>
    <w:rsid w:val="007B560B"/>
    <w:rsid w:val="007B5684"/>
    <w:rsid w:val="007B56D1"/>
    <w:rsid w:val="007B56EF"/>
    <w:rsid w:val="007B58AE"/>
    <w:rsid w:val="007B5CFC"/>
    <w:rsid w:val="007B5DB5"/>
    <w:rsid w:val="007B5F25"/>
    <w:rsid w:val="007B610E"/>
    <w:rsid w:val="007B6764"/>
    <w:rsid w:val="007B6792"/>
    <w:rsid w:val="007B67B9"/>
    <w:rsid w:val="007B68FD"/>
    <w:rsid w:val="007B6A12"/>
    <w:rsid w:val="007B6EAE"/>
    <w:rsid w:val="007B7086"/>
    <w:rsid w:val="007B708D"/>
    <w:rsid w:val="007B7272"/>
    <w:rsid w:val="007B739C"/>
    <w:rsid w:val="007B7535"/>
    <w:rsid w:val="007B79AC"/>
    <w:rsid w:val="007B7E4B"/>
    <w:rsid w:val="007B7F82"/>
    <w:rsid w:val="007C0625"/>
    <w:rsid w:val="007C0D73"/>
    <w:rsid w:val="007C0DD2"/>
    <w:rsid w:val="007C1025"/>
    <w:rsid w:val="007C1091"/>
    <w:rsid w:val="007C11AB"/>
    <w:rsid w:val="007C1323"/>
    <w:rsid w:val="007C154A"/>
    <w:rsid w:val="007C1936"/>
    <w:rsid w:val="007C19E2"/>
    <w:rsid w:val="007C1A44"/>
    <w:rsid w:val="007C1AEC"/>
    <w:rsid w:val="007C1B10"/>
    <w:rsid w:val="007C1B62"/>
    <w:rsid w:val="007C1C49"/>
    <w:rsid w:val="007C2429"/>
    <w:rsid w:val="007C2515"/>
    <w:rsid w:val="007C255F"/>
    <w:rsid w:val="007C25FA"/>
    <w:rsid w:val="007C26D7"/>
    <w:rsid w:val="007C280A"/>
    <w:rsid w:val="007C2AD4"/>
    <w:rsid w:val="007C2F64"/>
    <w:rsid w:val="007C2FAC"/>
    <w:rsid w:val="007C3096"/>
    <w:rsid w:val="007C33E7"/>
    <w:rsid w:val="007C347A"/>
    <w:rsid w:val="007C347E"/>
    <w:rsid w:val="007C34A3"/>
    <w:rsid w:val="007C362C"/>
    <w:rsid w:val="007C374B"/>
    <w:rsid w:val="007C375A"/>
    <w:rsid w:val="007C3905"/>
    <w:rsid w:val="007C42E7"/>
    <w:rsid w:val="007C4557"/>
    <w:rsid w:val="007C4650"/>
    <w:rsid w:val="007C4CFF"/>
    <w:rsid w:val="007C4E33"/>
    <w:rsid w:val="007C4F1F"/>
    <w:rsid w:val="007C4F30"/>
    <w:rsid w:val="007C504F"/>
    <w:rsid w:val="007C50F6"/>
    <w:rsid w:val="007C54A1"/>
    <w:rsid w:val="007C54BE"/>
    <w:rsid w:val="007C597C"/>
    <w:rsid w:val="007C5A86"/>
    <w:rsid w:val="007C6452"/>
    <w:rsid w:val="007C64B9"/>
    <w:rsid w:val="007C665E"/>
    <w:rsid w:val="007C67B7"/>
    <w:rsid w:val="007C6EEE"/>
    <w:rsid w:val="007C706B"/>
    <w:rsid w:val="007C72D4"/>
    <w:rsid w:val="007C7379"/>
    <w:rsid w:val="007C7601"/>
    <w:rsid w:val="007C760E"/>
    <w:rsid w:val="007C79B5"/>
    <w:rsid w:val="007C79BD"/>
    <w:rsid w:val="007C7B2A"/>
    <w:rsid w:val="007D0672"/>
    <w:rsid w:val="007D0AE2"/>
    <w:rsid w:val="007D0CB1"/>
    <w:rsid w:val="007D0D42"/>
    <w:rsid w:val="007D0FE4"/>
    <w:rsid w:val="007D13A7"/>
    <w:rsid w:val="007D1550"/>
    <w:rsid w:val="007D16DF"/>
    <w:rsid w:val="007D18F1"/>
    <w:rsid w:val="007D1975"/>
    <w:rsid w:val="007D2224"/>
    <w:rsid w:val="007D2269"/>
    <w:rsid w:val="007D22D8"/>
    <w:rsid w:val="007D2558"/>
    <w:rsid w:val="007D27CB"/>
    <w:rsid w:val="007D27E6"/>
    <w:rsid w:val="007D2ACF"/>
    <w:rsid w:val="007D2CCC"/>
    <w:rsid w:val="007D2FE5"/>
    <w:rsid w:val="007D330D"/>
    <w:rsid w:val="007D3315"/>
    <w:rsid w:val="007D348A"/>
    <w:rsid w:val="007D365F"/>
    <w:rsid w:val="007D384F"/>
    <w:rsid w:val="007D395C"/>
    <w:rsid w:val="007D3ABF"/>
    <w:rsid w:val="007D3D2F"/>
    <w:rsid w:val="007D3D94"/>
    <w:rsid w:val="007D3DD6"/>
    <w:rsid w:val="007D3DE4"/>
    <w:rsid w:val="007D40A6"/>
    <w:rsid w:val="007D4344"/>
    <w:rsid w:val="007D43E7"/>
    <w:rsid w:val="007D4406"/>
    <w:rsid w:val="007D45FD"/>
    <w:rsid w:val="007D4734"/>
    <w:rsid w:val="007D4957"/>
    <w:rsid w:val="007D4CB5"/>
    <w:rsid w:val="007D4F56"/>
    <w:rsid w:val="007D5166"/>
    <w:rsid w:val="007D51B0"/>
    <w:rsid w:val="007D53BC"/>
    <w:rsid w:val="007D5445"/>
    <w:rsid w:val="007D5708"/>
    <w:rsid w:val="007D5A80"/>
    <w:rsid w:val="007D6198"/>
    <w:rsid w:val="007D648C"/>
    <w:rsid w:val="007D65FC"/>
    <w:rsid w:val="007D66EE"/>
    <w:rsid w:val="007D6A6F"/>
    <w:rsid w:val="007D6C24"/>
    <w:rsid w:val="007D7569"/>
    <w:rsid w:val="007D76EB"/>
    <w:rsid w:val="007D785F"/>
    <w:rsid w:val="007D78AB"/>
    <w:rsid w:val="007D7904"/>
    <w:rsid w:val="007D7A76"/>
    <w:rsid w:val="007D7F2F"/>
    <w:rsid w:val="007D7F70"/>
    <w:rsid w:val="007E03C4"/>
    <w:rsid w:val="007E067B"/>
    <w:rsid w:val="007E08BF"/>
    <w:rsid w:val="007E0ADE"/>
    <w:rsid w:val="007E0D03"/>
    <w:rsid w:val="007E0EB5"/>
    <w:rsid w:val="007E10C4"/>
    <w:rsid w:val="007E15F7"/>
    <w:rsid w:val="007E161D"/>
    <w:rsid w:val="007E18E6"/>
    <w:rsid w:val="007E1E71"/>
    <w:rsid w:val="007E1F9E"/>
    <w:rsid w:val="007E20CF"/>
    <w:rsid w:val="007E215B"/>
    <w:rsid w:val="007E29DE"/>
    <w:rsid w:val="007E2B7F"/>
    <w:rsid w:val="007E2C0E"/>
    <w:rsid w:val="007E2DEC"/>
    <w:rsid w:val="007E2E48"/>
    <w:rsid w:val="007E2E58"/>
    <w:rsid w:val="007E3074"/>
    <w:rsid w:val="007E3125"/>
    <w:rsid w:val="007E313A"/>
    <w:rsid w:val="007E3205"/>
    <w:rsid w:val="007E328D"/>
    <w:rsid w:val="007E33C9"/>
    <w:rsid w:val="007E3492"/>
    <w:rsid w:val="007E3640"/>
    <w:rsid w:val="007E3685"/>
    <w:rsid w:val="007E38A1"/>
    <w:rsid w:val="007E3ADB"/>
    <w:rsid w:val="007E446A"/>
    <w:rsid w:val="007E44E3"/>
    <w:rsid w:val="007E4647"/>
    <w:rsid w:val="007E4922"/>
    <w:rsid w:val="007E4B46"/>
    <w:rsid w:val="007E4B87"/>
    <w:rsid w:val="007E4BE8"/>
    <w:rsid w:val="007E4EE3"/>
    <w:rsid w:val="007E4F4B"/>
    <w:rsid w:val="007E4F8B"/>
    <w:rsid w:val="007E507D"/>
    <w:rsid w:val="007E54E2"/>
    <w:rsid w:val="007E55FF"/>
    <w:rsid w:val="007E5648"/>
    <w:rsid w:val="007E5797"/>
    <w:rsid w:val="007E580C"/>
    <w:rsid w:val="007E5ABE"/>
    <w:rsid w:val="007E5AC7"/>
    <w:rsid w:val="007E5BF4"/>
    <w:rsid w:val="007E5F37"/>
    <w:rsid w:val="007E5FE6"/>
    <w:rsid w:val="007E636C"/>
    <w:rsid w:val="007E64C8"/>
    <w:rsid w:val="007E6835"/>
    <w:rsid w:val="007E69FD"/>
    <w:rsid w:val="007E6C72"/>
    <w:rsid w:val="007E7C18"/>
    <w:rsid w:val="007E7C47"/>
    <w:rsid w:val="007E7CAA"/>
    <w:rsid w:val="007F02A9"/>
    <w:rsid w:val="007F067E"/>
    <w:rsid w:val="007F06EB"/>
    <w:rsid w:val="007F0D9C"/>
    <w:rsid w:val="007F0F6D"/>
    <w:rsid w:val="007F10AD"/>
    <w:rsid w:val="007F1193"/>
    <w:rsid w:val="007F1272"/>
    <w:rsid w:val="007F1554"/>
    <w:rsid w:val="007F1952"/>
    <w:rsid w:val="007F1A76"/>
    <w:rsid w:val="007F1AE2"/>
    <w:rsid w:val="007F1BDC"/>
    <w:rsid w:val="007F1BEB"/>
    <w:rsid w:val="007F1DD0"/>
    <w:rsid w:val="007F1DD6"/>
    <w:rsid w:val="007F21D5"/>
    <w:rsid w:val="007F2456"/>
    <w:rsid w:val="007F253B"/>
    <w:rsid w:val="007F26EC"/>
    <w:rsid w:val="007F296E"/>
    <w:rsid w:val="007F2E61"/>
    <w:rsid w:val="007F2E8C"/>
    <w:rsid w:val="007F2EA7"/>
    <w:rsid w:val="007F2EF8"/>
    <w:rsid w:val="007F345F"/>
    <w:rsid w:val="007F37C8"/>
    <w:rsid w:val="007F3E4C"/>
    <w:rsid w:val="007F4027"/>
    <w:rsid w:val="007F4209"/>
    <w:rsid w:val="007F44E6"/>
    <w:rsid w:val="007F4C5D"/>
    <w:rsid w:val="007F4D3F"/>
    <w:rsid w:val="007F4E21"/>
    <w:rsid w:val="007F521D"/>
    <w:rsid w:val="007F577A"/>
    <w:rsid w:val="007F57E6"/>
    <w:rsid w:val="007F5893"/>
    <w:rsid w:val="007F5906"/>
    <w:rsid w:val="007F5D00"/>
    <w:rsid w:val="007F5E69"/>
    <w:rsid w:val="007F5E97"/>
    <w:rsid w:val="007F5F4D"/>
    <w:rsid w:val="007F628C"/>
    <w:rsid w:val="007F6554"/>
    <w:rsid w:val="007F690D"/>
    <w:rsid w:val="007F6D41"/>
    <w:rsid w:val="007F6DE5"/>
    <w:rsid w:val="007F6FB0"/>
    <w:rsid w:val="007F6FE6"/>
    <w:rsid w:val="007F7266"/>
    <w:rsid w:val="007F7718"/>
    <w:rsid w:val="007F79C9"/>
    <w:rsid w:val="007F7D1E"/>
    <w:rsid w:val="007F7F4F"/>
    <w:rsid w:val="00800035"/>
    <w:rsid w:val="008000C6"/>
    <w:rsid w:val="0080030B"/>
    <w:rsid w:val="00800721"/>
    <w:rsid w:val="008007C7"/>
    <w:rsid w:val="00800A3E"/>
    <w:rsid w:val="00801146"/>
    <w:rsid w:val="008013EE"/>
    <w:rsid w:val="008016C1"/>
    <w:rsid w:val="00801A80"/>
    <w:rsid w:val="00801E10"/>
    <w:rsid w:val="00801ED9"/>
    <w:rsid w:val="008026E7"/>
    <w:rsid w:val="00802796"/>
    <w:rsid w:val="0080283E"/>
    <w:rsid w:val="00802967"/>
    <w:rsid w:val="00802B07"/>
    <w:rsid w:val="00802BB8"/>
    <w:rsid w:val="00802D3A"/>
    <w:rsid w:val="00802EF0"/>
    <w:rsid w:val="00802F98"/>
    <w:rsid w:val="00802FDE"/>
    <w:rsid w:val="008031B3"/>
    <w:rsid w:val="008035D3"/>
    <w:rsid w:val="00803A06"/>
    <w:rsid w:val="00803B56"/>
    <w:rsid w:val="00803DB4"/>
    <w:rsid w:val="00803F00"/>
    <w:rsid w:val="00803F43"/>
    <w:rsid w:val="008040A4"/>
    <w:rsid w:val="00804281"/>
    <w:rsid w:val="00804717"/>
    <w:rsid w:val="00804A24"/>
    <w:rsid w:val="00804C2E"/>
    <w:rsid w:val="00804F45"/>
    <w:rsid w:val="00805130"/>
    <w:rsid w:val="00805445"/>
    <w:rsid w:val="0080573B"/>
    <w:rsid w:val="00805855"/>
    <w:rsid w:val="00805862"/>
    <w:rsid w:val="0080588D"/>
    <w:rsid w:val="008058C0"/>
    <w:rsid w:val="00805916"/>
    <w:rsid w:val="0080609A"/>
    <w:rsid w:val="00806375"/>
    <w:rsid w:val="00806445"/>
    <w:rsid w:val="00806552"/>
    <w:rsid w:val="008065F8"/>
    <w:rsid w:val="00806612"/>
    <w:rsid w:val="008067B3"/>
    <w:rsid w:val="00806B41"/>
    <w:rsid w:val="00806BFE"/>
    <w:rsid w:val="00806C61"/>
    <w:rsid w:val="00806F6F"/>
    <w:rsid w:val="00806FE2"/>
    <w:rsid w:val="0080725D"/>
    <w:rsid w:val="008074FC"/>
    <w:rsid w:val="00807793"/>
    <w:rsid w:val="00807B38"/>
    <w:rsid w:val="00807D59"/>
    <w:rsid w:val="008100A6"/>
    <w:rsid w:val="008104E7"/>
    <w:rsid w:val="00810626"/>
    <w:rsid w:val="008106AE"/>
    <w:rsid w:val="0081073F"/>
    <w:rsid w:val="008107CE"/>
    <w:rsid w:val="0081083B"/>
    <w:rsid w:val="008108D0"/>
    <w:rsid w:val="00810E8D"/>
    <w:rsid w:val="00810ED1"/>
    <w:rsid w:val="00811023"/>
    <w:rsid w:val="0081137F"/>
    <w:rsid w:val="00811A5D"/>
    <w:rsid w:val="00811D32"/>
    <w:rsid w:val="00811DF1"/>
    <w:rsid w:val="00811EBC"/>
    <w:rsid w:val="00811FC9"/>
    <w:rsid w:val="0081230F"/>
    <w:rsid w:val="00812500"/>
    <w:rsid w:val="00812568"/>
    <w:rsid w:val="00812671"/>
    <w:rsid w:val="00812698"/>
    <w:rsid w:val="0081279C"/>
    <w:rsid w:val="00812CBB"/>
    <w:rsid w:val="00812D53"/>
    <w:rsid w:val="00812E83"/>
    <w:rsid w:val="00812FCA"/>
    <w:rsid w:val="008133C7"/>
    <w:rsid w:val="0081356D"/>
    <w:rsid w:val="00813712"/>
    <w:rsid w:val="008138A6"/>
    <w:rsid w:val="00813BE7"/>
    <w:rsid w:val="00813CB0"/>
    <w:rsid w:val="00813D4C"/>
    <w:rsid w:val="008142E2"/>
    <w:rsid w:val="0081452D"/>
    <w:rsid w:val="0081463C"/>
    <w:rsid w:val="008146E5"/>
    <w:rsid w:val="00814736"/>
    <w:rsid w:val="0081476C"/>
    <w:rsid w:val="00814CD4"/>
    <w:rsid w:val="00814F23"/>
    <w:rsid w:val="0081512D"/>
    <w:rsid w:val="00815172"/>
    <w:rsid w:val="00815192"/>
    <w:rsid w:val="008151D5"/>
    <w:rsid w:val="00815436"/>
    <w:rsid w:val="008154B1"/>
    <w:rsid w:val="008157B1"/>
    <w:rsid w:val="00815C5A"/>
    <w:rsid w:val="00815CFB"/>
    <w:rsid w:val="00815FD9"/>
    <w:rsid w:val="00816091"/>
    <w:rsid w:val="00816112"/>
    <w:rsid w:val="00816378"/>
    <w:rsid w:val="0081643C"/>
    <w:rsid w:val="0081668D"/>
    <w:rsid w:val="008166A1"/>
    <w:rsid w:val="00816838"/>
    <w:rsid w:val="00816B27"/>
    <w:rsid w:val="00816BCC"/>
    <w:rsid w:val="008175A3"/>
    <w:rsid w:val="008178F9"/>
    <w:rsid w:val="00817AE8"/>
    <w:rsid w:val="00817C80"/>
    <w:rsid w:val="00817EC1"/>
    <w:rsid w:val="008200CF"/>
    <w:rsid w:val="00820315"/>
    <w:rsid w:val="008207FE"/>
    <w:rsid w:val="00820BE1"/>
    <w:rsid w:val="00820F2E"/>
    <w:rsid w:val="008210E3"/>
    <w:rsid w:val="00821131"/>
    <w:rsid w:val="008213EF"/>
    <w:rsid w:val="00821499"/>
    <w:rsid w:val="00821583"/>
    <w:rsid w:val="008215C6"/>
    <w:rsid w:val="00821927"/>
    <w:rsid w:val="00821E3F"/>
    <w:rsid w:val="00822315"/>
    <w:rsid w:val="0082234F"/>
    <w:rsid w:val="00822568"/>
    <w:rsid w:val="008226BA"/>
    <w:rsid w:val="0082280F"/>
    <w:rsid w:val="00822B85"/>
    <w:rsid w:val="00822BC5"/>
    <w:rsid w:val="00822C77"/>
    <w:rsid w:val="00823280"/>
    <w:rsid w:val="00823368"/>
    <w:rsid w:val="00823655"/>
    <w:rsid w:val="00823797"/>
    <w:rsid w:val="008238BD"/>
    <w:rsid w:val="008239DA"/>
    <w:rsid w:val="00823A5E"/>
    <w:rsid w:val="00823C1E"/>
    <w:rsid w:val="00823F30"/>
    <w:rsid w:val="0082433A"/>
    <w:rsid w:val="0082445C"/>
    <w:rsid w:val="0082471F"/>
    <w:rsid w:val="00824867"/>
    <w:rsid w:val="00824AE0"/>
    <w:rsid w:val="00824AFC"/>
    <w:rsid w:val="00824CE4"/>
    <w:rsid w:val="00824D7E"/>
    <w:rsid w:val="00824FA3"/>
    <w:rsid w:val="00824FAF"/>
    <w:rsid w:val="008253A3"/>
    <w:rsid w:val="00825403"/>
    <w:rsid w:val="008254F6"/>
    <w:rsid w:val="0082551B"/>
    <w:rsid w:val="00825F98"/>
    <w:rsid w:val="0082644C"/>
    <w:rsid w:val="008265F2"/>
    <w:rsid w:val="0082674E"/>
    <w:rsid w:val="00826810"/>
    <w:rsid w:val="00826966"/>
    <w:rsid w:val="00826E51"/>
    <w:rsid w:val="008270AC"/>
    <w:rsid w:val="008270E5"/>
    <w:rsid w:val="008272D3"/>
    <w:rsid w:val="00827558"/>
    <w:rsid w:val="008275F2"/>
    <w:rsid w:val="00827EC8"/>
    <w:rsid w:val="00827FA4"/>
    <w:rsid w:val="00830125"/>
    <w:rsid w:val="0083039B"/>
    <w:rsid w:val="008303A8"/>
    <w:rsid w:val="00830BA3"/>
    <w:rsid w:val="00831322"/>
    <w:rsid w:val="008318EC"/>
    <w:rsid w:val="00831DCB"/>
    <w:rsid w:val="00831FE3"/>
    <w:rsid w:val="008325B6"/>
    <w:rsid w:val="00832663"/>
    <w:rsid w:val="00832B95"/>
    <w:rsid w:val="00832D55"/>
    <w:rsid w:val="00832DC1"/>
    <w:rsid w:val="008331C9"/>
    <w:rsid w:val="00833B05"/>
    <w:rsid w:val="00833B89"/>
    <w:rsid w:val="00833C85"/>
    <w:rsid w:val="008342CA"/>
    <w:rsid w:val="00834593"/>
    <w:rsid w:val="0083524B"/>
    <w:rsid w:val="0083534C"/>
    <w:rsid w:val="00835579"/>
    <w:rsid w:val="008355D0"/>
    <w:rsid w:val="008355E7"/>
    <w:rsid w:val="00835755"/>
    <w:rsid w:val="00835904"/>
    <w:rsid w:val="0083599E"/>
    <w:rsid w:val="008359C1"/>
    <w:rsid w:val="00835D19"/>
    <w:rsid w:val="00835DF5"/>
    <w:rsid w:val="00835FB0"/>
    <w:rsid w:val="00836956"/>
    <w:rsid w:val="00836B13"/>
    <w:rsid w:val="00836BC5"/>
    <w:rsid w:val="00836BCD"/>
    <w:rsid w:val="00836BFC"/>
    <w:rsid w:val="00836C4B"/>
    <w:rsid w:val="00836FFA"/>
    <w:rsid w:val="00837285"/>
    <w:rsid w:val="00837A92"/>
    <w:rsid w:val="00837D47"/>
    <w:rsid w:val="00837E06"/>
    <w:rsid w:val="0084010E"/>
    <w:rsid w:val="0084027C"/>
    <w:rsid w:val="0084038B"/>
    <w:rsid w:val="0084079B"/>
    <w:rsid w:val="00840875"/>
    <w:rsid w:val="00840890"/>
    <w:rsid w:val="00840A6A"/>
    <w:rsid w:val="00840A8B"/>
    <w:rsid w:val="00841017"/>
    <w:rsid w:val="008411A3"/>
    <w:rsid w:val="00841339"/>
    <w:rsid w:val="00841435"/>
    <w:rsid w:val="00841512"/>
    <w:rsid w:val="00841F6E"/>
    <w:rsid w:val="00841F70"/>
    <w:rsid w:val="008426D9"/>
    <w:rsid w:val="008428E9"/>
    <w:rsid w:val="00842AFA"/>
    <w:rsid w:val="008435B9"/>
    <w:rsid w:val="00844099"/>
    <w:rsid w:val="00844963"/>
    <w:rsid w:val="00844DF2"/>
    <w:rsid w:val="00844E14"/>
    <w:rsid w:val="00844F53"/>
    <w:rsid w:val="008450BC"/>
    <w:rsid w:val="00845B79"/>
    <w:rsid w:val="00845C63"/>
    <w:rsid w:val="00845FE3"/>
    <w:rsid w:val="008461CB"/>
    <w:rsid w:val="00846328"/>
    <w:rsid w:val="008465A7"/>
    <w:rsid w:val="008467A7"/>
    <w:rsid w:val="008468B9"/>
    <w:rsid w:val="00846B02"/>
    <w:rsid w:val="00846F20"/>
    <w:rsid w:val="0084728D"/>
    <w:rsid w:val="008473D9"/>
    <w:rsid w:val="0084774E"/>
    <w:rsid w:val="00847BC5"/>
    <w:rsid w:val="00847F47"/>
    <w:rsid w:val="008500B1"/>
    <w:rsid w:val="00850140"/>
    <w:rsid w:val="008503FC"/>
    <w:rsid w:val="0085046C"/>
    <w:rsid w:val="0085049C"/>
    <w:rsid w:val="008509C5"/>
    <w:rsid w:val="00850DF2"/>
    <w:rsid w:val="00850F63"/>
    <w:rsid w:val="008510F3"/>
    <w:rsid w:val="00851115"/>
    <w:rsid w:val="008512CD"/>
    <w:rsid w:val="00851490"/>
    <w:rsid w:val="008514B1"/>
    <w:rsid w:val="00851796"/>
    <w:rsid w:val="00851D49"/>
    <w:rsid w:val="00851F8D"/>
    <w:rsid w:val="0085213F"/>
    <w:rsid w:val="008521DD"/>
    <w:rsid w:val="00852707"/>
    <w:rsid w:val="0085297C"/>
    <w:rsid w:val="00852A72"/>
    <w:rsid w:val="00852B36"/>
    <w:rsid w:val="00852D82"/>
    <w:rsid w:val="008531DB"/>
    <w:rsid w:val="00853447"/>
    <w:rsid w:val="00853BAA"/>
    <w:rsid w:val="00853BDB"/>
    <w:rsid w:val="00854880"/>
    <w:rsid w:val="00854C85"/>
    <w:rsid w:val="00855072"/>
    <w:rsid w:val="008556AC"/>
    <w:rsid w:val="00855B72"/>
    <w:rsid w:val="00855C12"/>
    <w:rsid w:val="00855F55"/>
    <w:rsid w:val="00856044"/>
    <w:rsid w:val="008564FD"/>
    <w:rsid w:val="0085650F"/>
    <w:rsid w:val="00856872"/>
    <w:rsid w:val="008569A9"/>
    <w:rsid w:val="00856A34"/>
    <w:rsid w:val="00857076"/>
    <w:rsid w:val="00857111"/>
    <w:rsid w:val="00857327"/>
    <w:rsid w:val="00857BDD"/>
    <w:rsid w:val="00860366"/>
    <w:rsid w:val="008603C0"/>
    <w:rsid w:val="00860AA1"/>
    <w:rsid w:val="00860D51"/>
    <w:rsid w:val="00860D77"/>
    <w:rsid w:val="00860D9C"/>
    <w:rsid w:val="00860E28"/>
    <w:rsid w:val="00860F5C"/>
    <w:rsid w:val="00861452"/>
    <w:rsid w:val="008614C3"/>
    <w:rsid w:val="0086169F"/>
    <w:rsid w:val="0086186B"/>
    <w:rsid w:val="008619F5"/>
    <w:rsid w:val="0086203A"/>
    <w:rsid w:val="00862116"/>
    <w:rsid w:val="00862293"/>
    <w:rsid w:val="0086239D"/>
    <w:rsid w:val="0086250A"/>
    <w:rsid w:val="00862871"/>
    <w:rsid w:val="00862CB1"/>
    <w:rsid w:val="00862CE9"/>
    <w:rsid w:val="00862D04"/>
    <w:rsid w:val="00863023"/>
    <w:rsid w:val="0086326B"/>
    <w:rsid w:val="008632F1"/>
    <w:rsid w:val="008632FD"/>
    <w:rsid w:val="00863644"/>
    <w:rsid w:val="00863C3D"/>
    <w:rsid w:val="00863E7A"/>
    <w:rsid w:val="00864C67"/>
    <w:rsid w:val="00864CE4"/>
    <w:rsid w:val="00864E23"/>
    <w:rsid w:val="00865198"/>
    <w:rsid w:val="008651F6"/>
    <w:rsid w:val="0086569C"/>
    <w:rsid w:val="008659CD"/>
    <w:rsid w:val="00865C1F"/>
    <w:rsid w:val="008661E0"/>
    <w:rsid w:val="00866484"/>
    <w:rsid w:val="00866562"/>
    <w:rsid w:val="00866570"/>
    <w:rsid w:val="00866C66"/>
    <w:rsid w:val="00866D34"/>
    <w:rsid w:val="00866D81"/>
    <w:rsid w:val="00866F7C"/>
    <w:rsid w:val="008676F9"/>
    <w:rsid w:val="00867829"/>
    <w:rsid w:val="00867884"/>
    <w:rsid w:val="00867D19"/>
    <w:rsid w:val="0087034E"/>
    <w:rsid w:val="008703DD"/>
    <w:rsid w:val="0087048F"/>
    <w:rsid w:val="00870580"/>
    <w:rsid w:val="00870757"/>
    <w:rsid w:val="0087085E"/>
    <w:rsid w:val="00870A22"/>
    <w:rsid w:val="00870DEA"/>
    <w:rsid w:val="00870FDB"/>
    <w:rsid w:val="0087109D"/>
    <w:rsid w:val="008712B6"/>
    <w:rsid w:val="00871812"/>
    <w:rsid w:val="00871A51"/>
    <w:rsid w:val="00871C76"/>
    <w:rsid w:val="00871E64"/>
    <w:rsid w:val="00872415"/>
    <w:rsid w:val="0087278F"/>
    <w:rsid w:val="008727DE"/>
    <w:rsid w:val="008729F7"/>
    <w:rsid w:val="00872A8A"/>
    <w:rsid w:val="00872E1B"/>
    <w:rsid w:val="008731E1"/>
    <w:rsid w:val="00873275"/>
    <w:rsid w:val="00873402"/>
    <w:rsid w:val="0087371A"/>
    <w:rsid w:val="00873C61"/>
    <w:rsid w:val="00873D1A"/>
    <w:rsid w:val="008741B3"/>
    <w:rsid w:val="00874209"/>
    <w:rsid w:val="008744F1"/>
    <w:rsid w:val="008744F6"/>
    <w:rsid w:val="008749ED"/>
    <w:rsid w:val="00874B03"/>
    <w:rsid w:val="008750E6"/>
    <w:rsid w:val="00875218"/>
    <w:rsid w:val="00875335"/>
    <w:rsid w:val="00875591"/>
    <w:rsid w:val="008755C5"/>
    <w:rsid w:val="0087572B"/>
    <w:rsid w:val="008758A7"/>
    <w:rsid w:val="00875931"/>
    <w:rsid w:val="0087593F"/>
    <w:rsid w:val="00875C7E"/>
    <w:rsid w:val="00875CCC"/>
    <w:rsid w:val="00875F8E"/>
    <w:rsid w:val="008766D9"/>
    <w:rsid w:val="00876775"/>
    <w:rsid w:val="0087696E"/>
    <w:rsid w:val="00876B37"/>
    <w:rsid w:val="00876EAD"/>
    <w:rsid w:val="00877405"/>
    <w:rsid w:val="00877446"/>
    <w:rsid w:val="00877591"/>
    <w:rsid w:val="0087769E"/>
    <w:rsid w:val="008776E9"/>
    <w:rsid w:val="008777D4"/>
    <w:rsid w:val="00877855"/>
    <w:rsid w:val="008779ED"/>
    <w:rsid w:val="00877A14"/>
    <w:rsid w:val="00877FD8"/>
    <w:rsid w:val="0088017F"/>
    <w:rsid w:val="008803CF"/>
    <w:rsid w:val="008805A2"/>
    <w:rsid w:val="008805F6"/>
    <w:rsid w:val="00880F41"/>
    <w:rsid w:val="008810A0"/>
    <w:rsid w:val="00881490"/>
    <w:rsid w:val="00881569"/>
    <w:rsid w:val="00881617"/>
    <w:rsid w:val="00881B5F"/>
    <w:rsid w:val="00881BF4"/>
    <w:rsid w:val="00881C92"/>
    <w:rsid w:val="00881DD4"/>
    <w:rsid w:val="00881E67"/>
    <w:rsid w:val="00881EE4"/>
    <w:rsid w:val="00881F4A"/>
    <w:rsid w:val="00881F65"/>
    <w:rsid w:val="00882052"/>
    <w:rsid w:val="008820E1"/>
    <w:rsid w:val="0088230C"/>
    <w:rsid w:val="00882495"/>
    <w:rsid w:val="00882BF4"/>
    <w:rsid w:val="00882D13"/>
    <w:rsid w:val="00882DA7"/>
    <w:rsid w:val="0088393C"/>
    <w:rsid w:val="00883943"/>
    <w:rsid w:val="0088403A"/>
    <w:rsid w:val="0088407A"/>
    <w:rsid w:val="008841F9"/>
    <w:rsid w:val="00884492"/>
    <w:rsid w:val="008848BD"/>
    <w:rsid w:val="00884A59"/>
    <w:rsid w:val="00884AF5"/>
    <w:rsid w:val="00884CA2"/>
    <w:rsid w:val="00884E8B"/>
    <w:rsid w:val="00884FC0"/>
    <w:rsid w:val="008853F6"/>
    <w:rsid w:val="00885462"/>
    <w:rsid w:val="00885839"/>
    <w:rsid w:val="00885868"/>
    <w:rsid w:val="0088587A"/>
    <w:rsid w:val="0088594B"/>
    <w:rsid w:val="00885A85"/>
    <w:rsid w:val="00885B52"/>
    <w:rsid w:val="00885C61"/>
    <w:rsid w:val="00885D65"/>
    <w:rsid w:val="00885F16"/>
    <w:rsid w:val="008862B7"/>
    <w:rsid w:val="008865F5"/>
    <w:rsid w:val="0088673A"/>
    <w:rsid w:val="0088677D"/>
    <w:rsid w:val="008869CD"/>
    <w:rsid w:val="00886AF5"/>
    <w:rsid w:val="00886D20"/>
    <w:rsid w:val="00886DAF"/>
    <w:rsid w:val="008871EF"/>
    <w:rsid w:val="008879EA"/>
    <w:rsid w:val="008879ED"/>
    <w:rsid w:val="00887DC2"/>
    <w:rsid w:val="00887EE4"/>
    <w:rsid w:val="008904AE"/>
    <w:rsid w:val="00890623"/>
    <w:rsid w:val="00890A0A"/>
    <w:rsid w:val="00890A52"/>
    <w:rsid w:val="00890A5D"/>
    <w:rsid w:val="00890BB8"/>
    <w:rsid w:val="00890BE1"/>
    <w:rsid w:val="00890D96"/>
    <w:rsid w:val="00890DBF"/>
    <w:rsid w:val="00890F70"/>
    <w:rsid w:val="0089110E"/>
    <w:rsid w:val="008911A4"/>
    <w:rsid w:val="00891399"/>
    <w:rsid w:val="008913FA"/>
    <w:rsid w:val="00891499"/>
    <w:rsid w:val="0089159F"/>
    <w:rsid w:val="00891C74"/>
    <w:rsid w:val="00891D3A"/>
    <w:rsid w:val="00891E0E"/>
    <w:rsid w:val="00891F97"/>
    <w:rsid w:val="0089211A"/>
    <w:rsid w:val="008921BA"/>
    <w:rsid w:val="0089282D"/>
    <w:rsid w:val="00892CA9"/>
    <w:rsid w:val="00892F98"/>
    <w:rsid w:val="0089310F"/>
    <w:rsid w:val="00893B7F"/>
    <w:rsid w:val="00894196"/>
    <w:rsid w:val="00894B14"/>
    <w:rsid w:val="00894CD3"/>
    <w:rsid w:val="00894EA9"/>
    <w:rsid w:val="00894FC9"/>
    <w:rsid w:val="008950DC"/>
    <w:rsid w:val="0089527D"/>
    <w:rsid w:val="008955E5"/>
    <w:rsid w:val="00895679"/>
    <w:rsid w:val="00895777"/>
    <w:rsid w:val="008959AA"/>
    <w:rsid w:val="00895BE4"/>
    <w:rsid w:val="00895D32"/>
    <w:rsid w:val="00896269"/>
    <w:rsid w:val="008968A5"/>
    <w:rsid w:val="008968CD"/>
    <w:rsid w:val="00896A21"/>
    <w:rsid w:val="00896CA7"/>
    <w:rsid w:val="00896DAB"/>
    <w:rsid w:val="00896E00"/>
    <w:rsid w:val="00897151"/>
    <w:rsid w:val="008974BC"/>
    <w:rsid w:val="008976F9"/>
    <w:rsid w:val="008978E8"/>
    <w:rsid w:val="00897EF0"/>
    <w:rsid w:val="008A0113"/>
    <w:rsid w:val="008A0258"/>
    <w:rsid w:val="008A04DE"/>
    <w:rsid w:val="008A05C9"/>
    <w:rsid w:val="008A0780"/>
    <w:rsid w:val="008A083B"/>
    <w:rsid w:val="008A08AE"/>
    <w:rsid w:val="008A0FDC"/>
    <w:rsid w:val="008A132A"/>
    <w:rsid w:val="008A1403"/>
    <w:rsid w:val="008A180D"/>
    <w:rsid w:val="008A197C"/>
    <w:rsid w:val="008A1AC1"/>
    <w:rsid w:val="008A1D98"/>
    <w:rsid w:val="008A214C"/>
    <w:rsid w:val="008A2244"/>
    <w:rsid w:val="008A29D4"/>
    <w:rsid w:val="008A2A8E"/>
    <w:rsid w:val="008A2B8F"/>
    <w:rsid w:val="008A2BE0"/>
    <w:rsid w:val="008A2C83"/>
    <w:rsid w:val="008A2DDD"/>
    <w:rsid w:val="008A321F"/>
    <w:rsid w:val="008A353D"/>
    <w:rsid w:val="008A376C"/>
    <w:rsid w:val="008A3A0D"/>
    <w:rsid w:val="008A3AB6"/>
    <w:rsid w:val="008A429A"/>
    <w:rsid w:val="008A4584"/>
    <w:rsid w:val="008A4594"/>
    <w:rsid w:val="008A465E"/>
    <w:rsid w:val="008A48DE"/>
    <w:rsid w:val="008A4DE6"/>
    <w:rsid w:val="008A4E4A"/>
    <w:rsid w:val="008A5117"/>
    <w:rsid w:val="008A55B9"/>
    <w:rsid w:val="008A55C6"/>
    <w:rsid w:val="008A5614"/>
    <w:rsid w:val="008A5631"/>
    <w:rsid w:val="008A5763"/>
    <w:rsid w:val="008A5927"/>
    <w:rsid w:val="008A5B7F"/>
    <w:rsid w:val="008A5E2F"/>
    <w:rsid w:val="008A5F62"/>
    <w:rsid w:val="008A60DC"/>
    <w:rsid w:val="008A641A"/>
    <w:rsid w:val="008A6551"/>
    <w:rsid w:val="008A659D"/>
    <w:rsid w:val="008A65F5"/>
    <w:rsid w:val="008A66D0"/>
    <w:rsid w:val="008A699F"/>
    <w:rsid w:val="008A6B42"/>
    <w:rsid w:val="008A6E46"/>
    <w:rsid w:val="008A6E6F"/>
    <w:rsid w:val="008A6F66"/>
    <w:rsid w:val="008A7102"/>
    <w:rsid w:val="008A740E"/>
    <w:rsid w:val="008A773D"/>
    <w:rsid w:val="008A7766"/>
    <w:rsid w:val="008A7980"/>
    <w:rsid w:val="008A79E9"/>
    <w:rsid w:val="008A7D1A"/>
    <w:rsid w:val="008A7FCB"/>
    <w:rsid w:val="008B00C9"/>
    <w:rsid w:val="008B05C3"/>
    <w:rsid w:val="008B0735"/>
    <w:rsid w:val="008B096E"/>
    <w:rsid w:val="008B0EAB"/>
    <w:rsid w:val="008B1119"/>
    <w:rsid w:val="008B1289"/>
    <w:rsid w:val="008B131F"/>
    <w:rsid w:val="008B15B1"/>
    <w:rsid w:val="008B187E"/>
    <w:rsid w:val="008B201F"/>
    <w:rsid w:val="008B23C0"/>
    <w:rsid w:val="008B23EC"/>
    <w:rsid w:val="008B2738"/>
    <w:rsid w:val="008B276A"/>
    <w:rsid w:val="008B29E3"/>
    <w:rsid w:val="008B305F"/>
    <w:rsid w:val="008B3157"/>
    <w:rsid w:val="008B33BD"/>
    <w:rsid w:val="008B34D8"/>
    <w:rsid w:val="008B36EF"/>
    <w:rsid w:val="008B38D9"/>
    <w:rsid w:val="008B3BA3"/>
    <w:rsid w:val="008B3BFA"/>
    <w:rsid w:val="008B3DA9"/>
    <w:rsid w:val="008B40F7"/>
    <w:rsid w:val="008B4129"/>
    <w:rsid w:val="008B4332"/>
    <w:rsid w:val="008B44BC"/>
    <w:rsid w:val="008B4535"/>
    <w:rsid w:val="008B4C72"/>
    <w:rsid w:val="008B4C9E"/>
    <w:rsid w:val="008B4CA9"/>
    <w:rsid w:val="008B4CC5"/>
    <w:rsid w:val="008B4F40"/>
    <w:rsid w:val="008B509C"/>
    <w:rsid w:val="008B50CA"/>
    <w:rsid w:val="008B50EF"/>
    <w:rsid w:val="008B521D"/>
    <w:rsid w:val="008B521F"/>
    <w:rsid w:val="008B55AD"/>
    <w:rsid w:val="008B564F"/>
    <w:rsid w:val="008B58E9"/>
    <w:rsid w:val="008B5934"/>
    <w:rsid w:val="008B59F2"/>
    <w:rsid w:val="008B5AA4"/>
    <w:rsid w:val="008B5E71"/>
    <w:rsid w:val="008B617D"/>
    <w:rsid w:val="008B6222"/>
    <w:rsid w:val="008B6282"/>
    <w:rsid w:val="008B6362"/>
    <w:rsid w:val="008B67DC"/>
    <w:rsid w:val="008B68F8"/>
    <w:rsid w:val="008B6C06"/>
    <w:rsid w:val="008B7076"/>
    <w:rsid w:val="008B7276"/>
    <w:rsid w:val="008B72AC"/>
    <w:rsid w:val="008B74F6"/>
    <w:rsid w:val="008B7E8F"/>
    <w:rsid w:val="008C019A"/>
    <w:rsid w:val="008C01A9"/>
    <w:rsid w:val="008C0364"/>
    <w:rsid w:val="008C03A7"/>
    <w:rsid w:val="008C03C1"/>
    <w:rsid w:val="008C03ED"/>
    <w:rsid w:val="008C0582"/>
    <w:rsid w:val="008C0638"/>
    <w:rsid w:val="008C0794"/>
    <w:rsid w:val="008C0913"/>
    <w:rsid w:val="008C0CE0"/>
    <w:rsid w:val="008C12AA"/>
    <w:rsid w:val="008C13A2"/>
    <w:rsid w:val="008C16C3"/>
    <w:rsid w:val="008C179A"/>
    <w:rsid w:val="008C1991"/>
    <w:rsid w:val="008C1DBC"/>
    <w:rsid w:val="008C20F5"/>
    <w:rsid w:val="008C294D"/>
    <w:rsid w:val="008C29B6"/>
    <w:rsid w:val="008C2AFB"/>
    <w:rsid w:val="008C3107"/>
    <w:rsid w:val="008C3130"/>
    <w:rsid w:val="008C34CC"/>
    <w:rsid w:val="008C350A"/>
    <w:rsid w:val="008C351A"/>
    <w:rsid w:val="008C36F2"/>
    <w:rsid w:val="008C3954"/>
    <w:rsid w:val="008C395A"/>
    <w:rsid w:val="008C3A70"/>
    <w:rsid w:val="008C3BC4"/>
    <w:rsid w:val="008C3BD7"/>
    <w:rsid w:val="008C3E22"/>
    <w:rsid w:val="008C3EC3"/>
    <w:rsid w:val="008C3FAF"/>
    <w:rsid w:val="008C432B"/>
    <w:rsid w:val="008C4397"/>
    <w:rsid w:val="008C4688"/>
    <w:rsid w:val="008C4789"/>
    <w:rsid w:val="008C4966"/>
    <w:rsid w:val="008C4B9F"/>
    <w:rsid w:val="008C4FC4"/>
    <w:rsid w:val="008C5446"/>
    <w:rsid w:val="008C5489"/>
    <w:rsid w:val="008C5DCA"/>
    <w:rsid w:val="008C6217"/>
    <w:rsid w:val="008C622A"/>
    <w:rsid w:val="008C6349"/>
    <w:rsid w:val="008C687D"/>
    <w:rsid w:val="008C6928"/>
    <w:rsid w:val="008C70D5"/>
    <w:rsid w:val="008C7241"/>
    <w:rsid w:val="008C7A5F"/>
    <w:rsid w:val="008C7E7C"/>
    <w:rsid w:val="008D00CC"/>
    <w:rsid w:val="008D039E"/>
    <w:rsid w:val="008D09B2"/>
    <w:rsid w:val="008D09CA"/>
    <w:rsid w:val="008D0A1E"/>
    <w:rsid w:val="008D1442"/>
    <w:rsid w:val="008D14B8"/>
    <w:rsid w:val="008D14F8"/>
    <w:rsid w:val="008D1A0F"/>
    <w:rsid w:val="008D1A3D"/>
    <w:rsid w:val="008D1AF4"/>
    <w:rsid w:val="008D1AF8"/>
    <w:rsid w:val="008D1B00"/>
    <w:rsid w:val="008D1B5A"/>
    <w:rsid w:val="008D1E3A"/>
    <w:rsid w:val="008D1FB4"/>
    <w:rsid w:val="008D230D"/>
    <w:rsid w:val="008D26E9"/>
    <w:rsid w:val="008D27CA"/>
    <w:rsid w:val="008D2B43"/>
    <w:rsid w:val="008D2B97"/>
    <w:rsid w:val="008D2BD4"/>
    <w:rsid w:val="008D2D79"/>
    <w:rsid w:val="008D30D8"/>
    <w:rsid w:val="008D322A"/>
    <w:rsid w:val="008D3394"/>
    <w:rsid w:val="008D3542"/>
    <w:rsid w:val="008D37F6"/>
    <w:rsid w:val="008D3A15"/>
    <w:rsid w:val="008D3B23"/>
    <w:rsid w:val="008D3C5B"/>
    <w:rsid w:val="008D423E"/>
    <w:rsid w:val="008D4799"/>
    <w:rsid w:val="008D49B2"/>
    <w:rsid w:val="008D4D51"/>
    <w:rsid w:val="008D4F43"/>
    <w:rsid w:val="008D5531"/>
    <w:rsid w:val="008D5594"/>
    <w:rsid w:val="008D56BF"/>
    <w:rsid w:val="008D58B5"/>
    <w:rsid w:val="008D59BC"/>
    <w:rsid w:val="008D5A6D"/>
    <w:rsid w:val="008D620F"/>
    <w:rsid w:val="008D6DE3"/>
    <w:rsid w:val="008D6F3F"/>
    <w:rsid w:val="008D752D"/>
    <w:rsid w:val="008D7756"/>
    <w:rsid w:val="008D7858"/>
    <w:rsid w:val="008D794B"/>
    <w:rsid w:val="008D7AD2"/>
    <w:rsid w:val="008D7B5F"/>
    <w:rsid w:val="008D7C4D"/>
    <w:rsid w:val="008D7D60"/>
    <w:rsid w:val="008D7ECE"/>
    <w:rsid w:val="008E03D4"/>
    <w:rsid w:val="008E0A57"/>
    <w:rsid w:val="008E0A6A"/>
    <w:rsid w:val="008E0D27"/>
    <w:rsid w:val="008E0DA6"/>
    <w:rsid w:val="008E13E7"/>
    <w:rsid w:val="008E140D"/>
    <w:rsid w:val="008E1BFB"/>
    <w:rsid w:val="008E1CD1"/>
    <w:rsid w:val="008E1E58"/>
    <w:rsid w:val="008E2276"/>
    <w:rsid w:val="008E232B"/>
    <w:rsid w:val="008E28A3"/>
    <w:rsid w:val="008E2B07"/>
    <w:rsid w:val="008E2D4F"/>
    <w:rsid w:val="008E2E8D"/>
    <w:rsid w:val="008E311D"/>
    <w:rsid w:val="008E31D6"/>
    <w:rsid w:val="008E3489"/>
    <w:rsid w:val="008E3805"/>
    <w:rsid w:val="008E3974"/>
    <w:rsid w:val="008E40FA"/>
    <w:rsid w:val="008E425A"/>
    <w:rsid w:val="008E44A7"/>
    <w:rsid w:val="008E4538"/>
    <w:rsid w:val="008E47FC"/>
    <w:rsid w:val="008E4903"/>
    <w:rsid w:val="008E4E43"/>
    <w:rsid w:val="008E4F9F"/>
    <w:rsid w:val="008E4FF3"/>
    <w:rsid w:val="008E51E9"/>
    <w:rsid w:val="008E5A78"/>
    <w:rsid w:val="008E5B19"/>
    <w:rsid w:val="008E5CA5"/>
    <w:rsid w:val="008E6108"/>
    <w:rsid w:val="008E61A1"/>
    <w:rsid w:val="008E64F2"/>
    <w:rsid w:val="008E66C3"/>
    <w:rsid w:val="008E66D3"/>
    <w:rsid w:val="008E6C1F"/>
    <w:rsid w:val="008E6D09"/>
    <w:rsid w:val="008E7097"/>
    <w:rsid w:val="008E726B"/>
    <w:rsid w:val="008E72FD"/>
    <w:rsid w:val="008E7578"/>
    <w:rsid w:val="008E75E7"/>
    <w:rsid w:val="008E767C"/>
    <w:rsid w:val="008E7699"/>
    <w:rsid w:val="008E7D0B"/>
    <w:rsid w:val="008E7D7D"/>
    <w:rsid w:val="008E7DD0"/>
    <w:rsid w:val="008E7EE4"/>
    <w:rsid w:val="008E7FA2"/>
    <w:rsid w:val="008E7FFE"/>
    <w:rsid w:val="008F0449"/>
    <w:rsid w:val="008F05AB"/>
    <w:rsid w:val="008F0A84"/>
    <w:rsid w:val="008F0A8D"/>
    <w:rsid w:val="008F0B24"/>
    <w:rsid w:val="008F0B59"/>
    <w:rsid w:val="008F0D46"/>
    <w:rsid w:val="008F10A1"/>
    <w:rsid w:val="008F1204"/>
    <w:rsid w:val="008F12FA"/>
    <w:rsid w:val="008F13CE"/>
    <w:rsid w:val="008F1662"/>
    <w:rsid w:val="008F17C9"/>
    <w:rsid w:val="008F1876"/>
    <w:rsid w:val="008F1DE8"/>
    <w:rsid w:val="008F1EF0"/>
    <w:rsid w:val="008F1F17"/>
    <w:rsid w:val="008F20F5"/>
    <w:rsid w:val="008F2428"/>
    <w:rsid w:val="008F263C"/>
    <w:rsid w:val="008F273B"/>
    <w:rsid w:val="008F27B7"/>
    <w:rsid w:val="008F2898"/>
    <w:rsid w:val="008F2C0B"/>
    <w:rsid w:val="008F2CBD"/>
    <w:rsid w:val="008F2DAE"/>
    <w:rsid w:val="008F3100"/>
    <w:rsid w:val="008F31EC"/>
    <w:rsid w:val="008F3746"/>
    <w:rsid w:val="008F38F5"/>
    <w:rsid w:val="008F3A7A"/>
    <w:rsid w:val="008F3BB5"/>
    <w:rsid w:val="008F3CFF"/>
    <w:rsid w:val="008F3E80"/>
    <w:rsid w:val="008F4530"/>
    <w:rsid w:val="008F46C7"/>
    <w:rsid w:val="008F4703"/>
    <w:rsid w:val="008F473A"/>
    <w:rsid w:val="008F47C5"/>
    <w:rsid w:val="008F47F5"/>
    <w:rsid w:val="008F47F8"/>
    <w:rsid w:val="008F48C6"/>
    <w:rsid w:val="008F496D"/>
    <w:rsid w:val="008F4B7C"/>
    <w:rsid w:val="008F4F40"/>
    <w:rsid w:val="008F515F"/>
    <w:rsid w:val="008F5680"/>
    <w:rsid w:val="008F58E6"/>
    <w:rsid w:val="008F59E0"/>
    <w:rsid w:val="008F5AAE"/>
    <w:rsid w:val="008F611B"/>
    <w:rsid w:val="008F658F"/>
    <w:rsid w:val="008F696C"/>
    <w:rsid w:val="008F6C17"/>
    <w:rsid w:val="008F6E15"/>
    <w:rsid w:val="008F6E8B"/>
    <w:rsid w:val="008F6EDB"/>
    <w:rsid w:val="008F71D0"/>
    <w:rsid w:val="008F771F"/>
    <w:rsid w:val="008F7A8E"/>
    <w:rsid w:val="008F7BEF"/>
    <w:rsid w:val="008F7C02"/>
    <w:rsid w:val="00900140"/>
    <w:rsid w:val="00900499"/>
    <w:rsid w:val="00900820"/>
    <w:rsid w:val="00900976"/>
    <w:rsid w:val="00900A4B"/>
    <w:rsid w:val="00900D4A"/>
    <w:rsid w:val="00901001"/>
    <w:rsid w:val="0090116A"/>
    <w:rsid w:val="0090123A"/>
    <w:rsid w:val="009012CB"/>
    <w:rsid w:val="00901302"/>
    <w:rsid w:val="00901399"/>
    <w:rsid w:val="009015BD"/>
    <w:rsid w:val="00901740"/>
    <w:rsid w:val="00901830"/>
    <w:rsid w:val="009019B8"/>
    <w:rsid w:val="00901AD8"/>
    <w:rsid w:val="00901C26"/>
    <w:rsid w:val="00901E41"/>
    <w:rsid w:val="00901F60"/>
    <w:rsid w:val="009020AC"/>
    <w:rsid w:val="0090226E"/>
    <w:rsid w:val="0090232B"/>
    <w:rsid w:val="00902526"/>
    <w:rsid w:val="0090291B"/>
    <w:rsid w:val="00902DEB"/>
    <w:rsid w:val="00902EEA"/>
    <w:rsid w:val="0090314D"/>
    <w:rsid w:val="009034DF"/>
    <w:rsid w:val="009036C0"/>
    <w:rsid w:val="009038DB"/>
    <w:rsid w:val="009039CF"/>
    <w:rsid w:val="00904452"/>
    <w:rsid w:val="00904564"/>
    <w:rsid w:val="00904665"/>
    <w:rsid w:val="009047D6"/>
    <w:rsid w:val="009047F5"/>
    <w:rsid w:val="00904829"/>
    <w:rsid w:val="00904A18"/>
    <w:rsid w:val="00904CF9"/>
    <w:rsid w:val="0090530D"/>
    <w:rsid w:val="009055DD"/>
    <w:rsid w:val="00905722"/>
    <w:rsid w:val="009057AB"/>
    <w:rsid w:val="009059DB"/>
    <w:rsid w:val="00906377"/>
    <w:rsid w:val="009064B0"/>
    <w:rsid w:val="009066A4"/>
    <w:rsid w:val="00906A44"/>
    <w:rsid w:val="00906A93"/>
    <w:rsid w:val="009070E8"/>
    <w:rsid w:val="00907688"/>
    <w:rsid w:val="00910489"/>
    <w:rsid w:val="009105CF"/>
    <w:rsid w:val="009107B7"/>
    <w:rsid w:val="00910A9A"/>
    <w:rsid w:val="00910AA5"/>
    <w:rsid w:val="00910ACE"/>
    <w:rsid w:val="00910C4D"/>
    <w:rsid w:val="00910DB8"/>
    <w:rsid w:val="009110CA"/>
    <w:rsid w:val="0091150E"/>
    <w:rsid w:val="009117EA"/>
    <w:rsid w:val="00911966"/>
    <w:rsid w:val="00911F78"/>
    <w:rsid w:val="00912AF3"/>
    <w:rsid w:val="00912FE2"/>
    <w:rsid w:val="00913017"/>
    <w:rsid w:val="0091313F"/>
    <w:rsid w:val="009131A6"/>
    <w:rsid w:val="00913271"/>
    <w:rsid w:val="0091342E"/>
    <w:rsid w:val="00913732"/>
    <w:rsid w:val="00913882"/>
    <w:rsid w:val="0091398A"/>
    <w:rsid w:val="00913AC0"/>
    <w:rsid w:val="00913BF4"/>
    <w:rsid w:val="00913DB7"/>
    <w:rsid w:val="00914376"/>
    <w:rsid w:val="009144EF"/>
    <w:rsid w:val="009145CE"/>
    <w:rsid w:val="00914626"/>
    <w:rsid w:val="00914B2D"/>
    <w:rsid w:val="00914F22"/>
    <w:rsid w:val="009154C7"/>
    <w:rsid w:val="00915828"/>
    <w:rsid w:val="00915AE9"/>
    <w:rsid w:val="00915B0E"/>
    <w:rsid w:val="00915BC3"/>
    <w:rsid w:val="00915CE8"/>
    <w:rsid w:val="00916173"/>
    <w:rsid w:val="0091623B"/>
    <w:rsid w:val="0091647A"/>
    <w:rsid w:val="009165C8"/>
    <w:rsid w:val="00916661"/>
    <w:rsid w:val="009167B9"/>
    <w:rsid w:val="009168F3"/>
    <w:rsid w:val="00916D11"/>
    <w:rsid w:val="0091706E"/>
    <w:rsid w:val="0091741F"/>
    <w:rsid w:val="009174F7"/>
    <w:rsid w:val="00917A94"/>
    <w:rsid w:val="00917C8C"/>
    <w:rsid w:val="00917D7A"/>
    <w:rsid w:val="009200E4"/>
    <w:rsid w:val="009202F7"/>
    <w:rsid w:val="00920512"/>
    <w:rsid w:val="0092083F"/>
    <w:rsid w:val="009208C0"/>
    <w:rsid w:val="00920E69"/>
    <w:rsid w:val="009210A4"/>
    <w:rsid w:val="0092111F"/>
    <w:rsid w:val="00921170"/>
    <w:rsid w:val="009211C9"/>
    <w:rsid w:val="0092130B"/>
    <w:rsid w:val="0092135C"/>
    <w:rsid w:val="00921478"/>
    <w:rsid w:val="0092151C"/>
    <w:rsid w:val="0092173F"/>
    <w:rsid w:val="00921AA4"/>
    <w:rsid w:val="00921CF0"/>
    <w:rsid w:val="00921DF9"/>
    <w:rsid w:val="00922175"/>
    <w:rsid w:val="009228B7"/>
    <w:rsid w:val="0092292B"/>
    <w:rsid w:val="00922A92"/>
    <w:rsid w:val="00922AD8"/>
    <w:rsid w:val="00922C21"/>
    <w:rsid w:val="00923084"/>
    <w:rsid w:val="009233F3"/>
    <w:rsid w:val="00923763"/>
    <w:rsid w:val="009237FD"/>
    <w:rsid w:val="00923800"/>
    <w:rsid w:val="0092387E"/>
    <w:rsid w:val="009238A9"/>
    <w:rsid w:val="0092390C"/>
    <w:rsid w:val="009239E6"/>
    <w:rsid w:val="009239FF"/>
    <w:rsid w:val="00923AA4"/>
    <w:rsid w:val="00923CCC"/>
    <w:rsid w:val="00923D6B"/>
    <w:rsid w:val="00923FF0"/>
    <w:rsid w:val="0092441A"/>
    <w:rsid w:val="00924482"/>
    <w:rsid w:val="00924C20"/>
    <w:rsid w:val="00924DAE"/>
    <w:rsid w:val="00924F1F"/>
    <w:rsid w:val="009252B6"/>
    <w:rsid w:val="00925380"/>
    <w:rsid w:val="00925834"/>
    <w:rsid w:val="00925909"/>
    <w:rsid w:val="00925C5F"/>
    <w:rsid w:val="00925D0A"/>
    <w:rsid w:val="00925D41"/>
    <w:rsid w:val="00925E39"/>
    <w:rsid w:val="00926134"/>
    <w:rsid w:val="0092622D"/>
    <w:rsid w:val="009266A4"/>
    <w:rsid w:val="0092672D"/>
    <w:rsid w:val="009267D4"/>
    <w:rsid w:val="00926BB6"/>
    <w:rsid w:val="0092702C"/>
    <w:rsid w:val="0092703F"/>
    <w:rsid w:val="00927089"/>
    <w:rsid w:val="009275CF"/>
    <w:rsid w:val="00927743"/>
    <w:rsid w:val="009278F3"/>
    <w:rsid w:val="00927A1C"/>
    <w:rsid w:val="00927B08"/>
    <w:rsid w:val="00927C7F"/>
    <w:rsid w:val="00927D23"/>
    <w:rsid w:val="00927EC2"/>
    <w:rsid w:val="00927F14"/>
    <w:rsid w:val="00927FE6"/>
    <w:rsid w:val="00930090"/>
    <w:rsid w:val="00930540"/>
    <w:rsid w:val="009306A8"/>
    <w:rsid w:val="00930A8E"/>
    <w:rsid w:val="00930A90"/>
    <w:rsid w:val="00930B99"/>
    <w:rsid w:val="00930C7E"/>
    <w:rsid w:val="00930D6B"/>
    <w:rsid w:val="00930E2C"/>
    <w:rsid w:val="00931121"/>
    <w:rsid w:val="00931227"/>
    <w:rsid w:val="00931603"/>
    <w:rsid w:val="0093161F"/>
    <w:rsid w:val="00931637"/>
    <w:rsid w:val="00931EE0"/>
    <w:rsid w:val="00932235"/>
    <w:rsid w:val="00932291"/>
    <w:rsid w:val="00932686"/>
    <w:rsid w:val="00932C85"/>
    <w:rsid w:val="00932D8D"/>
    <w:rsid w:val="00932F28"/>
    <w:rsid w:val="00932FF4"/>
    <w:rsid w:val="00933013"/>
    <w:rsid w:val="009331E8"/>
    <w:rsid w:val="0093366A"/>
    <w:rsid w:val="009337C0"/>
    <w:rsid w:val="009337E7"/>
    <w:rsid w:val="0093385F"/>
    <w:rsid w:val="009338D0"/>
    <w:rsid w:val="00933B55"/>
    <w:rsid w:val="00933C1E"/>
    <w:rsid w:val="00933DDB"/>
    <w:rsid w:val="0093439E"/>
    <w:rsid w:val="00934880"/>
    <w:rsid w:val="0093498B"/>
    <w:rsid w:val="00934AFB"/>
    <w:rsid w:val="00934D71"/>
    <w:rsid w:val="00935323"/>
    <w:rsid w:val="0093545A"/>
    <w:rsid w:val="00935791"/>
    <w:rsid w:val="00935899"/>
    <w:rsid w:val="009358E1"/>
    <w:rsid w:val="00935B39"/>
    <w:rsid w:val="00935D8C"/>
    <w:rsid w:val="009360F6"/>
    <w:rsid w:val="00936149"/>
    <w:rsid w:val="00936B5C"/>
    <w:rsid w:val="00936D69"/>
    <w:rsid w:val="009372B8"/>
    <w:rsid w:val="0093754F"/>
    <w:rsid w:val="009378A6"/>
    <w:rsid w:val="00937B4D"/>
    <w:rsid w:val="00937CA6"/>
    <w:rsid w:val="00937FA3"/>
    <w:rsid w:val="00940014"/>
    <w:rsid w:val="00940483"/>
    <w:rsid w:val="00940AA4"/>
    <w:rsid w:val="00940B17"/>
    <w:rsid w:val="00940BF0"/>
    <w:rsid w:val="00940DDE"/>
    <w:rsid w:val="00940EFD"/>
    <w:rsid w:val="00940F27"/>
    <w:rsid w:val="00941414"/>
    <w:rsid w:val="009415B4"/>
    <w:rsid w:val="0094181D"/>
    <w:rsid w:val="00941B42"/>
    <w:rsid w:val="00941C31"/>
    <w:rsid w:val="00941D99"/>
    <w:rsid w:val="00941F34"/>
    <w:rsid w:val="009421C7"/>
    <w:rsid w:val="009424BC"/>
    <w:rsid w:val="0094250C"/>
    <w:rsid w:val="00942804"/>
    <w:rsid w:val="00942B45"/>
    <w:rsid w:val="00942C31"/>
    <w:rsid w:val="0094305A"/>
    <w:rsid w:val="00943790"/>
    <w:rsid w:val="00943B34"/>
    <w:rsid w:val="00944004"/>
    <w:rsid w:val="0094424A"/>
    <w:rsid w:val="0094442F"/>
    <w:rsid w:val="009445B6"/>
    <w:rsid w:val="009446B3"/>
    <w:rsid w:val="009447A4"/>
    <w:rsid w:val="00944942"/>
    <w:rsid w:val="009449CD"/>
    <w:rsid w:val="009449EC"/>
    <w:rsid w:val="00944B63"/>
    <w:rsid w:val="00944DBC"/>
    <w:rsid w:val="00944DFC"/>
    <w:rsid w:val="00944DFE"/>
    <w:rsid w:val="00945223"/>
    <w:rsid w:val="00945301"/>
    <w:rsid w:val="00945417"/>
    <w:rsid w:val="00945480"/>
    <w:rsid w:val="00945884"/>
    <w:rsid w:val="00945A59"/>
    <w:rsid w:val="00945AB6"/>
    <w:rsid w:val="00945DA9"/>
    <w:rsid w:val="0094634E"/>
    <w:rsid w:val="00946957"/>
    <w:rsid w:val="0094698B"/>
    <w:rsid w:val="00946A39"/>
    <w:rsid w:val="00946B00"/>
    <w:rsid w:val="00946BF3"/>
    <w:rsid w:val="00946C5D"/>
    <w:rsid w:val="00946C6F"/>
    <w:rsid w:val="00947739"/>
    <w:rsid w:val="00947766"/>
    <w:rsid w:val="009479D0"/>
    <w:rsid w:val="00947AD9"/>
    <w:rsid w:val="00947F9C"/>
    <w:rsid w:val="0095065F"/>
    <w:rsid w:val="00950730"/>
    <w:rsid w:val="00950CCE"/>
    <w:rsid w:val="00950E7B"/>
    <w:rsid w:val="0095173D"/>
    <w:rsid w:val="009517B1"/>
    <w:rsid w:val="0095196C"/>
    <w:rsid w:val="00951A46"/>
    <w:rsid w:val="00951C41"/>
    <w:rsid w:val="00951ED7"/>
    <w:rsid w:val="00951F18"/>
    <w:rsid w:val="00951F5B"/>
    <w:rsid w:val="0095218C"/>
    <w:rsid w:val="009526B3"/>
    <w:rsid w:val="00952719"/>
    <w:rsid w:val="0095295B"/>
    <w:rsid w:val="00952A3B"/>
    <w:rsid w:val="00952B40"/>
    <w:rsid w:val="00952EDE"/>
    <w:rsid w:val="009530DC"/>
    <w:rsid w:val="00953171"/>
    <w:rsid w:val="009531A5"/>
    <w:rsid w:val="00953631"/>
    <w:rsid w:val="00953803"/>
    <w:rsid w:val="00953A1D"/>
    <w:rsid w:val="00953A90"/>
    <w:rsid w:val="00953C89"/>
    <w:rsid w:val="00954039"/>
    <w:rsid w:val="0095417B"/>
    <w:rsid w:val="0095430B"/>
    <w:rsid w:val="00954456"/>
    <w:rsid w:val="00954B86"/>
    <w:rsid w:val="00954DC2"/>
    <w:rsid w:val="00954E09"/>
    <w:rsid w:val="00954FC4"/>
    <w:rsid w:val="009550B9"/>
    <w:rsid w:val="00955263"/>
    <w:rsid w:val="00955487"/>
    <w:rsid w:val="0095555F"/>
    <w:rsid w:val="0095599E"/>
    <w:rsid w:val="009559ED"/>
    <w:rsid w:val="00955A7D"/>
    <w:rsid w:val="00955AC6"/>
    <w:rsid w:val="00955CF2"/>
    <w:rsid w:val="00955D05"/>
    <w:rsid w:val="00956082"/>
    <w:rsid w:val="0095634B"/>
    <w:rsid w:val="00956636"/>
    <w:rsid w:val="00956667"/>
    <w:rsid w:val="00956CEE"/>
    <w:rsid w:val="009570D9"/>
    <w:rsid w:val="009570FC"/>
    <w:rsid w:val="00957849"/>
    <w:rsid w:val="0095784E"/>
    <w:rsid w:val="0095785E"/>
    <w:rsid w:val="00957A13"/>
    <w:rsid w:val="00960061"/>
    <w:rsid w:val="009603A2"/>
    <w:rsid w:val="00960631"/>
    <w:rsid w:val="009606C1"/>
    <w:rsid w:val="009607D1"/>
    <w:rsid w:val="009609B0"/>
    <w:rsid w:val="00960C05"/>
    <w:rsid w:val="00960C40"/>
    <w:rsid w:val="00960E8E"/>
    <w:rsid w:val="00960EDA"/>
    <w:rsid w:val="00960F58"/>
    <w:rsid w:val="00960FBE"/>
    <w:rsid w:val="00961112"/>
    <w:rsid w:val="00961198"/>
    <w:rsid w:val="009611F2"/>
    <w:rsid w:val="00961265"/>
    <w:rsid w:val="009614D8"/>
    <w:rsid w:val="009617C4"/>
    <w:rsid w:val="0096187A"/>
    <w:rsid w:val="00961CA7"/>
    <w:rsid w:val="00961FF9"/>
    <w:rsid w:val="00962059"/>
    <w:rsid w:val="00962180"/>
    <w:rsid w:val="009622A9"/>
    <w:rsid w:val="00962476"/>
    <w:rsid w:val="00962756"/>
    <w:rsid w:val="0096299B"/>
    <w:rsid w:val="00962A13"/>
    <w:rsid w:val="009631DA"/>
    <w:rsid w:val="00963820"/>
    <w:rsid w:val="009638A5"/>
    <w:rsid w:val="00963C53"/>
    <w:rsid w:val="00963DCE"/>
    <w:rsid w:val="00964095"/>
    <w:rsid w:val="009642F5"/>
    <w:rsid w:val="0096457C"/>
    <w:rsid w:val="009645C8"/>
    <w:rsid w:val="00964694"/>
    <w:rsid w:val="00964A52"/>
    <w:rsid w:val="00964A60"/>
    <w:rsid w:val="00964D68"/>
    <w:rsid w:val="0096560A"/>
    <w:rsid w:val="0096578E"/>
    <w:rsid w:val="009658D5"/>
    <w:rsid w:val="00965BC0"/>
    <w:rsid w:val="00965E3A"/>
    <w:rsid w:val="00966283"/>
    <w:rsid w:val="00966510"/>
    <w:rsid w:val="009665C7"/>
    <w:rsid w:val="0096670B"/>
    <w:rsid w:val="00966CA7"/>
    <w:rsid w:val="00967033"/>
    <w:rsid w:val="009670E1"/>
    <w:rsid w:val="0096770F"/>
    <w:rsid w:val="00967862"/>
    <w:rsid w:val="00967A03"/>
    <w:rsid w:val="00967BEB"/>
    <w:rsid w:val="00967F52"/>
    <w:rsid w:val="0097050F"/>
    <w:rsid w:val="00970962"/>
    <w:rsid w:val="009711E7"/>
    <w:rsid w:val="0097175E"/>
    <w:rsid w:val="009717AF"/>
    <w:rsid w:val="009717BD"/>
    <w:rsid w:val="00971895"/>
    <w:rsid w:val="009718DB"/>
    <w:rsid w:val="00971F5B"/>
    <w:rsid w:val="00972B75"/>
    <w:rsid w:val="00972B89"/>
    <w:rsid w:val="00972E7B"/>
    <w:rsid w:val="00972F85"/>
    <w:rsid w:val="009732A4"/>
    <w:rsid w:val="009733E5"/>
    <w:rsid w:val="00973E3C"/>
    <w:rsid w:val="00973EB9"/>
    <w:rsid w:val="00974263"/>
    <w:rsid w:val="0097452C"/>
    <w:rsid w:val="009747CC"/>
    <w:rsid w:val="00974837"/>
    <w:rsid w:val="00974903"/>
    <w:rsid w:val="009751A9"/>
    <w:rsid w:val="0097542E"/>
    <w:rsid w:val="00975590"/>
    <w:rsid w:val="009758D1"/>
    <w:rsid w:val="00975CEB"/>
    <w:rsid w:val="00975D3A"/>
    <w:rsid w:val="0097623F"/>
    <w:rsid w:val="0097634A"/>
    <w:rsid w:val="0097682D"/>
    <w:rsid w:val="009768BC"/>
    <w:rsid w:val="0097697F"/>
    <w:rsid w:val="00976BBE"/>
    <w:rsid w:val="00976C74"/>
    <w:rsid w:val="00976F7A"/>
    <w:rsid w:val="00976FF3"/>
    <w:rsid w:val="00977A9F"/>
    <w:rsid w:val="00977D6A"/>
    <w:rsid w:val="009802E3"/>
    <w:rsid w:val="009805EC"/>
    <w:rsid w:val="009806F9"/>
    <w:rsid w:val="00980A07"/>
    <w:rsid w:val="00980A65"/>
    <w:rsid w:val="00980B36"/>
    <w:rsid w:val="00980B8F"/>
    <w:rsid w:val="00980E1E"/>
    <w:rsid w:val="00980E20"/>
    <w:rsid w:val="00980E68"/>
    <w:rsid w:val="00981031"/>
    <w:rsid w:val="009811D6"/>
    <w:rsid w:val="00981590"/>
    <w:rsid w:val="009817B8"/>
    <w:rsid w:val="00981879"/>
    <w:rsid w:val="00981C4A"/>
    <w:rsid w:val="00981CD8"/>
    <w:rsid w:val="00981D62"/>
    <w:rsid w:val="00981E04"/>
    <w:rsid w:val="00981FAB"/>
    <w:rsid w:val="0098217F"/>
    <w:rsid w:val="0098248A"/>
    <w:rsid w:val="009825C4"/>
    <w:rsid w:val="00982BB8"/>
    <w:rsid w:val="00982C49"/>
    <w:rsid w:val="00982D49"/>
    <w:rsid w:val="00982DA7"/>
    <w:rsid w:val="00982F0D"/>
    <w:rsid w:val="0098304B"/>
    <w:rsid w:val="00983452"/>
    <w:rsid w:val="009834E4"/>
    <w:rsid w:val="009837C4"/>
    <w:rsid w:val="00983E66"/>
    <w:rsid w:val="00984088"/>
    <w:rsid w:val="0098436B"/>
    <w:rsid w:val="00984372"/>
    <w:rsid w:val="009845B7"/>
    <w:rsid w:val="00984607"/>
    <w:rsid w:val="0098468C"/>
    <w:rsid w:val="00984C13"/>
    <w:rsid w:val="00984DB4"/>
    <w:rsid w:val="00985464"/>
    <w:rsid w:val="009857AF"/>
    <w:rsid w:val="009857D8"/>
    <w:rsid w:val="0098581C"/>
    <w:rsid w:val="0098588D"/>
    <w:rsid w:val="00985967"/>
    <w:rsid w:val="009859D5"/>
    <w:rsid w:val="00985BAA"/>
    <w:rsid w:val="00985DE1"/>
    <w:rsid w:val="0098606A"/>
    <w:rsid w:val="0098627A"/>
    <w:rsid w:val="009863FC"/>
    <w:rsid w:val="00986404"/>
    <w:rsid w:val="0098681B"/>
    <w:rsid w:val="00986C72"/>
    <w:rsid w:val="00987033"/>
    <w:rsid w:val="009874A1"/>
    <w:rsid w:val="009875EB"/>
    <w:rsid w:val="00987699"/>
    <w:rsid w:val="009876C3"/>
    <w:rsid w:val="009879A9"/>
    <w:rsid w:val="00987C65"/>
    <w:rsid w:val="00987E78"/>
    <w:rsid w:val="00987FF8"/>
    <w:rsid w:val="009900D2"/>
    <w:rsid w:val="009901FC"/>
    <w:rsid w:val="0099056D"/>
    <w:rsid w:val="009905AD"/>
    <w:rsid w:val="0099091B"/>
    <w:rsid w:val="00990C5E"/>
    <w:rsid w:val="00990CE6"/>
    <w:rsid w:val="00990D55"/>
    <w:rsid w:val="00990EA4"/>
    <w:rsid w:val="00990F2E"/>
    <w:rsid w:val="0099145C"/>
    <w:rsid w:val="00991C2D"/>
    <w:rsid w:val="00991DE8"/>
    <w:rsid w:val="00991F35"/>
    <w:rsid w:val="00992219"/>
    <w:rsid w:val="00992436"/>
    <w:rsid w:val="00992439"/>
    <w:rsid w:val="009925A7"/>
    <w:rsid w:val="009925AE"/>
    <w:rsid w:val="0099287E"/>
    <w:rsid w:val="0099292E"/>
    <w:rsid w:val="00992A67"/>
    <w:rsid w:val="0099309B"/>
    <w:rsid w:val="00993203"/>
    <w:rsid w:val="00993651"/>
    <w:rsid w:val="00993B3C"/>
    <w:rsid w:val="00993E8B"/>
    <w:rsid w:val="00993EA2"/>
    <w:rsid w:val="00993F5D"/>
    <w:rsid w:val="0099443F"/>
    <w:rsid w:val="00994653"/>
    <w:rsid w:val="00994A73"/>
    <w:rsid w:val="00994C55"/>
    <w:rsid w:val="009950D9"/>
    <w:rsid w:val="0099514E"/>
    <w:rsid w:val="009955BD"/>
    <w:rsid w:val="009956FC"/>
    <w:rsid w:val="00995825"/>
    <w:rsid w:val="00995A1A"/>
    <w:rsid w:val="00995AA2"/>
    <w:rsid w:val="00995B3C"/>
    <w:rsid w:val="00995CB0"/>
    <w:rsid w:val="00995D6C"/>
    <w:rsid w:val="00995E92"/>
    <w:rsid w:val="00996006"/>
    <w:rsid w:val="009960E3"/>
    <w:rsid w:val="009961D3"/>
    <w:rsid w:val="009962D5"/>
    <w:rsid w:val="00996373"/>
    <w:rsid w:val="00996B93"/>
    <w:rsid w:val="00996E46"/>
    <w:rsid w:val="00996E53"/>
    <w:rsid w:val="00996F28"/>
    <w:rsid w:val="009970B7"/>
    <w:rsid w:val="0099731B"/>
    <w:rsid w:val="00997784"/>
    <w:rsid w:val="0099796C"/>
    <w:rsid w:val="00997BF1"/>
    <w:rsid w:val="009A00C1"/>
    <w:rsid w:val="009A0560"/>
    <w:rsid w:val="009A05F9"/>
    <w:rsid w:val="009A0737"/>
    <w:rsid w:val="009A09CF"/>
    <w:rsid w:val="009A0B69"/>
    <w:rsid w:val="009A0C86"/>
    <w:rsid w:val="009A0DFF"/>
    <w:rsid w:val="009A0F9C"/>
    <w:rsid w:val="009A0FB9"/>
    <w:rsid w:val="009A10C8"/>
    <w:rsid w:val="009A16D2"/>
    <w:rsid w:val="009A19B2"/>
    <w:rsid w:val="009A1D4C"/>
    <w:rsid w:val="009A23AA"/>
    <w:rsid w:val="009A26DB"/>
    <w:rsid w:val="009A2814"/>
    <w:rsid w:val="009A2858"/>
    <w:rsid w:val="009A289E"/>
    <w:rsid w:val="009A29B9"/>
    <w:rsid w:val="009A2D4E"/>
    <w:rsid w:val="009A2FED"/>
    <w:rsid w:val="009A3509"/>
    <w:rsid w:val="009A395F"/>
    <w:rsid w:val="009A4001"/>
    <w:rsid w:val="009A415B"/>
    <w:rsid w:val="009A4D07"/>
    <w:rsid w:val="009A55E6"/>
    <w:rsid w:val="009A56B5"/>
    <w:rsid w:val="009A56FC"/>
    <w:rsid w:val="009A5A5C"/>
    <w:rsid w:val="009A6259"/>
    <w:rsid w:val="009A66DB"/>
    <w:rsid w:val="009A676F"/>
    <w:rsid w:val="009A6779"/>
    <w:rsid w:val="009A69F5"/>
    <w:rsid w:val="009A6A33"/>
    <w:rsid w:val="009A6A47"/>
    <w:rsid w:val="009A6AD5"/>
    <w:rsid w:val="009A6B61"/>
    <w:rsid w:val="009A6CA4"/>
    <w:rsid w:val="009A7383"/>
    <w:rsid w:val="009A7537"/>
    <w:rsid w:val="009A7538"/>
    <w:rsid w:val="009A794E"/>
    <w:rsid w:val="009A7B35"/>
    <w:rsid w:val="009A7C4E"/>
    <w:rsid w:val="009A7E3F"/>
    <w:rsid w:val="009B0065"/>
    <w:rsid w:val="009B01E0"/>
    <w:rsid w:val="009B047B"/>
    <w:rsid w:val="009B0978"/>
    <w:rsid w:val="009B0C63"/>
    <w:rsid w:val="009B0D04"/>
    <w:rsid w:val="009B0F77"/>
    <w:rsid w:val="009B1432"/>
    <w:rsid w:val="009B14E2"/>
    <w:rsid w:val="009B165F"/>
    <w:rsid w:val="009B1758"/>
    <w:rsid w:val="009B1777"/>
    <w:rsid w:val="009B194E"/>
    <w:rsid w:val="009B1D64"/>
    <w:rsid w:val="009B1E48"/>
    <w:rsid w:val="009B1F40"/>
    <w:rsid w:val="009B2267"/>
    <w:rsid w:val="009B2481"/>
    <w:rsid w:val="009B24AB"/>
    <w:rsid w:val="009B26AA"/>
    <w:rsid w:val="009B2850"/>
    <w:rsid w:val="009B290C"/>
    <w:rsid w:val="009B2986"/>
    <w:rsid w:val="009B2A11"/>
    <w:rsid w:val="009B2B4F"/>
    <w:rsid w:val="009B301F"/>
    <w:rsid w:val="009B34C9"/>
    <w:rsid w:val="009B379A"/>
    <w:rsid w:val="009B3A43"/>
    <w:rsid w:val="009B3B9B"/>
    <w:rsid w:val="009B3D93"/>
    <w:rsid w:val="009B3DA5"/>
    <w:rsid w:val="009B3E83"/>
    <w:rsid w:val="009B3F0E"/>
    <w:rsid w:val="009B4032"/>
    <w:rsid w:val="009B4371"/>
    <w:rsid w:val="009B4710"/>
    <w:rsid w:val="009B48E3"/>
    <w:rsid w:val="009B4BE0"/>
    <w:rsid w:val="009B4D6C"/>
    <w:rsid w:val="009B4F96"/>
    <w:rsid w:val="009B53B5"/>
    <w:rsid w:val="009B579B"/>
    <w:rsid w:val="009B588E"/>
    <w:rsid w:val="009B5938"/>
    <w:rsid w:val="009B61C7"/>
    <w:rsid w:val="009B6285"/>
    <w:rsid w:val="009B636F"/>
    <w:rsid w:val="009B6634"/>
    <w:rsid w:val="009B6895"/>
    <w:rsid w:val="009B699E"/>
    <w:rsid w:val="009B6CD4"/>
    <w:rsid w:val="009B70FB"/>
    <w:rsid w:val="009B71C8"/>
    <w:rsid w:val="009B71E9"/>
    <w:rsid w:val="009B721E"/>
    <w:rsid w:val="009B7316"/>
    <w:rsid w:val="009B773E"/>
    <w:rsid w:val="009B7911"/>
    <w:rsid w:val="009B79AD"/>
    <w:rsid w:val="009B79B7"/>
    <w:rsid w:val="009B7A37"/>
    <w:rsid w:val="009B7A3C"/>
    <w:rsid w:val="009B7C05"/>
    <w:rsid w:val="009B7E1D"/>
    <w:rsid w:val="009B7FDB"/>
    <w:rsid w:val="009C0169"/>
    <w:rsid w:val="009C0479"/>
    <w:rsid w:val="009C05BD"/>
    <w:rsid w:val="009C06DF"/>
    <w:rsid w:val="009C06F8"/>
    <w:rsid w:val="009C08CE"/>
    <w:rsid w:val="009C0A36"/>
    <w:rsid w:val="009C0A4D"/>
    <w:rsid w:val="009C0ADF"/>
    <w:rsid w:val="009C0B54"/>
    <w:rsid w:val="009C0E84"/>
    <w:rsid w:val="009C11A4"/>
    <w:rsid w:val="009C128D"/>
    <w:rsid w:val="009C157E"/>
    <w:rsid w:val="009C1B40"/>
    <w:rsid w:val="009C1F19"/>
    <w:rsid w:val="009C21B9"/>
    <w:rsid w:val="009C22F0"/>
    <w:rsid w:val="009C2AB1"/>
    <w:rsid w:val="009C2C89"/>
    <w:rsid w:val="009C2CFB"/>
    <w:rsid w:val="009C33D0"/>
    <w:rsid w:val="009C351A"/>
    <w:rsid w:val="009C3617"/>
    <w:rsid w:val="009C3723"/>
    <w:rsid w:val="009C3779"/>
    <w:rsid w:val="009C3B39"/>
    <w:rsid w:val="009C43AF"/>
    <w:rsid w:val="009C447B"/>
    <w:rsid w:val="009C4503"/>
    <w:rsid w:val="009C454B"/>
    <w:rsid w:val="009C4921"/>
    <w:rsid w:val="009C4ABA"/>
    <w:rsid w:val="009C4AFE"/>
    <w:rsid w:val="009C4BC6"/>
    <w:rsid w:val="009C4E03"/>
    <w:rsid w:val="009C4E22"/>
    <w:rsid w:val="009C5048"/>
    <w:rsid w:val="009C52AE"/>
    <w:rsid w:val="009C52E1"/>
    <w:rsid w:val="009C5304"/>
    <w:rsid w:val="009C55B7"/>
    <w:rsid w:val="009C55D8"/>
    <w:rsid w:val="009C57BC"/>
    <w:rsid w:val="009C580E"/>
    <w:rsid w:val="009C587D"/>
    <w:rsid w:val="009C5AD7"/>
    <w:rsid w:val="009C5CD5"/>
    <w:rsid w:val="009C5EED"/>
    <w:rsid w:val="009C5FEF"/>
    <w:rsid w:val="009C622F"/>
    <w:rsid w:val="009C6943"/>
    <w:rsid w:val="009C69E6"/>
    <w:rsid w:val="009C6AFE"/>
    <w:rsid w:val="009C6B68"/>
    <w:rsid w:val="009C6E60"/>
    <w:rsid w:val="009C70E1"/>
    <w:rsid w:val="009C723F"/>
    <w:rsid w:val="009C750F"/>
    <w:rsid w:val="009C768D"/>
    <w:rsid w:val="009C7C79"/>
    <w:rsid w:val="009C7FAD"/>
    <w:rsid w:val="009C7FEA"/>
    <w:rsid w:val="009D0121"/>
    <w:rsid w:val="009D04E8"/>
    <w:rsid w:val="009D0792"/>
    <w:rsid w:val="009D079F"/>
    <w:rsid w:val="009D081A"/>
    <w:rsid w:val="009D0941"/>
    <w:rsid w:val="009D0C30"/>
    <w:rsid w:val="009D0D96"/>
    <w:rsid w:val="009D0ED5"/>
    <w:rsid w:val="009D0F0F"/>
    <w:rsid w:val="009D0FCD"/>
    <w:rsid w:val="009D10B7"/>
    <w:rsid w:val="009D1BBC"/>
    <w:rsid w:val="009D1CF5"/>
    <w:rsid w:val="009D1EDA"/>
    <w:rsid w:val="009D1F2E"/>
    <w:rsid w:val="009D1F60"/>
    <w:rsid w:val="009D216A"/>
    <w:rsid w:val="009D249B"/>
    <w:rsid w:val="009D2AD1"/>
    <w:rsid w:val="009D2BAA"/>
    <w:rsid w:val="009D2C15"/>
    <w:rsid w:val="009D2FB4"/>
    <w:rsid w:val="009D364C"/>
    <w:rsid w:val="009D39C6"/>
    <w:rsid w:val="009D3BEE"/>
    <w:rsid w:val="009D3E91"/>
    <w:rsid w:val="009D408A"/>
    <w:rsid w:val="009D4906"/>
    <w:rsid w:val="009D4A25"/>
    <w:rsid w:val="009D4A32"/>
    <w:rsid w:val="009D4B2F"/>
    <w:rsid w:val="009D4E13"/>
    <w:rsid w:val="009D519D"/>
    <w:rsid w:val="009D52E4"/>
    <w:rsid w:val="009D58F3"/>
    <w:rsid w:val="009D5908"/>
    <w:rsid w:val="009D5952"/>
    <w:rsid w:val="009D5B0B"/>
    <w:rsid w:val="009D5CD3"/>
    <w:rsid w:val="009D605B"/>
    <w:rsid w:val="009D61EB"/>
    <w:rsid w:val="009D6252"/>
    <w:rsid w:val="009D6534"/>
    <w:rsid w:val="009D6599"/>
    <w:rsid w:val="009D6A5E"/>
    <w:rsid w:val="009D7579"/>
    <w:rsid w:val="009D75D3"/>
    <w:rsid w:val="009D7D94"/>
    <w:rsid w:val="009D7FA3"/>
    <w:rsid w:val="009E00A9"/>
    <w:rsid w:val="009E01E7"/>
    <w:rsid w:val="009E069D"/>
    <w:rsid w:val="009E08AE"/>
    <w:rsid w:val="009E0D95"/>
    <w:rsid w:val="009E0F75"/>
    <w:rsid w:val="009E0FF3"/>
    <w:rsid w:val="009E1020"/>
    <w:rsid w:val="009E1138"/>
    <w:rsid w:val="009E13AA"/>
    <w:rsid w:val="009E155E"/>
    <w:rsid w:val="009E195C"/>
    <w:rsid w:val="009E1A9C"/>
    <w:rsid w:val="009E1DE0"/>
    <w:rsid w:val="009E1FAA"/>
    <w:rsid w:val="009E21DD"/>
    <w:rsid w:val="009E24D7"/>
    <w:rsid w:val="009E2734"/>
    <w:rsid w:val="009E29E0"/>
    <w:rsid w:val="009E304C"/>
    <w:rsid w:val="009E322B"/>
    <w:rsid w:val="009E33AE"/>
    <w:rsid w:val="009E3495"/>
    <w:rsid w:val="009E35E7"/>
    <w:rsid w:val="009E3740"/>
    <w:rsid w:val="009E37AA"/>
    <w:rsid w:val="009E3D32"/>
    <w:rsid w:val="009E4048"/>
    <w:rsid w:val="009E4575"/>
    <w:rsid w:val="009E45D2"/>
    <w:rsid w:val="009E45F5"/>
    <w:rsid w:val="009E470B"/>
    <w:rsid w:val="009E4777"/>
    <w:rsid w:val="009E47DF"/>
    <w:rsid w:val="009E48CA"/>
    <w:rsid w:val="009E4945"/>
    <w:rsid w:val="009E4A70"/>
    <w:rsid w:val="009E4A95"/>
    <w:rsid w:val="009E4B45"/>
    <w:rsid w:val="009E5342"/>
    <w:rsid w:val="009E53C3"/>
    <w:rsid w:val="009E5693"/>
    <w:rsid w:val="009E5988"/>
    <w:rsid w:val="009E6009"/>
    <w:rsid w:val="009E6063"/>
    <w:rsid w:val="009E6091"/>
    <w:rsid w:val="009E60B2"/>
    <w:rsid w:val="009E610E"/>
    <w:rsid w:val="009E624A"/>
    <w:rsid w:val="009E63EB"/>
    <w:rsid w:val="009E6489"/>
    <w:rsid w:val="009E656D"/>
    <w:rsid w:val="009E6A86"/>
    <w:rsid w:val="009E6ADA"/>
    <w:rsid w:val="009E6B6E"/>
    <w:rsid w:val="009E6D45"/>
    <w:rsid w:val="009E6ECD"/>
    <w:rsid w:val="009E7196"/>
    <w:rsid w:val="009E744B"/>
    <w:rsid w:val="009E762C"/>
    <w:rsid w:val="009F0346"/>
    <w:rsid w:val="009F03DB"/>
    <w:rsid w:val="009F084D"/>
    <w:rsid w:val="009F0900"/>
    <w:rsid w:val="009F0F6B"/>
    <w:rsid w:val="009F1247"/>
    <w:rsid w:val="009F144D"/>
    <w:rsid w:val="009F16C1"/>
    <w:rsid w:val="009F1890"/>
    <w:rsid w:val="009F1B57"/>
    <w:rsid w:val="009F20E4"/>
    <w:rsid w:val="009F2324"/>
    <w:rsid w:val="009F24D7"/>
    <w:rsid w:val="009F257A"/>
    <w:rsid w:val="009F2861"/>
    <w:rsid w:val="009F289A"/>
    <w:rsid w:val="009F2AB5"/>
    <w:rsid w:val="009F2BA8"/>
    <w:rsid w:val="009F2C7A"/>
    <w:rsid w:val="009F2D21"/>
    <w:rsid w:val="009F2EB8"/>
    <w:rsid w:val="009F2FF1"/>
    <w:rsid w:val="009F3A3F"/>
    <w:rsid w:val="009F3CD5"/>
    <w:rsid w:val="009F3EEF"/>
    <w:rsid w:val="009F41E8"/>
    <w:rsid w:val="009F41FE"/>
    <w:rsid w:val="009F43D2"/>
    <w:rsid w:val="009F455A"/>
    <w:rsid w:val="009F4990"/>
    <w:rsid w:val="009F49B7"/>
    <w:rsid w:val="009F4A49"/>
    <w:rsid w:val="009F4A55"/>
    <w:rsid w:val="009F4C00"/>
    <w:rsid w:val="009F4F11"/>
    <w:rsid w:val="009F4F2F"/>
    <w:rsid w:val="009F4F45"/>
    <w:rsid w:val="009F5068"/>
    <w:rsid w:val="009F5144"/>
    <w:rsid w:val="009F51F2"/>
    <w:rsid w:val="009F5439"/>
    <w:rsid w:val="009F5AFE"/>
    <w:rsid w:val="009F5E83"/>
    <w:rsid w:val="009F6042"/>
    <w:rsid w:val="009F641D"/>
    <w:rsid w:val="009F662C"/>
    <w:rsid w:val="009F68C4"/>
    <w:rsid w:val="009F7043"/>
    <w:rsid w:val="009F714E"/>
    <w:rsid w:val="009F71A0"/>
    <w:rsid w:val="009F753F"/>
    <w:rsid w:val="009F78DF"/>
    <w:rsid w:val="009F7E3B"/>
    <w:rsid w:val="009F7E57"/>
    <w:rsid w:val="009F7F7B"/>
    <w:rsid w:val="00A0011F"/>
    <w:rsid w:val="00A00321"/>
    <w:rsid w:val="00A00469"/>
    <w:rsid w:val="00A00571"/>
    <w:rsid w:val="00A005AA"/>
    <w:rsid w:val="00A009E3"/>
    <w:rsid w:val="00A00ACC"/>
    <w:rsid w:val="00A00E58"/>
    <w:rsid w:val="00A00EEF"/>
    <w:rsid w:val="00A0100C"/>
    <w:rsid w:val="00A01129"/>
    <w:rsid w:val="00A015C7"/>
    <w:rsid w:val="00A016E5"/>
    <w:rsid w:val="00A01808"/>
    <w:rsid w:val="00A01818"/>
    <w:rsid w:val="00A019A9"/>
    <w:rsid w:val="00A01ACC"/>
    <w:rsid w:val="00A0200C"/>
    <w:rsid w:val="00A024C0"/>
    <w:rsid w:val="00A02575"/>
    <w:rsid w:val="00A02630"/>
    <w:rsid w:val="00A02775"/>
    <w:rsid w:val="00A029C7"/>
    <w:rsid w:val="00A02A76"/>
    <w:rsid w:val="00A02AC9"/>
    <w:rsid w:val="00A02BB5"/>
    <w:rsid w:val="00A0323C"/>
    <w:rsid w:val="00A03541"/>
    <w:rsid w:val="00A03BDA"/>
    <w:rsid w:val="00A03CF0"/>
    <w:rsid w:val="00A0440A"/>
    <w:rsid w:val="00A044FD"/>
    <w:rsid w:val="00A0460E"/>
    <w:rsid w:val="00A04611"/>
    <w:rsid w:val="00A04811"/>
    <w:rsid w:val="00A04D42"/>
    <w:rsid w:val="00A04F2A"/>
    <w:rsid w:val="00A04FE3"/>
    <w:rsid w:val="00A05067"/>
    <w:rsid w:val="00A050B2"/>
    <w:rsid w:val="00A05124"/>
    <w:rsid w:val="00A051EC"/>
    <w:rsid w:val="00A05210"/>
    <w:rsid w:val="00A05380"/>
    <w:rsid w:val="00A053C6"/>
    <w:rsid w:val="00A05A7C"/>
    <w:rsid w:val="00A05D1E"/>
    <w:rsid w:val="00A05DC5"/>
    <w:rsid w:val="00A05EE8"/>
    <w:rsid w:val="00A05F6B"/>
    <w:rsid w:val="00A06093"/>
    <w:rsid w:val="00A063AA"/>
    <w:rsid w:val="00A0646D"/>
    <w:rsid w:val="00A065E9"/>
    <w:rsid w:val="00A06620"/>
    <w:rsid w:val="00A06919"/>
    <w:rsid w:val="00A06A63"/>
    <w:rsid w:val="00A070E6"/>
    <w:rsid w:val="00A072AF"/>
    <w:rsid w:val="00A07547"/>
    <w:rsid w:val="00A07566"/>
    <w:rsid w:val="00A076D9"/>
    <w:rsid w:val="00A0777E"/>
    <w:rsid w:val="00A07796"/>
    <w:rsid w:val="00A07BF3"/>
    <w:rsid w:val="00A1003D"/>
    <w:rsid w:val="00A10341"/>
    <w:rsid w:val="00A10EB7"/>
    <w:rsid w:val="00A111FD"/>
    <w:rsid w:val="00A11854"/>
    <w:rsid w:val="00A118F4"/>
    <w:rsid w:val="00A119B7"/>
    <w:rsid w:val="00A11AF7"/>
    <w:rsid w:val="00A11B0E"/>
    <w:rsid w:val="00A11C8C"/>
    <w:rsid w:val="00A11D0C"/>
    <w:rsid w:val="00A11D9F"/>
    <w:rsid w:val="00A11E78"/>
    <w:rsid w:val="00A12017"/>
    <w:rsid w:val="00A12059"/>
    <w:rsid w:val="00A120DE"/>
    <w:rsid w:val="00A1211C"/>
    <w:rsid w:val="00A1267E"/>
    <w:rsid w:val="00A1288D"/>
    <w:rsid w:val="00A12B8D"/>
    <w:rsid w:val="00A12C4B"/>
    <w:rsid w:val="00A12F33"/>
    <w:rsid w:val="00A12FE8"/>
    <w:rsid w:val="00A1360F"/>
    <w:rsid w:val="00A136E7"/>
    <w:rsid w:val="00A13755"/>
    <w:rsid w:val="00A13B3A"/>
    <w:rsid w:val="00A13E2E"/>
    <w:rsid w:val="00A13E49"/>
    <w:rsid w:val="00A13F57"/>
    <w:rsid w:val="00A14086"/>
    <w:rsid w:val="00A14321"/>
    <w:rsid w:val="00A143DB"/>
    <w:rsid w:val="00A14502"/>
    <w:rsid w:val="00A14598"/>
    <w:rsid w:val="00A14975"/>
    <w:rsid w:val="00A14C14"/>
    <w:rsid w:val="00A14D75"/>
    <w:rsid w:val="00A14F89"/>
    <w:rsid w:val="00A14F8B"/>
    <w:rsid w:val="00A1519F"/>
    <w:rsid w:val="00A151BE"/>
    <w:rsid w:val="00A152F6"/>
    <w:rsid w:val="00A154C9"/>
    <w:rsid w:val="00A156E5"/>
    <w:rsid w:val="00A1575E"/>
    <w:rsid w:val="00A15876"/>
    <w:rsid w:val="00A15990"/>
    <w:rsid w:val="00A15A25"/>
    <w:rsid w:val="00A15C8D"/>
    <w:rsid w:val="00A16217"/>
    <w:rsid w:val="00A16932"/>
    <w:rsid w:val="00A169FE"/>
    <w:rsid w:val="00A16E4F"/>
    <w:rsid w:val="00A16E7E"/>
    <w:rsid w:val="00A16F37"/>
    <w:rsid w:val="00A17015"/>
    <w:rsid w:val="00A172CC"/>
    <w:rsid w:val="00A1775C"/>
    <w:rsid w:val="00A1784D"/>
    <w:rsid w:val="00A17CB2"/>
    <w:rsid w:val="00A17CEC"/>
    <w:rsid w:val="00A17D6D"/>
    <w:rsid w:val="00A17DB7"/>
    <w:rsid w:val="00A20241"/>
    <w:rsid w:val="00A203C6"/>
    <w:rsid w:val="00A20883"/>
    <w:rsid w:val="00A20AD6"/>
    <w:rsid w:val="00A20B72"/>
    <w:rsid w:val="00A20E52"/>
    <w:rsid w:val="00A20E83"/>
    <w:rsid w:val="00A20E8C"/>
    <w:rsid w:val="00A21395"/>
    <w:rsid w:val="00A2188C"/>
    <w:rsid w:val="00A218D7"/>
    <w:rsid w:val="00A219E6"/>
    <w:rsid w:val="00A21A29"/>
    <w:rsid w:val="00A21A73"/>
    <w:rsid w:val="00A21B1C"/>
    <w:rsid w:val="00A221B6"/>
    <w:rsid w:val="00A22256"/>
    <w:rsid w:val="00A222F7"/>
    <w:rsid w:val="00A2241D"/>
    <w:rsid w:val="00A22BF9"/>
    <w:rsid w:val="00A22D9C"/>
    <w:rsid w:val="00A23017"/>
    <w:rsid w:val="00A23193"/>
    <w:rsid w:val="00A2325D"/>
    <w:rsid w:val="00A23330"/>
    <w:rsid w:val="00A23569"/>
    <w:rsid w:val="00A237F0"/>
    <w:rsid w:val="00A238C1"/>
    <w:rsid w:val="00A23B88"/>
    <w:rsid w:val="00A23D9B"/>
    <w:rsid w:val="00A2404B"/>
    <w:rsid w:val="00A24148"/>
    <w:rsid w:val="00A24401"/>
    <w:rsid w:val="00A2443D"/>
    <w:rsid w:val="00A24448"/>
    <w:rsid w:val="00A24475"/>
    <w:rsid w:val="00A244F5"/>
    <w:rsid w:val="00A2457C"/>
    <w:rsid w:val="00A2465B"/>
    <w:rsid w:val="00A24807"/>
    <w:rsid w:val="00A24864"/>
    <w:rsid w:val="00A2492D"/>
    <w:rsid w:val="00A24A4C"/>
    <w:rsid w:val="00A24BB9"/>
    <w:rsid w:val="00A24DEE"/>
    <w:rsid w:val="00A24F29"/>
    <w:rsid w:val="00A24F71"/>
    <w:rsid w:val="00A24FD7"/>
    <w:rsid w:val="00A25076"/>
    <w:rsid w:val="00A2508F"/>
    <w:rsid w:val="00A251F0"/>
    <w:rsid w:val="00A2537D"/>
    <w:rsid w:val="00A25557"/>
    <w:rsid w:val="00A258A2"/>
    <w:rsid w:val="00A259F6"/>
    <w:rsid w:val="00A25CCD"/>
    <w:rsid w:val="00A25D40"/>
    <w:rsid w:val="00A25F07"/>
    <w:rsid w:val="00A2617F"/>
    <w:rsid w:val="00A2619D"/>
    <w:rsid w:val="00A263D5"/>
    <w:rsid w:val="00A263E5"/>
    <w:rsid w:val="00A2663B"/>
    <w:rsid w:val="00A26F22"/>
    <w:rsid w:val="00A26F50"/>
    <w:rsid w:val="00A270AD"/>
    <w:rsid w:val="00A27287"/>
    <w:rsid w:val="00A274D2"/>
    <w:rsid w:val="00A27A3A"/>
    <w:rsid w:val="00A27B5B"/>
    <w:rsid w:val="00A302E7"/>
    <w:rsid w:val="00A305AA"/>
    <w:rsid w:val="00A306F1"/>
    <w:rsid w:val="00A30AF0"/>
    <w:rsid w:val="00A30BCE"/>
    <w:rsid w:val="00A30D8A"/>
    <w:rsid w:val="00A30DD5"/>
    <w:rsid w:val="00A31222"/>
    <w:rsid w:val="00A31335"/>
    <w:rsid w:val="00A31476"/>
    <w:rsid w:val="00A31499"/>
    <w:rsid w:val="00A314F7"/>
    <w:rsid w:val="00A31B23"/>
    <w:rsid w:val="00A31B66"/>
    <w:rsid w:val="00A31CFA"/>
    <w:rsid w:val="00A31D42"/>
    <w:rsid w:val="00A31D57"/>
    <w:rsid w:val="00A31DE7"/>
    <w:rsid w:val="00A31E07"/>
    <w:rsid w:val="00A32263"/>
    <w:rsid w:val="00A3227F"/>
    <w:rsid w:val="00A322ED"/>
    <w:rsid w:val="00A3237D"/>
    <w:rsid w:val="00A328A4"/>
    <w:rsid w:val="00A32BCB"/>
    <w:rsid w:val="00A32F05"/>
    <w:rsid w:val="00A32F85"/>
    <w:rsid w:val="00A32FB4"/>
    <w:rsid w:val="00A33037"/>
    <w:rsid w:val="00A33072"/>
    <w:rsid w:val="00A330A1"/>
    <w:rsid w:val="00A335A2"/>
    <w:rsid w:val="00A33871"/>
    <w:rsid w:val="00A33BB6"/>
    <w:rsid w:val="00A347F1"/>
    <w:rsid w:val="00A34C72"/>
    <w:rsid w:val="00A34F3C"/>
    <w:rsid w:val="00A35294"/>
    <w:rsid w:val="00A352A9"/>
    <w:rsid w:val="00A35A1B"/>
    <w:rsid w:val="00A35C40"/>
    <w:rsid w:val="00A35D32"/>
    <w:rsid w:val="00A35EEA"/>
    <w:rsid w:val="00A3627B"/>
    <w:rsid w:val="00A36300"/>
    <w:rsid w:val="00A36588"/>
    <w:rsid w:val="00A36DB6"/>
    <w:rsid w:val="00A37235"/>
    <w:rsid w:val="00A372A4"/>
    <w:rsid w:val="00A37379"/>
    <w:rsid w:val="00A3783C"/>
    <w:rsid w:val="00A37886"/>
    <w:rsid w:val="00A379DC"/>
    <w:rsid w:val="00A37B46"/>
    <w:rsid w:val="00A37B6F"/>
    <w:rsid w:val="00A37BE0"/>
    <w:rsid w:val="00A4007F"/>
    <w:rsid w:val="00A403F3"/>
    <w:rsid w:val="00A406D4"/>
    <w:rsid w:val="00A41022"/>
    <w:rsid w:val="00A41109"/>
    <w:rsid w:val="00A416BC"/>
    <w:rsid w:val="00A41EBF"/>
    <w:rsid w:val="00A425A0"/>
    <w:rsid w:val="00A42B1F"/>
    <w:rsid w:val="00A42B7C"/>
    <w:rsid w:val="00A43160"/>
    <w:rsid w:val="00A43419"/>
    <w:rsid w:val="00A434A3"/>
    <w:rsid w:val="00A436D2"/>
    <w:rsid w:val="00A43CA7"/>
    <w:rsid w:val="00A440C3"/>
    <w:rsid w:val="00A442D1"/>
    <w:rsid w:val="00A451D1"/>
    <w:rsid w:val="00A45242"/>
    <w:rsid w:val="00A452BD"/>
    <w:rsid w:val="00A45717"/>
    <w:rsid w:val="00A4578C"/>
    <w:rsid w:val="00A45879"/>
    <w:rsid w:val="00A45CC7"/>
    <w:rsid w:val="00A45EDF"/>
    <w:rsid w:val="00A461E5"/>
    <w:rsid w:val="00A463D5"/>
    <w:rsid w:val="00A46599"/>
    <w:rsid w:val="00A46852"/>
    <w:rsid w:val="00A4692C"/>
    <w:rsid w:val="00A46A24"/>
    <w:rsid w:val="00A46B51"/>
    <w:rsid w:val="00A46B78"/>
    <w:rsid w:val="00A46CC6"/>
    <w:rsid w:val="00A46E60"/>
    <w:rsid w:val="00A46EDD"/>
    <w:rsid w:val="00A471C4"/>
    <w:rsid w:val="00A47A45"/>
    <w:rsid w:val="00A47F3E"/>
    <w:rsid w:val="00A51312"/>
    <w:rsid w:val="00A5161B"/>
    <w:rsid w:val="00A517B0"/>
    <w:rsid w:val="00A5190B"/>
    <w:rsid w:val="00A51923"/>
    <w:rsid w:val="00A51A04"/>
    <w:rsid w:val="00A51C42"/>
    <w:rsid w:val="00A52137"/>
    <w:rsid w:val="00A521A2"/>
    <w:rsid w:val="00A52214"/>
    <w:rsid w:val="00A522E4"/>
    <w:rsid w:val="00A5283A"/>
    <w:rsid w:val="00A52A26"/>
    <w:rsid w:val="00A52E43"/>
    <w:rsid w:val="00A52F81"/>
    <w:rsid w:val="00A532D6"/>
    <w:rsid w:val="00A535AB"/>
    <w:rsid w:val="00A5370B"/>
    <w:rsid w:val="00A537F1"/>
    <w:rsid w:val="00A53935"/>
    <w:rsid w:val="00A53ABB"/>
    <w:rsid w:val="00A53BED"/>
    <w:rsid w:val="00A53CFF"/>
    <w:rsid w:val="00A53FAC"/>
    <w:rsid w:val="00A53FB1"/>
    <w:rsid w:val="00A5402C"/>
    <w:rsid w:val="00A54303"/>
    <w:rsid w:val="00A546D6"/>
    <w:rsid w:val="00A547BE"/>
    <w:rsid w:val="00A54A18"/>
    <w:rsid w:val="00A54BC8"/>
    <w:rsid w:val="00A54BFD"/>
    <w:rsid w:val="00A54EBC"/>
    <w:rsid w:val="00A54F4B"/>
    <w:rsid w:val="00A552C2"/>
    <w:rsid w:val="00A5561B"/>
    <w:rsid w:val="00A55796"/>
    <w:rsid w:val="00A558A6"/>
    <w:rsid w:val="00A5593F"/>
    <w:rsid w:val="00A56030"/>
    <w:rsid w:val="00A562BB"/>
    <w:rsid w:val="00A5631F"/>
    <w:rsid w:val="00A56354"/>
    <w:rsid w:val="00A56402"/>
    <w:rsid w:val="00A5671F"/>
    <w:rsid w:val="00A56731"/>
    <w:rsid w:val="00A56931"/>
    <w:rsid w:val="00A56BDE"/>
    <w:rsid w:val="00A56EE3"/>
    <w:rsid w:val="00A57051"/>
    <w:rsid w:val="00A5731D"/>
    <w:rsid w:val="00A57469"/>
    <w:rsid w:val="00A57B15"/>
    <w:rsid w:val="00A57B7E"/>
    <w:rsid w:val="00A57D7D"/>
    <w:rsid w:val="00A57E20"/>
    <w:rsid w:val="00A57E3C"/>
    <w:rsid w:val="00A57EF1"/>
    <w:rsid w:val="00A57FD4"/>
    <w:rsid w:val="00A6057B"/>
    <w:rsid w:val="00A60645"/>
    <w:rsid w:val="00A60A90"/>
    <w:rsid w:val="00A60BF8"/>
    <w:rsid w:val="00A60D57"/>
    <w:rsid w:val="00A61558"/>
    <w:rsid w:val="00A6184A"/>
    <w:rsid w:val="00A61F1A"/>
    <w:rsid w:val="00A62B3A"/>
    <w:rsid w:val="00A62DD7"/>
    <w:rsid w:val="00A62E86"/>
    <w:rsid w:val="00A6306F"/>
    <w:rsid w:val="00A63082"/>
    <w:rsid w:val="00A632D8"/>
    <w:rsid w:val="00A6375B"/>
    <w:rsid w:val="00A6389B"/>
    <w:rsid w:val="00A63936"/>
    <w:rsid w:val="00A6398D"/>
    <w:rsid w:val="00A63B84"/>
    <w:rsid w:val="00A63B8F"/>
    <w:rsid w:val="00A63DA7"/>
    <w:rsid w:val="00A641E3"/>
    <w:rsid w:val="00A644FA"/>
    <w:rsid w:val="00A64594"/>
    <w:rsid w:val="00A647DD"/>
    <w:rsid w:val="00A64C53"/>
    <w:rsid w:val="00A65306"/>
    <w:rsid w:val="00A6558E"/>
    <w:rsid w:val="00A655F2"/>
    <w:rsid w:val="00A65717"/>
    <w:rsid w:val="00A6576D"/>
    <w:rsid w:val="00A6606B"/>
    <w:rsid w:val="00A66256"/>
    <w:rsid w:val="00A66359"/>
    <w:rsid w:val="00A665B9"/>
    <w:rsid w:val="00A67B0E"/>
    <w:rsid w:val="00A67B95"/>
    <w:rsid w:val="00A67F18"/>
    <w:rsid w:val="00A67F8C"/>
    <w:rsid w:val="00A7001E"/>
    <w:rsid w:val="00A70652"/>
    <w:rsid w:val="00A70D6E"/>
    <w:rsid w:val="00A70E33"/>
    <w:rsid w:val="00A70E8A"/>
    <w:rsid w:val="00A70FC4"/>
    <w:rsid w:val="00A71466"/>
    <w:rsid w:val="00A71620"/>
    <w:rsid w:val="00A7164B"/>
    <w:rsid w:val="00A71973"/>
    <w:rsid w:val="00A71AE4"/>
    <w:rsid w:val="00A71B53"/>
    <w:rsid w:val="00A71D22"/>
    <w:rsid w:val="00A71F92"/>
    <w:rsid w:val="00A722EC"/>
    <w:rsid w:val="00A7249F"/>
    <w:rsid w:val="00A72583"/>
    <w:rsid w:val="00A72757"/>
    <w:rsid w:val="00A72B06"/>
    <w:rsid w:val="00A72D8B"/>
    <w:rsid w:val="00A72EE0"/>
    <w:rsid w:val="00A731E1"/>
    <w:rsid w:val="00A732C1"/>
    <w:rsid w:val="00A73349"/>
    <w:rsid w:val="00A7338C"/>
    <w:rsid w:val="00A733AA"/>
    <w:rsid w:val="00A735F0"/>
    <w:rsid w:val="00A73710"/>
    <w:rsid w:val="00A7398A"/>
    <w:rsid w:val="00A73A2D"/>
    <w:rsid w:val="00A7432A"/>
    <w:rsid w:val="00A74527"/>
    <w:rsid w:val="00A74574"/>
    <w:rsid w:val="00A745CA"/>
    <w:rsid w:val="00A74772"/>
    <w:rsid w:val="00A74D15"/>
    <w:rsid w:val="00A751E7"/>
    <w:rsid w:val="00A753B7"/>
    <w:rsid w:val="00A756C0"/>
    <w:rsid w:val="00A75914"/>
    <w:rsid w:val="00A75D4A"/>
    <w:rsid w:val="00A75D5E"/>
    <w:rsid w:val="00A75FE3"/>
    <w:rsid w:val="00A762DB"/>
    <w:rsid w:val="00A76304"/>
    <w:rsid w:val="00A763BD"/>
    <w:rsid w:val="00A76498"/>
    <w:rsid w:val="00A7652F"/>
    <w:rsid w:val="00A7688F"/>
    <w:rsid w:val="00A76A20"/>
    <w:rsid w:val="00A76DD2"/>
    <w:rsid w:val="00A77191"/>
    <w:rsid w:val="00A77989"/>
    <w:rsid w:val="00A779BC"/>
    <w:rsid w:val="00A779EF"/>
    <w:rsid w:val="00A77C64"/>
    <w:rsid w:val="00A77E92"/>
    <w:rsid w:val="00A8014D"/>
    <w:rsid w:val="00A806ED"/>
    <w:rsid w:val="00A80ED7"/>
    <w:rsid w:val="00A80F88"/>
    <w:rsid w:val="00A81194"/>
    <w:rsid w:val="00A81302"/>
    <w:rsid w:val="00A816CD"/>
    <w:rsid w:val="00A817AE"/>
    <w:rsid w:val="00A81E8D"/>
    <w:rsid w:val="00A81EBD"/>
    <w:rsid w:val="00A82133"/>
    <w:rsid w:val="00A82428"/>
    <w:rsid w:val="00A828CA"/>
    <w:rsid w:val="00A8290B"/>
    <w:rsid w:val="00A82C04"/>
    <w:rsid w:val="00A834BD"/>
    <w:rsid w:val="00A8355C"/>
    <w:rsid w:val="00A8357A"/>
    <w:rsid w:val="00A83885"/>
    <w:rsid w:val="00A83B72"/>
    <w:rsid w:val="00A83E7A"/>
    <w:rsid w:val="00A83E8D"/>
    <w:rsid w:val="00A83FEA"/>
    <w:rsid w:val="00A842F4"/>
    <w:rsid w:val="00A843B4"/>
    <w:rsid w:val="00A843E2"/>
    <w:rsid w:val="00A844C0"/>
    <w:rsid w:val="00A84580"/>
    <w:rsid w:val="00A845CD"/>
    <w:rsid w:val="00A84C03"/>
    <w:rsid w:val="00A84F53"/>
    <w:rsid w:val="00A84FEA"/>
    <w:rsid w:val="00A85489"/>
    <w:rsid w:val="00A8553E"/>
    <w:rsid w:val="00A857DC"/>
    <w:rsid w:val="00A85C96"/>
    <w:rsid w:val="00A85DD3"/>
    <w:rsid w:val="00A85E43"/>
    <w:rsid w:val="00A85FAE"/>
    <w:rsid w:val="00A85FEE"/>
    <w:rsid w:val="00A860E3"/>
    <w:rsid w:val="00A86925"/>
    <w:rsid w:val="00A86B22"/>
    <w:rsid w:val="00A86B46"/>
    <w:rsid w:val="00A86DDD"/>
    <w:rsid w:val="00A87286"/>
    <w:rsid w:val="00A87EDB"/>
    <w:rsid w:val="00A9086B"/>
    <w:rsid w:val="00A90914"/>
    <w:rsid w:val="00A90D16"/>
    <w:rsid w:val="00A90D32"/>
    <w:rsid w:val="00A90D5D"/>
    <w:rsid w:val="00A90E97"/>
    <w:rsid w:val="00A9118E"/>
    <w:rsid w:val="00A912B6"/>
    <w:rsid w:val="00A9211E"/>
    <w:rsid w:val="00A92399"/>
    <w:rsid w:val="00A92810"/>
    <w:rsid w:val="00A928FF"/>
    <w:rsid w:val="00A92BB5"/>
    <w:rsid w:val="00A92E79"/>
    <w:rsid w:val="00A92FD4"/>
    <w:rsid w:val="00A93374"/>
    <w:rsid w:val="00A93B0E"/>
    <w:rsid w:val="00A93C5F"/>
    <w:rsid w:val="00A93E89"/>
    <w:rsid w:val="00A941C7"/>
    <w:rsid w:val="00A943A4"/>
    <w:rsid w:val="00A94492"/>
    <w:rsid w:val="00A9464D"/>
    <w:rsid w:val="00A948EE"/>
    <w:rsid w:val="00A94BD0"/>
    <w:rsid w:val="00A94EAF"/>
    <w:rsid w:val="00A95653"/>
    <w:rsid w:val="00A95A86"/>
    <w:rsid w:val="00A95AC4"/>
    <w:rsid w:val="00A95E0A"/>
    <w:rsid w:val="00A95EF2"/>
    <w:rsid w:val="00A96060"/>
    <w:rsid w:val="00A96103"/>
    <w:rsid w:val="00A96122"/>
    <w:rsid w:val="00A96835"/>
    <w:rsid w:val="00A96B0D"/>
    <w:rsid w:val="00A96D3F"/>
    <w:rsid w:val="00A96E67"/>
    <w:rsid w:val="00A972BF"/>
    <w:rsid w:val="00A9731A"/>
    <w:rsid w:val="00A9755B"/>
    <w:rsid w:val="00A9755F"/>
    <w:rsid w:val="00A976EE"/>
    <w:rsid w:val="00A97762"/>
    <w:rsid w:val="00A97849"/>
    <w:rsid w:val="00A978E1"/>
    <w:rsid w:val="00A97C47"/>
    <w:rsid w:val="00A97CF7"/>
    <w:rsid w:val="00AA07B3"/>
    <w:rsid w:val="00AA07BC"/>
    <w:rsid w:val="00AA09C3"/>
    <w:rsid w:val="00AA0D36"/>
    <w:rsid w:val="00AA0FA9"/>
    <w:rsid w:val="00AA1360"/>
    <w:rsid w:val="00AA1446"/>
    <w:rsid w:val="00AA15BF"/>
    <w:rsid w:val="00AA192B"/>
    <w:rsid w:val="00AA1B40"/>
    <w:rsid w:val="00AA1B48"/>
    <w:rsid w:val="00AA1B8D"/>
    <w:rsid w:val="00AA1E61"/>
    <w:rsid w:val="00AA2492"/>
    <w:rsid w:val="00AA25C6"/>
    <w:rsid w:val="00AA26DC"/>
    <w:rsid w:val="00AA271B"/>
    <w:rsid w:val="00AA281C"/>
    <w:rsid w:val="00AA2B33"/>
    <w:rsid w:val="00AA30DC"/>
    <w:rsid w:val="00AA32D1"/>
    <w:rsid w:val="00AA36AE"/>
    <w:rsid w:val="00AA3997"/>
    <w:rsid w:val="00AA3C88"/>
    <w:rsid w:val="00AA4364"/>
    <w:rsid w:val="00AA447A"/>
    <w:rsid w:val="00AA4553"/>
    <w:rsid w:val="00AA4643"/>
    <w:rsid w:val="00AA4910"/>
    <w:rsid w:val="00AA5344"/>
    <w:rsid w:val="00AA55B7"/>
    <w:rsid w:val="00AA61EB"/>
    <w:rsid w:val="00AA6356"/>
    <w:rsid w:val="00AA66E9"/>
    <w:rsid w:val="00AA6877"/>
    <w:rsid w:val="00AA6A5B"/>
    <w:rsid w:val="00AA6C9E"/>
    <w:rsid w:val="00AA6F24"/>
    <w:rsid w:val="00AA70FC"/>
    <w:rsid w:val="00AA7101"/>
    <w:rsid w:val="00AA7701"/>
    <w:rsid w:val="00AA7B21"/>
    <w:rsid w:val="00AA7E18"/>
    <w:rsid w:val="00AB033F"/>
    <w:rsid w:val="00AB0529"/>
    <w:rsid w:val="00AB07E0"/>
    <w:rsid w:val="00AB13ED"/>
    <w:rsid w:val="00AB161B"/>
    <w:rsid w:val="00AB1634"/>
    <w:rsid w:val="00AB16E7"/>
    <w:rsid w:val="00AB184B"/>
    <w:rsid w:val="00AB1B4B"/>
    <w:rsid w:val="00AB1E9C"/>
    <w:rsid w:val="00AB1F97"/>
    <w:rsid w:val="00AB203E"/>
    <w:rsid w:val="00AB215F"/>
    <w:rsid w:val="00AB22AE"/>
    <w:rsid w:val="00AB24FB"/>
    <w:rsid w:val="00AB2834"/>
    <w:rsid w:val="00AB3073"/>
    <w:rsid w:val="00AB3076"/>
    <w:rsid w:val="00AB376B"/>
    <w:rsid w:val="00AB377E"/>
    <w:rsid w:val="00AB3825"/>
    <w:rsid w:val="00AB3876"/>
    <w:rsid w:val="00AB38DA"/>
    <w:rsid w:val="00AB3C37"/>
    <w:rsid w:val="00AB419D"/>
    <w:rsid w:val="00AB46C1"/>
    <w:rsid w:val="00AB47DC"/>
    <w:rsid w:val="00AB47F5"/>
    <w:rsid w:val="00AB4D9F"/>
    <w:rsid w:val="00AB4F79"/>
    <w:rsid w:val="00AB529A"/>
    <w:rsid w:val="00AB5491"/>
    <w:rsid w:val="00AB5805"/>
    <w:rsid w:val="00AB5CCE"/>
    <w:rsid w:val="00AB6028"/>
    <w:rsid w:val="00AB6158"/>
    <w:rsid w:val="00AB6463"/>
    <w:rsid w:val="00AB64D9"/>
    <w:rsid w:val="00AB692F"/>
    <w:rsid w:val="00AB6BE5"/>
    <w:rsid w:val="00AB6C05"/>
    <w:rsid w:val="00AB6CC5"/>
    <w:rsid w:val="00AB6EB4"/>
    <w:rsid w:val="00AB6FBD"/>
    <w:rsid w:val="00AB70A4"/>
    <w:rsid w:val="00AB765D"/>
    <w:rsid w:val="00AB7C34"/>
    <w:rsid w:val="00AB7E45"/>
    <w:rsid w:val="00AB7E95"/>
    <w:rsid w:val="00AC00FC"/>
    <w:rsid w:val="00AC0277"/>
    <w:rsid w:val="00AC0507"/>
    <w:rsid w:val="00AC0597"/>
    <w:rsid w:val="00AC0623"/>
    <w:rsid w:val="00AC0A4C"/>
    <w:rsid w:val="00AC0A59"/>
    <w:rsid w:val="00AC0A68"/>
    <w:rsid w:val="00AC0D57"/>
    <w:rsid w:val="00AC1123"/>
    <w:rsid w:val="00AC11D7"/>
    <w:rsid w:val="00AC11FA"/>
    <w:rsid w:val="00AC1245"/>
    <w:rsid w:val="00AC16E0"/>
    <w:rsid w:val="00AC171C"/>
    <w:rsid w:val="00AC1A06"/>
    <w:rsid w:val="00AC1FBE"/>
    <w:rsid w:val="00AC2083"/>
    <w:rsid w:val="00AC2407"/>
    <w:rsid w:val="00AC2479"/>
    <w:rsid w:val="00AC2609"/>
    <w:rsid w:val="00AC269F"/>
    <w:rsid w:val="00AC2E9E"/>
    <w:rsid w:val="00AC2F02"/>
    <w:rsid w:val="00AC3025"/>
    <w:rsid w:val="00AC333D"/>
    <w:rsid w:val="00AC349D"/>
    <w:rsid w:val="00AC34EA"/>
    <w:rsid w:val="00AC35DC"/>
    <w:rsid w:val="00AC36F6"/>
    <w:rsid w:val="00AC3795"/>
    <w:rsid w:val="00AC37BA"/>
    <w:rsid w:val="00AC37F3"/>
    <w:rsid w:val="00AC3A00"/>
    <w:rsid w:val="00AC407C"/>
    <w:rsid w:val="00AC4437"/>
    <w:rsid w:val="00AC4558"/>
    <w:rsid w:val="00AC47AA"/>
    <w:rsid w:val="00AC4D59"/>
    <w:rsid w:val="00AC4E54"/>
    <w:rsid w:val="00AC4EE9"/>
    <w:rsid w:val="00AC4F16"/>
    <w:rsid w:val="00AC4F75"/>
    <w:rsid w:val="00AC543A"/>
    <w:rsid w:val="00AC58F5"/>
    <w:rsid w:val="00AC59BB"/>
    <w:rsid w:val="00AC5A65"/>
    <w:rsid w:val="00AC5C45"/>
    <w:rsid w:val="00AC5EC8"/>
    <w:rsid w:val="00AC63B8"/>
    <w:rsid w:val="00AC63F3"/>
    <w:rsid w:val="00AC6739"/>
    <w:rsid w:val="00AC67BD"/>
    <w:rsid w:val="00AC6870"/>
    <w:rsid w:val="00AC6AB6"/>
    <w:rsid w:val="00AC6BF2"/>
    <w:rsid w:val="00AC6D2A"/>
    <w:rsid w:val="00AC7201"/>
    <w:rsid w:val="00AC7443"/>
    <w:rsid w:val="00AC74A8"/>
    <w:rsid w:val="00AC74CE"/>
    <w:rsid w:val="00AC76B1"/>
    <w:rsid w:val="00AC77C8"/>
    <w:rsid w:val="00AC79F0"/>
    <w:rsid w:val="00AC7E59"/>
    <w:rsid w:val="00AC7ED7"/>
    <w:rsid w:val="00AD007F"/>
    <w:rsid w:val="00AD020F"/>
    <w:rsid w:val="00AD0551"/>
    <w:rsid w:val="00AD08B4"/>
    <w:rsid w:val="00AD0A28"/>
    <w:rsid w:val="00AD0A45"/>
    <w:rsid w:val="00AD0A8D"/>
    <w:rsid w:val="00AD0CE7"/>
    <w:rsid w:val="00AD0FA3"/>
    <w:rsid w:val="00AD11F4"/>
    <w:rsid w:val="00AD136A"/>
    <w:rsid w:val="00AD15CB"/>
    <w:rsid w:val="00AD1673"/>
    <w:rsid w:val="00AD1769"/>
    <w:rsid w:val="00AD1AE9"/>
    <w:rsid w:val="00AD1B34"/>
    <w:rsid w:val="00AD1BD1"/>
    <w:rsid w:val="00AD1D1E"/>
    <w:rsid w:val="00AD1D75"/>
    <w:rsid w:val="00AD239B"/>
    <w:rsid w:val="00AD2599"/>
    <w:rsid w:val="00AD2CB9"/>
    <w:rsid w:val="00AD2D97"/>
    <w:rsid w:val="00AD2E5B"/>
    <w:rsid w:val="00AD2E66"/>
    <w:rsid w:val="00AD3153"/>
    <w:rsid w:val="00AD3209"/>
    <w:rsid w:val="00AD3397"/>
    <w:rsid w:val="00AD36CD"/>
    <w:rsid w:val="00AD37E3"/>
    <w:rsid w:val="00AD38C3"/>
    <w:rsid w:val="00AD4012"/>
    <w:rsid w:val="00AD4072"/>
    <w:rsid w:val="00AD4223"/>
    <w:rsid w:val="00AD4380"/>
    <w:rsid w:val="00AD4914"/>
    <w:rsid w:val="00AD4B0E"/>
    <w:rsid w:val="00AD4BEA"/>
    <w:rsid w:val="00AD506D"/>
    <w:rsid w:val="00AD511F"/>
    <w:rsid w:val="00AD53B2"/>
    <w:rsid w:val="00AD54AD"/>
    <w:rsid w:val="00AD5740"/>
    <w:rsid w:val="00AD58D0"/>
    <w:rsid w:val="00AD5983"/>
    <w:rsid w:val="00AD5E02"/>
    <w:rsid w:val="00AD628E"/>
    <w:rsid w:val="00AD6512"/>
    <w:rsid w:val="00AD6658"/>
    <w:rsid w:val="00AD6718"/>
    <w:rsid w:val="00AD67D4"/>
    <w:rsid w:val="00AD6BB3"/>
    <w:rsid w:val="00AD6E77"/>
    <w:rsid w:val="00AD6F81"/>
    <w:rsid w:val="00AD78A2"/>
    <w:rsid w:val="00AD7BC5"/>
    <w:rsid w:val="00AD7CCE"/>
    <w:rsid w:val="00AE00F3"/>
    <w:rsid w:val="00AE0186"/>
    <w:rsid w:val="00AE02AA"/>
    <w:rsid w:val="00AE075D"/>
    <w:rsid w:val="00AE0826"/>
    <w:rsid w:val="00AE08CC"/>
    <w:rsid w:val="00AE0A3C"/>
    <w:rsid w:val="00AE0C78"/>
    <w:rsid w:val="00AE1109"/>
    <w:rsid w:val="00AE1265"/>
    <w:rsid w:val="00AE1440"/>
    <w:rsid w:val="00AE162E"/>
    <w:rsid w:val="00AE1698"/>
    <w:rsid w:val="00AE172A"/>
    <w:rsid w:val="00AE17B7"/>
    <w:rsid w:val="00AE1856"/>
    <w:rsid w:val="00AE18E3"/>
    <w:rsid w:val="00AE1956"/>
    <w:rsid w:val="00AE199B"/>
    <w:rsid w:val="00AE1BB6"/>
    <w:rsid w:val="00AE1DB9"/>
    <w:rsid w:val="00AE1EF2"/>
    <w:rsid w:val="00AE1F34"/>
    <w:rsid w:val="00AE1F5D"/>
    <w:rsid w:val="00AE24F3"/>
    <w:rsid w:val="00AE2575"/>
    <w:rsid w:val="00AE2912"/>
    <w:rsid w:val="00AE2917"/>
    <w:rsid w:val="00AE2B97"/>
    <w:rsid w:val="00AE2DBD"/>
    <w:rsid w:val="00AE308B"/>
    <w:rsid w:val="00AE333F"/>
    <w:rsid w:val="00AE36BE"/>
    <w:rsid w:val="00AE3A4C"/>
    <w:rsid w:val="00AE3FD6"/>
    <w:rsid w:val="00AE4165"/>
    <w:rsid w:val="00AE4649"/>
    <w:rsid w:val="00AE480F"/>
    <w:rsid w:val="00AE4871"/>
    <w:rsid w:val="00AE4901"/>
    <w:rsid w:val="00AE49E9"/>
    <w:rsid w:val="00AE4B2D"/>
    <w:rsid w:val="00AE4B88"/>
    <w:rsid w:val="00AE4DE2"/>
    <w:rsid w:val="00AE4E09"/>
    <w:rsid w:val="00AE4F1B"/>
    <w:rsid w:val="00AE541C"/>
    <w:rsid w:val="00AE55FE"/>
    <w:rsid w:val="00AE560F"/>
    <w:rsid w:val="00AE56F7"/>
    <w:rsid w:val="00AE5709"/>
    <w:rsid w:val="00AE588C"/>
    <w:rsid w:val="00AE594C"/>
    <w:rsid w:val="00AE5A9C"/>
    <w:rsid w:val="00AE5BC4"/>
    <w:rsid w:val="00AE5D56"/>
    <w:rsid w:val="00AE6054"/>
    <w:rsid w:val="00AE607B"/>
    <w:rsid w:val="00AE6455"/>
    <w:rsid w:val="00AE6512"/>
    <w:rsid w:val="00AE66EF"/>
    <w:rsid w:val="00AE689A"/>
    <w:rsid w:val="00AE6AC6"/>
    <w:rsid w:val="00AE6C41"/>
    <w:rsid w:val="00AE7460"/>
    <w:rsid w:val="00AE75F4"/>
    <w:rsid w:val="00AE77F8"/>
    <w:rsid w:val="00AE78BA"/>
    <w:rsid w:val="00AE7980"/>
    <w:rsid w:val="00AE7A5A"/>
    <w:rsid w:val="00AE7AF5"/>
    <w:rsid w:val="00AE7C42"/>
    <w:rsid w:val="00AE7E6D"/>
    <w:rsid w:val="00AF013A"/>
    <w:rsid w:val="00AF04B5"/>
    <w:rsid w:val="00AF0513"/>
    <w:rsid w:val="00AF0528"/>
    <w:rsid w:val="00AF0609"/>
    <w:rsid w:val="00AF08EF"/>
    <w:rsid w:val="00AF0B2A"/>
    <w:rsid w:val="00AF10F1"/>
    <w:rsid w:val="00AF1299"/>
    <w:rsid w:val="00AF1AAC"/>
    <w:rsid w:val="00AF1F5F"/>
    <w:rsid w:val="00AF245C"/>
    <w:rsid w:val="00AF2471"/>
    <w:rsid w:val="00AF27EA"/>
    <w:rsid w:val="00AF29C3"/>
    <w:rsid w:val="00AF2D2D"/>
    <w:rsid w:val="00AF316A"/>
    <w:rsid w:val="00AF36A8"/>
    <w:rsid w:val="00AF3750"/>
    <w:rsid w:val="00AF381E"/>
    <w:rsid w:val="00AF3A2B"/>
    <w:rsid w:val="00AF3BF9"/>
    <w:rsid w:val="00AF3C5E"/>
    <w:rsid w:val="00AF423A"/>
    <w:rsid w:val="00AF4245"/>
    <w:rsid w:val="00AF4504"/>
    <w:rsid w:val="00AF45E8"/>
    <w:rsid w:val="00AF4BB2"/>
    <w:rsid w:val="00AF4C64"/>
    <w:rsid w:val="00AF4D26"/>
    <w:rsid w:val="00AF4D67"/>
    <w:rsid w:val="00AF5211"/>
    <w:rsid w:val="00AF52CC"/>
    <w:rsid w:val="00AF545B"/>
    <w:rsid w:val="00AF5778"/>
    <w:rsid w:val="00AF5822"/>
    <w:rsid w:val="00AF5BB2"/>
    <w:rsid w:val="00AF5D0A"/>
    <w:rsid w:val="00AF5DCF"/>
    <w:rsid w:val="00AF5F18"/>
    <w:rsid w:val="00AF6066"/>
    <w:rsid w:val="00AF6124"/>
    <w:rsid w:val="00AF6363"/>
    <w:rsid w:val="00AF645A"/>
    <w:rsid w:val="00AF67D7"/>
    <w:rsid w:val="00AF6926"/>
    <w:rsid w:val="00AF7092"/>
    <w:rsid w:val="00AF7484"/>
    <w:rsid w:val="00AF749F"/>
    <w:rsid w:val="00AF752B"/>
    <w:rsid w:val="00AF75EE"/>
    <w:rsid w:val="00AF7833"/>
    <w:rsid w:val="00AF7C16"/>
    <w:rsid w:val="00AF7CE9"/>
    <w:rsid w:val="00AF7F8E"/>
    <w:rsid w:val="00AF7F95"/>
    <w:rsid w:val="00B001F2"/>
    <w:rsid w:val="00B002B5"/>
    <w:rsid w:val="00B0049A"/>
    <w:rsid w:val="00B004AB"/>
    <w:rsid w:val="00B0059D"/>
    <w:rsid w:val="00B00804"/>
    <w:rsid w:val="00B008D9"/>
    <w:rsid w:val="00B00943"/>
    <w:rsid w:val="00B009E0"/>
    <w:rsid w:val="00B00B5E"/>
    <w:rsid w:val="00B0110C"/>
    <w:rsid w:val="00B014A6"/>
    <w:rsid w:val="00B015A4"/>
    <w:rsid w:val="00B01950"/>
    <w:rsid w:val="00B01A9F"/>
    <w:rsid w:val="00B01B2C"/>
    <w:rsid w:val="00B01DFD"/>
    <w:rsid w:val="00B01EF5"/>
    <w:rsid w:val="00B02053"/>
    <w:rsid w:val="00B02109"/>
    <w:rsid w:val="00B0238E"/>
    <w:rsid w:val="00B023FC"/>
    <w:rsid w:val="00B024E2"/>
    <w:rsid w:val="00B02524"/>
    <w:rsid w:val="00B0270C"/>
    <w:rsid w:val="00B02745"/>
    <w:rsid w:val="00B0279D"/>
    <w:rsid w:val="00B028D3"/>
    <w:rsid w:val="00B02E09"/>
    <w:rsid w:val="00B02E39"/>
    <w:rsid w:val="00B0324E"/>
    <w:rsid w:val="00B032CC"/>
    <w:rsid w:val="00B03476"/>
    <w:rsid w:val="00B035E9"/>
    <w:rsid w:val="00B03EF9"/>
    <w:rsid w:val="00B04453"/>
    <w:rsid w:val="00B04763"/>
    <w:rsid w:val="00B048CA"/>
    <w:rsid w:val="00B04965"/>
    <w:rsid w:val="00B04B98"/>
    <w:rsid w:val="00B04CB9"/>
    <w:rsid w:val="00B04EBD"/>
    <w:rsid w:val="00B0504B"/>
    <w:rsid w:val="00B0505E"/>
    <w:rsid w:val="00B05610"/>
    <w:rsid w:val="00B0563B"/>
    <w:rsid w:val="00B05758"/>
    <w:rsid w:val="00B05897"/>
    <w:rsid w:val="00B05C6A"/>
    <w:rsid w:val="00B05CA7"/>
    <w:rsid w:val="00B05CCC"/>
    <w:rsid w:val="00B06146"/>
    <w:rsid w:val="00B061B6"/>
    <w:rsid w:val="00B061F9"/>
    <w:rsid w:val="00B06363"/>
    <w:rsid w:val="00B06378"/>
    <w:rsid w:val="00B064FE"/>
    <w:rsid w:val="00B06503"/>
    <w:rsid w:val="00B06A1F"/>
    <w:rsid w:val="00B06ADB"/>
    <w:rsid w:val="00B06B15"/>
    <w:rsid w:val="00B06C38"/>
    <w:rsid w:val="00B072E9"/>
    <w:rsid w:val="00B0753C"/>
    <w:rsid w:val="00B07670"/>
    <w:rsid w:val="00B0769E"/>
    <w:rsid w:val="00B07DEF"/>
    <w:rsid w:val="00B07E1E"/>
    <w:rsid w:val="00B07E48"/>
    <w:rsid w:val="00B07FE9"/>
    <w:rsid w:val="00B1001D"/>
    <w:rsid w:val="00B10499"/>
    <w:rsid w:val="00B1049A"/>
    <w:rsid w:val="00B10717"/>
    <w:rsid w:val="00B1093C"/>
    <w:rsid w:val="00B10974"/>
    <w:rsid w:val="00B10A7D"/>
    <w:rsid w:val="00B10DA8"/>
    <w:rsid w:val="00B10E6C"/>
    <w:rsid w:val="00B11103"/>
    <w:rsid w:val="00B111A6"/>
    <w:rsid w:val="00B11258"/>
    <w:rsid w:val="00B11447"/>
    <w:rsid w:val="00B11699"/>
    <w:rsid w:val="00B11822"/>
    <w:rsid w:val="00B1190C"/>
    <w:rsid w:val="00B1191A"/>
    <w:rsid w:val="00B11B55"/>
    <w:rsid w:val="00B11DFF"/>
    <w:rsid w:val="00B11F27"/>
    <w:rsid w:val="00B120D1"/>
    <w:rsid w:val="00B121D8"/>
    <w:rsid w:val="00B12346"/>
    <w:rsid w:val="00B12592"/>
    <w:rsid w:val="00B128BB"/>
    <w:rsid w:val="00B13051"/>
    <w:rsid w:val="00B13084"/>
    <w:rsid w:val="00B1334F"/>
    <w:rsid w:val="00B13B32"/>
    <w:rsid w:val="00B13B58"/>
    <w:rsid w:val="00B13D79"/>
    <w:rsid w:val="00B13DA0"/>
    <w:rsid w:val="00B13DFE"/>
    <w:rsid w:val="00B13E7B"/>
    <w:rsid w:val="00B14134"/>
    <w:rsid w:val="00B15254"/>
    <w:rsid w:val="00B15345"/>
    <w:rsid w:val="00B153FE"/>
    <w:rsid w:val="00B15569"/>
    <w:rsid w:val="00B15A14"/>
    <w:rsid w:val="00B15DAC"/>
    <w:rsid w:val="00B15E03"/>
    <w:rsid w:val="00B15E53"/>
    <w:rsid w:val="00B1602B"/>
    <w:rsid w:val="00B163B3"/>
    <w:rsid w:val="00B1665B"/>
    <w:rsid w:val="00B16DC7"/>
    <w:rsid w:val="00B16FC7"/>
    <w:rsid w:val="00B170F1"/>
    <w:rsid w:val="00B17280"/>
    <w:rsid w:val="00B17ECD"/>
    <w:rsid w:val="00B17F3C"/>
    <w:rsid w:val="00B17FB5"/>
    <w:rsid w:val="00B2035A"/>
    <w:rsid w:val="00B20915"/>
    <w:rsid w:val="00B214C5"/>
    <w:rsid w:val="00B21605"/>
    <w:rsid w:val="00B21A05"/>
    <w:rsid w:val="00B21AF9"/>
    <w:rsid w:val="00B21C51"/>
    <w:rsid w:val="00B21DE0"/>
    <w:rsid w:val="00B21EF1"/>
    <w:rsid w:val="00B21F9E"/>
    <w:rsid w:val="00B22070"/>
    <w:rsid w:val="00B2207F"/>
    <w:rsid w:val="00B2246B"/>
    <w:rsid w:val="00B22835"/>
    <w:rsid w:val="00B228A3"/>
    <w:rsid w:val="00B229D5"/>
    <w:rsid w:val="00B22B17"/>
    <w:rsid w:val="00B22C7D"/>
    <w:rsid w:val="00B22CC6"/>
    <w:rsid w:val="00B22EAF"/>
    <w:rsid w:val="00B2316C"/>
    <w:rsid w:val="00B23511"/>
    <w:rsid w:val="00B23634"/>
    <w:rsid w:val="00B23670"/>
    <w:rsid w:val="00B238B6"/>
    <w:rsid w:val="00B23996"/>
    <w:rsid w:val="00B23DBC"/>
    <w:rsid w:val="00B23E92"/>
    <w:rsid w:val="00B240BE"/>
    <w:rsid w:val="00B240FE"/>
    <w:rsid w:val="00B248DF"/>
    <w:rsid w:val="00B24A7C"/>
    <w:rsid w:val="00B24E1D"/>
    <w:rsid w:val="00B24E90"/>
    <w:rsid w:val="00B250D6"/>
    <w:rsid w:val="00B251A0"/>
    <w:rsid w:val="00B255EA"/>
    <w:rsid w:val="00B2563A"/>
    <w:rsid w:val="00B25695"/>
    <w:rsid w:val="00B25A93"/>
    <w:rsid w:val="00B25C6B"/>
    <w:rsid w:val="00B25EF9"/>
    <w:rsid w:val="00B2622F"/>
    <w:rsid w:val="00B262E6"/>
    <w:rsid w:val="00B264E0"/>
    <w:rsid w:val="00B26AB4"/>
    <w:rsid w:val="00B26F66"/>
    <w:rsid w:val="00B26FB1"/>
    <w:rsid w:val="00B2716B"/>
    <w:rsid w:val="00B274EB"/>
    <w:rsid w:val="00B278DF"/>
    <w:rsid w:val="00B27D59"/>
    <w:rsid w:val="00B30139"/>
    <w:rsid w:val="00B30616"/>
    <w:rsid w:val="00B307B7"/>
    <w:rsid w:val="00B3081C"/>
    <w:rsid w:val="00B309C0"/>
    <w:rsid w:val="00B30CAB"/>
    <w:rsid w:val="00B30FA6"/>
    <w:rsid w:val="00B30FAD"/>
    <w:rsid w:val="00B31444"/>
    <w:rsid w:val="00B318C6"/>
    <w:rsid w:val="00B31B5C"/>
    <w:rsid w:val="00B31CE2"/>
    <w:rsid w:val="00B31D3F"/>
    <w:rsid w:val="00B31F4B"/>
    <w:rsid w:val="00B32339"/>
    <w:rsid w:val="00B327C3"/>
    <w:rsid w:val="00B32839"/>
    <w:rsid w:val="00B32B9A"/>
    <w:rsid w:val="00B32BF5"/>
    <w:rsid w:val="00B32E0E"/>
    <w:rsid w:val="00B32EFC"/>
    <w:rsid w:val="00B33020"/>
    <w:rsid w:val="00B33054"/>
    <w:rsid w:val="00B330FB"/>
    <w:rsid w:val="00B3313E"/>
    <w:rsid w:val="00B331F9"/>
    <w:rsid w:val="00B33225"/>
    <w:rsid w:val="00B3351B"/>
    <w:rsid w:val="00B33A47"/>
    <w:rsid w:val="00B33B48"/>
    <w:rsid w:val="00B33C7A"/>
    <w:rsid w:val="00B33F7B"/>
    <w:rsid w:val="00B340B8"/>
    <w:rsid w:val="00B341FD"/>
    <w:rsid w:val="00B34500"/>
    <w:rsid w:val="00B347DE"/>
    <w:rsid w:val="00B34811"/>
    <w:rsid w:val="00B34949"/>
    <w:rsid w:val="00B3498E"/>
    <w:rsid w:val="00B34C8E"/>
    <w:rsid w:val="00B34F01"/>
    <w:rsid w:val="00B351F0"/>
    <w:rsid w:val="00B3554F"/>
    <w:rsid w:val="00B35A01"/>
    <w:rsid w:val="00B35A1B"/>
    <w:rsid w:val="00B35BFF"/>
    <w:rsid w:val="00B35DDC"/>
    <w:rsid w:val="00B36689"/>
    <w:rsid w:val="00B3689C"/>
    <w:rsid w:val="00B37030"/>
    <w:rsid w:val="00B370C9"/>
    <w:rsid w:val="00B37101"/>
    <w:rsid w:val="00B37247"/>
    <w:rsid w:val="00B3730A"/>
    <w:rsid w:val="00B376BC"/>
    <w:rsid w:val="00B37940"/>
    <w:rsid w:val="00B37A22"/>
    <w:rsid w:val="00B37B43"/>
    <w:rsid w:val="00B37CDE"/>
    <w:rsid w:val="00B40133"/>
    <w:rsid w:val="00B401FD"/>
    <w:rsid w:val="00B40C0D"/>
    <w:rsid w:val="00B41058"/>
    <w:rsid w:val="00B41187"/>
    <w:rsid w:val="00B4126C"/>
    <w:rsid w:val="00B41383"/>
    <w:rsid w:val="00B41AF7"/>
    <w:rsid w:val="00B42527"/>
    <w:rsid w:val="00B4280D"/>
    <w:rsid w:val="00B42EC0"/>
    <w:rsid w:val="00B43010"/>
    <w:rsid w:val="00B430AC"/>
    <w:rsid w:val="00B43206"/>
    <w:rsid w:val="00B43726"/>
    <w:rsid w:val="00B438D6"/>
    <w:rsid w:val="00B4395D"/>
    <w:rsid w:val="00B43AFA"/>
    <w:rsid w:val="00B43CF6"/>
    <w:rsid w:val="00B43DD0"/>
    <w:rsid w:val="00B44010"/>
    <w:rsid w:val="00B44663"/>
    <w:rsid w:val="00B44AD8"/>
    <w:rsid w:val="00B44AE3"/>
    <w:rsid w:val="00B44C18"/>
    <w:rsid w:val="00B44CCB"/>
    <w:rsid w:val="00B45038"/>
    <w:rsid w:val="00B45384"/>
    <w:rsid w:val="00B45449"/>
    <w:rsid w:val="00B456F0"/>
    <w:rsid w:val="00B459A2"/>
    <w:rsid w:val="00B45BAC"/>
    <w:rsid w:val="00B45CA5"/>
    <w:rsid w:val="00B45E08"/>
    <w:rsid w:val="00B45F58"/>
    <w:rsid w:val="00B46156"/>
    <w:rsid w:val="00B462F3"/>
    <w:rsid w:val="00B462F5"/>
    <w:rsid w:val="00B4634C"/>
    <w:rsid w:val="00B465F7"/>
    <w:rsid w:val="00B46E33"/>
    <w:rsid w:val="00B4770D"/>
    <w:rsid w:val="00B47913"/>
    <w:rsid w:val="00B47AB8"/>
    <w:rsid w:val="00B47B12"/>
    <w:rsid w:val="00B50076"/>
    <w:rsid w:val="00B50547"/>
    <w:rsid w:val="00B50733"/>
    <w:rsid w:val="00B508E4"/>
    <w:rsid w:val="00B50C76"/>
    <w:rsid w:val="00B50FFA"/>
    <w:rsid w:val="00B51096"/>
    <w:rsid w:val="00B51758"/>
    <w:rsid w:val="00B51935"/>
    <w:rsid w:val="00B51A21"/>
    <w:rsid w:val="00B51BC6"/>
    <w:rsid w:val="00B51C05"/>
    <w:rsid w:val="00B51C26"/>
    <w:rsid w:val="00B51D34"/>
    <w:rsid w:val="00B51DCC"/>
    <w:rsid w:val="00B5222C"/>
    <w:rsid w:val="00B527D6"/>
    <w:rsid w:val="00B52804"/>
    <w:rsid w:val="00B52954"/>
    <w:rsid w:val="00B530BE"/>
    <w:rsid w:val="00B53260"/>
    <w:rsid w:val="00B53269"/>
    <w:rsid w:val="00B532D4"/>
    <w:rsid w:val="00B53396"/>
    <w:rsid w:val="00B53523"/>
    <w:rsid w:val="00B5398B"/>
    <w:rsid w:val="00B53A6F"/>
    <w:rsid w:val="00B53CC3"/>
    <w:rsid w:val="00B53DAE"/>
    <w:rsid w:val="00B53FEA"/>
    <w:rsid w:val="00B541DC"/>
    <w:rsid w:val="00B541E5"/>
    <w:rsid w:val="00B54457"/>
    <w:rsid w:val="00B54585"/>
    <w:rsid w:val="00B54731"/>
    <w:rsid w:val="00B550D6"/>
    <w:rsid w:val="00B5523E"/>
    <w:rsid w:val="00B552FF"/>
    <w:rsid w:val="00B5532B"/>
    <w:rsid w:val="00B556C2"/>
    <w:rsid w:val="00B5598F"/>
    <w:rsid w:val="00B55C6A"/>
    <w:rsid w:val="00B55DB9"/>
    <w:rsid w:val="00B55E9F"/>
    <w:rsid w:val="00B55F56"/>
    <w:rsid w:val="00B5600F"/>
    <w:rsid w:val="00B56065"/>
    <w:rsid w:val="00B5617D"/>
    <w:rsid w:val="00B5626F"/>
    <w:rsid w:val="00B5650C"/>
    <w:rsid w:val="00B565F3"/>
    <w:rsid w:val="00B568A8"/>
    <w:rsid w:val="00B5697A"/>
    <w:rsid w:val="00B571E8"/>
    <w:rsid w:val="00B574E8"/>
    <w:rsid w:val="00B57A95"/>
    <w:rsid w:val="00B57B14"/>
    <w:rsid w:val="00B601C4"/>
    <w:rsid w:val="00B60553"/>
    <w:rsid w:val="00B60569"/>
    <w:rsid w:val="00B606A0"/>
    <w:rsid w:val="00B607B4"/>
    <w:rsid w:val="00B60822"/>
    <w:rsid w:val="00B611BA"/>
    <w:rsid w:val="00B612D0"/>
    <w:rsid w:val="00B617C5"/>
    <w:rsid w:val="00B61BDD"/>
    <w:rsid w:val="00B61C0B"/>
    <w:rsid w:val="00B61DC0"/>
    <w:rsid w:val="00B61EAB"/>
    <w:rsid w:val="00B61EC6"/>
    <w:rsid w:val="00B61F46"/>
    <w:rsid w:val="00B62235"/>
    <w:rsid w:val="00B62236"/>
    <w:rsid w:val="00B623D0"/>
    <w:rsid w:val="00B62439"/>
    <w:rsid w:val="00B624BD"/>
    <w:rsid w:val="00B624EB"/>
    <w:rsid w:val="00B6289D"/>
    <w:rsid w:val="00B6295D"/>
    <w:rsid w:val="00B62A96"/>
    <w:rsid w:val="00B62DFB"/>
    <w:rsid w:val="00B62E13"/>
    <w:rsid w:val="00B62EB5"/>
    <w:rsid w:val="00B62F24"/>
    <w:rsid w:val="00B62F66"/>
    <w:rsid w:val="00B63099"/>
    <w:rsid w:val="00B631A2"/>
    <w:rsid w:val="00B63459"/>
    <w:rsid w:val="00B63754"/>
    <w:rsid w:val="00B637C1"/>
    <w:rsid w:val="00B63837"/>
    <w:rsid w:val="00B639D1"/>
    <w:rsid w:val="00B63AE5"/>
    <w:rsid w:val="00B63BA9"/>
    <w:rsid w:val="00B63F11"/>
    <w:rsid w:val="00B6400E"/>
    <w:rsid w:val="00B64063"/>
    <w:rsid w:val="00B64208"/>
    <w:rsid w:val="00B6435A"/>
    <w:rsid w:val="00B64541"/>
    <w:rsid w:val="00B6486F"/>
    <w:rsid w:val="00B649F5"/>
    <w:rsid w:val="00B64B93"/>
    <w:rsid w:val="00B64CB5"/>
    <w:rsid w:val="00B65190"/>
    <w:rsid w:val="00B6524E"/>
    <w:rsid w:val="00B65410"/>
    <w:rsid w:val="00B655FF"/>
    <w:rsid w:val="00B6574C"/>
    <w:rsid w:val="00B65B02"/>
    <w:rsid w:val="00B65F38"/>
    <w:rsid w:val="00B661AE"/>
    <w:rsid w:val="00B66250"/>
    <w:rsid w:val="00B66871"/>
    <w:rsid w:val="00B66A6B"/>
    <w:rsid w:val="00B66BE8"/>
    <w:rsid w:val="00B66F5B"/>
    <w:rsid w:val="00B673A7"/>
    <w:rsid w:val="00B6750A"/>
    <w:rsid w:val="00B67AF6"/>
    <w:rsid w:val="00B67B6C"/>
    <w:rsid w:val="00B67C33"/>
    <w:rsid w:val="00B67D49"/>
    <w:rsid w:val="00B67D91"/>
    <w:rsid w:val="00B700D3"/>
    <w:rsid w:val="00B70172"/>
    <w:rsid w:val="00B7050D"/>
    <w:rsid w:val="00B70605"/>
    <w:rsid w:val="00B70938"/>
    <w:rsid w:val="00B70CD3"/>
    <w:rsid w:val="00B70EA0"/>
    <w:rsid w:val="00B713BC"/>
    <w:rsid w:val="00B717AB"/>
    <w:rsid w:val="00B71CA3"/>
    <w:rsid w:val="00B71D42"/>
    <w:rsid w:val="00B7203E"/>
    <w:rsid w:val="00B723EC"/>
    <w:rsid w:val="00B72477"/>
    <w:rsid w:val="00B72605"/>
    <w:rsid w:val="00B72617"/>
    <w:rsid w:val="00B727AA"/>
    <w:rsid w:val="00B729BC"/>
    <w:rsid w:val="00B72A8E"/>
    <w:rsid w:val="00B72CDF"/>
    <w:rsid w:val="00B73222"/>
    <w:rsid w:val="00B7343A"/>
    <w:rsid w:val="00B73497"/>
    <w:rsid w:val="00B73714"/>
    <w:rsid w:val="00B73B0B"/>
    <w:rsid w:val="00B73C2B"/>
    <w:rsid w:val="00B73CA3"/>
    <w:rsid w:val="00B7401D"/>
    <w:rsid w:val="00B7415D"/>
    <w:rsid w:val="00B744E0"/>
    <w:rsid w:val="00B749A3"/>
    <w:rsid w:val="00B749EF"/>
    <w:rsid w:val="00B750BC"/>
    <w:rsid w:val="00B753E2"/>
    <w:rsid w:val="00B755FE"/>
    <w:rsid w:val="00B75699"/>
    <w:rsid w:val="00B756E0"/>
    <w:rsid w:val="00B75778"/>
    <w:rsid w:val="00B758B0"/>
    <w:rsid w:val="00B75FAA"/>
    <w:rsid w:val="00B76118"/>
    <w:rsid w:val="00B76598"/>
    <w:rsid w:val="00B76626"/>
    <w:rsid w:val="00B76C87"/>
    <w:rsid w:val="00B76E80"/>
    <w:rsid w:val="00B77031"/>
    <w:rsid w:val="00B77598"/>
    <w:rsid w:val="00B7766E"/>
    <w:rsid w:val="00B77692"/>
    <w:rsid w:val="00B7781F"/>
    <w:rsid w:val="00B778A1"/>
    <w:rsid w:val="00B77A1B"/>
    <w:rsid w:val="00B77CE4"/>
    <w:rsid w:val="00B77D86"/>
    <w:rsid w:val="00B77E10"/>
    <w:rsid w:val="00B77E2D"/>
    <w:rsid w:val="00B80DA0"/>
    <w:rsid w:val="00B80E80"/>
    <w:rsid w:val="00B810A8"/>
    <w:rsid w:val="00B81320"/>
    <w:rsid w:val="00B81466"/>
    <w:rsid w:val="00B814B5"/>
    <w:rsid w:val="00B8151A"/>
    <w:rsid w:val="00B81551"/>
    <w:rsid w:val="00B81749"/>
    <w:rsid w:val="00B8175C"/>
    <w:rsid w:val="00B817D6"/>
    <w:rsid w:val="00B8186E"/>
    <w:rsid w:val="00B81C81"/>
    <w:rsid w:val="00B8213D"/>
    <w:rsid w:val="00B821EE"/>
    <w:rsid w:val="00B82673"/>
    <w:rsid w:val="00B8284A"/>
    <w:rsid w:val="00B82934"/>
    <w:rsid w:val="00B82966"/>
    <w:rsid w:val="00B83264"/>
    <w:rsid w:val="00B83329"/>
    <w:rsid w:val="00B8360B"/>
    <w:rsid w:val="00B8383F"/>
    <w:rsid w:val="00B8391F"/>
    <w:rsid w:val="00B8430C"/>
    <w:rsid w:val="00B84CC3"/>
    <w:rsid w:val="00B84D79"/>
    <w:rsid w:val="00B84F73"/>
    <w:rsid w:val="00B8593C"/>
    <w:rsid w:val="00B859D2"/>
    <w:rsid w:val="00B85A9F"/>
    <w:rsid w:val="00B85B77"/>
    <w:rsid w:val="00B85B9B"/>
    <w:rsid w:val="00B85E22"/>
    <w:rsid w:val="00B85E4D"/>
    <w:rsid w:val="00B86008"/>
    <w:rsid w:val="00B86167"/>
    <w:rsid w:val="00B861F9"/>
    <w:rsid w:val="00B8623C"/>
    <w:rsid w:val="00B867AA"/>
    <w:rsid w:val="00B867EC"/>
    <w:rsid w:val="00B86F39"/>
    <w:rsid w:val="00B87147"/>
    <w:rsid w:val="00B87288"/>
    <w:rsid w:val="00B87932"/>
    <w:rsid w:val="00B87BC1"/>
    <w:rsid w:val="00B900EE"/>
    <w:rsid w:val="00B901A2"/>
    <w:rsid w:val="00B90266"/>
    <w:rsid w:val="00B907FC"/>
    <w:rsid w:val="00B90ADF"/>
    <w:rsid w:val="00B90AEF"/>
    <w:rsid w:val="00B90C0F"/>
    <w:rsid w:val="00B90CE6"/>
    <w:rsid w:val="00B90FD6"/>
    <w:rsid w:val="00B91AD6"/>
    <w:rsid w:val="00B91BB3"/>
    <w:rsid w:val="00B92352"/>
    <w:rsid w:val="00B92404"/>
    <w:rsid w:val="00B925A0"/>
    <w:rsid w:val="00B926A0"/>
    <w:rsid w:val="00B92DEB"/>
    <w:rsid w:val="00B92FF1"/>
    <w:rsid w:val="00B9306A"/>
    <w:rsid w:val="00B931C0"/>
    <w:rsid w:val="00B933C9"/>
    <w:rsid w:val="00B93579"/>
    <w:rsid w:val="00B935BE"/>
    <w:rsid w:val="00B936A5"/>
    <w:rsid w:val="00B938A9"/>
    <w:rsid w:val="00B9396F"/>
    <w:rsid w:val="00B93A90"/>
    <w:rsid w:val="00B93AFB"/>
    <w:rsid w:val="00B93B3A"/>
    <w:rsid w:val="00B93C72"/>
    <w:rsid w:val="00B93EB1"/>
    <w:rsid w:val="00B93F44"/>
    <w:rsid w:val="00B93FCF"/>
    <w:rsid w:val="00B9421C"/>
    <w:rsid w:val="00B942F7"/>
    <w:rsid w:val="00B9448C"/>
    <w:rsid w:val="00B94746"/>
    <w:rsid w:val="00B94919"/>
    <w:rsid w:val="00B95277"/>
    <w:rsid w:val="00B952D2"/>
    <w:rsid w:val="00B95474"/>
    <w:rsid w:val="00B955AE"/>
    <w:rsid w:val="00B95630"/>
    <w:rsid w:val="00B95994"/>
    <w:rsid w:val="00B95E4C"/>
    <w:rsid w:val="00B96250"/>
    <w:rsid w:val="00B962DD"/>
    <w:rsid w:val="00B965B0"/>
    <w:rsid w:val="00B965D5"/>
    <w:rsid w:val="00B96895"/>
    <w:rsid w:val="00B96B88"/>
    <w:rsid w:val="00B96C0E"/>
    <w:rsid w:val="00B96C3F"/>
    <w:rsid w:val="00B96CA4"/>
    <w:rsid w:val="00B96E97"/>
    <w:rsid w:val="00B96E9B"/>
    <w:rsid w:val="00B97148"/>
    <w:rsid w:val="00B9717E"/>
    <w:rsid w:val="00B97183"/>
    <w:rsid w:val="00B972D8"/>
    <w:rsid w:val="00B9769A"/>
    <w:rsid w:val="00B97D80"/>
    <w:rsid w:val="00B97F8A"/>
    <w:rsid w:val="00BA044C"/>
    <w:rsid w:val="00BA0753"/>
    <w:rsid w:val="00BA0839"/>
    <w:rsid w:val="00BA0C11"/>
    <w:rsid w:val="00BA129A"/>
    <w:rsid w:val="00BA1440"/>
    <w:rsid w:val="00BA17EA"/>
    <w:rsid w:val="00BA190F"/>
    <w:rsid w:val="00BA19E2"/>
    <w:rsid w:val="00BA1A0D"/>
    <w:rsid w:val="00BA1D58"/>
    <w:rsid w:val="00BA21C7"/>
    <w:rsid w:val="00BA25A4"/>
    <w:rsid w:val="00BA28FA"/>
    <w:rsid w:val="00BA29FC"/>
    <w:rsid w:val="00BA2A74"/>
    <w:rsid w:val="00BA2D09"/>
    <w:rsid w:val="00BA2D52"/>
    <w:rsid w:val="00BA2E91"/>
    <w:rsid w:val="00BA3296"/>
    <w:rsid w:val="00BA3B83"/>
    <w:rsid w:val="00BA3BBE"/>
    <w:rsid w:val="00BA3BCB"/>
    <w:rsid w:val="00BA3C1B"/>
    <w:rsid w:val="00BA3DB6"/>
    <w:rsid w:val="00BA4387"/>
    <w:rsid w:val="00BA45E4"/>
    <w:rsid w:val="00BA473E"/>
    <w:rsid w:val="00BA49EF"/>
    <w:rsid w:val="00BA4A09"/>
    <w:rsid w:val="00BA4B55"/>
    <w:rsid w:val="00BA4BCF"/>
    <w:rsid w:val="00BA4F0E"/>
    <w:rsid w:val="00BA4F30"/>
    <w:rsid w:val="00BA4F60"/>
    <w:rsid w:val="00BA538B"/>
    <w:rsid w:val="00BA53A2"/>
    <w:rsid w:val="00BA5A9B"/>
    <w:rsid w:val="00BA5B52"/>
    <w:rsid w:val="00BA5E2E"/>
    <w:rsid w:val="00BA5F69"/>
    <w:rsid w:val="00BA6155"/>
    <w:rsid w:val="00BA6AC0"/>
    <w:rsid w:val="00BA6E99"/>
    <w:rsid w:val="00BA6F35"/>
    <w:rsid w:val="00BA7194"/>
    <w:rsid w:val="00BA72E8"/>
    <w:rsid w:val="00BA7604"/>
    <w:rsid w:val="00BA76E1"/>
    <w:rsid w:val="00BA77B7"/>
    <w:rsid w:val="00BA7983"/>
    <w:rsid w:val="00BA7A37"/>
    <w:rsid w:val="00BB042A"/>
    <w:rsid w:val="00BB0CE9"/>
    <w:rsid w:val="00BB1645"/>
    <w:rsid w:val="00BB19AC"/>
    <w:rsid w:val="00BB1A76"/>
    <w:rsid w:val="00BB1AF4"/>
    <w:rsid w:val="00BB1F81"/>
    <w:rsid w:val="00BB1FC3"/>
    <w:rsid w:val="00BB2383"/>
    <w:rsid w:val="00BB27F9"/>
    <w:rsid w:val="00BB2B74"/>
    <w:rsid w:val="00BB2BE5"/>
    <w:rsid w:val="00BB337E"/>
    <w:rsid w:val="00BB3621"/>
    <w:rsid w:val="00BB3E1D"/>
    <w:rsid w:val="00BB3F79"/>
    <w:rsid w:val="00BB421E"/>
    <w:rsid w:val="00BB44C5"/>
    <w:rsid w:val="00BB4525"/>
    <w:rsid w:val="00BB47E5"/>
    <w:rsid w:val="00BB47ED"/>
    <w:rsid w:val="00BB4AAD"/>
    <w:rsid w:val="00BB4D26"/>
    <w:rsid w:val="00BB4E15"/>
    <w:rsid w:val="00BB5011"/>
    <w:rsid w:val="00BB515E"/>
    <w:rsid w:val="00BB587A"/>
    <w:rsid w:val="00BB58BB"/>
    <w:rsid w:val="00BB61E3"/>
    <w:rsid w:val="00BB6B83"/>
    <w:rsid w:val="00BB700E"/>
    <w:rsid w:val="00BB7058"/>
    <w:rsid w:val="00BB712F"/>
    <w:rsid w:val="00BB74D0"/>
    <w:rsid w:val="00BB74F3"/>
    <w:rsid w:val="00BB7903"/>
    <w:rsid w:val="00BB7965"/>
    <w:rsid w:val="00BB7ABC"/>
    <w:rsid w:val="00BC0223"/>
    <w:rsid w:val="00BC06EA"/>
    <w:rsid w:val="00BC088B"/>
    <w:rsid w:val="00BC0FCE"/>
    <w:rsid w:val="00BC1104"/>
    <w:rsid w:val="00BC1540"/>
    <w:rsid w:val="00BC1CF8"/>
    <w:rsid w:val="00BC1D30"/>
    <w:rsid w:val="00BC1D9A"/>
    <w:rsid w:val="00BC1DBC"/>
    <w:rsid w:val="00BC26E3"/>
    <w:rsid w:val="00BC29DA"/>
    <w:rsid w:val="00BC2C8D"/>
    <w:rsid w:val="00BC302C"/>
    <w:rsid w:val="00BC31C1"/>
    <w:rsid w:val="00BC33B2"/>
    <w:rsid w:val="00BC39EE"/>
    <w:rsid w:val="00BC3A71"/>
    <w:rsid w:val="00BC3C4A"/>
    <w:rsid w:val="00BC3D1E"/>
    <w:rsid w:val="00BC4578"/>
    <w:rsid w:val="00BC469A"/>
    <w:rsid w:val="00BC49F1"/>
    <w:rsid w:val="00BC4A72"/>
    <w:rsid w:val="00BC4AC5"/>
    <w:rsid w:val="00BC4B49"/>
    <w:rsid w:val="00BC4C8C"/>
    <w:rsid w:val="00BC4CAA"/>
    <w:rsid w:val="00BC5033"/>
    <w:rsid w:val="00BC50A9"/>
    <w:rsid w:val="00BC5331"/>
    <w:rsid w:val="00BC54ED"/>
    <w:rsid w:val="00BC5690"/>
    <w:rsid w:val="00BC58FA"/>
    <w:rsid w:val="00BC5D97"/>
    <w:rsid w:val="00BC61E3"/>
    <w:rsid w:val="00BC639C"/>
    <w:rsid w:val="00BC64C6"/>
    <w:rsid w:val="00BC6523"/>
    <w:rsid w:val="00BC655A"/>
    <w:rsid w:val="00BC6631"/>
    <w:rsid w:val="00BC6802"/>
    <w:rsid w:val="00BC6F28"/>
    <w:rsid w:val="00BC71A5"/>
    <w:rsid w:val="00BC75FE"/>
    <w:rsid w:val="00BC7ECD"/>
    <w:rsid w:val="00BD0604"/>
    <w:rsid w:val="00BD0AC0"/>
    <w:rsid w:val="00BD0BF8"/>
    <w:rsid w:val="00BD0C21"/>
    <w:rsid w:val="00BD0CFE"/>
    <w:rsid w:val="00BD0E60"/>
    <w:rsid w:val="00BD1168"/>
    <w:rsid w:val="00BD1339"/>
    <w:rsid w:val="00BD1691"/>
    <w:rsid w:val="00BD17AA"/>
    <w:rsid w:val="00BD1881"/>
    <w:rsid w:val="00BD1ACE"/>
    <w:rsid w:val="00BD1CB2"/>
    <w:rsid w:val="00BD2194"/>
    <w:rsid w:val="00BD267E"/>
    <w:rsid w:val="00BD2AD7"/>
    <w:rsid w:val="00BD2B4A"/>
    <w:rsid w:val="00BD2C5A"/>
    <w:rsid w:val="00BD2FB2"/>
    <w:rsid w:val="00BD36E4"/>
    <w:rsid w:val="00BD3754"/>
    <w:rsid w:val="00BD3DEF"/>
    <w:rsid w:val="00BD3FCC"/>
    <w:rsid w:val="00BD4031"/>
    <w:rsid w:val="00BD41F2"/>
    <w:rsid w:val="00BD456C"/>
    <w:rsid w:val="00BD46F5"/>
    <w:rsid w:val="00BD476B"/>
    <w:rsid w:val="00BD4FD9"/>
    <w:rsid w:val="00BD5292"/>
    <w:rsid w:val="00BD5473"/>
    <w:rsid w:val="00BD6424"/>
    <w:rsid w:val="00BD6C3A"/>
    <w:rsid w:val="00BD7013"/>
    <w:rsid w:val="00BD72E9"/>
    <w:rsid w:val="00BD7ADE"/>
    <w:rsid w:val="00BD7C4A"/>
    <w:rsid w:val="00BD7FF1"/>
    <w:rsid w:val="00BE00AA"/>
    <w:rsid w:val="00BE0194"/>
    <w:rsid w:val="00BE09B8"/>
    <w:rsid w:val="00BE0C4A"/>
    <w:rsid w:val="00BE0CF0"/>
    <w:rsid w:val="00BE10EA"/>
    <w:rsid w:val="00BE134B"/>
    <w:rsid w:val="00BE1829"/>
    <w:rsid w:val="00BE1D57"/>
    <w:rsid w:val="00BE1E5D"/>
    <w:rsid w:val="00BE1E9A"/>
    <w:rsid w:val="00BE2311"/>
    <w:rsid w:val="00BE23CE"/>
    <w:rsid w:val="00BE2598"/>
    <w:rsid w:val="00BE2AE7"/>
    <w:rsid w:val="00BE2B54"/>
    <w:rsid w:val="00BE2E85"/>
    <w:rsid w:val="00BE3405"/>
    <w:rsid w:val="00BE3573"/>
    <w:rsid w:val="00BE3634"/>
    <w:rsid w:val="00BE3685"/>
    <w:rsid w:val="00BE3A91"/>
    <w:rsid w:val="00BE3B1A"/>
    <w:rsid w:val="00BE3D5E"/>
    <w:rsid w:val="00BE464D"/>
    <w:rsid w:val="00BE4870"/>
    <w:rsid w:val="00BE4987"/>
    <w:rsid w:val="00BE5162"/>
    <w:rsid w:val="00BE52B1"/>
    <w:rsid w:val="00BE56EE"/>
    <w:rsid w:val="00BE57E5"/>
    <w:rsid w:val="00BE599F"/>
    <w:rsid w:val="00BE5DC5"/>
    <w:rsid w:val="00BE61EA"/>
    <w:rsid w:val="00BE68D8"/>
    <w:rsid w:val="00BE6AC0"/>
    <w:rsid w:val="00BE6E9A"/>
    <w:rsid w:val="00BE71DC"/>
    <w:rsid w:val="00BE735B"/>
    <w:rsid w:val="00BE748F"/>
    <w:rsid w:val="00BE76E1"/>
    <w:rsid w:val="00BE7767"/>
    <w:rsid w:val="00BE794F"/>
    <w:rsid w:val="00BE79BF"/>
    <w:rsid w:val="00BE7E30"/>
    <w:rsid w:val="00BE7F94"/>
    <w:rsid w:val="00BF0302"/>
    <w:rsid w:val="00BF041F"/>
    <w:rsid w:val="00BF0A44"/>
    <w:rsid w:val="00BF0B86"/>
    <w:rsid w:val="00BF0BC8"/>
    <w:rsid w:val="00BF0BE0"/>
    <w:rsid w:val="00BF113D"/>
    <w:rsid w:val="00BF13AE"/>
    <w:rsid w:val="00BF14FA"/>
    <w:rsid w:val="00BF1566"/>
    <w:rsid w:val="00BF17CF"/>
    <w:rsid w:val="00BF18F5"/>
    <w:rsid w:val="00BF1AB4"/>
    <w:rsid w:val="00BF1B48"/>
    <w:rsid w:val="00BF1BDB"/>
    <w:rsid w:val="00BF1D84"/>
    <w:rsid w:val="00BF1E2E"/>
    <w:rsid w:val="00BF20C8"/>
    <w:rsid w:val="00BF2115"/>
    <w:rsid w:val="00BF258D"/>
    <w:rsid w:val="00BF3085"/>
    <w:rsid w:val="00BF31E7"/>
    <w:rsid w:val="00BF32C7"/>
    <w:rsid w:val="00BF343E"/>
    <w:rsid w:val="00BF379D"/>
    <w:rsid w:val="00BF3858"/>
    <w:rsid w:val="00BF38E1"/>
    <w:rsid w:val="00BF39F7"/>
    <w:rsid w:val="00BF3E15"/>
    <w:rsid w:val="00BF3ED8"/>
    <w:rsid w:val="00BF41E3"/>
    <w:rsid w:val="00BF43FB"/>
    <w:rsid w:val="00BF4506"/>
    <w:rsid w:val="00BF4734"/>
    <w:rsid w:val="00BF4A6B"/>
    <w:rsid w:val="00BF5843"/>
    <w:rsid w:val="00BF59B7"/>
    <w:rsid w:val="00BF5BEF"/>
    <w:rsid w:val="00BF5BF5"/>
    <w:rsid w:val="00BF5C22"/>
    <w:rsid w:val="00BF619F"/>
    <w:rsid w:val="00BF6289"/>
    <w:rsid w:val="00BF6373"/>
    <w:rsid w:val="00BF637C"/>
    <w:rsid w:val="00BF65BE"/>
    <w:rsid w:val="00BF6725"/>
    <w:rsid w:val="00BF6A01"/>
    <w:rsid w:val="00BF6AAD"/>
    <w:rsid w:val="00BF6C56"/>
    <w:rsid w:val="00BF6F2D"/>
    <w:rsid w:val="00BF709E"/>
    <w:rsid w:val="00BF714B"/>
    <w:rsid w:val="00BF73A2"/>
    <w:rsid w:val="00BF7736"/>
    <w:rsid w:val="00BF7D7F"/>
    <w:rsid w:val="00BF7FEF"/>
    <w:rsid w:val="00C0002A"/>
    <w:rsid w:val="00C00271"/>
    <w:rsid w:val="00C0088D"/>
    <w:rsid w:val="00C00AB7"/>
    <w:rsid w:val="00C00D00"/>
    <w:rsid w:val="00C00D1F"/>
    <w:rsid w:val="00C00DAB"/>
    <w:rsid w:val="00C0109F"/>
    <w:rsid w:val="00C0152E"/>
    <w:rsid w:val="00C017AE"/>
    <w:rsid w:val="00C01940"/>
    <w:rsid w:val="00C01A9B"/>
    <w:rsid w:val="00C01AA5"/>
    <w:rsid w:val="00C01D70"/>
    <w:rsid w:val="00C02031"/>
    <w:rsid w:val="00C02157"/>
    <w:rsid w:val="00C023D4"/>
    <w:rsid w:val="00C02A3C"/>
    <w:rsid w:val="00C02B8F"/>
    <w:rsid w:val="00C02FD6"/>
    <w:rsid w:val="00C03144"/>
    <w:rsid w:val="00C037E9"/>
    <w:rsid w:val="00C03A52"/>
    <w:rsid w:val="00C03D24"/>
    <w:rsid w:val="00C03E0A"/>
    <w:rsid w:val="00C04022"/>
    <w:rsid w:val="00C040E4"/>
    <w:rsid w:val="00C0454D"/>
    <w:rsid w:val="00C04556"/>
    <w:rsid w:val="00C04624"/>
    <w:rsid w:val="00C04845"/>
    <w:rsid w:val="00C04A1D"/>
    <w:rsid w:val="00C04C2D"/>
    <w:rsid w:val="00C052D2"/>
    <w:rsid w:val="00C053C5"/>
    <w:rsid w:val="00C055D8"/>
    <w:rsid w:val="00C057C3"/>
    <w:rsid w:val="00C05CBD"/>
    <w:rsid w:val="00C05D39"/>
    <w:rsid w:val="00C05E88"/>
    <w:rsid w:val="00C05E9B"/>
    <w:rsid w:val="00C06138"/>
    <w:rsid w:val="00C062B8"/>
    <w:rsid w:val="00C063D3"/>
    <w:rsid w:val="00C063EE"/>
    <w:rsid w:val="00C0658C"/>
    <w:rsid w:val="00C066DD"/>
    <w:rsid w:val="00C06880"/>
    <w:rsid w:val="00C069D8"/>
    <w:rsid w:val="00C06A63"/>
    <w:rsid w:val="00C06AAB"/>
    <w:rsid w:val="00C06C6C"/>
    <w:rsid w:val="00C06C8F"/>
    <w:rsid w:val="00C070D4"/>
    <w:rsid w:val="00C07375"/>
    <w:rsid w:val="00C07607"/>
    <w:rsid w:val="00C07839"/>
    <w:rsid w:val="00C07948"/>
    <w:rsid w:val="00C07954"/>
    <w:rsid w:val="00C07AFD"/>
    <w:rsid w:val="00C07FDB"/>
    <w:rsid w:val="00C100D5"/>
    <w:rsid w:val="00C1022E"/>
    <w:rsid w:val="00C10382"/>
    <w:rsid w:val="00C10804"/>
    <w:rsid w:val="00C10974"/>
    <w:rsid w:val="00C10A70"/>
    <w:rsid w:val="00C10E3D"/>
    <w:rsid w:val="00C10EA7"/>
    <w:rsid w:val="00C10FAD"/>
    <w:rsid w:val="00C110E5"/>
    <w:rsid w:val="00C113C7"/>
    <w:rsid w:val="00C115E2"/>
    <w:rsid w:val="00C11654"/>
    <w:rsid w:val="00C12135"/>
    <w:rsid w:val="00C125C8"/>
    <w:rsid w:val="00C1277B"/>
    <w:rsid w:val="00C12880"/>
    <w:rsid w:val="00C12906"/>
    <w:rsid w:val="00C12D1D"/>
    <w:rsid w:val="00C12E3E"/>
    <w:rsid w:val="00C12E76"/>
    <w:rsid w:val="00C13047"/>
    <w:rsid w:val="00C13059"/>
    <w:rsid w:val="00C13332"/>
    <w:rsid w:val="00C1333F"/>
    <w:rsid w:val="00C13574"/>
    <w:rsid w:val="00C13E46"/>
    <w:rsid w:val="00C140EA"/>
    <w:rsid w:val="00C141DF"/>
    <w:rsid w:val="00C141EA"/>
    <w:rsid w:val="00C14348"/>
    <w:rsid w:val="00C14386"/>
    <w:rsid w:val="00C143A6"/>
    <w:rsid w:val="00C144AF"/>
    <w:rsid w:val="00C14E2C"/>
    <w:rsid w:val="00C151A8"/>
    <w:rsid w:val="00C1522F"/>
    <w:rsid w:val="00C15533"/>
    <w:rsid w:val="00C1569A"/>
    <w:rsid w:val="00C157A7"/>
    <w:rsid w:val="00C159A8"/>
    <w:rsid w:val="00C15A04"/>
    <w:rsid w:val="00C15A75"/>
    <w:rsid w:val="00C15AFA"/>
    <w:rsid w:val="00C15C89"/>
    <w:rsid w:val="00C15D30"/>
    <w:rsid w:val="00C162E5"/>
    <w:rsid w:val="00C1630A"/>
    <w:rsid w:val="00C16371"/>
    <w:rsid w:val="00C163B9"/>
    <w:rsid w:val="00C165B6"/>
    <w:rsid w:val="00C1668A"/>
    <w:rsid w:val="00C166A2"/>
    <w:rsid w:val="00C16760"/>
    <w:rsid w:val="00C167F0"/>
    <w:rsid w:val="00C16C0D"/>
    <w:rsid w:val="00C16D8C"/>
    <w:rsid w:val="00C17242"/>
    <w:rsid w:val="00C174E1"/>
    <w:rsid w:val="00C17606"/>
    <w:rsid w:val="00C17702"/>
    <w:rsid w:val="00C177B1"/>
    <w:rsid w:val="00C17831"/>
    <w:rsid w:val="00C17849"/>
    <w:rsid w:val="00C17B9A"/>
    <w:rsid w:val="00C17FA1"/>
    <w:rsid w:val="00C2021F"/>
    <w:rsid w:val="00C205E7"/>
    <w:rsid w:val="00C209C1"/>
    <w:rsid w:val="00C20B88"/>
    <w:rsid w:val="00C20E21"/>
    <w:rsid w:val="00C20F71"/>
    <w:rsid w:val="00C2100E"/>
    <w:rsid w:val="00C21045"/>
    <w:rsid w:val="00C213E7"/>
    <w:rsid w:val="00C21482"/>
    <w:rsid w:val="00C215C1"/>
    <w:rsid w:val="00C21722"/>
    <w:rsid w:val="00C21825"/>
    <w:rsid w:val="00C219C5"/>
    <w:rsid w:val="00C21A50"/>
    <w:rsid w:val="00C21BC2"/>
    <w:rsid w:val="00C21E29"/>
    <w:rsid w:val="00C22B69"/>
    <w:rsid w:val="00C22C42"/>
    <w:rsid w:val="00C22FC6"/>
    <w:rsid w:val="00C2324C"/>
    <w:rsid w:val="00C23335"/>
    <w:rsid w:val="00C233CD"/>
    <w:rsid w:val="00C236A9"/>
    <w:rsid w:val="00C23929"/>
    <w:rsid w:val="00C239AE"/>
    <w:rsid w:val="00C23AC9"/>
    <w:rsid w:val="00C23B31"/>
    <w:rsid w:val="00C23C5D"/>
    <w:rsid w:val="00C23ED5"/>
    <w:rsid w:val="00C2453B"/>
    <w:rsid w:val="00C245A2"/>
    <w:rsid w:val="00C246CC"/>
    <w:rsid w:val="00C2498E"/>
    <w:rsid w:val="00C24C34"/>
    <w:rsid w:val="00C250FE"/>
    <w:rsid w:val="00C255ED"/>
    <w:rsid w:val="00C25696"/>
    <w:rsid w:val="00C25794"/>
    <w:rsid w:val="00C25BE6"/>
    <w:rsid w:val="00C25CC5"/>
    <w:rsid w:val="00C25E19"/>
    <w:rsid w:val="00C25F98"/>
    <w:rsid w:val="00C26015"/>
    <w:rsid w:val="00C26064"/>
    <w:rsid w:val="00C26216"/>
    <w:rsid w:val="00C263D6"/>
    <w:rsid w:val="00C265DA"/>
    <w:rsid w:val="00C26646"/>
    <w:rsid w:val="00C267A7"/>
    <w:rsid w:val="00C2683B"/>
    <w:rsid w:val="00C26F03"/>
    <w:rsid w:val="00C2714E"/>
    <w:rsid w:val="00C274CD"/>
    <w:rsid w:val="00C27650"/>
    <w:rsid w:val="00C279A8"/>
    <w:rsid w:val="00C27B98"/>
    <w:rsid w:val="00C27E00"/>
    <w:rsid w:val="00C27E0B"/>
    <w:rsid w:val="00C30017"/>
    <w:rsid w:val="00C300EA"/>
    <w:rsid w:val="00C3082B"/>
    <w:rsid w:val="00C30984"/>
    <w:rsid w:val="00C30D82"/>
    <w:rsid w:val="00C30FFC"/>
    <w:rsid w:val="00C3113F"/>
    <w:rsid w:val="00C31413"/>
    <w:rsid w:val="00C314CB"/>
    <w:rsid w:val="00C316E9"/>
    <w:rsid w:val="00C31920"/>
    <w:rsid w:val="00C31B8A"/>
    <w:rsid w:val="00C31BBD"/>
    <w:rsid w:val="00C32453"/>
    <w:rsid w:val="00C32730"/>
    <w:rsid w:val="00C32821"/>
    <w:rsid w:val="00C32AF6"/>
    <w:rsid w:val="00C32B9D"/>
    <w:rsid w:val="00C32D26"/>
    <w:rsid w:val="00C332FF"/>
    <w:rsid w:val="00C33CE8"/>
    <w:rsid w:val="00C33F1C"/>
    <w:rsid w:val="00C34269"/>
    <w:rsid w:val="00C3452A"/>
    <w:rsid w:val="00C34C2C"/>
    <w:rsid w:val="00C34CCB"/>
    <w:rsid w:val="00C34DFF"/>
    <w:rsid w:val="00C34EA5"/>
    <w:rsid w:val="00C34FB1"/>
    <w:rsid w:val="00C35095"/>
    <w:rsid w:val="00C3516E"/>
    <w:rsid w:val="00C3535C"/>
    <w:rsid w:val="00C35478"/>
    <w:rsid w:val="00C35704"/>
    <w:rsid w:val="00C357AD"/>
    <w:rsid w:val="00C35866"/>
    <w:rsid w:val="00C35B4F"/>
    <w:rsid w:val="00C35D9B"/>
    <w:rsid w:val="00C35DBE"/>
    <w:rsid w:val="00C35E3B"/>
    <w:rsid w:val="00C35EBC"/>
    <w:rsid w:val="00C35ED7"/>
    <w:rsid w:val="00C35FA2"/>
    <w:rsid w:val="00C3608F"/>
    <w:rsid w:val="00C362AB"/>
    <w:rsid w:val="00C36507"/>
    <w:rsid w:val="00C366F8"/>
    <w:rsid w:val="00C36C7E"/>
    <w:rsid w:val="00C37079"/>
    <w:rsid w:val="00C37144"/>
    <w:rsid w:val="00C3749E"/>
    <w:rsid w:val="00C3763B"/>
    <w:rsid w:val="00C376BE"/>
    <w:rsid w:val="00C37868"/>
    <w:rsid w:val="00C37CD5"/>
    <w:rsid w:val="00C37D4D"/>
    <w:rsid w:val="00C40047"/>
    <w:rsid w:val="00C4011A"/>
    <w:rsid w:val="00C4055E"/>
    <w:rsid w:val="00C408CD"/>
    <w:rsid w:val="00C40931"/>
    <w:rsid w:val="00C40A5C"/>
    <w:rsid w:val="00C4125F"/>
    <w:rsid w:val="00C415BE"/>
    <w:rsid w:val="00C41A0B"/>
    <w:rsid w:val="00C41CE1"/>
    <w:rsid w:val="00C42278"/>
    <w:rsid w:val="00C4244C"/>
    <w:rsid w:val="00C42468"/>
    <w:rsid w:val="00C4248D"/>
    <w:rsid w:val="00C42806"/>
    <w:rsid w:val="00C42884"/>
    <w:rsid w:val="00C430BE"/>
    <w:rsid w:val="00C430D0"/>
    <w:rsid w:val="00C44037"/>
    <w:rsid w:val="00C44178"/>
    <w:rsid w:val="00C441D1"/>
    <w:rsid w:val="00C441D2"/>
    <w:rsid w:val="00C444B1"/>
    <w:rsid w:val="00C4468D"/>
    <w:rsid w:val="00C4487A"/>
    <w:rsid w:val="00C4490F"/>
    <w:rsid w:val="00C44FBE"/>
    <w:rsid w:val="00C451C9"/>
    <w:rsid w:val="00C45219"/>
    <w:rsid w:val="00C4526B"/>
    <w:rsid w:val="00C455AE"/>
    <w:rsid w:val="00C458A7"/>
    <w:rsid w:val="00C45B0C"/>
    <w:rsid w:val="00C460B1"/>
    <w:rsid w:val="00C464CD"/>
    <w:rsid w:val="00C465CE"/>
    <w:rsid w:val="00C466E9"/>
    <w:rsid w:val="00C4674E"/>
    <w:rsid w:val="00C46846"/>
    <w:rsid w:val="00C46885"/>
    <w:rsid w:val="00C46C00"/>
    <w:rsid w:val="00C46C88"/>
    <w:rsid w:val="00C46E30"/>
    <w:rsid w:val="00C46E4F"/>
    <w:rsid w:val="00C47210"/>
    <w:rsid w:val="00C4754A"/>
    <w:rsid w:val="00C477E5"/>
    <w:rsid w:val="00C47DD4"/>
    <w:rsid w:val="00C47E5B"/>
    <w:rsid w:val="00C50B0B"/>
    <w:rsid w:val="00C50B21"/>
    <w:rsid w:val="00C50D15"/>
    <w:rsid w:val="00C50EAB"/>
    <w:rsid w:val="00C51108"/>
    <w:rsid w:val="00C51248"/>
    <w:rsid w:val="00C51476"/>
    <w:rsid w:val="00C5149E"/>
    <w:rsid w:val="00C51A08"/>
    <w:rsid w:val="00C51C32"/>
    <w:rsid w:val="00C51C88"/>
    <w:rsid w:val="00C520D5"/>
    <w:rsid w:val="00C52747"/>
    <w:rsid w:val="00C5290A"/>
    <w:rsid w:val="00C530DF"/>
    <w:rsid w:val="00C53539"/>
    <w:rsid w:val="00C538B8"/>
    <w:rsid w:val="00C53B1C"/>
    <w:rsid w:val="00C53BF2"/>
    <w:rsid w:val="00C5452D"/>
    <w:rsid w:val="00C54A44"/>
    <w:rsid w:val="00C54A52"/>
    <w:rsid w:val="00C54C63"/>
    <w:rsid w:val="00C54CB8"/>
    <w:rsid w:val="00C54D43"/>
    <w:rsid w:val="00C5511F"/>
    <w:rsid w:val="00C5514F"/>
    <w:rsid w:val="00C5522F"/>
    <w:rsid w:val="00C55303"/>
    <w:rsid w:val="00C553A9"/>
    <w:rsid w:val="00C553E5"/>
    <w:rsid w:val="00C55502"/>
    <w:rsid w:val="00C559FD"/>
    <w:rsid w:val="00C55CBF"/>
    <w:rsid w:val="00C55DAC"/>
    <w:rsid w:val="00C55F72"/>
    <w:rsid w:val="00C5657E"/>
    <w:rsid w:val="00C56C61"/>
    <w:rsid w:val="00C5779B"/>
    <w:rsid w:val="00C57893"/>
    <w:rsid w:val="00C57CC1"/>
    <w:rsid w:val="00C57E6E"/>
    <w:rsid w:val="00C60258"/>
    <w:rsid w:val="00C602F9"/>
    <w:rsid w:val="00C6046D"/>
    <w:rsid w:val="00C60A7A"/>
    <w:rsid w:val="00C60BF8"/>
    <w:rsid w:val="00C60CA8"/>
    <w:rsid w:val="00C60EA1"/>
    <w:rsid w:val="00C6110F"/>
    <w:rsid w:val="00C61165"/>
    <w:rsid w:val="00C61386"/>
    <w:rsid w:val="00C61679"/>
    <w:rsid w:val="00C61806"/>
    <w:rsid w:val="00C61A17"/>
    <w:rsid w:val="00C61F6C"/>
    <w:rsid w:val="00C62434"/>
    <w:rsid w:val="00C62445"/>
    <w:rsid w:val="00C629A6"/>
    <w:rsid w:val="00C629EE"/>
    <w:rsid w:val="00C62B6F"/>
    <w:rsid w:val="00C62DED"/>
    <w:rsid w:val="00C635AD"/>
    <w:rsid w:val="00C638D9"/>
    <w:rsid w:val="00C63EB0"/>
    <w:rsid w:val="00C6409B"/>
    <w:rsid w:val="00C6461D"/>
    <w:rsid w:val="00C646D5"/>
    <w:rsid w:val="00C64880"/>
    <w:rsid w:val="00C649C7"/>
    <w:rsid w:val="00C64B2E"/>
    <w:rsid w:val="00C64C7B"/>
    <w:rsid w:val="00C64D86"/>
    <w:rsid w:val="00C64E74"/>
    <w:rsid w:val="00C64F2F"/>
    <w:rsid w:val="00C651E9"/>
    <w:rsid w:val="00C652A9"/>
    <w:rsid w:val="00C654DA"/>
    <w:rsid w:val="00C654E9"/>
    <w:rsid w:val="00C65576"/>
    <w:rsid w:val="00C655CA"/>
    <w:rsid w:val="00C65BFF"/>
    <w:rsid w:val="00C65C61"/>
    <w:rsid w:val="00C65CB8"/>
    <w:rsid w:val="00C65F6D"/>
    <w:rsid w:val="00C6605B"/>
    <w:rsid w:val="00C66136"/>
    <w:rsid w:val="00C66762"/>
    <w:rsid w:val="00C66876"/>
    <w:rsid w:val="00C66A17"/>
    <w:rsid w:val="00C66CE0"/>
    <w:rsid w:val="00C67064"/>
    <w:rsid w:val="00C67185"/>
    <w:rsid w:val="00C6782F"/>
    <w:rsid w:val="00C67873"/>
    <w:rsid w:val="00C67A04"/>
    <w:rsid w:val="00C67A67"/>
    <w:rsid w:val="00C67BD9"/>
    <w:rsid w:val="00C67D0B"/>
    <w:rsid w:val="00C67E2F"/>
    <w:rsid w:val="00C70316"/>
    <w:rsid w:val="00C7041D"/>
    <w:rsid w:val="00C70449"/>
    <w:rsid w:val="00C7046D"/>
    <w:rsid w:val="00C70C06"/>
    <w:rsid w:val="00C70CA8"/>
    <w:rsid w:val="00C70D83"/>
    <w:rsid w:val="00C70D84"/>
    <w:rsid w:val="00C70E2D"/>
    <w:rsid w:val="00C70EA4"/>
    <w:rsid w:val="00C712AF"/>
    <w:rsid w:val="00C71911"/>
    <w:rsid w:val="00C71A7C"/>
    <w:rsid w:val="00C71B16"/>
    <w:rsid w:val="00C72048"/>
    <w:rsid w:val="00C721A3"/>
    <w:rsid w:val="00C7232B"/>
    <w:rsid w:val="00C725B3"/>
    <w:rsid w:val="00C72831"/>
    <w:rsid w:val="00C72ACF"/>
    <w:rsid w:val="00C72D02"/>
    <w:rsid w:val="00C72F2E"/>
    <w:rsid w:val="00C731EE"/>
    <w:rsid w:val="00C73212"/>
    <w:rsid w:val="00C733AB"/>
    <w:rsid w:val="00C73794"/>
    <w:rsid w:val="00C737AF"/>
    <w:rsid w:val="00C739D8"/>
    <w:rsid w:val="00C73D36"/>
    <w:rsid w:val="00C73E27"/>
    <w:rsid w:val="00C73F5F"/>
    <w:rsid w:val="00C74056"/>
    <w:rsid w:val="00C742C5"/>
    <w:rsid w:val="00C743EF"/>
    <w:rsid w:val="00C7464C"/>
    <w:rsid w:val="00C74960"/>
    <w:rsid w:val="00C74988"/>
    <w:rsid w:val="00C749E0"/>
    <w:rsid w:val="00C74A02"/>
    <w:rsid w:val="00C74A8B"/>
    <w:rsid w:val="00C74B35"/>
    <w:rsid w:val="00C74D67"/>
    <w:rsid w:val="00C74E12"/>
    <w:rsid w:val="00C74F2D"/>
    <w:rsid w:val="00C75060"/>
    <w:rsid w:val="00C75209"/>
    <w:rsid w:val="00C752D1"/>
    <w:rsid w:val="00C7535A"/>
    <w:rsid w:val="00C75515"/>
    <w:rsid w:val="00C755D7"/>
    <w:rsid w:val="00C75647"/>
    <w:rsid w:val="00C756AF"/>
    <w:rsid w:val="00C75BC3"/>
    <w:rsid w:val="00C75BEA"/>
    <w:rsid w:val="00C75FBE"/>
    <w:rsid w:val="00C7601F"/>
    <w:rsid w:val="00C76184"/>
    <w:rsid w:val="00C761AB"/>
    <w:rsid w:val="00C76666"/>
    <w:rsid w:val="00C766F1"/>
    <w:rsid w:val="00C76716"/>
    <w:rsid w:val="00C76824"/>
    <w:rsid w:val="00C76833"/>
    <w:rsid w:val="00C769E7"/>
    <w:rsid w:val="00C76DF2"/>
    <w:rsid w:val="00C77183"/>
    <w:rsid w:val="00C771BC"/>
    <w:rsid w:val="00C7735D"/>
    <w:rsid w:val="00C77414"/>
    <w:rsid w:val="00C77419"/>
    <w:rsid w:val="00C7749E"/>
    <w:rsid w:val="00C77504"/>
    <w:rsid w:val="00C77EBB"/>
    <w:rsid w:val="00C80009"/>
    <w:rsid w:val="00C801A6"/>
    <w:rsid w:val="00C8026A"/>
    <w:rsid w:val="00C80347"/>
    <w:rsid w:val="00C80369"/>
    <w:rsid w:val="00C804E1"/>
    <w:rsid w:val="00C80529"/>
    <w:rsid w:val="00C80697"/>
    <w:rsid w:val="00C8091D"/>
    <w:rsid w:val="00C80935"/>
    <w:rsid w:val="00C80AA4"/>
    <w:rsid w:val="00C80AB4"/>
    <w:rsid w:val="00C80F7D"/>
    <w:rsid w:val="00C81433"/>
    <w:rsid w:val="00C814DF"/>
    <w:rsid w:val="00C817FC"/>
    <w:rsid w:val="00C8188B"/>
    <w:rsid w:val="00C818CF"/>
    <w:rsid w:val="00C81A81"/>
    <w:rsid w:val="00C820B3"/>
    <w:rsid w:val="00C82387"/>
    <w:rsid w:val="00C8255B"/>
    <w:rsid w:val="00C82686"/>
    <w:rsid w:val="00C828D1"/>
    <w:rsid w:val="00C82908"/>
    <w:rsid w:val="00C82920"/>
    <w:rsid w:val="00C8333E"/>
    <w:rsid w:val="00C834C3"/>
    <w:rsid w:val="00C835E6"/>
    <w:rsid w:val="00C83610"/>
    <w:rsid w:val="00C837CC"/>
    <w:rsid w:val="00C83A02"/>
    <w:rsid w:val="00C83A13"/>
    <w:rsid w:val="00C83F33"/>
    <w:rsid w:val="00C842C3"/>
    <w:rsid w:val="00C84507"/>
    <w:rsid w:val="00C84946"/>
    <w:rsid w:val="00C84B12"/>
    <w:rsid w:val="00C850BF"/>
    <w:rsid w:val="00C85163"/>
    <w:rsid w:val="00C8530E"/>
    <w:rsid w:val="00C8532D"/>
    <w:rsid w:val="00C8597A"/>
    <w:rsid w:val="00C859C0"/>
    <w:rsid w:val="00C85A42"/>
    <w:rsid w:val="00C85F41"/>
    <w:rsid w:val="00C86468"/>
    <w:rsid w:val="00C86479"/>
    <w:rsid w:val="00C8647B"/>
    <w:rsid w:val="00C8651C"/>
    <w:rsid w:val="00C86631"/>
    <w:rsid w:val="00C8670B"/>
    <w:rsid w:val="00C867B2"/>
    <w:rsid w:val="00C86BA9"/>
    <w:rsid w:val="00C87513"/>
    <w:rsid w:val="00C8757B"/>
    <w:rsid w:val="00C876A0"/>
    <w:rsid w:val="00C8794A"/>
    <w:rsid w:val="00C87AEB"/>
    <w:rsid w:val="00C87CF4"/>
    <w:rsid w:val="00C87EFD"/>
    <w:rsid w:val="00C900E9"/>
    <w:rsid w:val="00C90280"/>
    <w:rsid w:val="00C9035B"/>
    <w:rsid w:val="00C90A0F"/>
    <w:rsid w:val="00C90AA0"/>
    <w:rsid w:val="00C90D4C"/>
    <w:rsid w:val="00C90DD3"/>
    <w:rsid w:val="00C90E59"/>
    <w:rsid w:val="00C90EF3"/>
    <w:rsid w:val="00C90FA9"/>
    <w:rsid w:val="00C90FF8"/>
    <w:rsid w:val="00C91113"/>
    <w:rsid w:val="00C911FF"/>
    <w:rsid w:val="00C913D2"/>
    <w:rsid w:val="00C9152E"/>
    <w:rsid w:val="00C9153E"/>
    <w:rsid w:val="00C91651"/>
    <w:rsid w:val="00C91ED7"/>
    <w:rsid w:val="00C921AD"/>
    <w:rsid w:val="00C92347"/>
    <w:rsid w:val="00C92999"/>
    <w:rsid w:val="00C92A19"/>
    <w:rsid w:val="00C93148"/>
    <w:rsid w:val="00C93571"/>
    <w:rsid w:val="00C93B79"/>
    <w:rsid w:val="00C93F85"/>
    <w:rsid w:val="00C9410E"/>
    <w:rsid w:val="00C94126"/>
    <w:rsid w:val="00C943DF"/>
    <w:rsid w:val="00C94400"/>
    <w:rsid w:val="00C94464"/>
    <w:rsid w:val="00C947C0"/>
    <w:rsid w:val="00C94B2C"/>
    <w:rsid w:val="00C94CBD"/>
    <w:rsid w:val="00C951CE"/>
    <w:rsid w:val="00C95280"/>
    <w:rsid w:val="00C95309"/>
    <w:rsid w:val="00C95588"/>
    <w:rsid w:val="00C957D3"/>
    <w:rsid w:val="00C964B5"/>
    <w:rsid w:val="00C9659A"/>
    <w:rsid w:val="00C96768"/>
    <w:rsid w:val="00C96855"/>
    <w:rsid w:val="00C969A3"/>
    <w:rsid w:val="00C97029"/>
    <w:rsid w:val="00C97223"/>
    <w:rsid w:val="00C9727C"/>
    <w:rsid w:val="00C97383"/>
    <w:rsid w:val="00C9743C"/>
    <w:rsid w:val="00C9779E"/>
    <w:rsid w:val="00C978B0"/>
    <w:rsid w:val="00C97AC4"/>
    <w:rsid w:val="00CA0240"/>
    <w:rsid w:val="00CA0782"/>
    <w:rsid w:val="00CA0A64"/>
    <w:rsid w:val="00CA0F8C"/>
    <w:rsid w:val="00CA0FA9"/>
    <w:rsid w:val="00CA12B7"/>
    <w:rsid w:val="00CA12BC"/>
    <w:rsid w:val="00CA17C8"/>
    <w:rsid w:val="00CA1A81"/>
    <w:rsid w:val="00CA2046"/>
    <w:rsid w:val="00CA221A"/>
    <w:rsid w:val="00CA2438"/>
    <w:rsid w:val="00CA25D3"/>
    <w:rsid w:val="00CA27D6"/>
    <w:rsid w:val="00CA290A"/>
    <w:rsid w:val="00CA2A98"/>
    <w:rsid w:val="00CA2C19"/>
    <w:rsid w:val="00CA302D"/>
    <w:rsid w:val="00CA30B8"/>
    <w:rsid w:val="00CA37B9"/>
    <w:rsid w:val="00CA38CD"/>
    <w:rsid w:val="00CA3E2F"/>
    <w:rsid w:val="00CA4108"/>
    <w:rsid w:val="00CA4187"/>
    <w:rsid w:val="00CA4269"/>
    <w:rsid w:val="00CA4719"/>
    <w:rsid w:val="00CA48B2"/>
    <w:rsid w:val="00CA5000"/>
    <w:rsid w:val="00CA50B5"/>
    <w:rsid w:val="00CA5204"/>
    <w:rsid w:val="00CA5722"/>
    <w:rsid w:val="00CA6074"/>
    <w:rsid w:val="00CA653C"/>
    <w:rsid w:val="00CA7114"/>
    <w:rsid w:val="00CA7786"/>
    <w:rsid w:val="00CA7996"/>
    <w:rsid w:val="00CA7D20"/>
    <w:rsid w:val="00CA7D2D"/>
    <w:rsid w:val="00CB0347"/>
    <w:rsid w:val="00CB0622"/>
    <w:rsid w:val="00CB064E"/>
    <w:rsid w:val="00CB07CE"/>
    <w:rsid w:val="00CB0803"/>
    <w:rsid w:val="00CB0E86"/>
    <w:rsid w:val="00CB0F5C"/>
    <w:rsid w:val="00CB0F96"/>
    <w:rsid w:val="00CB15D5"/>
    <w:rsid w:val="00CB16D6"/>
    <w:rsid w:val="00CB1808"/>
    <w:rsid w:val="00CB1A8F"/>
    <w:rsid w:val="00CB1CE1"/>
    <w:rsid w:val="00CB1D7A"/>
    <w:rsid w:val="00CB1FFF"/>
    <w:rsid w:val="00CB248B"/>
    <w:rsid w:val="00CB26CF"/>
    <w:rsid w:val="00CB27DB"/>
    <w:rsid w:val="00CB2CEE"/>
    <w:rsid w:val="00CB2D87"/>
    <w:rsid w:val="00CB30BE"/>
    <w:rsid w:val="00CB3138"/>
    <w:rsid w:val="00CB33EC"/>
    <w:rsid w:val="00CB3443"/>
    <w:rsid w:val="00CB37EE"/>
    <w:rsid w:val="00CB3C7B"/>
    <w:rsid w:val="00CB4255"/>
    <w:rsid w:val="00CB45B8"/>
    <w:rsid w:val="00CB48A2"/>
    <w:rsid w:val="00CB48DB"/>
    <w:rsid w:val="00CB4A3D"/>
    <w:rsid w:val="00CB4B66"/>
    <w:rsid w:val="00CB523A"/>
    <w:rsid w:val="00CB542B"/>
    <w:rsid w:val="00CB5453"/>
    <w:rsid w:val="00CB55BD"/>
    <w:rsid w:val="00CB5663"/>
    <w:rsid w:val="00CB61C0"/>
    <w:rsid w:val="00CB63EB"/>
    <w:rsid w:val="00CB65B6"/>
    <w:rsid w:val="00CB6999"/>
    <w:rsid w:val="00CB6B1E"/>
    <w:rsid w:val="00CB6C83"/>
    <w:rsid w:val="00CB6CCA"/>
    <w:rsid w:val="00CB6CD2"/>
    <w:rsid w:val="00CB6D5B"/>
    <w:rsid w:val="00CB6F2E"/>
    <w:rsid w:val="00CB6F59"/>
    <w:rsid w:val="00CB70FD"/>
    <w:rsid w:val="00CB767C"/>
    <w:rsid w:val="00CB77C5"/>
    <w:rsid w:val="00CB7E5B"/>
    <w:rsid w:val="00CB7F26"/>
    <w:rsid w:val="00CC02F3"/>
    <w:rsid w:val="00CC0301"/>
    <w:rsid w:val="00CC031D"/>
    <w:rsid w:val="00CC043D"/>
    <w:rsid w:val="00CC04D2"/>
    <w:rsid w:val="00CC07BB"/>
    <w:rsid w:val="00CC0863"/>
    <w:rsid w:val="00CC08C0"/>
    <w:rsid w:val="00CC0A1C"/>
    <w:rsid w:val="00CC0AD6"/>
    <w:rsid w:val="00CC1124"/>
    <w:rsid w:val="00CC114C"/>
    <w:rsid w:val="00CC126D"/>
    <w:rsid w:val="00CC18E0"/>
    <w:rsid w:val="00CC1938"/>
    <w:rsid w:val="00CC1BA6"/>
    <w:rsid w:val="00CC1BD0"/>
    <w:rsid w:val="00CC1BF1"/>
    <w:rsid w:val="00CC1FA5"/>
    <w:rsid w:val="00CC28E2"/>
    <w:rsid w:val="00CC28F9"/>
    <w:rsid w:val="00CC2903"/>
    <w:rsid w:val="00CC2A75"/>
    <w:rsid w:val="00CC2A88"/>
    <w:rsid w:val="00CC3984"/>
    <w:rsid w:val="00CC3D4D"/>
    <w:rsid w:val="00CC3EFD"/>
    <w:rsid w:val="00CC4109"/>
    <w:rsid w:val="00CC46DE"/>
    <w:rsid w:val="00CC4812"/>
    <w:rsid w:val="00CC497A"/>
    <w:rsid w:val="00CC4A67"/>
    <w:rsid w:val="00CC4CE8"/>
    <w:rsid w:val="00CC4F72"/>
    <w:rsid w:val="00CC4FD2"/>
    <w:rsid w:val="00CC55F9"/>
    <w:rsid w:val="00CC57E6"/>
    <w:rsid w:val="00CC5865"/>
    <w:rsid w:val="00CC5A6C"/>
    <w:rsid w:val="00CC5DB1"/>
    <w:rsid w:val="00CC5F0F"/>
    <w:rsid w:val="00CC63DF"/>
    <w:rsid w:val="00CC643F"/>
    <w:rsid w:val="00CC65A2"/>
    <w:rsid w:val="00CC685C"/>
    <w:rsid w:val="00CC6E01"/>
    <w:rsid w:val="00CC6E48"/>
    <w:rsid w:val="00CC744B"/>
    <w:rsid w:val="00CC74E9"/>
    <w:rsid w:val="00CC7625"/>
    <w:rsid w:val="00CC784C"/>
    <w:rsid w:val="00CC79BB"/>
    <w:rsid w:val="00CC7AB7"/>
    <w:rsid w:val="00CC7B85"/>
    <w:rsid w:val="00CD0092"/>
    <w:rsid w:val="00CD02F0"/>
    <w:rsid w:val="00CD03AD"/>
    <w:rsid w:val="00CD07F5"/>
    <w:rsid w:val="00CD09D8"/>
    <w:rsid w:val="00CD0C57"/>
    <w:rsid w:val="00CD0DB6"/>
    <w:rsid w:val="00CD0FBC"/>
    <w:rsid w:val="00CD10AC"/>
    <w:rsid w:val="00CD16D9"/>
    <w:rsid w:val="00CD1A8E"/>
    <w:rsid w:val="00CD1C31"/>
    <w:rsid w:val="00CD1CA8"/>
    <w:rsid w:val="00CD1E53"/>
    <w:rsid w:val="00CD1F04"/>
    <w:rsid w:val="00CD2043"/>
    <w:rsid w:val="00CD2075"/>
    <w:rsid w:val="00CD2258"/>
    <w:rsid w:val="00CD22E2"/>
    <w:rsid w:val="00CD25CA"/>
    <w:rsid w:val="00CD29F4"/>
    <w:rsid w:val="00CD2A26"/>
    <w:rsid w:val="00CD2AA0"/>
    <w:rsid w:val="00CD2D32"/>
    <w:rsid w:val="00CD2E9C"/>
    <w:rsid w:val="00CD2F13"/>
    <w:rsid w:val="00CD3003"/>
    <w:rsid w:val="00CD3213"/>
    <w:rsid w:val="00CD352E"/>
    <w:rsid w:val="00CD3553"/>
    <w:rsid w:val="00CD3662"/>
    <w:rsid w:val="00CD36AE"/>
    <w:rsid w:val="00CD39B3"/>
    <w:rsid w:val="00CD3C33"/>
    <w:rsid w:val="00CD3CBE"/>
    <w:rsid w:val="00CD3FF9"/>
    <w:rsid w:val="00CD4526"/>
    <w:rsid w:val="00CD4577"/>
    <w:rsid w:val="00CD4992"/>
    <w:rsid w:val="00CD499F"/>
    <w:rsid w:val="00CD49BC"/>
    <w:rsid w:val="00CD4ADA"/>
    <w:rsid w:val="00CD50F5"/>
    <w:rsid w:val="00CD5260"/>
    <w:rsid w:val="00CD536C"/>
    <w:rsid w:val="00CD5BB7"/>
    <w:rsid w:val="00CD5CEE"/>
    <w:rsid w:val="00CD5D76"/>
    <w:rsid w:val="00CD5DA3"/>
    <w:rsid w:val="00CD5E6A"/>
    <w:rsid w:val="00CD5F91"/>
    <w:rsid w:val="00CD60D9"/>
    <w:rsid w:val="00CD60F0"/>
    <w:rsid w:val="00CD6486"/>
    <w:rsid w:val="00CD6B40"/>
    <w:rsid w:val="00CD6B70"/>
    <w:rsid w:val="00CD6F49"/>
    <w:rsid w:val="00CD7091"/>
    <w:rsid w:val="00CD7522"/>
    <w:rsid w:val="00CD76F2"/>
    <w:rsid w:val="00CD7A99"/>
    <w:rsid w:val="00CD7C43"/>
    <w:rsid w:val="00CD7CB6"/>
    <w:rsid w:val="00CD7E53"/>
    <w:rsid w:val="00CD7E7B"/>
    <w:rsid w:val="00CE00FB"/>
    <w:rsid w:val="00CE025C"/>
    <w:rsid w:val="00CE049C"/>
    <w:rsid w:val="00CE0ED5"/>
    <w:rsid w:val="00CE13DB"/>
    <w:rsid w:val="00CE17B2"/>
    <w:rsid w:val="00CE1AC8"/>
    <w:rsid w:val="00CE1B6E"/>
    <w:rsid w:val="00CE2280"/>
    <w:rsid w:val="00CE24F8"/>
    <w:rsid w:val="00CE273A"/>
    <w:rsid w:val="00CE2BB6"/>
    <w:rsid w:val="00CE2E62"/>
    <w:rsid w:val="00CE2ECD"/>
    <w:rsid w:val="00CE38B5"/>
    <w:rsid w:val="00CE3A58"/>
    <w:rsid w:val="00CE3DDE"/>
    <w:rsid w:val="00CE3E25"/>
    <w:rsid w:val="00CE3E7C"/>
    <w:rsid w:val="00CE4032"/>
    <w:rsid w:val="00CE42F5"/>
    <w:rsid w:val="00CE4319"/>
    <w:rsid w:val="00CE451A"/>
    <w:rsid w:val="00CE4B49"/>
    <w:rsid w:val="00CE4C20"/>
    <w:rsid w:val="00CE4C46"/>
    <w:rsid w:val="00CE4C49"/>
    <w:rsid w:val="00CE4CD4"/>
    <w:rsid w:val="00CE4E04"/>
    <w:rsid w:val="00CE5358"/>
    <w:rsid w:val="00CE55CA"/>
    <w:rsid w:val="00CE5BF6"/>
    <w:rsid w:val="00CE600D"/>
    <w:rsid w:val="00CE6160"/>
    <w:rsid w:val="00CE61F3"/>
    <w:rsid w:val="00CE663A"/>
    <w:rsid w:val="00CE67B0"/>
    <w:rsid w:val="00CE67E3"/>
    <w:rsid w:val="00CE6800"/>
    <w:rsid w:val="00CE6886"/>
    <w:rsid w:val="00CE6B01"/>
    <w:rsid w:val="00CE6C43"/>
    <w:rsid w:val="00CE6C6F"/>
    <w:rsid w:val="00CE6F0D"/>
    <w:rsid w:val="00CE70D4"/>
    <w:rsid w:val="00CE720D"/>
    <w:rsid w:val="00CE723F"/>
    <w:rsid w:val="00CE7252"/>
    <w:rsid w:val="00CE7904"/>
    <w:rsid w:val="00CE7B89"/>
    <w:rsid w:val="00CE7CB5"/>
    <w:rsid w:val="00CF008A"/>
    <w:rsid w:val="00CF00D2"/>
    <w:rsid w:val="00CF0188"/>
    <w:rsid w:val="00CF07F2"/>
    <w:rsid w:val="00CF0B88"/>
    <w:rsid w:val="00CF0B98"/>
    <w:rsid w:val="00CF0E34"/>
    <w:rsid w:val="00CF132A"/>
    <w:rsid w:val="00CF16DD"/>
    <w:rsid w:val="00CF1744"/>
    <w:rsid w:val="00CF1B13"/>
    <w:rsid w:val="00CF1B39"/>
    <w:rsid w:val="00CF1C47"/>
    <w:rsid w:val="00CF1CDB"/>
    <w:rsid w:val="00CF1DC4"/>
    <w:rsid w:val="00CF1FFB"/>
    <w:rsid w:val="00CF22D1"/>
    <w:rsid w:val="00CF2378"/>
    <w:rsid w:val="00CF270D"/>
    <w:rsid w:val="00CF2876"/>
    <w:rsid w:val="00CF2AEE"/>
    <w:rsid w:val="00CF2CFA"/>
    <w:rsid w:val="00CF2F5F"/>
    <w:rsid w:val="00CF2F98"/>
    <w:rsid w:val="00CF302A"/>
    <w:rsid w:val="00CF3261"/>
    <w:rsid w:val="00CF32C2"/>
    <w:rsid w:val="00CF34C8"/>
    <w:rsid w:val="00CF34E1"/>
    <w:rsid w:val="00CF3657"/>
    <w:rsid w:val="00CF3902"/>
    <w:rsid w:val="00CF398C"/>
    <w:rsid w:val="00CF3A34"/>
    <w:rsid w:val="00CF3BC4"/>
    <w:rsid w:val="00CF3C82"/>
    <w:rsid w:val="00CF3E23"/>
    <w:rsid w:val="00CF4002"/>
    <w:rsid w:val="00CF411A"/>
    <w:rsid w:val="00CF42A1"/>
    <w:rsid w:val="00CF43E8"/>
    <w:rsid w:val="00CF4456"/>
    <w:rsid w:val="00CF4615"/>
    <w:rsid w:val="00CF4976"/>
    <w:rsid w:val="00CF4C83"/>
    <w:rsid w:val="00CF5093"/>
    <w:rsid w:val="00CF52C4"/>
    <w:rsid w:val="00CF557F"/>
    <w:rsid w:val="00CF55C1"/>
    <w:rsid w:val="00CF5A5F"/>
    <w:rsid w:val="00CF5ADD"/>
    <w:rsid w:val="00CF5F0C"/>
    <w:rsid w:val="00CF6714"/>
    <w:rsid w:val="00CF68AE"/>
    <w:rsid w:val="00CF6900"/>
    <w:rsid w:val="00CF69C8"/>
    <w:rsid w:val="00CF6D2E"/>
    <w:rsid w:val="00CF6D5A"/>
    <w:rsid w:val="00CF6E1B"/>
    <w:rsid w:val="00CF6E46"/>
    <w:rsid w:val="00CF712E"/>
    <w:rsid w:val="00CF754A"/>
    <w:rsid w:val="00CF75CB"/>
    <w:rsid w:val="00CF78BC"/>
    <w:rsid w:val="00CF7964"/>
    <w:rsid w:val="00CF7F69"/>
    <w:rsid w:val="00D00268"/>
    <w:rsid w:val="00D0038C"/>
    <w:rsid w:val="00D0068E"/>
    <w:rsid w:val="00D007B7"/>
    <w:rsid w:val="00D00C73"/>
    <w:rsid w:val="00D00F3F"/>
    <w:rsid w:val="00D011B1"/>
    <w:rsid w:val="00D0140D"/>
    <w:rsid w:val="00D01AA1"/>
    <w:rsid w:val="00D01B55"/>
    <w:rsid w:val="00D01B66"/>
    <w:rsid w:val="00D01EF2"/>
    <w:rsid w:val="00D02002"/>
    <w:rsid w:val="00D02198"/>
    <w:rsid w:val="00D02799"/>
    <w:rsid w:val="00D02991"/>
    <w:rsid w:val="00D029F8"/>
    <w:rsid w:val="00D02CB3"/>
    <w:rsid w:val="00D032CE"/>
    <w:rsid w:val="00D03464"/>
    <w:rsid w:val="00D03A4D"/>
    <w:rsid w:val="00D03DA0"/>
    <w:rsid w:val="00D0425F"/>
    <w:rsid w:val="00D0467A"/>
    <w:rsid w:val="00D04726"/>
    <w:rsid w:val="00D04742"/>
    <w:rsid w:val="00D04777"/>
    <w:rsid w:val="00D04FCD"/>
    <w:rsid w:val="00D055C8"/>
    <w:rsid w:val="00D05792"/>
    <w:rsid w:val="00D05CB1"/>
    <w:rsid w:val="00D06AF0"/>
    <w:rsid w:val="00D06C20"/>
    <w:rsid w:val="00D06F65"/>
    <w:rsid w:val="00D07292"/>
    <w:rsid w:val="00D073B6"/>
    <w:rsid w:val="00D073CE"/>
    <w:rsid w:val="00D073DC"/>
    <w:rsid w:val="00D074A9"/>
    <w:rsid w:val="00D076F5"/>
    <w:rsid w:val="00D077AA"/>
    <w:rsid w:val="00D078EA"/>
    <w:rsid w:val="00D07BDE"/>
    <w:rsid w:val="00D07CA4"/>
    <w:rsid w:val="00D07E68"/>
    <w:rsid w:val="00D10251"/>
    <w:rsid w:val="00D103DB"/>
    <w:rsid w:val="00D10720"/>
    <w:rsid w:val="00D10CC8"/>
    <w:rsid w:val="00D10DAB"/>
    <w:rsid w:val="00D10DE5"/>
    <w:rsid w:val="00D10DFF"/>
    <w:rsid w:val="00D110EB"/>
    <w:rsid w:val="00D11371"/>
    <w:rsid w:val="00D115E4"/>
    <w:rsid w:val="00D116F0"/>
    <w:rsid w:val="00D11A37"/>
    <w:rsid w:val="00D11A65"/>
    <w:rsid w:val="00D11BEC"/>
    <w:rsid w:val="00D11F5E"/>
    <w:rsid w:val="00D121CE"/>
    <w:rsid w:val="00D1230B"/>
    <w:rsid w:val="00D12331"/>
    <w:rsid w:val="00D12468"/>
    <w:rsid w:val="00D127B7"/>
    <w:rsid w:val="00D127EE"/>
    <w:rsid w:val="00D12857"/>
    <w:rsid w:val="00D12A0D"/>
    <w:rsid w:val="00D12B79"/>
    <w:rsid w:val="00D130BA"/>
    <w:rsid w:val="00D1321C"/>
    <w:rsid w:val="00D13469"/>
    <w:rsid w:val="00D135D4"/>
    <w:rsid w:val="00D13814"/>
    <w:rsid w:val="00D13CF6"/>
    <w:rsid w:val="00D13E12"/>
    <w:rsid w:val="00D13EBC"/>
    <w:rsid w:val="00D14390"/>
    <w:rsid w:val="00D145AA"/>
    <w:rsid w:val="00D146E2"/>
    <w:rsid w:val="00D147B6"/>
    <w:rsid w:val="00D14C21"/>
    <w:rsid w:val="00D14C7F"/>
    <w:rsid w:val="00D14CBC"/>
    <w:rsid w:val="00D14D2C"/>
    <w:rsid w:val="00D14FD9"/>
    <w:rsid w:val="00D15098"/>
    <w:rsid w:val="00D150BE"/>
    <w:rsid w:val="00D1523A"/>
    <w:rsid w:val="00D15331"/>
    <w:rsid w:val="00D1551C"/>
    <w:rsid w:val="00D15BB5"/>
    <w:rsid w:val="00D15F9F"/>
    <w:rsid w:val="00D160FB"/>
    <w:rsid w:val="00D164C0"/>
    <w:rsid w:val="00D16A55"/>
    <w:rsid w:val="00D16C56"/>
    <w:rsid w:val="00D16E6D"/>
    <w:rsid w:val="00D16EC0"/>
    <w:rsid w:val="00D173D9"/>
    <w:rsid w:val="00D173EE"/>
    <w:rsid w:val="00D17537"/>
    <w:rsid w:val="00D17B9E"/>
    <w:rsid w:val="00D17D11"/>
    <w:rsid w:val="00D17D3B"/>
    <w:rsid w:val="00D202BF"/>
    <w:rsid w:val="00D20B61"/>
    <w:rsid w:val="00D20BF8"/>
    <w:rsid w:val="00D21046"/>
    <w:rsid w:val="00D21155"/>
    <w:rsid w:val="00D211EF"/>
    <w:rsid w:val="00D21463"/>
    <w:rsid w:val="00D21507"/>
    <w:rsid w:val="00D216C1"/>
    <w:rsid w:val="00D216CA"/>
    <w:rsid w:val="00D21A5D"/>
    <w:rsid w:val="00D21AF0"/>
    <w:rsid w:val="00D21C5E"/>
    <w:rsid w:val="00D21D8B"/>
    <w:rsid w:val="00D223AA"/>
    <w:rsid w:val="00D225A7"/>
    <w:rsid w:val="00D22914"/>
    <w:rsid w:val="00D22F1B"/>
    <w:rsid w:val="00D231AE"/>
    <w:rsid w:val="00D23424"/>
    <w:rsid w:val="00D2363E"/>
    <w:rsid w:val="00D23D1F"/>
    <w:rsid w:val="00D23E11"/>
    <w:rsid w:val="00D23E4B"/>
    <w:rsid w:val="00D24751"/>
    <w:rsid w:val="00D24824"/>
    <w:rsid w:val="00D24986"/>
    <w:rsid w:val="00D24A65"/>
    <w:rsid w:val="00D24C70"/>
    <w:rsid w:val="00D24E79"/>
    <w:rsid w:val="00D24F0F"/>
    <w:rsid w:val="00D24F61"/>
    <w:rsid w:val="00D25143"/>
    <w:rsid w:val="00D2540D"/>
    <w:rsid w:val="00D25562"/>
    <w:rsid w:val="00D25763"/>
    <w:rsid w:val="00D258C8"/>
    <w:rsid w:val="00D25B56"/>
    <w:rsid w:val="00D2717B"/>
    <w:rsid w:val="00D271AC"/>
    <w:rsid w:val="00D27A38"/>
    <w:rsid w:val="00D27C77"/>
    <w:rsid w:val="00D27E8C"/>
    <w:rsid w:val="00D27FED"/>
    <w:rsid w:val="00D30255"/>
    <w:rsid w:val="00D306B7"/>
    <w:rsid w:val="00D3084A"/>
    <w:rsid w:val="00D30FE2"/>
    <w:rsid w:val="00D311F0"/>
    <w:rsid w:val="00D316DA"/>
    <w:rsid w:val="00D3179B"/>
    <w:rsid w:val="00D318D4"/>
    <w:rsid w:val="00D31A48"/>
    <w:rsid w:val="00D31C03"/>
    <w:rsid w:val="00D31EEF"/>
    <w:rsid w:val="00D31F20"/>
    <w:rsid w:val="00D320C4"/>
    <w:rsid w:val="00D3236E"/>
    <w:rsid w:val="00D325B9"/>
    <w:rsid w:val="00D3293E"/>
    <w:rsid w:val="00D32AF7"/>
    <w:rsid w:val="00D33237"/>
    <w:rsid w:val="00D3384F"/>
    <w:rsid w:val="00D33951"/>
    <w:rsid w:val="00D33D4C"/>
    <w:rsid w:val="00D33F0B"/>
    <w:rsid w:val="00D33F66"/>
    <w:rsid w:val="00D33F7E"/>
    <w:rsid w:val="00D33F8C"/>
    <w:rsid w:val="00D33FA1"/>
    <w:rsid w:val="00D34123"/>
    <w:rsid w:val="00D3434F"/>
    <w:rsid w:val="00D344A1"/>
    <w:rsid w:val="00D34721"/>
    <w:rsid w:val="00D34C04"/>
    <w:rsid w:val="00D34C5C"/>
    <w:rsid w:val="00D34E20"/>
    <w:rsid w:val="00D35442"/>
    <w:rsid w:val="00D354DE"/>
    <w:rsid w:val="00D35930"/>
    <w:rsid w:val="00D3593E"/>
    <w:rsid w:val="00D35C09"/>
    <w:rsid w:val="00D35C53"/>
    <w:rsid w:val="00D35F23"/>
    <w:rsid w:val="00D366CF"/>
    <w:rsid w:val="00D3698D"/>
    <w:rsid w:val="00D369B9"/>
    <w:rsid w:val="00D36BA4"/>
    <w:rsid w:val="00D36D8A"/>
    <w:rsid w:val="00D36E56"/>
    <w:rsid w:val="00D36EBE"/>
    <w:rsid w:val="00D36ECB"/>
    <w:rsid w:val="00D37230"/>
    <w:rsid w:val="00D3739F"/>
    <w:rsid w:val="00D373B0"/>
    <w:rsid w:val="00D378F9"/>
    <w:rsid w:val="00D37A49"/>
    <w:rsid w:val="00D37ABF"/>
    <w:rsid w:val="00D37E6A"/>
    <w:rsid w:val="00D40256"/>
    <w:rsid w:val="00D404E3"/>
    <w:rsid w:val="00D4085E"/>
    <w:rsid w:val="00D417BD"/>
    <w:rsid w:val="00D41963"/>
    <w:rsid w:val="00D41B38"/>
    <w:rsid w:val="00D41D0F"/>
    <w:rsid w:val="00D423CA"/>
    <w:rsid w:val="00D424CD"/>
    <w:rsid w:val="00D42709"/>
    <w:rsid w:val="00D42B3B"/>
    <w:rsid w:val="00D42CA8"/>
    <w:rsid w:val="00D42EB8"/>
    <w:rsid w:val="00D43387"/>
    <w:rsid w:val="00D434D7"/>
    <w:rsid w:val="00D438BF"/>
    <w:rsid w:val="00D43A6A"/>
    <w:rsid w:val="00D43D67"/>
    <w:rsid w:val="00D440BE"/>
    <w:rsid w:val="00D44196"/>
    <w:rsid w:val="00D445FC"/>
    <w:rsid w:val="00D448F5"/>
    <w:rsid w:val="00D44A5E"/>
    <w:rsid w:val="00D44A72"/>
    <w:rsid w:val="00D44AD6"/>
    <w:rsid w:val="00D44B8C"/>
    <w:rsid w:val="00D44ED6"/>
    <w:rsid w:val="00D452A5"/>
    <w:rsid w:val="00D454F9"/>
    <w:rsid w:val="00D45908"/>
    <w:rsid w:val="00D45AC3"/>
    <w:rsid w:val="00D460D3"/>
    <w:rsid w:val="00D463D6"/>
    <w:rsid w:val="00D46484"/>
    <w:rsid w:val="00D468A9"/>
    <w:rsid w:val="00D46EC4"/>
    <w:rsid w:val="00D46F90"/>
    <w:rsid w:val="00D47006"/>
    <w:rsid w:val="00D47060"/>
    <w:rsid w:val="00D4713E"/>
    <w:rsid w:val="00D47204"/>
    <w:rsid w:val="00D47279"/>
    <w:rsid w:val="00D473F4"/>
    <w:rsid w:val="00D478EA"/>
    <w:rsid w:val="00D47A7C"/>
    <w:rsid w:val="00D47B3A"/>
    <w:rsid w:val="00D47C40"/>
    <w:rsid w:val="00D47C5D"/>
    <w:rsid w:val="00D47CC2"/>
    <w:rsid w:val="00D500D9"/>
    <w:rsid w:val="00D50827"/>
    <w:rsid w:val="00D508A7"/>
    <w:rsid w:val="00D50EBF"/>
    <w:rsid w:val="00D50EDE"/>
    <w:rsid w:val="00D50F86"/>
    <w:rsid w:val="00D51283"/>
    <w:rsid w:val="00D51324"/>
    <w:rsid w:val="00D517DF"/>
    <w:rsid w:val="00D519B2"/>
    <w:rsid w:val="00D519CC"/>
    <w:rsid w:val="00D51A44"/>
    <w:rsid w:val="00D51B2C"/>
    <w:rsid w:val="00D51D13"/>
    <w:rsid w:val="00D51D63"/>
    <w:rsid w:val="00D51FE8"/>
    <w:rsid w:val="00D521D9"/>
    <w:rsid w:val="00D52308"/>
    <w:rsid w:val="00D523E0"/>
    <w:rsid w:val="00D525B0"/>
    <w:rsid w:val="00D52721"/>
    <w:rsid w:val="00D52824"/>
    <w:rsid w:val="00D52B83"/>
    <w:rsid w:val="00D52C97"/>
    <w:rsid w:val="00D535B5"/>
    <w:rsid w:val="00D536C3"/>
    <w:rsid w:val="00D53951"/>
    <w:rsid w:val="00D53A00"/>
    <w:rsid w:val="00D53AEE"/>
    <w:rsid w:val="00D53B22"/>
    <w:rsid w:val="00D53C67"/>
    <w:rsid w:val="00D53D3F"/>
    <w:rsid w:val="00D53D83"/>
    <w:rsid w:val="00D53E22"/>
    <w:rsid w:val="00D53EF5"/>
    <w:rsid w:val="00D54165"/>
    <w:rsid w:val="00D54228"/>
    <w:rsid w:val="00D543FE"/>
    <w:rsid w:val="00D54B2E"/>
    <w:rsid w:val="00D54C8E"/>
    <w:rsid w:val="00D54DAD"/>
    <w:rsid w:val="00D54F7E"/>
    <w:rsid w:val="00D550EC"/>
    <w:rsid w:val="00D555DC"/>
    <w:rsid w:val="00D55D39"/>
    <w:rsid w:val="00D55EFD"/>
    <w:rsid w:val="00D55F23"/>
    <w:rsid w:val="00D560BA"/>
    <w:rsid w:val="00D5620B"/>
    <w:rsid w:val="00D56641"/>
    <w:rsid w:val="00D56885"/>
    <w:rsid w:val="00D56A24"/>
    <w:rsid w:val="00D56A32"/>
    <w:rsid w:val="00D56D3B"/>
    <w:rsid w:val="00D56EDB"/>
    <w:rsid w:val="00D571D0"/>
    <w:rsid w:val="00D572D3"/>
    <w:rsid w:val="00D5748C"/>
    <w:rsid w:val="00D57A6C"/>
    <w:rsid w:val="00D57BDA"/>
    <w:rsid w:val="00D57C85"/>
    <w:rsid w:val="00D602BA"/>
    <w:rsid w:val="00D6035C"/>
    <w:rsid w:val="00D603C3"/>
    <w:rsid w:val="00D60566"/>
    <w:rsid w:val="00D60658"/>
    <w:rsid w:val="00D60F9B"/>
    <w:rsid w:val="00D61F88"/>
    <w:rsid w:val="00D62211"/>
    <w:rsid w:val="00D6231F"/>
    <w:rsid w:val="00D629E1"/>
    <w:rsid w:val="00D629F8"/>
    <w:rsid w:val="00D62B5B"/>
    <w:rsid w:val="00D63338"/>
    <w:rsid w:val="00D636C1"/>
    <w:rsid w:val="00D637B8"/>
    <w:rsid w:val="00D63BF7"/>
    <w:rsid w:val="00D6434A"/>
    <w:rsid w:val="00D64468"/>
    <w:rsid w:val="00D64C41"/>
    <w:rsid w:val="00D64E3A"/>
    <w:rsid w:val="00D64F44"/>
    <w:rsid w:val="00D6501C"/>
    <w:rsid w:val="00D653A6"/>
    <w:rsid w:val="00D6551E"/>
    <w:rsid w:val="00D6575A"/>
    <w:rsid w:val="00D65BFE"/>
    <w:rsid w:val="00D65FF6"/>
    <w:rsid w:val="00D660EA"/>
    <w:rsid w:val="00D66356"/>
    <w:rsid w:val="00D66673"/>
    <w:rsid w:val="00D6675F"/>
    <w:rsid w:val="00D669C3"/>
    <w:rsid w:val="00D66C18"/>
    <w:rsid w:val="00D66DE8"/>
    <w:rsid w:val="00D67050"/>
    <w:rsid w:val="00D67522"/>
    <w:rsid w:val="00D67805"/>
    <w:rsid w:val="00D67916"/>
    <w:rsid w:val="00D67B19"/>
    <w:rsid w:val="00D67C64"/>
    <w:rsid w:val="00D67D34"/>
    <w:rsid w:val="00D67D81"/>
    <w:rsid w:val="00D67D97"/>
    <w:rsid w:val="00D702D5"/>
    <w:rsid w:val="00D70448"/>
    <w:rsid w:val="00D70CBC"/>
    <w:rsid w:val="00D71180"/>
    <w:rsid w:val="00D712BD"/>
    <w:rsid w:val="00D716C8"/>
    <w:rsid w:val="00D71AB6"/>
    <w:rsid w:val="00D71B82"/>
    <w:rsid w:val="00D72231"/>
    <w:rsid w:val="00D72285"/>
    <w:rsid w:val="00D7234D"/>
    <w:rsid w:val="00D72460"/>
    <w:rsid w:val="00D725DE"/>
    <w:rsid w:val="00D727BD"/>
    <w:rsid w:val="00D72AFF"/>
    <w:rsid w:val="00D72BDC"/>
    <w:rsid w:val="00D7329F"/>
    <w:rsid w:val="00D7349D"/>
    <w:rsid w:val="00D734AC"/>
    <w:rsid w:val="00D738FE"/>
    <w:rsid w:val="00D73B52"/>
    <w:rsid w:val="00D73EE8"/>
    <w:rsid w:val="00D73EEB"/>
    <w:rsid w:val="00D73EFD"/>
    <w:rsid w:val="00D74228"/>
    <w:rsid w:val="00D7428F"/>
    <w:rsid w:val="00D74431"/>
    <w:rsid w:val="00D74662"/>
    <w:rsid w:val="00D74B65"/>
    <w:rsid w:val="00D74C16"/>
    <w:rsid w:val="00D74D6A"/>
    <w:rsid w:val="00D74D6C"/>
    <w:rsid w:val="00D74E48"/>
    <w:rsid w:val="00D74E56"/>
    <w:rsid w:val="00D74ED6"/>
    <w:rsid w:val="00D75010"/>
    <w:rsid w:val="00D7528A"/>
    <w:rsid w:val="00D75353"/>
    <w:rsid w:val="00D754D5"/>
    <w:rsid w:val="00D75628"/>
    <w:rsid w:val="00D7569E"/>
    <w:rsid w:val="00D75B55"/>
    <w:rsid w:val="00D75DBC"/>
    <w:rsid w:val="00D762E4"/>
    <w:rsid w:val="00D76624"/>
    <w:rsid w:val="00D76723"/>
    <w:rsid w:val="00D768BF"/>
    <w:rsid w:val="00D7691B"/>
    <w:rsid w:val="00D76D1B"/>
    <w:rsid w:val="00D76F3C"/>
    <w:rsid w:val="00D7733E"/>
    <w:rsid w:val="00D773C5"/>
    <w:rsid w:val="00D775E1"/>
    <w:rsid w:val="00D7790F"/>
    <w:rsid w:val="00D77952"/>
    <w:rsid w:val="00D77D1F"/>
    <w:rsid w:val="00D77F09"/>
    <w:rsid w:val="00D80137"/>
    <w:rsid w:val="00D8017F"/>
    <w:rsid w:val="00D80576"/>
    <w:rsid w:val="00D80A1F"/>
    <w:rsid w:val="00D81005"/>
    <w:rsid w:val="00D81381"/>
    <w:rsid w:val="00D813C4"/>
    <w:rsid w:val="00D8169C"/>
    <w:rsid w:val="00D8190D"/>
    <w:rsid w:val="00D8191A"/>
    <w:rsid w:val="00D81FB8"/>
    <w:rsid w:val="00D81FF6"/>
    <w:rsid w:val="00D820B8"/>
    <w:rsid w:val="00D8220C"/>
    <w:rsid w:val="00D8250B"/>
    <w:rsid w:val="00D8264A"/>
    <w:rsid w:val="00D82679"/>
    <w:rsid w:val="00D82754"/>
    <w:rsid w:val="00D82F27"/>
    <w:rsid w:val="00D8390A"/>
    <w:rsid w:val="00D83A54"/>
    <w:rsid w:val="00D83C8F"/>
    <w:rsid w:val="00D844E8"/>
    <w:rsid w:val="00D845F5"/>
    <w:rsid w:val="00D8464E"/>
    <w:rsid w:val="00D846B4"/>
    <w:rsid w:val="00D84893"/>
    <w:rsid w:val="00D84A6D"/>
    <w:rsid w:val="00D84EB9"/>
    <w:rsid w:val="00D84FBA"/>
    <w:rsid w:val="00D85017"/>
    <w:rsid w:val="00D85378"/>
    <w:rsid w:val="00D8542A"/>
    <w:rsid w:val="00D854D0"/>
    <w:rsid w:val="00D85B78"/>
    <w:rsid w:val="00D8618B"/>
    <w:rsid w:val="00D861C5"/>
    <w:rsid w:val="00D8643A"/>
    <w:rsid w:val="00D86563"/>
    <w:rsid w:val="00D86666"/>
    <w:rsid w:val="00D86692"/>
    <w:rsid w:val="00D869B9"/>
    <w:rsid w:val="00D869DD"/>
    <w:rsid w:val="00D86FF8"/>
    <w:rsid w:val="00D87042"/>
    <w:rsid w:val="00D87192"/>
    <w:rsid w:val="00D873F9"/>
    <w:rsid w:val="00D8756C"/>
    <w:rsid w:val="00D876A6"/>
    <w:rsid w:val="00D8787D"/>
    <w:rsid w:val="00D87CA6"/>
    <w:rsid w:val="00D87D4A"/>
    <w:rsid w:val="00D87E20"/>
    <w:rsid w:val="00D9019B"/>
    <w:rsid w:val="00D9041E"/>
    <w:rsid w:val="00D90699"/>
    <w:rsid w:val="00D90853"/>
    <w:rsid w:val="00D909BC"/>
    <w:rsid w:val="00D90B64"/>
    <w:rsid w:val="00D91005"/>
    <w:rsid w:val="00D91282"/>
    <w:rsid w:val="00D912C6"/>
    <w:rsid w:val="00D9130D"/>
    <w:rsid w:val="00D91402"/>
    <w:rsid w:val="00D91841"/>
    <w:rsid w:val="00D91A5F"/>
    <w:rsid w:val="00D91E0F"/>
    <w:rsid w:val="00D92297"/>
    <w:rsid w:val="00D92326"/>
    <w:rsid w:val="00D9247E"/>
    <w:rsid w:val="00D9286E"/>
    <w:rsid w:val="00D92938"/>
    <w:rsid w:val="00D92D3A"/>
    <w:rsid w:val="00D9324F"/>
    <w:rsid w:val="00D93356"/>
    <w:rsid w:val="00D937C1"/>
    <w:rsid w:val="00D9387A"/>
    <w:rsid w:val="00D93889"/>
    <w:rsid w:val="00D93948"/>
    <w:rsid w:val="00D93AF5"/>
    <w:rsid w:val="00D93B33"/>
    <w:rsid w:val="00D9427F"/>
    <w:rsid w:val="00D94565"/>
    <w:rsid w:val="00D94762"/>
    <w:rsid w:val="00D947E6"/>
    <w:rsid w:val="00D9495A"/>
    <w:rsid w:val="00D94C3C"/>
    <w:rsid w:val="00D94D29"/>
    <w:rsid w:val="00D94DEC"/>
    <w:rsid w:val="00D94E8A"/>
    <w:rsid w:val="00D95114"/>
    <w:rsid w:val="00D957A9"/>
    <w:rsid w:val="00D95946"/>
    <w:rsid w:val="00D959FB"/>
    <w:rsid w:val="00D95A3C"/>
    <w:rsid w:val="00D95B19"/>
    <w:rsid w:val="00D95C5C"/>
    <w:rsid w:val="00D95F10"/>
    <w:rsid w:val="00D9630E"/>
    <w:rsid w:val="00D9641B"/>
    <w:rsid w:val="00D9649C"/>
    <w:rsid w:val="00D96601"/>
    <w:rsid w:val="00D966B5"/>
    <w:rsid w:val="00D96ADB"/>
    <w:rsid w:val="00D96AF1"/>
    <w:rsid w:val="00D96B58"/>
    <w:rsid w:val="00D974FF"/>
    <w:rsid w:val="00D97654"/>
    <w:rsid w:val="00D978D2"/>
    <w:rsid w:val="00D97969"/>
    <w:rsid w:val="00DA0077"/>
    <w:rsid w:val="00DA025D"/>
    <w:rsid w:val="00DA0778"/>
    <w:rsid w:val="00DA085D"/>
    <w:rsid w:val="00DA0FCA"/>
    <w:rsid w:val="00DA102C"/>
    <w:rsid w:val="00DA1033"/>
    <w:rsid w:val="00DA112E"/>
    <w:rsid w:val="00DA1803"/>
    <w:rsid w:val="00DA1836"/>
    <w:rsid w:val="00DA1DB8"/>
    <w:rsid w:val="00DA3042"/>
    <w:rsid w:val="00DA3365"/>
    <w:rsid w:val="00DA3747"/>
    <w:rsid w:val="00DA3A91"/>
    <w:rsid w:val="00DA4163"/>
    <w:rsid w:val="00DA41EA"/>
    <w:rsid w:val="00DA49E3"/>
    <w:rsid w:val="00DA4A2A"/>
    <w:rsid w:val="00DA4CF9"/>
    <w:rsid w:val="00DA4EB4"/>
    <w:rsid w:val="00DA51E7"/>
    <w:rsid w:val="00DA5673"/>
    <w:rsid w:val="00DA569C"/>
    <w:rsid w:val="00DA56A6"/>
    <w:rsid w:val="00DA56D6"/>
    <w:rsid w:val="00DA58C2"/>
    <w:rsid w:val="00DA5A1A"/>
    <w:rsid w:val="00DA5A2B"/>
    <w:rsid w:val="00DA5B13"/>
    <w:rsid w:val="00DA5B94"/>
    <w:rsid w:val="00DA5EB1"/>
    <w:rsid w:val="00DA5F14"/>
    <w:rsid w:val="00DA5FBF"/>
    <w:rsid w:val="00DA604F"/>
    <w:rsid w:val="00DA6062"/>
    <w:rsid w:val="00DA62C5"/>
    <w:rsid w:val="00DA692D"/>
    <w:rsid w:val="00DA6C0C"/>
    <w:rsid w:val="00DA6E9D"/>
    <w:rsid w:val="00DA703E"/>
    <w:rsid w:val="00DA70C2"/>
    <w:rsid w:val="00DA76B7"/>
    <w:rsid w:val="00DA7710"/>
    <w:rsid w:val="00DA7779"/>
    <w:rsid w:val="00DA780B"/>
    <w:rsid w:val="00DA79E5"/>
    <w:rsid w:val="00DA7BB8"/>
    <w:rsid w:val="00DA7D37"/>
    <w:rsid w:val="00DA7E79"/>
    <w:rsid w:val="00DA7F98"/>
    <w:rsid w:val="00DA7FD6"/>
    <w:rsid w:val="00DB0124"/>
    <w:rsid w:val="00DB021B"/>
    <w:rsid w:val="00DB024C"/>
    <w:rsid w:val="00DB074E"/>
    <w:rsid w:val="00DB085C"/>
    <w:rsid w:val="00DB0917"/>
    <w:rsid w:val="00DB0B0C"/>
    <w:rsid w:val="00DB0B84"/>
    <w:rsid w:val="00DB0E78"/>
    <w:rsid w:val="00DB10E2"/>
    <w:rsid w:val="00DB11DC"/>
    <w:rsid w:val="00DB1287"/>
    <w:rsid w:val="00DB15BD"/>
    <w:rsid w:val="00DB1897"/>
    <w:rsid w:val="00DB1B54"/>
    <w:rsid w:val="00DB1BE5"/>
    <w:rsid w:val="00DB1C8F"/>
    <w:rsid w:val="00DB214C"/>
    <w:rsid w:val="00DB21A8"/>
    <w:rsid w:val="00DB25CE"/>
    <w:rsid w:val="00DB2635"/>
    <w:rsid w:val="00DB26D8"/>
    <w:rsid w:val="00DB2843"/>
    <w:rsid w:val="00DB28B3"/>
    <w:rsid w:val="00DB2CB4"/>
    <w:rsid w:val="00DB2D21"/>
    <w:rsid w:val="00DB2EA0"/>
    <w:rsid w:val="00DB2FDB"/>
    <w:rsid w:val="00DB3231"/>
    <w:rsid w:val="00DB336F"/>
    <w:rsid w:val="00DB34D4"/>
    <w:rsid w:val="00DB352A"/>
    <w:rsid w:val="00DB35A7"/>
    <w:rsid w:val="00DB363A"/>
    <w:rsid w:val="00DB3741"/>
    <w:rsid w:val="00DB37CC"/>
    <w:rsid w:val="00DB3872"/>
    <w:rsid w:val="00DB3939"/>
    <w:rsid w:val="00DB3A7C"/>
    <w:rsid w:val="00DB3DA0"/>
    <w:rsid w:val="00DB3FE0"/>
    <w:rsid w:val="00DB4079"/>
    <w:rsid w:val="00DB41E2"/>
    <w:rsid w:val="00DB4222"/>
    <w:rsid w:val="00DB442A"/>
    <w:rsid w:val="00DB46DB"/>
    <w:rsid w:val="00DB4726"/>
    <w:rsid w:val="00DB4858"/>
    <w:rsid w:val="00DB49C0"/>
    <w:rsid w:val="00DB4B0C"/>
    <w:rsid w:val="00DB4CDA"/>
    <w:rsid w:val="00DB4D86"/>
    <w:rsid w:val="00DB5664"/>
    <w:rsid w:val="00DB5A42"/>
    <w:rsid w:val="00DB5BF6"/>
    <w:rsid w:val="00DB5C0D"/>
    <w:rsid w:val="00DB5DB4"/>
    <w:rsid w:val="00DB5E41"/>
    <w:rsid w:val="00DB5E9B"/>
    <w:rsid w:val="00DB6200"/>
    <w:rsid w:val="00DB6327"/>
    <w:rsid w:val="00DB6595"/>
    <w:rsid w:val="00DB7095"/>
    <w:rsid w:val="00DB70A3"/>
    <w:rsid w:val="00DB72E3"/>
    <w:rsid w:val="00DB7433"/>
    <w:rsid w:val="00DB76F7"/>
    <w:rsid w:val="00DB7940"/>
    <w:rsid w:val="00DB7ACA"/>
    <w:rsid w:val="00DB7B18"/>
    <w:rsid w:val="00DC0042"/>
    <w:rsid w:val="00DC05F8"/>
    <w:rsid w:val="00DC07AE"/>
    <w:rsid w:val="00DC10D6"/>
    <w:rsid w:val="00DC10EC"/>
    <w:rsid w:val="00DC115E"/>
    <w:rsid w:val="00DC1383"/>
    <w:rsid w:val="00DC1827"/>
    <w:rsid w:val="00DC19D5"/>
    <w:rsid w:val="00DC1A58"/>
    <w:rsid w:val="00DC1A6D"/>
    <w:rsid w:val="00DC1BD3"/>
    <w:rsid w:val="00DC1EC9"/>
    <w:rsid w:val="00DC1F60"/>
    <w:rsid w:val="00DC1F73"/>
    <w:rsid w:val="00DC24A0"/>
    <w:rsid w:val="00DC26BC"/>
    <w:rsid w:val="00DC27F7"/>
    <w:rsid w:val="00DC28C5"/>
    <w:rsid w:val="00DC2CA6"/>
    <w:rsid w:val="00DC2E47"/>
    <w:rsid w:val="00DC2F11"/>
    <w:rsid w:val="00DC2FF0"/>
    <w:rsid w:val="00DC301E"/>
    <w:rsid w:val="00DC3165"/>
    <w:rsid w:val="00DC31A1"/>
    <w:rsid w:val="00DC3285"/>
    <w:rsid w:val="00DC328F"/>
    <w:rsid w:val="00DC32C6"/>
    <w:rsid w:val="00DC3835"/>
    <w:rsid w:val="00DC3951"/>
    <w:rsid w:val="00DC3A7F"/>
    <w:rsid w:val="00DC3B77"/>
    <w:rsid w:val="00DC3D4F"/>
    <w:rsid w:val="00DC4036"/>
    <w:rsid w:val="00DC437F"/>
    <w:rsid w:val="00DC45EC"/>
    <w:rsid w:val="00DC4755"/>
    <w:rsid w:val="00DC4795"/>
    <w:rsid w:val="00DC4877"/>
    <w:rsid w:val="00DC4A8C"/>
    <w:rsid w:val="00DC5120"/>
    <w:rsid w:val="00DC54C5"/>
    <w:rsid w:val="00DC58FF"/>
    <w:rsid w:val="00DC5A5F"/>
    <w:rsid w:val="00DC5C5A"/>
    <w:rsid w:val="00DC63F4"/>
    <w:rsid w:val="00DC648C"/>
    <w:rsid w:val="00DC65A0"/>
    <w:rsid w:val="00DC6753"/>
    <w:rsid w:val="00DC7299"/>
    <w:rsid w:val="00DC745C"/>
    <w:rsid w:val="00DC75D0"/>
    <w:rsid w:val="00DC79E2"/>
    <w:rsid w:val="00DC7C5E"/>
    <w:rsid w:val="00DC7C68"/>
    <w:rsid w:val="00DD02DC"/>
    <w:rsid w:val="00DD0451"/>
    <w:rsid w:val="00DD0474"/>
    <w:rsid w:val="00DD05B3"/>
    <w:rsid w:val="00DD0679"/>
    <w:rsid w:val="00DD1265"/>
    <w:rsid w:val="00DD1555"/>
    <w:rsid w:val="00DD1896"/>
    <w:rsid w:val="00DD189F"/>
    <w:rsid w:val="00DD19BB"/>
    <w:rsid w:val="00DD19C3"/>
    <w:rsid w:val="00DD1D14"/>
    <w:rsid w:val="00DD1D25"/>
    <w:rsid w:val="00DD219F"/>
    <w:rsid w:val="00DD2852"/>
    <w:rsid w:val="00DD2A23"/>
    <w:rsid w:val="00DD2B49"/>
    <w:rsid w:val="00DD2D7D"/>
    <w:rsid w:val="00DD2DA3"/>
    <w:rsid w:val="00DD3121"/>
    <w:rsid w:val="00DD31B6"/>
    <w:rsid w:val="00DD31C4"/>
    <w:rsid w:val="00DD3600"/>
    <w:rsid w:val="00DD37FF"/>
    <w:rsid w:val="00DD3856"/>
    <w:rsid w:val="00DD3A47"/>
    <w:rsid w:val="00DD3BD1"/>
    <w:rsid w:val="00DD451D"/>
    <w:rsid w:val="00DD48D6"/>
    <w:rsid w:val="00DD49E2"/>
    <w:rsid w:val="00DD4A59"/>
    <w:rsid w:val="00DD4C68"/>
    <w:rsid w:val="00DD501B"/>
    <w:rsid w:val="00DD50D4"/>
    <w:rsid w:val="00DD5404"/>
    <w:rsid w:val="00DD541F"/>
    <w:rsid w:val="00DD56C4"/>
    <w:rsid w:val="00DD574F"/>
    <w:rsid w:val="00DD5852"/>
    <w:rsid w:val="00DD5862"/>
    <w:rsid w:val="00DD5B06"/>
    <w:rsid w:val="00DD5DD4"/>
    <w:rsid w:val="00DD66C6"/>
    <w:rsid w:val="00DD6852"/>
    <w:rsid w:val="00DD6A44"/>
    <w:rsid w:val="00DD6D90"/>
    <w:rsid w:val="00DD71F0"/>
    <w:rsid w:val="00DD73DD"/>
    <w:rsid w:val="00DD75B6"/>
    <w:rsid w:val="00DD7622"/>
    <w:rsid w:val="00DD7790"/>
    <w:rsid w:val="00DD7BD7"/>
    <w:rsid w:val="00DD7BE5"/>
    <w:rsid w:val="00DD7E3E"/>
    <w:rsid w:val="00DD7FF5"/>
    <w:rsid w:val="00DE02A0"/>
    <w:rsid w:val="00DE03C7"/>
    <w:rsid w:val="00DE0454"/>
    <w:rsid w:val="00DE05C1"/>
    <w:rsid w:val="00DE06EF"/>
    <w:rsid w:val="00DE0AB8"/>
    <w:rsid w:val="00DE1060"/>
    <w:rsid w:val="00DE1259"/>
    <w:rsid w:val="00DE12A7"/>
    <w:rsid w:val="00DE1520"/>
    <w:rsid w:val="00DE158B"/>
    <w:rsid w:val="00DE164B"/>
    <w:rsid w:val="00DE1FE2"/>
    <w:rsid w:val="00DE25C0"/>
    <w:rsid w:val="00DE2606"/>
    <w:rsid w:val="00DE2CF1"/>
    <w:rsid w:val="00DE304F"/>
    <w:rsid w:val="00DE36FA"/>
    <w:rsid w:val="00DE37B6"/>
    <w:rsid w:val="00DE38B1"/>
    <w:rsid w:val="00DE40D0"/>
    <w:rsid w:val="00DE4170"/>
    <w:rsid w:val="00DE42E9"/>
    <w:rsid w:val="00DE4300"/>
    <w:rsid w:val="00DE456D"/>
    <w:rsid w:val="00DE45AE"/>
    <w:rsid w:val="00DE4621"/>
    <w:rsid w:val="00DE4739"/>
    <w:rsid w:val="00DE47D6"/>
    <w:rsid w:val="00DE4875"/>
    <w:rsid w:val="00DE4DED"/>
    <w:rsid w:val="00DE52C8"/>
    <w:rsid w:val="00DE5367"/>
    <w:rsid w:val="00DE5789"/>
    <w:rsid w:val="00DE5910"/>
    <w:rsid w:val="00DE59A2"/>
    <w:rsid w:val="00DE60B0"/>
    <w:rsid w:val="00DE6168"/>
    <w:rsid w:val="00DE618A"/>
    <w:rsid w:val="00DE6480"/>
    <w:rsid w:val="00DE6503"/>
    <w:rsid w:val="00DE6719"/>
    <w:rsid w:val="00DE6A07"/>
    <w:rsid w:val="00DE6AB9"/>
    <w:rsid w:val="00DE6D6D"/>
    <w:rsid w:val="00DE7075"/>
    <w:rsid w:val="00DE71B7"/>
    <w:rsid w:val="00DE7735"/>
    <w:rsid w:val="00DE7AC9"/>
    <w:rsid w:val="00DE7C1E"/>
    <w:rsid w:val="00DF01EA"/>
    <w:rsid w:val="00DF0479"/>
    <w:rsid w:val="00DF0598"/>
    <w:rsid w:val="00DF05B1"/>
    <w:rsid w:val="00DF05E5"/>
    <w:rsid w:val="00DF09D8"/>
    <w:rsid w:val="00DF0C20"/>
    <w:rsid w:val="00DF100D"/>
    <w:rsid w:val="00DF10CA"/>
    <w:rsid w:val="00DF15BD"/>
    <w:rsid w:val="00DF199D"/>
    <w:rsid w:val="00DF1B41"/>
    <w:rsid w:val="00DF1B97"/>
    <w:rsid w:val="00DF1DD2"/>
    <w:rsid w:val="00DF1E85"/>
    <w:rsid w:val="00DF238D"/>
    <w:rsid w:val="00DF2487"/>
    <w:rsid w:val="00DF24E7"/>
    <w:rsid w:val="00DF271B"/>
    <w:rsid w:val="00DF28C6"/>
    <w:rsid w:val="00DF2929"/>
    <w:rsid w:val="00DF2B97"/>
    <w:rsid w:val="00DF2D43"/>
    <w:rsid w:val="00DF2F4B"/>
    <w:rsid w:val="00DF305B"/>
    <w:rsid w:val="00DF32BF"/>
    <w:rsid w:val="00DF34F1"/>
    <w:rsid w:val="00DF37B3"/>
    <w:rsid w:val="00DF3FFB"/>
    <w:rsid w:val="00DF431A"/>
    <w:rsid w:val="00DF442E"/>
    <w:rsid w:val="00DF45EA"/>
    <w:rsid w:val="00DF48E1"/>
    <w:rsid w:val="00DF4AC5"/>
    <w:rsid w:val="00DF51E3"/>
    <w:rsid w:val="00DF5266"/>
    <w:rsid w:val="00DF5370"/>
    <w:rsid w:val="00DF540D"/>
    <w:rsid w:val="00DF57E9"/>
    <w:rsid w:val="00DF5966"/>
    <w:rsid w:val="00DF596B"/>
    <w:rsid w:val="00DF5ECF"/>
    <w:rsid w:val="00DF6110"/>
    <w:rsid w:val="00DF6252"/>
    <w:rsid w:val="00DF62A2"/>
    <w:rsid w:val="00DF6748"/>
    <w:rsid w:val="00DF6900"/>
    <w:rsid w:val="00DF6A1E"/>
    <w:rsid w:val="00DF6A54"/>
    <w:rsid w:val="00DF6A88"/>
    <w:rsid w:val="00DF6BB5"/>
    <w:rsid w:val="00DF6E47"/>
    <w:rsid w:val="00DF729F"/>
    <w:rsid w:val="00DF777A"/>
    <w:rsid w:val="00DF7A35"/>
    <w:rsid w:val="00DF7E62"/>
    <w:rsid w:val="00E00121"/>
    <w:rsid w:val="00E004EA"/>
    <w:rsid w:val="00E0061B"/>
    <w:rsid w:val="00E00724"/>
    <w:rsid w:val="00E009BF"/>
    <w:rsid w:val="00E00DB4"/>
    <w:rsid w:val="00E0111B"/>
    <w:rsid w:val="00E013A2"/>
    <w:rsid w:val="00E02061"/>
    <w:rsid w:val="00E0246E"/>
    <w:rsid w:val="00E025C6"/>
    <w:rsid w:val="00E028EB"/>
    <w:rsid w:val="00E02940"/>
    <w:rsid w:val="00E0299B"/>
    <w:rsid w:val="00E02A99"/>
    <w:rsid w:val="00E02AED"/>
    <w:rsid w:val="00E02B74"/>
    <w:rsid w:val="00E031CC"/>
    <w:rsid w:val="00E0324D"/>
    <w:rsid w:val="00E03335"/>
    <w:rsid w:val="00E03629"/>
    <w:rsid w:val="00E03AFB"/>
    <w:rsid w:val="00E03E48"/>
    <w:rsid w:val="00E03F19"/>
    <w:rsid w:val="00E0428F"/>
    <w:rsid w:val="00E04323"/>
    <w:rsid w:val="00E0436A"/>
    <w:rsid w:val="00E04488"/>
    <w:rsid w:val="00E0452F"/>
    <w:rsid w:val="00E04544"/>
    <w:rsid w:val="00E04591"/>
    <w:rsid w:val="00E04874"/>
    <w:rsid w:val="00E048FF"/>
    <w:rsid w:val="00E04D13"/>
    <w:rsid w:val="00E04F57"/>
    <w:rsid w:val="00E050BA"/>
    <w:rsid w:val="00E055A5"/>
    <w:rsid w:val="00E05884"/>
    <w:rsid w:val="00E058BB"/>
    <w:rsid w:val="00E05BE6"/>
    <w:rsid w:val="00E05EBB"/>
    <w:rsid w:val="00E06004"/>
    <w:rsid w:val="00E06497"/>
    <w:rsid w:val="00E0661D"/>
    <w:rsid w:val="00E06D17"/>
    <w:rsid w:val="00E06E2C"/>
    <w:rsid w:val="00E0724A"/>
    <w:rsid w:val="00E0728B"/>
    <w:rsid w:val="00E072FC"/>
    <w:rsid w:val="00E0745B"/>
    <w:rsid w:val="00E07492"/>
    <w:rsid w:val="00E0773F"/>
    <w:rsid w:val="00E07A19"/>
    <w:rsid w:val="00E07C0C"/>
    <w:rsid w:val="00E07E08"/>
    <w:rsid w:val="00E1000F"/>
    <w:rsid w:val="00E101FA"/>
    <w:rsid w:val="00E108A4"/>
    <w:rsid w:val="00E10A0E"/>
    <w:rsid w:val="00E10A99"/>
    <w:rsid w:val="00E10E24"/>
    <w:rsid w:val="00E11094"/>
    <w:rsid w:val="00E11104"/>
    <w:rsid w:val="00E11181"/>
    <w:rsid w:val="00E114FA"/>
    <w:rsid w:val="00E1165F"/>
    <w:rsid w:val="00E1180F"/>
    <w:rsid w:val="00E11C1B"/>
    <w:rsid w:val="00E120A9"/>
    <w:rsid w:val="00E12214"/>
    <w:rsid w:val="00E125F3"/>
    <w:rsid w:val="00E12829"/>
    <w:rsid w:val="00E12E98"/>
    <w:rsid w:val="00E1314C"/>
    <w:rsid w:val="00E133B2"/>
    <w:rsid w:val="00E13681"/>
    <w:rsid w:val="00E13883"/>
    <w:rsid w:val="00E138C5"/>
    <w:rsid w:val="00E139F0"/>
    <w:rsid w:val="00E13B03"/>
    <w:rsid w:val="00E13B26"/>
    <w:rsid w:val="00E13E9E"/>
    <w:rsid w:val="00E13FA5"/>
    <w:rsid w:val="00E14656"/>
    <w:rsid w:val="00E14881"/>
    <w:rsid w:val="00E148AA"/>
    <w:rsid w:val="00E149BB"/>
    <w:rsid w:val="00E149EC"/>
    <w:rsid w:val="00E14B14"/>
    <w:rsid w:val="00E14BC4"/>
    <w:rsid w:val="00E14C74"/>
    <w:rsid w:val="00E14D71"/>
    <w:rsid w:val="00E1502C"/>
    <w:rsid w:val="00E150FD"/>
    <w:rsid w:val="00E15520"/>
    <w:rsid w:val="00E15557"/>
    <w:rsid w:val="00E15CF5"/>
    <w:rsid w:val="00E15F53"/>
    <w:rsid w:val="00E1614C"/>
    <w:rsid w:val="00E163A7"/>
    <w:rsid w:val="00E1690F"/>
    <w:rsid w:val="00E16912"/>
    <w:rsid w:val="00E16C9E"/>
    <w:rsid w:val="00E16CCD"/>
    <w:rsid w:val="00E170FC"/>
    <w:rsid w:val="00E173A9"/>
    <w:rsid w:val="00E17B0B"/>
    <w:rsid w:val="00E17CF4"/>
    <w:rsid w:val="00E17DCC"/>
    <w:rsid w:val="00E17E1B"/>
    <w:rsid w:val="00E17FC9"/>
    <w:rsid w:val="00E2006B"/>
    <w:rsid w:val="00E202A2"/>
    <w:rsid w:val="00E2075E"/>
    <w:rsid w:val="00E20A3A"/>
    <w:rsid w:val="00E20AE0"/>
    <w:rsid w:val="00E20B7F"/>
    <w:rsid w:val="00E20DF8"/>
    <w:rsid w:val="00E20F7B"/>
    <w:rsid w:val="00E2102F"/>
    <w:rsid w:val="00E211F3"/>
    <w:rsid w:val="00E21306"/>
    <w:rsid w:val="00E2173D"/>
    <w:rsid w:val="00E2178A"/>
    <w:rsid w:val="00E218FA"/>
    <w:rsid w:val="00E21A53"/>
    <w:rsid w:val="00E21C80"/>
    <w:rsid w:val="00E223BE"/>
    <w:rsid w:val="00E22414"/>
    <w:rsid w:val="00E2262B"/>
    <w:rsid w:val="00E227B7"/>
    <w:rsid w:val="00E228DF"/>
    <w:rsid w:val="00E229C2"/>
    <w:rsid w:val="00E22A30"/>
    <w:rsid w:val="00E22E4B"/>
    <w:rsid w:val="00E231D8"/>
    <w:rsid w:val="00E2329B"/>
    <w:rsid w:val="00E234B2"/>
    <w:rsid w:val="00E23796"/>
    <w:rsid w:val="00E237E1"/>
    <w:rsid w:val="00E23AA4"/>
    <w:rsid w:val="00E23B3D"/>
    <w:rsid w:val="00E23D75"/>
    <w:rsid w:val="00E23E0C"/>
    <w:rsid w:val="00E23EA0"/>
    <w:rsid w:val="00E24031"/>
    <w:rsid w:val="00E24CD9"/>
    <w:rsid w:val="00E24E03"/>
    <w:rsid w:val="00E24E79"/>
    <w:rsid w:val="00E24ED2"/>
    <w:rsid w:val="00E24F94"/>
    <w:rsid w:val="00E2585A"/>
    <w:rsid w:val="00E25B7F"/>
    <w:rsid w:val="00E26064"/>
    <w:rsid w:val="00E268D6"/>
    <w:rsid w:val="00E268E1"/>
    <w:rsid w:val="00E2699D"/>
    <w:rsid w:val="00E26BD4"/>
    <w:rsid w:val="00E26CE3"/>
    <w:rsid w:val="00E26D8C"/>
    <w:rsid w:val="00E26F89"/>
    <w:rsid w:val="00E271DF"/>
    <w:rsid w:val="00E273E3"/>
    <w:rsid w:val="00E27825"/>
    <w:rsid w:val="00E27828"/>
    <w:rsid w:val="00E27A57"/>
    <w:rsid w:val="00E27A94"/>
    <w:rsid w:val="00E27C78"/>
    <w:rsid w:val="00E27E42"/>
    <w:rsid w:val="00E27EAB"/>
    <w:rsid w:val="00E27FF0"/>
    <w:rsid w:val="00E30266"/>
    <w:rsid w:val="00E30335"/>
    <w:rsid w:val="00E3043C"/>
    <w:rsid w:val="00E30779"/>
    <w:rsid w:val="00E30A80"/>
    <w:rsid w:val="00E30AE6"/>
    <w:rsid w:val="00E31037"/>
    <w:rsid w:val="00E31178"/>
    <w:rsid w:val="00E311B1"/>
    <w:rsid w:val="00E3146B"/>
    <w:rsid w:val="00E31B05"/>
    <w:rsid w:val="00E31C97"/>
    <w:rsid w:val="00E31D8E"/>
    <w:rsid w:val="00E31E08"/>
    <w:rsid w:val="00E31FE2"/>
    <w:rsid w:val="00E32406"/>
    <w:rsid w:val="00E32951"/>
    <w:rsid w:val="00E32BA8"/>
    <w:rsid w:val="00E32BFA"/>
    <w:rsid w:val="00E32C00"/>
    <w:rsid w:val="00E32C9A"/>
    <w:rsid w:val="00E32DEE"/>
    <w:rsid w:val="00E32E4C"/>
    <w:rsid w:val="00E3303A"/>
    <w:rsid w:val="00E333AC"/>
    <w:rsid w:val="00E33783"/>
    <w:rsid w:val="00E33A13"/>
    <w:rsid w:val="00E33DCE"/>
    <w:rsid w:val="00E33DF6"/>
    <w:rsid w:val="00E33FA0"/>
    <w:rsid w:val="00E34355"/>
    <w:rsid w:val="00E34406"/>
    <w:rsid w:val="00E3455D"/>
    <w:rsid w:val="00E34567"/>
    <w:rsid w:val="00E34BEF"/>
    <w:rsid w:val="00E35156"/>
    <w:rsid w:val="00E3525C"/>
    <w:rsid w:val="00E35475"/>
    <w:rsid w:val="00E3551E"/>
    <w:rsid w:val="00E3567D"/>
    <w:rsid w:val="00E35AB1"/>
    <w:rsid w:val="00E35B3D"/>
    <w:rsid w:val="00E35BD3"/>
    <w:rsid w:val="00E35D8D"/>
    <w:rsid w:val="00E363C9"/>
    <w:rsid w:val="00E3664A"/>
    <w:rsid w:val="00E36655"/>
    <w:rsid w:val="00E3672B"/>
    <w:rsid w:val="00E367E7"/>
    <w:rsid w:val="00E3685D"/>
    <w:rsid w:val="00E36869"/>
    <w:rsid w:val="00E36D0C"/>
    <w:rsid w:val="00E36E29"/>
    <w:rsid w:val="00E36E46"/>
    <w:rsid w:val="00E36F57"/>
    <w:rsid w:val="00E3739C"/>
    <w:rsid w:val="00E37813"/>
    <w:rsid w:val="00E379B7"/>
    <w:rsid w:val="00E40104"/>
    <w:rsid w:val="00E405F6"/>
    <w:rsid w:val="00E40A21"/>
    <w:rsid w:val="00E40CA4"/>
    <w:rsid w:val="00E40F1D"/>
    <w:rsid w:val="00E40FAA"/>
    <w:rsid w:val="00E41166"/>
    <w:rsid w:val="00E4125D"/>
    <w:rsid w:val="00E41334"/>
    <w:rsid w:val="00E4134C"/>
    <w:rsid w:val="00E41600"/>
    <w:rsid w:val="00E41DC1"/>
    <w:rsid w:val="00E41E34"/>
    <w:rsid w:val="00E4243F"/>
    <w:rsid w:val="00E424AF"/>
    <w:rsid w:val="00E42774"/>
    <w:rsid w:val="00E42F3A"/>
    <w:rsid w:val="00E4334B"/>
    <w:rsid w:val="00E433CB"/>
    <w:rsid w:val="00E43506"/>
    <w:rsid w:val="00E43798"/>
    <w:rsid w:val="00E4381F"/>
    <w:rsid w:val="00E43D2E"/>
    <w:rsid w:val="00E43FFE"/>
    <w:rsid w:val="00E444C9"/>
    <w:rsid w:val="00E44775"/>
    <w:rsid w:val="00E44CC2"/>
    <w:rsid w:val="00E44E09"/>
    <w:rsid w:val="00E455C9"/>
    <w:rsid w:val="00E4589F"/>
    <w:rsid w:val="00E45C3A"/>
    <w:rsid w:val="00E45E6F"/>
    <w:rsid w:val="00E460F9"/>
    <w:rsid w:val="00E46128"/>
    <w:rsid w:val="00E46608"/>
    <w:rsid w:val="00E466AA"/>
    <w:rsid w:val="00E46711"/>
    <w:rsid w:val="00E4684B"/>
    <w:rsid w:val="00E46B70"/>
    <w:rsid w:val="00E46FCA"/>
    <w:rsid w:val="00E470CE"/>
    <w:rsid w:val="00E470E7"/>
    <w:rsid w:val="00E470FF"/>
    <w:rsid w:val="00E475BA"/>
    <w:rsid w:val="00E47760"/>
    <w:rsid w:val="00E47DEE"/>
    <w:rsid w:val="00E501CD"/>
    <w:rsid w:val="00E5022A"/>
    <w:rsid w:val="00E5089E"/>
    <w:rsid w:val="00E50AEF"/>
    <w:rsid w:val="00E50B54"/>
    <w:rsid w:val="00E5100B"/>
    <w:rsid w:val="00E51150"/>
    <w:rsid w:val="00E51436"/>
    <w:rsid w:val="00E51507"/>
    <w:rsid w:val="00E51B90"/>
    <w:rsid w:val="00E51FC7"/>
    <w:rsid w:val="00E5203B"/>
    <w:rsid w:val="00E5232A"/>
    <w:rsid w:val="00E526DA"/>
    <w:rsid w:val="00E52781"/>
    <w:rsid w:val="00E527DA"/>
    <w:rsid w:val="00E529D1"/>
    <w:rsid w:val="00E52C64"/>
    <w:rsid w:val="00E53710"/>
    <w:rsid w:val="00E53BE6"/>
    <w:rsid w:val="00E53DCB"/>
    <w:rsid w:val="00E54207"/>
    <w:rsid w:val="00E54278"/>
    <w:rsid w:val="00E548E5"/>
    <w:rsid w:val="00E54CC3"/>
    <w:rsid w:val="00E55A6C"/>
    <w:rsid w:val="00E55B22"/>
    <w:rsid w:val="00E55DFF"/>
    <w:rsid w:val="00E55FD8"/>
    <w:rsid w:val="00E561D6"/>
    <w:rsid w:val="00E562A3"/>
    <w:rsid w:val="00E56327"/>
    <w:rsid w:val="00E5652F"/>
    <w:rsid w:val="00E565D5"/>
    <w:rsid w:val="00E56635"/>
    <w:rsid w:val="00E56763"/>
    <w:rsid w:val="00E56874"/>
    <w:rsid w:val="00E569E2"/>
    <w:rsid w:val="00E56C99"/>
    <w:rsid w:val="00E56E15"/>
    <w:rsid w:val="00E56F62"/>
    <w:rsid w:val="00E57164"/>
    <w:rsid w:val="00E572CF"/>
    <w:rsid w:val="00E57450"/>
    <w:rsid w:val="00E575E6"/>
    <w:rsid w:val="00E577B6"/>
    <w:rsid w:val="00E5782A"/>
    <w:rsid w:val="00E5794F"/>
    <w:rsid w:val="00E579D6"/>
    <w:rsid w:val="00E57BB3"/>
    <w:rsid w:val="00E57E7B"/>
    <w:rsid w:val="00E57F25"/>
    <w:rsid w:val="00E57FD6"/>
    <w:rsid w:val="00E57FE4"/>
    <w:rsid w:val="00E601DD"/>
    <w:rsid w:val="00E60575"/>
    <w:rsid w:val="00E6058B"/>
    <w:rsid w:val="00E60595"/>
    <w:rsid w:val="00E609F7"/>
    <w:rsid w:val="00E60AB5"/>
    <w:rsid w:val="00E60ADB"/>
    <w:rsid w:val="00E60FAD"/>
    <w:rsid w:val="00E612F8"/>
    <w:rsid w:val="00E6138A"/>
    <w:rsid w:val="00E6163D"/>
    <w:rsid w:val="00E619D2"/>
    <w:rsid w:val="00E61BE1"/>
    <w:rsid w:val="00E61C27"/>
    <w:rsid w:val="00E61CA8"/>
    <w:rsid w:val="00E62123"/>
    <w:rsid w:val="00E62177"/>
    <w:rsid w:val="00E62223"/>
    <w:rsid w:val="00E6237F"/>
    <w:rsid w:val="00E628DF"/>
    <w:rsid w:val="00E62E1F"/>
    <w:rsid w:val="00E63083"/>
    <w:rsid w:val="00E6315D"/>
    <w:rsid w:val="00E631BE"/>
    <w:rsid w:val="00E63A98"/>
    <w:rsid w:val="00E63B40"/>
    <w:rsid w:val="00E63C8A"/>
    <w:rsid w:val="00E63D07"/>
    <w:rsid w:val="00E640AE"/>
    <w:rsid w:val="00E6416E"/>
    <w:rsid w:val="00E641FB"/>
    <w:rsid w:val="00E64259"/>
    <w:rsid w:val="00E6454F"/>
    <w:rsid w:val="00E64795"/>
    <w:rsid w:val="00E6489F"/>
    <w:rsid w:val="00E64A67"/>
    <w:rsid w:val="00E64B67"/>
    <w:rsid w:val="00E64BD6"/>
    <w:rsid w:val="00E64CD9"/>
    <w:rsid w:val="00E64EDA"/>
    <w:rsid w:val="00E65051"/>
    <w:rsid w:val="00E6531C"/>
    <w:rsid w:val="00E655DA"/>
    <w:rsid w:val="00E656CA"/>
    <w:rsid w:val="00E65B2A"/>
    <w:rsid w:val="00E65BBB"/>
    <w:rsid w:val="00E65C1C"/>
    <w:rsid w:val="00E65FDD"/>
    <w:rsid w:val="00E661B9"/>
    <w:rsid w:val="00E662F7"/>
    <w:rsid w:val="00E66598"/>
    <w:rsid w:val="00E66F1F"/>
    <w:rsid w:val="00E67028"/>
    <w:rsid w:val="00E6714A"/>
    <w:rsid w:val="00E672A4"/>
    <w:rsid w:val="00E6758F"/>
    <w:rsid w:val="00E678BE"/>
    <w:rsid w:val="00E67C7C"/>
    <w:rsid w:val="00E67CA8"/>
    <w:rsid w:val="00E67FC2"/>
    <w:rsid w:val="00E700C9"/>
    <w:rsid w:val="00E70144"/>
    <w:rsid w:val="00E703F2"/>
    <w:rsid w:val="00E70A18"/>
    <w:rsid w:val="00E711E3"/>
    <w:rsid w:val="00E71271"/>
    <w:rsid w:val="00E718CC"/>
    <w:rsid w:val="00E719CC"/>
    <w:rsid w:val="00E71BE7"/>
    <w:rsid w:val="00E71E76"/>
    <w:rsid w:val="00E71EDA"/>
    <w:rsid w:val="00E71F2E"/>
    <w:rsid w:val="00E72051"/>
    <w:rsid w:val="00E7214E"/>
    <w:rsid w:val="00E72165"/>
    <w:rsid w:val="00E725EA"/>
    <w:rsid w:val="00E72764"/>
    <w:rsid w:val="00E7283D"/>
    <w:rsid w:val="00E729CF"/>
    <w:rsid w:val="00E72AD1"/>
    <w:rsid w:val="00E73681"/>
    <w:rsid w:val="00E7368A"/>
    <w:rsid w:val="00E73736"/>
    <w:rsid w:val="00E73C92"/>
    <w:rsid w:val="00E73D6D"/>
    <w:rsid w:val="00E73D94"/>
    <w:rsid w:val="00E74054"/>
    <w:rsid w:val="00E74360"/>
    <w:rsid w:val="00E7437F"/>
    <w:rsid w:val="00E74595"/>
    <w:rsid w:val="00E74755"/>
    <w:rsid w:val="00E74881"/>
    <w:rsid w:val="00E74952"/>
    <w:rsid w:val="00E74BA1"/>
    <w:rsid w:val="00E74BE6"/>
    <w:rsid w:val="00E751DF"/>
    <w:rsid w:val="00E7548F"/>
    <w:rsid w:val="00E756F7"/>
    <w:rsid w:val="00E75831"/>
    <w:rsid w:val="00E75993"/>
    <w:rsid w:val="00E759DB"/>
    <w:rsid w:val="00E75FDB"/>
    <w:rsid w:val="00E7604E"/>
    <w:rsid w:val="00E76082"/>
    <w:rsid w:val="00E76323"/>
    <w:rsid w:val="00E76382"/>
    <w:rsid w:val="00E76694"/>
    <w:rsid w:val="00E76A30"/>
    <w:rsid w:val="00E76BDA"/>
    <w:rsid w:val="00E76CE7"/>
    <w:rsid w:val="00E76E2D"/>
    <w:rsid w:val="00E76E45"/>
    <w:rsid w:val="00E76F48"/>
    <w:rsid w:val="00E76F51"/>
    <w:rsid w:val="00E770B6"/>
    <w:rsid w:val="00E77334"/>
    <w:rsid w:val="00E7738D"/>
    <w:rsid w:val="00E7745E"/>
    <w:rsid w:val="00E775E3"/>
    <w:rsid w:val="00E775F5"/>
    <w:rsid w:val="00E776D4"/>
    <w:rsid w:val="00E77D64"/>
    <w:rsid w:val="00E77D8F"/>
    <w:rsid w:val="00E77E52"/>
    <w:rsid w:val="00E800C3"/>
    <w:rsid w:val="00E8017D"/>
    <w:rsid w:val="00E806C5"/>
    <w:rsid w:val="00E807E1"/>
    <w:rsid w:val="00E80B94"/>
    <w:rsid w:val="00E80D84"/>
    <w:rsid w:val="00E80E64"/>
    <w:rsid w:val="00E810FC"/>
    <w:rsid w:val="00E8110B"/>
    <w:rsid w:val="00E812CB"/>
    <w:rsid w:val="00E81687"/>
    <w:rsid w:val="00E8175B"/>
    <w:rsid w:val="00E81A93"/>
    <w:rsid w:val="00E81BE4"/>
    <w:rsid w:val="00E81E20"/>
    <w:rsid w:val="00E8204C"/>
    <w:rsid w:val="00E822A2"/>
    <w:rsid w:val="00E824E6"/>
    <w:rsid w:val="00E82527"/>
    <w:rsid w:val="00E82A81"/>
    <w:rsid w:val="00E82ACE"/>
    <w:rsid w:val="00E82E6F"/>
    <w:rsid w:val="00E8319D"/>
    <w:rsid w:val="00E833A6"/>
    <w:rsid w:val="00E833C4"/>
    <w:rsid w:val="00E835C8"/>
    <w:rsid w:val="00E83618"/>
    <w:rsid w:val="00E83676"/>
    <w:rsid w:val="00E83A36"/>
    <w:rsid w:val="00E83B3B"/>
    <w:rsid w:val="00E83C24"/>
    <w:rsid w:val="00E83C89"/>
    <w:rsid w:val="00E83EBD"/>
    <w:rsid w:val="00E84347"/>
    <w:rsid w:val="00E846ED"/>
    <w:rsid w:val="00E84738"/>
    <w:rsid w:val="00E847B1"/>
    <w:rsid w:val="00E84A22"/>
    <w:rsid w:val="00E84E6F"/>
    <w:rsid w:val="00E84FA9"/>
    <w:rsid w:val="00E85100"/>
    <w:rsid w:val="00E851DB"/>
    <w:rsid w:val="00E85391"/>
    <w:rsid w:val="00E85D8E"/>
    <w:rsid w:val="00E860A5"/>
    <w:rsid w:val="00E86433"/>
    <w:rsid w:val="00E86A4A"/>
    <w:rsid w:val="00E86A5D"/>
    <w:rsid w:val="00E86D5C"/>
    <w:rsid w:val="00E86F2B"/>
    <w:rsid w:val="00E87101"/>
    <w:rsid w:val="00E872B1"/>
    <w:rsid w:val="00E8735C"/>
    <w:rsid w:val="00E8755A"/>
    <w:rsid w:val="00E877E5"/>
    <w:rsid w:val="00E87887"/>
    <w:rsid w:val="00E8793E"/>
    <w:rsid w:val="00E87AE3"/>
    <w:rsid w:val="00E87AE6"/>
    <w:rsid w:val="00E87B16"/>
    <w:rsid w:val="00E87EAB"/>
    <w:rsid w:val="00E87F16"/>
    <w:rsid w:val="00E87FE0"/>
    <w:rsid w:val="00E9008D"/>
    <w:rsid w:val="00E901BA"/>
    <w:rsid w:val="00E90788"/>
    <w:rsid w:val="00E90933"/>
    <w:rsid w:val="00E90A3F"/>
    <w:rsid w:val="00E90AB2"/>
    <w:rsid w:val="00E90BCA"/>
    <w:rsid w:val="00E90BCC"/>
    <w:rsid w:val="00E90E4F"/>
    <w:rsid w:val="00E91171"/>
    <w:rsid w:val="00E914A4"/>
    <w:rsid w:val="00E9190B"/>
    <w:rsid w:val="00E920A1"/>
    <w:rsid w:val="00E92320"/>
    <w:rsid w:val="00E9241F"/>
    <w:rsid w:val="00E9242C"/>
    <w:rsid w:val="00E92482"/>
    <w:rsid w:val="00E92598"/>
    <w:rsid w:val="00E926DB"/>
    <w:rsid w:val="00E928E1"/>
    <w:rsid w:val="00E93024"/>
    <w:rsid w:val="00E930C6"/>
    <w:rsid w:val="00E93404"/>
    <w:rsid w:val="00E93516"/>
    <w:rsid w:val="00E93840"/>
    <w:rsid w:val="00E939DB"/>
    <w:rsid w:val="00E93B21"/>
    <w:rsid w:val="00E93B6E"/>
    <w:rsid w:val="00E93B91"/>
    <w:rsid w:val="00E93C03"/>
    <w:rsid w:val="00E93E10"/>
    <w:rsid w:val="00E940C0"/>
    <w:rsid w:val="00E94462"/>
    <w:rsid w:val="00E94B3F"/>
    <w:rsid w:val="00E94BFC"/>
    <w:rsid w:val="00E94D3E"/>
    <w:rsid w:val="00E94DD5"/>
    <w:rsid w:val="00E94EB4"/>
    <w:rsid w:val="00E94F2C"/>
    <w:rsid w:val="00E94F3C"/>
    <w:rsid w:val="00E9501A"/>
    <w:rsid w:val="00E953C2"/>
    <w:rsid w:val="00E95809"/>
    <w:rsid w:val="00E9593D"/>
    <w:rsid w:val="00E95F70"/>
    <w:rsid w:val="00E95F95"/>
    <w:rsid w:val="00E96586"/>
    <w:rsid w:val="00E96CF8"/>
    <w:rsid w:val="00E97196"/>
    <w:rsid w:val="00E97764"/>
    <w:rsid w:val="00EA00B9"/>
    <w:rsid w:val="00EA0176"/>
    <w:rsid w:val="00EA0E07"/>
    <w:rsid w:val="00EA0EB2"/>
    <w:rsid w:val="00EA13F6"/>
    <w:rsid w:val="00EA146D"/>
    <w:rsid w:val="00EA14C9"/>
    <w:rsid w:val="00EA165F"/>
    <w:rsid w:val="00EA17A0"/>
    <w:rsid w:val="00EA1810"/>
    <w:rsid w:val="00EA1EAA"/>
    <w:rsid w:val="00EA224D"/>
    <w:rsid w:val="00EA231F"/>
    <w:rsid w:val="00EA2387"/>
    <w:rsid w:val="00EA24E7"/>
    <w:rsid w:val="00EA25FB"/>
    <w:rsid w:val="00EA270A"/>
    <w:rsid w:val="00EA28F2"/>
    <w:rsid w:val="00EA292D"/>
    <w:rsid w:val="00EA2E3D"/>
    <w:rsid w:val="00EA2EC3"/>
    <w:rsid w:val="00EA30BC"/>
    <w:rsid w:val="00EA3162"/>
    <w:rsid w:val="00EA3354"/>
    <w:rsid w:val="00EA33F9"/>
    <w:rsid w:val="00EA3555"/>
    <w:rsid w:val="00EA3BE3"/>
    <w:rsid w:val="00EA3C59"/>
    <w:rsid w:val="00EA3DA0"/>
    <w:rsid w:val="00EA3F46"/>
    <w:rsid w:val="00EA3F4E"/>
    <w:rsid w:val="00EA3FD7"/>
    <w:rsid w:val="00EA40E9"/>
    <w:rsid w:val="00EA4441"/>
    <w:rsid w:val="00EA445C"/>
    <w:rsid w:val="00EA4A3E"/>
    <w:rsid w:val="00EA4B5C"/>
    <w:rsid w:val="00EA574B"/>
    <w:rsid w:val="00EA647B"/>
    <w:rsid w:val="00EA6580"/>
    <w:rsid w:val="00EA6666"/>
    <w:rsid w:val="00EA66E6"/>
    <w:rsid w:val="00EA6950"/>
    <w:rsid w:val="00EA6A94"/>
    <w:rsid w:val="00EA6DAC"/>
    <w:rsid w:val="00EA7177"/>
    <w:rsid w:val="00EA72D6"/>
    <w:rsid w:val="00EA7662"/>
    <w:rsid w:val="00EA788F"/>
    <w:rsid w:val="00EB0520"/>
    <w:rsid w:val="00EB0557"/>
    <w:rsid w:val="00EB0690"/>
    <w:rsid w:val="00EB06D1"/>
    <w:rsid w:val="00EB0C07"/>
    <w:rsid w:val="00EB0CE9"/>
    <w:rsid w:val="00EB1471"/>
    <w:rsid w:val="00EB155A"/>
    <w:rsid w:val="00EB1681"/>
    <w:rsid w:val="00EB1727"/>
    <w:rsid w:val="00EB1985"/>
    <w:rsid w:val="00EB1A1A"/>
    <w:rsid w:val="00EB1B7F"/>
    <w:rsid w:val="00EB1F86"/>
    <w:rsid w:val="00EB24DD"/>
    <w:rsid w:val="00EB2A76"/>
    <w:rsid w:val="00EB2C99"/>
    <w:rsid w:val="00EB2D7D"/>
    <w:rsid w:val="00EB2DC2"/>
    <w:rsid w:val="00EB3032"/>
    <w:rsid w:val="00EB3068"/>
    <w:rsid w:val="00EB3300"/>
    <w:rsid w:val="00EB373E"/>
    <w:rsid w:val="00EB3CA3"/>
    <w:rsid w:val="00EB3F09"/>
    <w:rsid w:val="00EB4145"/>
    <w:rsid w:val="00EB4243"/>
    <w:rsid w:val="00EB44F6"/>
    <w:rsid w:val="00EB47A0"/>
    <w:rsid w:val="00EB4BAA"/>
    <w:rsid w:val="00EB4F17"/>
    <w:rsid w:val="00EB5028"/>
    <w:rsid w:val="00EB5725"/>
    <w:rsid w:val="00EB5ECE"/>
    <w:rsid w:val="00EB6000"/>
    <w:rsid w:val="00EB6194"/>
    <w:rsid w:val="00EB63DD"/>
    <w:rsid w:val="00EB6DDB"/>
    <w:rsid w:val="00EB6E92"/>
    <w:rsid w:val="00EB74DE"/>
    <w:rsid w:val="00EB7630"/>
    <w:rsid w:val="00EB7754"/>
    <w:rsid w:val="00EB7D97"/>
    <w:rsid w:val="00EC0251"/>
    <w:rsid w:val="00EC03A8"/>
    <w:rsid w:val="00EC0B91"/>
    <w:rsid w:val="00EC0F5B"/>
    <w:rsid w:val="00EC10BF"/>
    <w:rsid w:val="00EC1D03"/>
    <w:rsid w:val="00EC1D55"/>
    <w:rsid w:val="00EC1E2A"/>
    <w:rsid w:val="00EC1EDD"/>
    <w:rsid w:val="00EC239D"/>
    <w:rsid w:val="00EC23CD"/>
    <w:rsid w:val="00EC245F"/>
    <w:rsid w:val="00EC258F"/>
    <w:rsid w:val="00EC27C1"/>
    <w:rsid w:val="00EC2867"/>
    <w:rsid w:val="00EC2B8D"/>
    <w:rsid w:val="00EC2C7D"/>
    <w:rsid w:val="00EC2EE1"/>
    <w:rsid w:val="00EC3225"/>
    <w:rsid w:val="00EC3483"/>
    <w:rsid w:val="00EC35B8"/>
    <w:rsid w:val="00EC3892"/>
    <w:rsid w:val="00EC38A2"/>
    <w:rsid w:val="00EC38CE"/>
    <w:rsid w:val="00EC38E2"/>
    <w:rsid w:val="00EC39B9"/>
    <w:rsid w:val="00EC3A25"/>
    <w:rsid w:val="00EC3E43"/>
    <w:rsid w:val="00EC3EC8"/>
    <w:rsid w:val="00EC428C"/>
    <w:rsid w:val="00EC4499"/>
    <w:rsid w:val="00EC46DC"/>
    <w:rsid w:val="00EC47EB"/>
    <w:rsid w:val="00EC47EE"/>
    <w:rsid w:val="00EC5335"/>
    <w:rsid w:val="00EC5344"/>
    <w:rsid w:val="00EC5448"/>
    <w:rsid w:val="00EC58E0"/>
    <w:rsid w:val="00EC5A11"/>
    <w:rsid w:val="00EC5D90"/>
    <w:rsid w:val="00EC61AA"/>
    <w:rsid w:val="00EC6231"/>
    <w:rsid w:val="00EC6A6B"/>
    <w:rsid w:val="00EC6D58"/>
    <w:rsid w:val="00EC6EEF"/>
    <w:rsid w:val="00EC7052"/>
    <w:rsid w:val="00EC7152"/>
    <w:rsid w:val="00EC71BA"/>
    <w:rsid w:val="00EC72A7"/>
    <w:rsid w:val="00EC75FE"/>
    <w:rsid w:val="00EC7636"/>
    <w:rsid w:val="00EC77C1"/>
    <w:rsid w:val="00EC7915"/>
    <w:rsid w:val="00EC7B97"/>
    <w:rsid w:val="00EC7B9B"/>
    <w:rsid w:val="00EC7C06"/>
    <w:rsid w:val="00EC7E01"/>
    <w:rsid w:val="00ED0047"/>
    <w:rsid w:val="00ED0048"/>
    <w:rsid w:val="00ED0134"/>
    <w:rsid w:val="00ED03A5"/>
    <w:rsid w:val="00ED0582"/>
    <w:rsid w:val="00ED05FD"/>
    <w:rsid w:val="00ED079E"/>
    <w:rsid w:val="00ED0D31"/>
    <w:rsid w:val="00ED108B"/>
    <w:rsid w:val="00ED18E6"/>
    <w:rsid w:val="00ED2149"/>
    <w:rsid w:val="00ED2437"/>
    <w:rsid w:val="00ED2B84"/>
    <w:rsid w:val="00ED2C86"/>
    <w:rsid w:val="00ED2EC4"/>
    <w:rsid w:val="00ED2F5C"/>
    <w:rsid w:val="00ED30EF"/>
    <w:rsid w:val="00ED3A37"/>
    <w:rsid w:val="00ED3A6C"/>
    <w:rsid w:val="00ED3E1A"/>
    <w:rsid w:val="00ED40D8"/>
    <w:rsid w:val="00ED42C8"/>
    <w:rsid w:val="00ED4820"/>
    <w:rsid w:val="00ED4880"/>
    <w:rsid w:val="00ED4C64"/>
    <w:rsid w:val="00ED4C88"/>
    <w:rsid w:val="00ED4D69"/>
    <w:rsid w:val="00ED4E58"/>
    <w:rsid w:val="00ED5150"/>
    <w:rsid w:val="00ED519B"/>
    <w:rsid w:val="00ED529E"/>
    <w:rsid w:val="00ED5308"/>
    <w:rsid w:val="00ED559A"/>
    <w:rsid w:val="00ED56A9"/>
    <w:rsid w:val="00ED596B"/>
    <w:rsid w:val="00ED68A2"/>
    <w:rsid w:val="00ED6BD4"/>
    <w:rsid w:val="00ED6D75"/>
    <w:rsid w:val="00ED6EC4"/>
    <w:rsid w:val="00ED7164"/>
    <w:rsid w:val="00ED732A"/>
    <w:rsid w:val="00ED77EB"/>
    <w:rsid w:val="00EE046C"/>
    <w:rsid w:val="00EE0659"/>
    <w:rsid w:val="00EE0675"/>
    <w:rsid w:val="00EE0F00"/>
    <w:rsid w:val="00EE0F16"/>
    <w:rsid w:val="00EE104B"/>
    <w:rsid w:val="00EE184E"/>
    <w:rsid w:val="00EE1BA6"/>
    <w:rsid w:val="00EE1CED"/>
    <w:rsid w:val="00EE1E4E"/>
    <w:rsid w:val="00EE229A"/>
    <w:rsid w:val="00EE272D"/>
    <w:rsid w:val="00EE2A97"/>
    <w:rsid w:val="00EE2B31"/>
    <w:rsid w:val="00EE2EC6"/>
    <w:rsid w:val="00EE3847"/>
    <w:rsid w:val="00EE3EB3"/>
    <w:rsid w:val="00EE3F4E"/>
    <w:rsid w:val="00EE3FC9"/>
    <w:rsid w:val="00EE4135"/>
    <w:rsid w:val="00EE422B"/>
    <w:rsid w:val="00EE4279"/>
    <w:rsid w:val="00EE4412"/>
    <w:rsid w:val="00EE460D"/>
    <w:rsid w:val="00EE4E7F"/>
    <w:rsid w:val="00EE52CB"/>
    <w:rsid w:val="00EE55D0"/>
    <w:rsid w:val="00EE5956"/>
    <w:rsid w:val="00EE5B04"/>
    <w:rsid w:val="00EE5E1C"/>
    <w:rsid w:val="00EE6285"/>
    <w:rsid w:val="00EE63D9"/>
    <w:rsid w:val="00EE6417"/>
    <w:rsid w:val="00EE6804"/>
    <w:rsid w:val="00EE689E"/>
    <w:rsid w:val="00EE6CB9"/>
    <w:rsid w:val="00EE751A"/>
    <w:rsid w:val="00EE76CD"/>
    <w:rsid w:val="00EE7999"/>
    <w:rsid w:val="00EE799F"/>
    <w:rsid w:val="00EE7A00"/>
    <w:rsid w:val="00EE7FE5"/>
    <w:rsid w:val="00EF0075"/>
    <w:rsid w:val="00EF0282"/>
    <w:rsid w:val="00EF043C"/>
    <w:rsid w:val="00EF0451"/>
    <w:rsid w:val="00EF059A"/>
    <w:rsid w:val="00EF0748"/>
    <w:rsid w:val="00EF095B"/>
    <w:rsid w:val="00EF0B42"/>
    <w:rsid w:val="00EF1597"/>
    <w:rsid w:val="00EF16C8"/>
    <w:rsid w:val="00EF1A40"/>
    <w:rsid w:val="00EF1B00"/>
    <w:rsid w:val="00EF1CBC"/>
    <w:rsid w:val="00EF1D62"/>
    <w:rsid w:val="00EF23A2"/>
    <w:rsid w:val="00EF2708"/>
    <w:rsid w:val="00EF2E33"/>
    <w:rsid w:val="00EF2FF6"/>
    <w:rsid w:val="00EF35F2"/>
    <w:rsid w:val="00EF3823"/>
    <w:rsid w:val="00EF3831"/>
    <w:rsid w:val="00EF383E"/>
    <w:rsid w:val="00EF3C9E"/>
    <w:rsid w:val="00EF3E29"/>
    <w:rsid w:val="00EF4084"/>
    <w:rsid w:val="00EF4BD2"/>
    <w:rsid w:val="00EF4E2F"/>
    <w:rsid w:val="00EF4EAB"/>
    <w:rsid w:val="00EF519D"/>
    <w:rsid w:val="00EF5726"/>
    <w:rsid w:val="00EF5C3C"/>
    <w:rsid w:val="00EF5FB7"/>
    <w:rsid w:val="00EF6326"/>
    <w:rsid w:val="00EF6430"/>
    <w:rsid w:val="00EF665E"/>
    <w:rsid w:val="00EF682B"/>
    <w:rsid w:val="00EF6A0A"/>
    <w:rsid w:val="00EF6BE6"/>
    <w:rsid w:val="00EF74A2"/>
    <w:rsid w:val="00EF74D2"/>
    <w:rsid w:val="00EF765A"/>
    <w:rsid w:val="00EF77A2"/>
    <w:rsid w:val="00EF77E0"/>
    <w:rsid w:val="00EF7C4D"/>
    <w:rsid w:val="00EF7F2D"/>
    <w:rsid w:val="00F00081"/>
    <w:rsid w:val="00F001CD"/>
    <w:rsid w:val="00F0037D"/>
    <w:rsid w:val="00F007A3"/>
    <w:rsid w:val="00F00D33"/>
    <w:rsid w:val="00F00D63"/>
    <w:rsid w:val="00F0119F"/>
    <w:rsid w:val="00F011A1"/>
    <w:rsid w:val="00F012AD"/>
    <w:rsid w:val="00F015CD"/>
    <w:rsid w:val="00F01729"/>
    <w:rsid w:val="00F018C5"/>
    <w:rsid w:val="00F01DC2"/>
    <w:rsid w:val="00F0209D"/>
    <w:rsid w:val="00F0226D"/>
    <w:rsid w:val="00F02580"/>
    <w:rsid w:val="00F028AD"/>
    <w:rsid w:val="00F02E40"/>
    <w:rsid w:val="00F03396"/>
    <w:rsid w:val="00F033F5"/>
    <w:rsid w:val="00F037D0"/>
    <w:rsid w:val="00F0389E"/>
    <w:rsid w:val="00F03A67"/>
    <w:rsid w:val="00F03E97"/>
    <w:rsid w:val="00F03F7E"/>
    <w:rsid w:val="00F03FB1"/>
    <w:rsid w:val="00F04048"/>
    <w:rsid w:val="00F04354"/>
    <w:rsid w:val="00F043E1"/>
    <w:rsid w:val="00F0493D"/>
    <w:rsid w:val="00F049D1"/>
    <w:rsid w:val="00F049D2"/>
    <w:rsid w:val="00F04C12"/>
    <w:rsid w:val="00F04D7D"/>
    <w:rsid w:val="00F05245"/>
    <w:rsid w:val="00F05528"/>
    <w:rsid w:val="00F05C41"/>
    <w:rsid w:val="00F05D24"/>
    <w:rsid w:val="00F05E44"/>
    <w:rsid w:val="00F06448"/>
    <w:rsid w:val="00F0664D"/>
    <w:rsid w:val="00F066CA"/>
    <w:rsid w:val="00F06A4E"/>
    <w:rsid w:val="00F06D54"/>
    <w:rsid w:val="00F072A5"/>
    <w:rsid w:val="00F0788F"/>
    <w:rsid w:val="00F07A4D"/>
    <w:rsid w:val="00F07B07"/>
    <w:rsid w:val="00F07F61"/>
    <w:rsid w:val="00F1047E"/>
    <w:rsid w:val="00F104BF"/>
    <w:rsid w:val="00F10672"/>
    <w:rsid w:val="00F10687"/>
    <w:rsid w:val="00F1071B"/>
    <w:rsid w:val="00F10727"/>
    <w:rsid w:val="00F1094B"/>
    <w:rsid w:val="00F10960"/>
    <w:rsid w:val="00F10AF6"/>
    <w:rsid w:val="00F10B49"/>
    <w:rsid w:val="00F10C59"/>
    <w:rsid w:val="00F10DCF"/>
    <w:rsid w:val="00F1168C"/>
    <w:rsid w:val="00F11949"/>
    <w:rsid w:val="00F11B2E"/>
    <w:rsid w:val="00F11D03"/>
    <w:rsid w:val="00F11FFF"/>
    <w:rsid w:val="00F12027"/>
    <w:rsid w:val="00F12361"/>
    <w:rsid w:val="00F125A8"/>
    <w:rsid w:val="00F128C4"/>
    <w:rsid w:val="00F1295B"/>
    <w:rsid w:val="00F12D94"/>
    <w:rsid w:val="00F133EC"/>
    <w:rsid w:val="00F136E4"/>
    <w:rsid w:val="00F13E21"/>
    <w:rsid w:val="00F13EC1"/>
    <w:rsid w:val="00F13ECB"/>
    <w:rsid w:val="00F13F52"/>
    <w:rsid w:val="00F142DE"/>
    <w:rsid w:val="00F14552"/>
    <w:rsid w:val="00F14782"/>
    <w:rsid w:val="00F149CF"/>
    <w:rsid w:val="00F14AEC"/>
    <w:rsid w:val="00F14F9C"/>
    <w:rsid w:val="00F1529A"/>
    <w:rsid w:val="00F15555"/>
    <w:rsid w:val="00F157F2"/>
    <w:rsid w:val="00F15E91"/>
    <w:rsid w:val="00F15FDB"/>
    <w:rsid w:val="00F16056"/>
    <w:rsid w:val="00F16249"/>
    <w:rsid w:val="00F16453"/>
    <w:rsid w:val="00F164BF"/>
    <w:rsid w:val="00F164DB"/>
    <w:rsid w:val="00F1670F"/>
    <w:rsid w:val="00F16F41"/>
    <w:rsid w:val="00F17159"/>
    <w:rsid w:val="00F17282"/>
    <w:rsid w:val="00F172D4"/>
    <w:rsid w:val="00F172DF"/>
    <w:rsid w:val="00F173A0"/>
    <w:rsid w:val="00F1758B"/>
    <w:rsid w:val="00F17820"/>
    <w:rsid w:val="00F179B1"/>
    <w:rsid w:val="00F17E07"/>
    <w:rsid w:val="00F17E96"/>
    <w:rsid w:val="00F17FCC"/>
    <w:rsid w:val="00F2041C"/>
    <w:rsid w:val="00F209DB"/>
    <w:rsid w:val="00F20B6F"/>
    <w:rsid w:val="00F20F0B"/>
    <w:rsid w:val="00F2153D"/>
    <w:rsid w:val="00F216B0"/>
    <w:rsid w:val="00F21784"/>
    <w:rsid w:val="00F21983"/>
    <w:rsid w:val="00F21BC7"/>
    <w:rsid w:val="00F21FDA"/>
    <w:rsid w:val="00F22240"/>
    <w:rsid w:val="00F227C7"/>
    <w:rsid w:val="00F228D9"/>
    <w:rsid w:val="00F2346E"/>
    <w:rsid w:val="00F234CF"/>
    <w:rsid w:val="00F235EE"/>
    <w:rsid w:val="00F23A67"/>
    <w:rsid w:val="00F23C91"/>
    <w:rsid w:val="00F23DB8"/>
    <w:rsid w:val="00F23EEB"/>
    <w:rsid w:val="00F24368"/>
    <w:rsid w:val="00F24375"/>
    <w:rsid w:val="00F245D6"/>
    <w:rsid w:val="00F2470B"/>
    <w:rsid w:val="00F249F1"/>
    <w:rsid w:val="00F24E64"/>
    <w:rsid w:val="00F25639"/>
    <w:rsid w:val="00F25762"/>
    <w:rsid w:val="00F257E5"/>
    <w:rsid w:val="00F259CF"/>
    <w:rsid w:val="00F25D72"/>
    <w:rsid w:val="00F25E40"/>
    <w:rsid w:val="00F25F68"/>
    <w:rsid w:val="00F2601C"/>
    <w:rsid w:val="00F26089"/>
    <w:rsid w:val="00F26166"/>
    <w:rsid w:val="00F26182"/>
    <w:rsid w:val="00F261DD"/>
    <w:rsid w:val="00F263F6"/>
    <w:rsid w:val="00F264C2"/>
    <w:rsid w:val="00F2650E"/>
    <w:rsid w:val="00F2652E"/>
    <w:rsid w:val="00F26780"/>
    <w:rsid w:val="00F2683F"/>
    <w:rsid w:val="00F269B7"/>
    <w:rsid w:val="00F26CE0"/>
    <w:rsid w:val="00F26E62"/>
    <w:rsid w:val="00F27014"/>
    <w:rsid w:val="00F27314"/>
    <w:rsid w:val="00F27836"/>
    <w:rsid w:val="00F2794D"/>
    <w:rsid w:val="00F27F8B"/>
    <w:rsid w:val="00F27FBB"/>
    <w:rsid w:val="00F30321"/>
    <w:rsid w:val="00F303B1"/>
    <w:rsid w:val="00F30481"/>
    <w:rsid w:val="00F30499"/>
    <w:rsid w:val="00F30631"/>
    <w:rsid w:val="00F30661"/>
    <w:rsid w:val="00F30B8E"/>
    <w:rsid w:val="00F30E90"/>
    <w:rsid w:val="00F3103A"/>
    <w:rsid w:val="00F311F0"/>
    <w:rsid w:val="00F31516"/>
    <w:rsid w:val="00F3178D"/>
    <w:rsid w:val="00F31800"/>
    <w:rsid w:val="00F31A47"/>
    <w:rsid w:val="00F31E01"/>
    <w:rsid w:val="00F31F2C"/>
    <w:rsid w:val="00F324A4"/>
    <w:rsid w:val="00F327A9"/>
    <w:rsid w:val="00F327EA"/>
    <w:rsid w:val="00F3297D"/>
    <w:rsid w:val="00F329AA"/>
    <w:rsid w:val="00F32A55"/>
    <w:rsid w:val="00F32A5F"/>
    <w:rsid w:val="00F32B94"/>
    <w:rsid w:val="00F32DF5"/>
    <w:rsid w:val="00F33659"/>
    <w:rsid w:val="00F337A7"/>
    <w:rsid w:val="00F337DF"/>
    <w:rsid w:val="00F33FFC"/>
    <w:rsid w:val="00F341B6"/>
    <w:rsid w:val="00F34234"/>
    <w:rsid w:val="00F34698"/>
    <w:rsid w:val="00F34712"/>
    <w:rsid w:val="00F34781"/>
    <w:rsid w:val="00F34804"/>
    <w:rsid w:val="00F34CF1"/>
    <w:rsid w:val="00F35192"/>
    <w:rsid w:val="00F358F2"/>
    <w:rsid w:val="00F35951"/>
    <w:rsid w:val="00F35A30"/>
    <w:rsid w:val="00F35AA6"/>
    <w:rsid w:val="00F35C18"/>
    <w:rsid w:val="00F35F01"/>
    <w:rsid w:val="00F3604F"/>
    <w:rsid w:val="00F36337"/>
    <w:rsid w:val="00F36488"/>
    <w:rsid w:val="00F36494"/>
    <w:rsid w:val="00F3653A"/>
    <w:rsid w:val="00F36724"/>
    <w:rsid w:val="00F36BF4"/>
    <w:rsid w:val="00F36D95"/>
    <w:rsid w:val="00F36FBC"/>
    <w:rsid w:val="00F371BE"/>
    <w:rsid w:val="00F371EA"/>
    <w:rsid w:val="00F371EC"/>
    <w:rsid w:val="00F37313"/>
    <w:rsid w:val="00F374C6"/>
    <w:rsid w:val="00F374CF"/>
    <w:rsid w:val="00F37582"/>
    <w:rsid w:val="00F379E8"/>
    <w:rsid w:val="00F37A3A"/>
    <w:rsid w:val="00F37CF2"/>
    <w:rsid w:val="00F37EF7"/>
    <w:rsid w:val="00F37EFA"/>
    <w:rsid w:val="00F401BC"/>
    <w:rsid w:val="00F40207"/>
    <w:rsid w:val="00F40704"/>
    <w:rsid w:val="00F4090D"/>
    <w:rsid w:val="00F4092F"/>
    <w:rsid w:val="00F41020"/>
    <w:rsid w:val="00F411FF"/>
    <w:rsid w:val="00F41421"/>
    <w:rsid w:val="00F41935"/>
    <w:rsid w:val="00F41C2D"/>
    <w:rsid w:val="00F41E1D"/>
    <w:rsid w:val="00F41F4A"/>
    <w:rsid w:val="00F4202C"/>
    <w:rsid w:val="00F425EA"/>
    <w:rsid w:val="00F42622"/>
    <w:rsid w:val="00F42C8F"/>
    <w:rsid w:val="00F42F36"/>
    <w:rsid w:val="00F43268"/>
    <w:rsid w:val="00F43715"/>
    <w:rsid w:val="00F4384C"/>
    <w:rsid w:val="00F43C87"/>
    <w:rsid w:val="00F4411C"/>
    <w:rsid w:val="00F441C6"/>
    <w:rsid w:val="00F44336"/>
    <w:rsid w:val="00F44467"/>
    <w:rsid w:val="00F444B4"/>
    <w:rsid w:val="00F445CB"/>
    <w:rsid w:val="00F44697"/>
    <w:rsid w:val="00F4488E"/>
    <w:rsid w:val="00F448E6"/>
    <w:rsid w:val="00F449DA"/>
    <w:rsid w:val="00F44B23"/>
    <w:rsid w:val="00F44B39"/>
    <w:rsid w:val="00F44FD6"/>
    <w:rsid w:val="00F45341"/>
    <w:rsid w:val="00F45669"/>
    <w:rsid w:val="00F458CA"/>
    <w:rsid w:val="00F45BE6"/>
    <w:rsid w:val="00F45D59"/>
    <w:rsid w:val="00F46039"/>
    <w:rsid w:val="00F461D5"/>
    <w:rsid w:val="00F463B3"/>
    <w:rsid w:val="00F46EB4"/>
    <w:rsid w:val="00F4758C"/>
    <w:rsid w:val="00F47712"/>
    <w:rsid w:val="00F47BD7"/>
    <w:rsid w:val="00F47CF4"/>
    <w:rsid w:val="00F47D28"/>
    <w:rsid w:val="00F47DAB"/>
    <w:rsid w:val="00F47E01"/>
    <w:rsid w:val="00F50636"/>
    <w:rsid w:val="00F50695"/>
    <w:rsid w:val="00F506DD"/>
    <w:rsid w:val="00F507B9"/>
    <w:rsid w:val="00F5091A"/>
    <w:rsid w:val="00F50C64"/>
    <w:rsid w:val="00F50CFD"/>
    <w:rsid w:val="00F50F12"/>
    <w:rsid w:val="00F5117F"/>
    <w:rsid w:val="00F5146C"/>
    <w:rsid w:val="00F5160B"/>
    <w:rsid w:val="00F519AA"/>
    <w:rsid w:val="00F51A80"/>
    <w:rsid w:val="00F51DD8"/>
    <w:rsid w:val="00F52161"/>
    <w:rsid w:val="00F522D8"/>
    <w:rsid w:val="00F522E8"/>
    <w:rsid w:val="00F52C2E"/>
    <w:rsid w:val="00F52D69"/>
    <w:rsid w:val="00F52E9C"/>
    <w:rsid w:val="00F53123"/>
    <w:rsid w:val="00F53208"/>
    <w:rsid w:val="00F5324A"/>
    <w:rsid w:val="00F53313"/>
    <w:rsid w:val="00F535B1"/>
    <w:rsid w:val="00F53A20"/>
    <w:rsid w:val="00F53B28"/>
    <w:rsid w:val="00F53B43"/>
    <w:rsid w:val="00F53BD8"/>
    <w:rsid w:val="00F544FF"/>
    <w:rsid w:val="00F5456C"/>
    <w:rsid w:val="00F54701"/>
    <w:rsid w:val="00F547A5"/>
    <w:rsid w:val="00F54861"/>
    <w:rsid w:val="00F54919"/>
    <w:rsid w:val="00F54A9F"/>
    <w:rsid w:val="00F54C63"/>
    <w:rsid w:val="00F55108"/>
    <w:rsid w:val="00F5511F"/>
    <w:rsid w:val="00F554EE"/>
    <w:rsid w:val="00F5597A"/>
    <w:rsid w:val="00F559F7"/>
    <w:rsid w:val="00F561EF"/>
    <w:rsid w:val="00F56266"/>
    <w:rsid w:val="00F56333"/>
    <w:rsid w:val="00F56494"/>
    <w:rsid w:val="00F56593"/>
    <w:rsid w:val="00F56783"/>
    <w:rsid w:val="00F567B6"/>
    <w:rsid w:val="00F567CF"/>
    <w:rsid w:val="00F56915"/>
    <w:rsid w:val="00F56AEC"/>
    <w:rsid w:val="00F56B65"/>
    <w:rsid w:val="00F56E3C"/>
    <w:rsid w:val="00F56E97"/>
    <w:rsid w:val="00F5752C"/>
    <w:rsid w:val="00F575AB"/>
    <w:rsid w:val="00F576AD"/>
    <w:rsid w:val="00F576C0"/>
    <w:rsid w:val="00F57739"/>
    <w:rsid w:val="00F5777F"/>
    <w:rsid w:val="00F57797"/>
    <w:rsid w:val="00F577B7"/>
    <w:rsid w:val="00F5788D"/>
    <w:rsid w:val="00F57AEB"/>
    <w:rsid w:val="00F57D6C"/>
    <w:rsid w:val="00F57E07"/>
    <w:rsid w:val="00F57EA6"/>
    <w:rsid w:val="00F60585"/>
    <w:rsid w:val="00F6065E"/>
    <w:rsid w:val="00F606C7"/>
    <w:rsid w:val="00F606D3"/>
    <w:rsid w:val="00F60A58"/>
    <w:rsid w:val="00F60A9C"/>
    <w:rsid w:val="00F60B62"/>
    <w:rsid w:val="00F60BFF"/>
    <w:rsid w:val="00F60C04"/>
    <w:rsid w:val="00F60DD3"/>
    <w:rsid w:val="00F60ED2"/>
    <w:rsid w:val="00F60EE4"/>
    <w:rsid w:val="00F60EEF"/>
    <w:rsid w:val="00F60F11"/>
    <w:rsid w:val="00F61084"/>
    <w:rsid w:val="00F61107"/>
    <w:rsid w:val="00F612B8"/>
    <w:rsid w:val="00F614FD"/>
    <w:rsid w:val="00F61EF3"/>
    <w:rsid w:val="00F6203B"/>
    <w:rsid w:val="00F620C0"/>
    <w:rsid w:val="00F622C3"/>
    <w:rsid w:val="00F62473"/>
    <w:rsid w:val="00F62716"/>
    <w:rsid w:val="00F6298A"/>
    <w:rsid w:val="00F62D6E"/>
    <w:rsid w:val="00F63793"/>
    <w:rsid w:val="00F6381D"/>
    <w:rsid w:val="00F63DE9"/>
    <w:rsid w:val="00F64081"/>
    <w:rsid w:val="00F648B3"/>
    <w:rsid w:val="00F64D52"/>
    <w:rsid w:val="00F64D81"/>
    <w:rsid w:val="00F64F24"/>
    <w:rsid w:val="00F65367"/>
    <w:rsid w:val="00F65538"/>
    <w:rsid w:val="00F655A2"/>
    <w:rsid w:val="00F65A9E"/>
    <w:rsid w:val="00F65B1F"/>
    <w:rsid w:val="00F65C5C"/>
    <w:rsid w:val="00F65DBF"/>
    <w:rsid w:val="00F65F11"/>
    <w:rsid w:val="00F66003"/>
    <w:rsid w:val="00F660A8"/>
    <w:rsid w:val="00F661CF"/>
    <w:rsid w:val="00F66304"/>
    <w:rsid w:val="00F667BC"/>
    <w:rsid w:val="00F66936"/>
    <w:rsid w:val="00F66978"/>
    <w:rsid w:val="00F66FC1"/>
    <w:rsid w:val="00F66FC6"/>
    <w:rsid w:val="00F67320"/>
    <w:rsid w:val="00F6741C"/>
    <w:rsid w:val="00F6744D"/>
    <w:rsid w:val="00F67450"/>
    <w:rsid w:val="00F67A9D"/>
    <w:rsid w:val="00F67AE3"/>
    <w:rsid w:val="00F67DEA"/>
    <w:rsid w:val="00F700E0"/>
    <w:rsid w:val="00F706F4"/>
    <w:rsid w:val="00F707FC"/>
    <w:rsid w:val="00F708D3"/>
    <w:rsid w:val="00F70D08"/>
    <w:rsid w:val="00F70DAF"/>
    <w:rsid w:val="00F70DC3"/>
    <w:rsid w:val="00F70DD1"/>
    <w:rsid w:val="00F719F8"/>
    <w:rsid w:val="00F71C3D"/>
    <w:rsid w:val="00F71FE6"/>
    <w:rsid w:val="00F72492"/>
    <w:rsid w:val="00F7253A"/>
    <w:rsid w:val="00F72F0E"/>
    <w:rsid w:val="00F730F0"/>
    <w:rsid w:val="00F73105"/>
    <w:rsid w:val="00F731B5"/>
    <w:rsid w:val="00F7336D"/>
    <w:rsid w:val="00F733E6"/>
    <w:rsid w:val="00F73558"/>
    <w:rsid w:val="00F736FD"/>
    <w:rsid w:val="00F73856"/>
    <w:rsid w:val="00F73882"/>
    <w:rsid w:val="00F738BB"/>
    <w:rsid w:val="00F7392F"/>
    <w:rsid w:val="00F73B93"/>
    <w:rsid w:val="00F74111"/>
    <w:rsid w:val="00F7421C"/>
    <w:rsid w:val="00F74443"/>
    <w:rsid w:val="00F74648"/>
    <w:rsid w:val="00F74854"/>
    <w:rsid w:val="00F74930"/>
    <w:rsid w:val="00F74A0D"/>
    <w:rsid w:val="00F74A7B"/>
    <w:rsid w:val="00F75094"/>
    <w:rsid w:val="00F750C0"/>
    <w:rsid w:val="00F75227"/>
    <w:rsid w:val="00F75453"/>
    <w:rsid w:val="00F755B5"/>
    <w:rsid w:val="00F7586D"/>
    <w:rsid w:val="00F75981"/>
    <w:rsid w:val="00F75AAD"/>
    <w:rsid w:val="00F75B2C"/>
    <w:rsid w:val="00F75BD8"/>
    <w:rsid w:val="00F75D11"/>
    <w:rsid w:val="00F76B80"/>
    <w:rsid w:val="00F76E39"/>
    <w:rsid w:val="00F771A4"/>
    <w:rsid w:val="00F771D4"/>
    <w:rsid w:val="00F77399"/>
    <w:rsid w:val="00F77526"/>
    <w:rsid w:val="00F77988"/>
    <w:rsid w:val="00F77AA7"/>
    <w:rsid w:val="00F77B68"/>
    <w:rsid w:val="00F77F23"/>
    <w:rsid w:val="00F80145"/>
    <w:rsid w:val="00F808E1"/>
    <w:rsid w:val="00F80986"/>
    <w:rsid w:val="00F80A7C"/>
    <w:rsid w:val="00F8123A"/>
    <w:rsid w:val="00F81441"/>
    <w:rsid w:val="00F81490"/>
    <w:rsid w:val="00F81A84"/>
    <w:rsid w:val="00F81D8E"/>
    <w:rsid w:val="00F81F2A"/>
    <w:rsid w:val="00F827BC"/>
    <w:rsid w:val="00F833C1"/>
    <w:rsid w:val="00F834A9"/>
    <w:rsid w:val="00F83502"/>
    <w:rsid w:val="00F83603"/>
    <w:rsid w:val="00F8367D"/>
    <w:rsid w:val="00F836EF"/>
    <w:rsid w:val="00F837BA"/>
    <w:rsid w:val="00F838E2"/>
    <w:rsid w:val="00F83C47"/>
    <w:rsid w:val="00F83DA2"/>
    <w:rsid w:val="00F83EC8"/>
    <w:rsid w:val="00F841D6"/>
    <w:rsid w:val="00F845CA"/>
    <w:rsid w:val="00F846ED"/>
    <w:rsid w:val="00F848E1"/>
    <w:rsid w:val="00F84C59"/>
    <w:rsid w:val="00F84D4D"/>
    <w:rsid w:val="00F85008"/>
    <w:rsid w:val="00F85244"/>
    <w:rsid w:val="00F854C8"/>
    <w:rsid w:val="00F85628"/>
    <w:rsid w:val="00F856C4"/>
    <w:rsid w:val="00F859A8"/>
    <w:rsid w:val="00F863D2"/>
    <w:rsid w:val="00F865F6"/>
    <w:rsid w:val="00F86B43"/>
    <w:rsid w:val="00F86C19"/>
    <w:rsid w:val="00F86F2E"/>
    <w:rsid w:val="00F86FE6"/>
    <w:rsid w:val="00F87228"/>
    <w:rsid w:val="00F872A1"/>
    <w:rsid w:val="00F87455"/>
    <w:rsid w:val="00F87478"/>
    <w:rsid w:val="00F8783F"/>
    <w:rsid w:val="00F87B27"/>
    <w:rsid w:val="00F87D96"/>
    <w:rsid w:val="00F9013E"/>
    <w:rsid w:val="00F905CD"/>
    <w:rsid w:val="00F90695"/>
    <w:rsid w:val="00F9086B"/>
    <w:rsid w:val="00F90BBB"/>
    <w:rsid w:val="00F90D5E"/>
    <w:rsid w:val="00F90E6B"/>
    <w:rsid w:val="00F91027"/>
    <w:rsid w:val="00F911F5"/>
    <w:rsid w:val="00F91257"/>
    <w:rsid w:val="00F91362"/>
    <w:rsid w:val="00F9158D"/>
    <w:rsid w:val="00F91949"/>
    <w:rsid w:val="00F91A45"/>
    <w:rsid w:val="00F91B13"/>
    <w:rsid w:val="00F91E74"/>
    <w:rsid w:val="00F91EB0"/>
    <w:rsid w:val="00F91F6D"/>
    <w:rsid w:val="00F91FCE"/>
    <w:rsid w:val="00F922B7"/>
    <w:rsid w:val="00F9290C"/>
    <w:rsid w:val="00F92A7D"/>
    <w:rsid w:val="00F92B96"/>
    <w:rsid w:val="00F93188"/>
    <w:rsid w:val="00F93439"/>
    <w:rsid w:val="00F936C1"/>
    <w:rsid w:val="00F9382D"/>
    <w:rsid w:val="00F9392F"/>
    <w:rsid w:val="00F93A9F"/>
    <w:rsid w:val="00F93B5A"/>
    <w:rsid w:val="00F93DE0"/>
    <w:rsid w:val="00F94305"/>
    <w:rsid w:val="00F9438D"/>
    <w:rsid w:val="00F9461C"/>
    <w:rsid w:val="00F9469A"/>
    <w:rsid w:val="00F947BE"/>
    <w:rsid w:val="00F94832"/>
    <w:rsid w:val="00F9487F"/>
    <w:rsid w:val="00F94CCA"/>
    <w:rsid w:val="00F94E92"/>
    <w:rsid w:val="00F9503C"/>
    <w:rsid w:val="00F953D3"/>
    <w:rsid w:val="00F957C4"/>
    <w:rsid w:val="00F95C4B"/>
    <w:rsid w:val="00F9652A"/>
    <w:rsid w:val="00F9698D"/>
    <w:rsid w:val="00F969CF"/>
    <w:rsid w:val="00F96D88"/>
    <w:rsid w:val="00F96E46"/>
    <w:rsid w:val="00F96F4E"/>
    <w:rsid w:val="00F96FA9"/>
    <w:rsid w:val="00F970D4"/>
    <w:rsid w:val="00F973E7"/>
    <w:rsid w:val="00F974E8"/>
    <w:rsid w:val="00FA0231"/>
    <w:rsid w:val="00FA0315"/>
    <w:rsid w:val="00FA0788"/>
    <w:rsid w:val="00FA0833"/>
    <w:rsid w:val="00FA0965"/>
    <w:rsid w:val="00FA0987"/>
    <w:rsid w:val="00FA0BB9"/>
    <w:rsid w:val="00FA1033"/>
    <w:rsid w:val="00FA106E"/>
    <w:rsid w:val="00FA1134"/>
    <w:rsid w:val="00FA122B"/>
    <w:rsid w:val="00FA170D"/>
    <w:rsid w:val="00FA2988"/>
    <w:rsid w:val="00FA2D32"/>
    <w:rsid w:val="00FA2E16"/>
    <w:rsid w:val="00FA2F68"/>
    <w:rsid w:val="00FA3080"/>
    <w:rsid w:val="00FA309A"/>
    <w:rsid w:val="00FA35BB"/>
    <w:rsid w:val="00FA3707"/>
    <w:rsid w:val="00FA37A7"/>
    <w:rsid w:val="00FA4071"/>
    <w:rsid w:val="00FA40C4"/>
    <w:rsid w:val="00FA422B"/>
    <w:rsid w:val="00FA4280"/>
    <w:rsid w:val="00FA42C7"/>
    <w:rsid w:val="00FA45DD"/>
    <w:rsid w:val="00FA46B1"/>
    <w:rsid w:val="00FA47F3"/>
    <w:rsid w:val="00FA495E"/>
    <w:rsid w:val="00FA4B82"/>
    <w:rsid w:val="00FA4C0C"/>
    <w:rsid w:val="00FA4C75"/>
    <w:rsid w:val="00FA4C8E"/>
    <w:rsid w:val="00FA4FAE"/>
    <w:rsid w:val="00FA51B3"/>
    <w:rsid w:val="00FA5375"/>
    <w:rsid w:val="00FA55E2"/>
    <w:rsid w:val="00FA5768"/>
    <w:rsid w:val="00FA5774"/>
    <w:rsid w:val="00FA58CA"/>
    <w:rsid w:val="00FA5B0E"/>
    <w:rsid w:val="00FA6334"/>
    <w:rsid w:val="00FA6B9D"/>
    <w:rsid w:val="00FA72DE"/>
    <w:rsid w:val="00FA73CE"/>
    <w:rsid w:val="00FA748E"/>
    <w:rsid w:val="00FB0184"/>
    <w:rsid w:val="00FB0376"/>
    <w:rsid w:val="00FB0439"/>
    <w:rsid w:val="00FB04B6"/>
    <w:rsid w:val="00FB04CE"/>
    <w:rsid w:val="00FB04E4"/>
    <w:rsid w:val="00FB053B"/>
    <w:rsid w:val="00FB0625"/>
    <w:rsid w:val="00FB09B4"/>
    <w:rsid w:val="00FB0EFD"/>
    <w:rsid w:val="00FB110F"/>
    <w:rsid w:val="00FB1115"/>
    <w:rsid w:val="00FB1420"/>
    <w:rsid w:val="00FB14BC"/>
    <w:rsid w:val="00FB157A"/>
    <w:rsid w:val="00FB15B8"/>
    <w:rsid w:val="00FB1886"/>
    <w:rsid w:val="00FB1AC2"/>
    <w:rsid w:val="00FB2289"/>
    <w:rsid w:val="00FB23BC"/>
    <w:rsid w:val="00FB2744"/>
    <w:rsid w:val="00FB292A"/>
    <w:rsid w:val="00FB2E76"/>
    <w:rsid w:val="00FB312F"/>
    <w:rsid w:val="00FB32F6"/>
    <w:rsid w:val="00FB3542"/>
    <w:rsid w:val="00FB378F"/>
    <w:rsid w:val="00FB3EB6"/>
    <w:rsid w:val="00FB3F3C"/>
    <w:rsid w:val="00FB43EA"/>
    <w:rsid w:val="00FB46DD"/>
    <w:rsid w:val="00FB4AB3"/>
    <w:rsid w:val="00FB4C90"/>
    <w:rsid w:val="00FB4D16"/>
    <w:rsid w:val="00FB4E67"/>
    <w:rsid w:val="00FB50BC"/>
    <w:rsid w:val="00FB5229"/>
    <w:rsid w:val="00FB5292"/>
    <w:rsid w:val="00FB53D4"/>
    <w:rsid w:val="00FB544B"/>
    <w:rsid w:val="00FB5472"/>
    <w:rsid w:val="00FB5732"/>
    <w:rsid w:val="00FB58DE"/>
    <w:rsid w:val="00FB5A0A"/>
    <w:rsid w:val="00FB627C"/>
    <w:rsid w:val="00FB63FD"/>
    <w:rsid w:val="00FB650B"/>
    <w:rsid w:val="00FB68B8"/>
    <w:rsid w:val="00FB6DE0"/>
    <w:rsid w:val="00FB6EB6"/>
    <w:rsid w:val="00FB6FD4"/>
    <w:rsid w:val="00FB7212"/>
    <w:rsid w:val="00FB768A"/>
    <w:rsid w:val="00FB77B1"/>
    <w:rsid w:val="00FB77B8"/>
    <w:rsid w:val="00FB7B77"/>
    <w:rsid w:val="00FB7C81"/>
    <w:rsid w:val="00FB7E61"/>
    <w:rsid w:val="00FB7EC3"/>
    <w:rsid w:val="00FC0050"/>
    <w:rsid w:val="00FC0295"/>
    <w:rsid w:val="00FC06DF"/>
    <w:rsid w:val="00FC06F0"/>
    <w:rsid w:val="00FC08FC"/>
    <w:rsid w:val="00FC0918"/>
    <w:rsid w:val="00FC0C19"/>
    <w:rsid w:val="00FC0C7F"/>
    <w:rsid w:val="00FC0E5A"/>
    <w:rsid w:val="00FC0F86"/>
    <w:rsid w:val="00FC11BD"/>
    <w:rsid w:val="00FC1333"/>
    <w:rsid w:val="00FC153F"/>
    <w:rsid w:val="00FC16D6"/>
    <w:rsid w:val="00FC1965"/>
    <w:rsid w:val="00FC1BCA"/>
    <w:rsid w:val="00FC20F7"/>
    <w:rsid w:val="00FC218E"/>
    <w:rsid w:val="00FC24A2"/>
    <w:rsid w:val="00FC2506"/>
    <w:rsid w:val="00FC2564"/>
    <w:rsid w:val="00FC2756"/>
    <w:rsid w:val="00FC2E2C"/>
    <w:rsid w:val="00FC2FB8"/>
    <w:rsid w:val="00FC30E6"/>
    <w:rsid w:val="00FC311E"/>
    <w:rsid w:val="00FC3A0B"/>
    <w:rsid w:val="00FC3D3D"/>
    <w:rsid w:val="00FC3EB1"/>
    <w:rsid w:val="00FC41EF"/>
    <w:rsid w:val="00FC44F6"/>
    <w:rsid w:val="00FC46C1"/>
    <w:rsid w:val="00FC4A82"/>
    <w:rsid w:val="00FC4A92"/>
    <w:rsid w:val="00FC4ACA"/>
    <w:rsid w:val="00FC4C3A"/>
    <w:rsid w:val="00FC4E3F"/>
    <w:rsid w:val="00FC4F5F"/>
    <w:rsid w:val="00FC5345"/>
    <w:rsid w:val="00FC5636"/>
    <w:rsid w:val="00FC58DE"/>
    <w:rsid w:val="00FC5AD0"/>
    <w:rsid w:val="00FC5C04"/>
    <w:rsid w:val="00FC5C05"/>
    <w:rsid w:val="00FC5C1F"/>
    <w:rsid w:val="00FC635B"/>
    <w:rsid w:val="00FC664D"/>
    <w:rsid w:val="00FC6A1E"/>
    <w:rsid w:val="00FC6A9E"/>
    <w:rsid w:val="00FC6B3A"/>
    <w:rsid w:val="00FC6B50"/>
    <w:rsid w:val="00FC6D14"/>
    <w:rsid w:val="00FC71A6"/>
    <w:rsid w:val="00FC7228"/>
    <w:rsid w:val="00FC726C"/>
    <w:rsid w:val="00FC72EF"/>
    <w:rsid w:val="00FC72FC"/>
    <w:rsid w:val="00FC7475"/>
    <w:rsid w:val="00FC7D98"/>
    <w:rsid w:val="00FC7DC5"/>
    <w:rsid w:val="00FC7F92"/>
    <w:rsid w:val="00FC7FC2"/>
    <w:rsid w:val="00FD0214"/>
    <w:rsid w:val="00FD02DD"/>
    <w:rsid w:val="00FD0836"/>
    <w:rsid w:val="00FD0A91"/>
    <w:rsid w:val="00FD1155"/>
    <w:rsid w:val="00FD13E1"/>
    <w:rsid w:val="00FD14F3"/>
    <w:rsid w:val="00FD156B"/>
    <w:rsid w:val="00FD172F"/>
    <w:rsid w:val="00FD1734"/>
    <w:rsid w:val="00FD1926"/>
    <w:rsid w:val="00FD1DEA"/>
    <w:rsid w:val="00FD1F1F"/>
    <w:rsid w:val="00FD1F4C"/>
    <w:rsid w:val="00FD1FC4"/>
    <w:rsid w:val="00FD218F"/>
    <w:rsid w:val="00FD227C"/>
    <w:rsid w:val="00FD29BE"/>
    <w:rsid w:val="00FD2FBD"/>
    <w:rsid w:val="00FD352A"/>
    <w:rsid w:val="00FD3775"/>
    <w:rsid w:val="00FD390B"/>
    <w:rsid w:val="00FD3916"/>
    <w:rsid w:val="00FD3E2E"/>
    <w:rsid w:val="00FD4013"/>
    <w:rsid w:val="00FD4102"/>
    <w:rsid w:val="00FD45D3"/>
    <w:rsid w:val="00FD4AC7"/>
    <w:rsid w:val="00FD4E1F"/>
    <w:rsid w:val="00FD4EDB"/>
    <w:rsid w:val="00FD502C"/>
    <w:rsid w:val="00FD56CB"/>
    <w:rsid w:val="00FD5702"/>
    <w:rsid w:val="00FD582F"/>
    <w:rsid w:val="00FD5F95"/>
    <w:rsid w:val="00FD5F99"/>
    <w:rsid w:val="00FD61EB"/>
    <w:rsid w:val="00FD6211"/>
    <w:rsid w:val="00FD6D27"/>
    <w:rsid w:val="00FD6D99"/>
    <w:rsid w:val="00FD6DAF"/>
    <w:rsid w:val="00FD6DB0"/>
    <w:rsid w:val="00FD71B8"/>
    <w:rsid w:val="00FD725D"/>
    <w:rsid w:val="00FD7CAB"/>
    <w:rsid w:val="00FD7EAB"/>
    <w:rsid w:val="00FE017E"/>
    <w:rsid w:val="00FE02E6"/>
    <w:rsid w:val="00FE02F5"/>
    <w:rsid w:val="00FE04B9"/>
    <w:rsid w:val="00FE057E"/>
    <w:rsid w:val="00FE0EC2"/>
    <w:rsid w:val="00FE1113"/>
    <w:rsid w:val="00FE12F0"/>
    <w:rsid w:val="00FE133B"/>
    <w:rsid w:val="00FE1490"/>
    <w:rsid w:val="00FE1612"/>
    <w:rsid w:val="00FE1A70"/>
    <w:rsid w:val="00FE1AA1"/>
    <w:rsid w:val="00FE1B4F"/>
    <w:rsid w:val="00FE1E44"/>
    <w:rsid w:val="00FE2039"/>
    <w:rsid w:val="00FE2C5A"/>
    <w:rsid w:val="00FE2F1A"/>
    <w:rsid w:val="00FE3051"/>
    <w:rsid w:val="00FE30ED"/>
    <w:rsid w:val="00FE3149"/>
    <w:rsid w:val="00FE31F8"/>
    <w:rsid w:val="00FE35F1"/>
    <w:rsid w:val="00FE37F2"/>
    <w:rsid w:val="00FE3878"/>
    <w:rsid w:val="00FE3A84"/>
    <w:rsid w:val="00FE3EE9"/>
    <w:rsid w:val="00FE3FDA"/>
    <w:rsid w:val="00FE48B1"/>
    <w:rsid w:val="00FE4948"/>
    <w:rsid w:val="00FE49A6"/>
    <w:rsid w:val="00FE4B7F"/>
    <w:rsid w:val="00FE4DE3"/>
    <w:rsid w:val="00FE51B2"/>
    <w:rsid w:val="00FE549A"/>
    <w:rsid w:val="00FE55E1"/>
    <w:rsid w:val="00FE5711"/>
    <w:rsid w:val="00FE5DF2"/>
    <w:rsid w:val="00FE6636"/>
    <w:rsid w:val="00FE6A84"/>
    <w:rsid w:val="00FE6D6C"/>
    <w:rsid w:val="00FE6EE6"/>
    <w:rsid w:val="00FE71B2"/>
    <w:rsid w:val="00FE71EC"/>
    <w:rsid w:val="00FE72B8"/>
    <w:rsid w:val="00FE79CB"/>
    <w:rsid w:val="00FE7C9D"/>
    <w:rsid w:val="00FE7D16"/>
    <w:rsid w:val="00FE7F99"/>
    <w:rsid w:val="00FF01A1"/>
    <w:rsid w:val="00FF02D8"/>
    <w:rsid w:val="00FF0643"/>
    <w:rsid w:val="00FF0995"/>
    <w:rsid w:val="00FF0B49"/>
    <w:rsid w:val="00FF0BD2"/>
    <w:rsid w:val="00FF0DAA"/>
    <w:rsid w:val="00FF0FC4"/>
    <w:rsid w:val="00FF1111"/>
    <w:rsid w:val="00FF12D3"/>
    <w:rsid w:val="00FF1535"/>
    <w:rsid w:val="00FF1710"/>
    <w:rsid w:val="00FF1853"/>
    <w:rsid w:val="00FF1A7F"/>
    <w:rsid w:val="00FF1B7B"/>
    <w:rsid w:val="00FF1D41"/>
    <w:rsid w:val="00FF204B"/>
    <w:rsid w:val="00FF2272"/>
    <w:rsid w:val="00FF25A7"/>
    <w:rsid w:val="00FF2850"/>
    <w:rsid w:val="00FF37C4"/>
    <w:rsid w:val="00FF38DC"/>
    <w:rsid w:val="00FF38E3"/>
    <w:rsid w:val="00FF3F69"/>
    <w:rsid w:val="00FF408F"/>
    <w:rsid w:val="00FF4106"/>
    <w:rsid w:val="00FF4146"/>
    <w:rsid w:val="00FF4173"/>
    <w:rsid w:val="00FF448E"/>
    <w:rsid w:val="00FF47DA"/>
    <w:rsid w:val="00FF4A53"/>
    <w:rsid w:val="00FF4A6E"/>
    <w:rsid w:val="00FF4B2A"/>
    <w:rsid w:val="00FF4FCA"/>
    <w:rsid w:val="00FF5259"/>
    <w:rsid w:val="00FF53D8"/>
    <w:rsid w:val="00FF53FB"/>
    <w:rsid w:val="00FF54BF"/>
    <w:rsid w:val="00FF54CE"/>
    <w:rsid w:val="00FF59CF"/>
    <w:rsid w:val="00FF5AA3"/>
    <w:rsid w:val="00FF5C76"/>
    <w:rsid w:val="00FF6051"/>
    <w:rsid w:val="00FF622C"/>
    <w:rsid w:val="00FF649C"/>
    <w:rsid w:val="00FF6849"/>
    <w:rsid w:val="00FF725A"/>
    <w:rsid w:val="00FF737D"/>
    <w:rsid w:val="00FF75E9"/>
    <w:rsid w:val="00FF7756"/>
    <w:rsid w:val="00FF7BDE"/>
    <w:rsid w:val="00FF7D3B"/>
    <w:rsid w:val="00FF7E44"/>
    <w:rsid w:val="107A5832"/>
    <w:rsid w:val="1832D396"/>
    <w:rsid w:val="3248A9F0"/>
    <w:rsid w:val="3C9CA922"/>
    <w:rsid w:val="3F43E8F7"/>
    <w:rsid w:val="4EC0BC23"/>
    <w:rsid w:val="58C889D9"/>
    <w:rsid w:val="600AC9AB"/>
    <w:rsid w:val="6967B2CC"/>
    <w:rsid w:val="7BA383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17E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91D"/>
    <w:pPr>
      <w:spacing w:after="120"/>
    </w:pPr>
    <w:rPr>
      <w:rFonts w:ascii="Segoe UI" w:hAnsi="Segoe UI"/>
      <w:sz w:val="19"/>
      <w:lang w:val="en-AU"/>
    </w:rPr>
  </w:style>
  <w:style w:type="paragraph" w:styleId="Heading1">
    <w:name w:val="heading 1"/>
    <w:basedOn w:val="Normal"/>
    <w:next w:val="Normal"/>
    <w:link w:val="Heading1Char"/>
    <w:uiPriority w:val="19"/>
    <w:qFormat/>
    <w:rsid w:val="00B07E1E"/>
    <w:pPr>
      <w:keepNext/>
      <w:pageBreakBefore/>
      <w:numPr>
        <w:numId w:val="2"/>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51B44"/>
    <w:pPr>
      <w:keepNext/>
      <w:numPr>
        <w:ilvl w:val="1"/>
        <w:numId w:val="2"/>
      </w:numPr>
      <w:spacing w:before="480" w:after="180" w:line="380" w:lineRule="exact"/>
      <w:ind w:left="578" w:hanging="578"/>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2"/>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2"/>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2"/>
      </w:numPr>
      <w:spacing w:before="200" w:after="60"/>
      <w:ind w:left="1020" w:hanging="17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51B4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4"/>
      </w:numPr>
      <w:suppressAutoHyphens/>
    </w:pPr>
    <w:rPr>
      <w:rFonts w:eastAsia="Times New Roman" w:cs="Times New Roman"/>
      <w:szCs w:val="19"/>
      <w:lang w:eastAsia="en-AU"/>
    </w:rPr>
  </w:style>
  <w:style w:type="paragraph" w:customStyle="1" w:styleId="TableNheader">
    <w:name w:val="Table N header"/>
    <w:basedOn w:val="Normal"/>
    <w:uiPriority w:val="1"/>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1"/>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9"/>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9"/>
    <w:qFormat/>
    <w:rsid w:val="005117E0"/>
    <w:pPr>
      <w:numPr>
        <w:numId w:val="3"/>
      </w:numPr>
      <w:spacing w:before="60" w:after="60"/>
      <w:ind w:left="340" w:hanging="340"/>
    </w:pPr>
    <w:rPr>
      <w:sz w:val="17"/>
    </w:rPr>
  </w:style>
  <w:style w:type="paragraph" w:customStyle="1" w:styleId="TableNListnumbered0">
    <w:name w:val="Table N List (numbered)"/>
    <w:basedOn w:val="TableNBullet"/>
    <w:uiPriority w:val="2"/>
    <w:qFormat/>
    <w:rsid w:val="005117E0"/>
    <w:pPr>
      <w:numPr>
        <w:numId w:val="11"/>
      </w:numPr>
      <w:ind w:left="170" w:hanging="170"/>
    </w:pPr>
  </w:style>
  <w:style w:type="paragraph" w:customStyle="1" w:styleId="xAppendixLevel1">
    <w:name w:val="xAppendix Level 1"/>
    <w:basedOn w:val="Heading1"/>
    <w:next w:val="Normal"/>
    <w:uiPriority w:val="98"/>
    <w:qFormat/>
    <w:rsid w:val="00214A1E"/>
    <w:pPr>
      <w:numPr>
        <w:numId w:val="22"/>
      </w:numPr>
      <w:spacing w:line="240" w:lineRule="auto"/>
    </w:pPr>
    <w:rPr>
      <w:bCs/>
    </w:rPr>
  </w:style>
  <w:style w:type="paragraph" w:customStyle="1" w:styleId="xAppendixLevel2">
    <w:name w:val="xAppendix Level 2"/>
    <w:basedOn w:val="Heading2"/>
    <w:next w:val="Normal"/>
    <w:uiPriority w:val="98"/>
    <w:qFormat/>
    <w:rsid w:val="002B5822"/>
    <w:pPr>
      <w:numPr>
        <w:numId w:val="22"/>
      </w:numPr>
    </w:pPr>
    <w:rPr>
      <w:bCs/>
      <w:sz w:val="34"/>
    </w:rPr>
  </w:style>
  <w:style w:type="paragraph" w:customStyle="1" w:styleId="xAppendixLevel3">
    <w:name w:val="xAppendix Level 3"/>
    <w:basedOn w:val="Heading3"/>
    <w:next w:val="Normal"/>
    <w:uiPriority w:val="98"/>
    <w:qFormat/>
    <w:rsid w:val="002B5822"/>
    <w:pPr>
      <w:numPr>
        <w:numId w:val="22"/>
      </w:numPr>
    </w:pPr>
    <w:rPr>
      <w:bCs/>
    </w:rPr>
  </w:style>
  <w:style w:type="paragraph" w:customStyle="1" w:styleId="Listnumbered">
    <w:name w:val="List (numbered)"/>
    <w:basedOn w:val="Normal"/>
    <w:link w:val="ListnumberedChar"/>
    <w:uiPriority w:val="1"/>
    <w:qFormat/>
    <w:rsid w:val="004538E1"/>
    <w:pPr>
      <w:numPr>
        <w:numId w:val="55"/>
      </w:numPr>
      <w:ind w:left="340" w:hanging="340"/>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2"/>
    <w:qFormat/>
    <w:rsid w:val="00F660A8"/>
    <w:pPr>
      <w:numPr>
        <w:numId w:val="9"/>
      </w:numPr>
      <w:spacing w:before="60" w:after="60"/>
      <w:ind w:left="227" w:hanging="227"/>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660A8"/>
    <w:pPr>
      <w:spacing w:before="60" w:after="60"/>
      <w:ind w:left="227" w:hanging="227"/>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477EC6"/>
    <w:rPr>
      <w:rFonts w:ascii="Segoe UI" w:eastAsia="Times New Roman" w:hAnsi="Segoe UI" w:cs="Times New Roman"/>
      <w:sz w:val="17"/>
      <w:szCs w:val="19"/>
      <w:lang w:val="en-AU" w:eastAsia="en-AU"/>
    </w:rPr>
  </w:style>
  <w:style w:type="table" w:styleId="TableGrid">
    <w:name w:val="Table Grid"/>
    <w:aliases w:val="Nous Table,Table,NOUS,NOUS Side Header,DPS Table Grid,AEMO"/>
    <w:basedOn w:val="TableNormal"/>
    <w:uiPriority w:val="3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5"/>
      </w:numPr>
      <w:ind w:left="340" w:hanging="340"/>
    </w:pPr>
  </w:style>
  <w:style w:type="paragraph" w:customStyle="1" w:styleId="longformcalloutnumber">
    <w:name w:val="long form callout number"/>
    <w:basedOn w:val="longformcalloutbullet"/>
    <w:uiPriority w:val="20"/>
    <w:qFormat/>
    <w:rsid w:val="005F382F"/>
    <w:pPr>
      <w:numPr>
        <w:numId w:val="6"/>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2F0423"/>
    <w:pPr>
      <w:tabs>
        <w:tab w:val="left" w:pos="851"/>
        <w:tab w:val="right" w:leader="dot" w:pos="8920"/>
      </w:tabs>
      <w:spacing w:after="100" w:line="240" w:lineRule="auto"/>
      <w:ind w:left="426"/>
    </w:pPr>
    <w:rPr>
      <w:rFonts w:ascii="Segoe UI Semibold" w:eastAsia="Times New Roman" w:hAnsi="Segoe UI Semibold" w:cs="Times New Roman"/>
      <w:noProof/>
      <w:lang w:val="en-US" w:eastAsia="en-AU"/>
    </w:rPr>
  </w:style>
  <w:style w:type="paragraph" w:styleId="TOC1">
    <w:name w:val="toc 1"/>
    <w:basedOn w:val="Normal"/>
    <w:next w:val="Normal"/>
    <w:autoRedefine/>
    <w:uiPriority w:val="39"/>
    <w:unhideWhenUsed/>
    <w:rsid w:val="005C19A6"/>
    <w:pPr>
      <w:tabs>
        <w:tab w:val="left" w:pos="426"/>
        <w:tab w:val="left" w:pos="1134"/>
        <w:tab w:val="right" w:leader="dot" w:pos="8920"/>
      </w:tabs>
      <w:spacing w:after="100" w:line="240" w:lineRule="auto"/>
    </w:pPr>
    <w:rPr>
      <w:noProof/>
      <w:lang w:val="en-US"/>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7"/>
      </w:numPr>
      <w:spacing w:before="60"/>
    </w:pPr>
  </w:style>
  <w:style w:type="paragraph" w:customStyle="1" w:styleId="intoductionbullet">
    <w:name w:val="intoduction bullet"/>
    <w:basedOn w:val="Sectionintroduction"/>
    <w:uiPriority w:val="21"/>
    <w:qFormat/>
    <w:rsid w:val="009A69F5"/>
    <w:pPr>
      <w:numPr>
        <w:numId w:val="8"/>
      </w:numP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23"/>
      </w:numPr>
    </w:pPr>
  </w:style>
  <w:style w:type="numbering" w:customStyle="1" w:styleId="TableexpListnumberedmultilevel">
    <w:name w:val="Table exp List (numbered) multilevel"/>
    <w:uiPriority w:val="99"/>
    <w:rsid w:val="00F660A8"/>
    <w:pPr>
      <w:numPr>
        <w:numId w:val="8"/>
      </w:numPr>
    </w:pPr>
  </w:style>
  <w:style w:type="numbering" w:customStyle="1" w:styleId="TableNListnumberedmultilevel">
    <w:name w:val="Table N List (numbered) multilevel"/>
    <w:uiPriority w:val="99"/>
    <w:rsid w:val="00F660A8"/>
    <w:pPr>
      <w:numPr>
        <w:numId w:val="27"/>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rsid w:val="00503C01"/>
    <w:rPr>
      <w:rFonts w:ascii="Segoe UI" w:hAnsi="Segoe UI"/>
      <w:sz w:val="15"/>
      <w:szCs w:val="20"/>
      <w:lang w:val="en-AU"/>
    </w:rPr>
  </w:style>
  <w:style w:type="paragraph" w:customStyle="1" w:styleId="CaseStudytitle">
    <w:name w:val="Case Study title"/>
    <w:basedOn w:val="Normal"/>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1"/>
    <w:rsid w:val="00410CD4"/>
    <w:rPr>
      <w:rFonts w:ascii="Segoe UI" w:hAnsi="Segoe UI"/>
      <w:sz w:val="17"/>
      <w:lang w:val="en-AU"/>
    </w:rPr>
  </w:style>
  <w:style w:type="character" w:styleId="FollowedHyperlink">
    <w:name w:val="FollowedHyperlink"/>
    <w:basedOn w:val="DefaultParagraphFont"/>
    <w:uiPriority w:val="99"/>
    <w:semiHidden/>
    <w:unhideWhenUsed/>
    <w:rsid w:val="00C900E9"/>
    <w:rPr>
      <w:color w:val="0048C7" w:themeColor="followedHyperlink"/>
      <w:u w:val="single"/>
    </w:rPr>
  </w:style>
  <w:style w:type="paragraph" w:customStyle="1" w:styleId="BIOsubheadingnew">
    <w:name w:val="BIO sub heading_new"/>
    <w:basedOn w:val="Normal"/>
    <w:qFormat/>
    <w:rsid w:val="00C82908"/>
    <w:pPr>
      <w:spacing w:before="180" w:after="60" w:line="257" w:lineRule="auto"/>
      <w:jc w:val="right"/>
    </w:pPr>
    <w:rPr>
      <w:rFonts w:asciiTheme="majorHAnsi" w:hAnsiTheme="majorHAnsi" w:cstheme="majorHAnsi"/>
      <w:noProof/>
      <w:color w:val="00264D" w:themeColor="background2"/>
      <w:sz w:val="20"/>
      <w:szCs w:val="24"/>
    </w:rPr>
  </w:style>
  <w:style w:type="table" w:customStyle="1" w:styleId="NOUSSideHeader1">
    <w:name w:val="NOUS Side Header1"/>
    <w:basedOn w:val="TableNormal"/>
    <w:next w:val="TableGrid"/>
    <w:uiPriority w:val="39"/>
    <w:rsid w:val="004F2CB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paragraph" w:customStyle="1" w:styleId="TableNbiophoto">
    <w:name w:val="Table N bio photo"/>
    <w:basedOn w:val="TableNText"/>
    <w:qFormat/>
    <w:rsid w:val="00D62B5B"/>
    <w:pPr>
      <w:spacing w:after="0" w:line="257" w:lineRule="auto"/>
    </w:pPr>
  </w:style>
  <w:style w:type="paragraph" w:styleId="CommentSubject">
    <w:name w:val="annotation subject"/>
    <w:basedOn w:val="CommentText"/>
    <w:next w:val="CommentText"/>
    <w:link w:val="CommentSubjectChar"/>
    <w:uiPriority w:val="99"/>
    <w:semiHidden/>
    <w:unhideWhenUsed/>
    <w:rsid w:val="0018575B"/>
    <w:rPr>
      <w:b/>
      <w:bCs/>
    </w:rPr>
  </w:style>
  <w:style w:type="character" w:customStyle="1" w:styleId="CommentSubjectChar">
    <w:name w:val="Comment Subject Char"/>
    <w:basedOn w:val="CommentTextChar"/>
    <w:link w:val="CommentSubject"/>
    <w:uiPriority w:val="99"/>
    <w:semiHidden/>
    <w:rsid w:val="0018575B"/>
    <w:rPr>
      <w:rFonts w:ascii="Segoe UI" w:hAnsi="Segoe UI"/>
      <w:b/>
      <w:bCs/>
      <w:sz w:val="20"/>
      <w:szCs w:val="20"/>
      <w:lang w:val="en-AU"/>
    </w:rPr>
  </w:style>
  <w:style w:type="character" w:styleId="Emphasis">
    <w:name w:val="Emphasis"/>
    <w:basedOn w:val="DefaultParagraphFont"/>
    <w:uiPriority w:val="20"/>
    <w:qFormat/>
    <w:rsid w:val="0018575B"/>
    <w:rPr>
      <w:i/>
      <w:iCs/>
    </w:rPr>
  </w:style>
  <w:style w:type="paragraph" w:customStyle="1" w:styleId="Default">
    <w:name w:val="Default"/>
    <w:rsid w:val="0018575B"/>
    <w:pPr>
      <w:autoSpaceDE w:val="0"/>
      <w:autoSpaceDN w:val="0"/>
      <w:adjustRightInd w:val="0"/>
      <w:spacing w:after="0" w:line="240" w:lineRule="auto"/>
    </w:pPr>
    <w:rPr>
      <w:rFonts w:ascii="Calibri" w:hAnsi="Calibri" w:cs="Calibri"/>
      <w:color w:val="000000"/>
      <w:sz w:val="24"/>
      <w:szCs w:val="24"/>
      <w:lang w:val="en-AU"/>
    </w:rPr>
  </w:style>
  <w:style w:type="character" w:styleId="FootnoteReference">
    <w:name w:val="footnote reference"/>
    <w:basedOn w:val="DefaultParagraphFont"/>
    <w:uiPriority w:val="99"/>
    <w:unhideWhenUsed/>
    <w:rsid w:val="00F863D2"/>
    <w:rPr>
      <w:vertAlign w:val="superscript"/>
    </w:rPr>
  </w:style>
  <w:style w:type="character" w:customStyle="1" w:styleId="ListnumberedChar">
    <w:name w:val="List (numbered) Char"/>
    <w:basedOn w:val="DefaultParagraphFont"/>
    <w:link w:val="Listnumbered"/>
    <w:uiPriority w:val="1"/>
    <w:rsid w:val="00C74E12"/>
    <w:rPr>
      <w:rFonts w:ascii="Segoe UI" w:hAnsi="Segoe UI"/>
      <w:sz w:val="19"/>
      <w:lang w:val="en-AU"/>
    </w:rPr>
  </w:style>
  <w:style w:type="paragraph" w:customStyle="1" w:styleId="TableNListNumbered">
    <w:name w:val="Table N List (Numbered)"/>
    <w:basedOn w:val="Listnumbered"/>
    <w:uiPriority w:val="9"/>
    <w:rsid w:val="00C74E12"/>
    <w:pPr>
      <w:numPr>
        <w:numId w:val="12"/>
      </w:numPr>
      <w:suppressAutoHyphens/>
      <w:spacing w:before="60" w:after="60"/>
      <w:ind w:left="360" w:hanging="360"/>
    </w:pPr>
    <w:rPr>
      <w:rFonts w:eastAsia="Times New Roman" w:cs="Times New Roman"/>
      <w:sz w:val="21"/>
      <w:szCs w:val="19"/>
      <w:lang w:eastAsia="en-AU"/>
    </w:rPr>
  </w:style>
  <w:style w:type="character" w:customStyle="1" w:styleId="Mention1">
    <w:name w:val="Mention1"/>
    <w:basedOn w:val="DefaultParagraphFont"/>
    <w:uiPriority w:val="99"/>
    <w:unhideWhenUsed/>
    <w:rsid w:val="00C74E12"/>
    <w:rPr>
      <w:color w:val="2B579A"/>
      <w:shd w:val="clear" w:color="auto" w:fill="E1DFDD"/>
    </w:rPr>
  </w:style>
  <w:style w:type="character" w:customStyle="1" w:styleId="cf01">
    <w:name w:val="cf01"/>
    <w:basedOn w:val="DefaultParagraphFont"/>
    <w:rsid w:val="00C74E12"/>
    <w:rPr>
      <w:rFonts w:ascii="Segoe UI" w:hAnsi="Segoe UI" w:cs="Segoe UI" w:hint="default"/>
      <w:sz w:val="18"/>
      <w:szCs w:val="18"/>
    </w:rPr>
  </w:style>
  <w:style w:type="table" w:styleId="GridTable2-Accent1">
    <w:name w:val="Grid Table 2 Accent 1"/>
    <w:basedOn w:val="TableNormal"/>
    <w:uiPriority w:val="47"/>
    <w:rsid w:val="00E211F3"/>
    <w:pPr>
      <w:spacing w:after="0" w:line="240" w:lineRule="auto"/>
    </w:pPr>
    <w:tblPr>
      <w:tblStyleRowBandSize w:val="1"/>
      <w:tblStyleColBandSize w:val="1"/>
      <w:tblBorders>
        <w:top w:val="single" w:sz="2" w:space="0" w:color="FF888B" w:themeColor="accent1" w:themeTint="99"/>
        <w:bottom w:val="single" w:sz="2" w:space="0" w:color="FF888B" w:themeColor="accent1" w:themeTint="99"/>
        <w:insideH w:val="single" w:sz="2" w:space="0" w:color="FF888B" w:themeColor="accent1" w:themeTint="99"/>
        <w:insideV w:val="single" w:sz="2" w:space="0" w:color="FF888B" w:themeColor="accent1" w:themeTint="99"/>
      </w:tblBorders>
    </w:tblPr>
    <w:tblStylePr w:type="firstRow">
      <w:rPr>
        <w:b/>
        <w:bCs/>
      </w:rPr>
      <w:tblPr/>
      <w:tcPr>
        <w:tcBorders>
          <w:top w:val="nil"/>
          <w:bottom w:val="single" w:sz="12" w:space="0" w:color="FF888B" w:themeColor="accent1" w:themeTint="99"/>
          <w:insideH w:val="nil"/>
          <w:insideV w:val="nil"/>
        </w:tcBorders>
        <w:shd w:val="clear" w:color="auto" w:fill="FFFFFF" w:themeFill="background1"/>
      </w:tcPr>
    </w:tblStylePr>
    <w:tblStylePr w:type="lastRow">
      <w:rPr>
        <w:b/>
        <w:bCs/>
      </w:rPr>
      <w:tblPr/>
      <w:tcPr>
        <w:tcBorders>
          <w:top w:val="double" w:sz="2" w:space="0" w:color="FF88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7D8" w:themeFill="accent1" w:themeFillTint="33"/>
      </w:tcPr>
    </w:tblStylePr>
    <w:tblStylePr w:type="band1Horz">
      <w:tblPr/>
      <w:tcPr>
        <w:shd w:val="clear" w:color="auto" w:fill="FFD7D8" w:themeFill="accent1" w:themeFillTint="33"/>
      </w:tcPr>
    </w:tblStylePr>
  </w:style>
  <w:style w:type="table" w:styleId="GridTable3-Accent1">
    <w:name w:val="Grid Table 3 Accent 1"/>
    <w:basedOn w:val="TableNormal"/>
    <w:uiPriority w:val="48"/>
    <w:rsid w:val="00E211F3"/>
    <w:pPr>
      <w:spacing w:after="0" w:line="240" w:lineRule="auto"/>
    </w:pPr>
    <w:tblPr>
      <w:tblStyleRowBandSize w:val="1"/>
      <w:tblStyleColBandSize w:val="1"/>
      <w:tblBorders>
        <w:top w:val="single" w:sz="4" w:space="0" w:color="FF888B" w:themeColor="accent1" w:themeTint="99"/>
        <w:left w:val="single" w:sz="4" w:space="0" w:color="FF888B" w:themeColor="accent1" w:themeTint="99"/>
        <w:bottom w:val="single" w:sz="4" w:space="0" w:color="FF888B" w:themeColor="accent1" w:themeTint="99"/>
        <w:right w:val="single" w:sz="4" w:space="0" w:color="FF888B" w:themeColor="accent1" w:themeTint="99"/>
        <w:insideH w:val="single" w:sz="4" w:space="0" w:color="FF888B" w:themeColor="accent1" w:themeTint="99"/>
        <w:insideV w:val="single" w:sz="4" w:space="0" w:color="FF88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7D8" w:themeFill="accent1" w:themeFillTint="33"/>
      </w:tcPr>
    </w:tblStylePr>
    <w:tblStylePr w:type="band1Horz">
      <w:tblPr/>
      <w:tcPr>
        <w:shd w:val="clear" w:color="auto" w:fill="FFD7D8" w:themeFill="accent1" w:themeFillTint="33"/>
      </w:tcPr>
    </w:tblStylePr>
    <w:tblStylePr w:type="neCell">
      <w:tblPr/>
      <w:tcPr>
        <w:tcBorders>
          <w:bottom w:val="single" w:sz="4" w:space="0" w:color="FF888B" w:themeColor="accent1" w:themeTint="99"/>
        </w:tcBorders>
      </w:tcPr>
    </w:tblStylePr>
    <w:tblStylePr w:type="nwCell">
      <w:tblPr/>
      <w:tcPr>
        <w:tcBorders>
          <w:bottom w:val="single" w:sz="4" w:space="0" w:color="FF888B" w:themeColor="accent1" w:themeTint="99"/>
        </w:tcBorders>
      </w:tcPr>
    </w:tblStylePr>
    <w:tblStylePr w:type="seCell">
      <w:tblPr/>
      <w:tcPr>
        <w:tcBorders>
          <w:top w:val="single" w:sz="4" w:space="0" w:color="FF888B" w:themeColor="accent1" w:themeTint="99"/>
        </w:tcBorders>
      </w:tcPr>
    </w:tblStylePr>
    <w:tblStylePr w:type="swCell">
      <w:tblPr/>
      <w:tcPr>
        <w:tcBorders>
          <w:top w:val="single" w:sz="4" w:space="0" w:color="FF888B" w:themeColor="accent1" w:themeTint="99"/>
        </w:tcBorders>
      </w:tcPr>
    </w:tblStylePr>
  </w:style>
  <w:style w:type="paragraph" w:styleId="TOCHeading">
    <w:name w:val="TOC Heading"/>
    <w:basedOn w:val="Heading1"/>
    <w:next w:val="Normal"/>
    <w:uiPriority w:val="39"/>
    <w:unhideWhenUsed/>
    <w:qFormat/>
    <w:rsid w:val="001B2F3D"/>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1B2F3D"/>
    <w:pPr>
      <w:spacing w:after="100"/>
      <w:ind w:left="380"/>
    </w:pPr>
  </w:style>
  <w:style w:type="paragraph" w:styleId="ListParagraph">
    <w:name w:val="List Paragraph"/>
    <w:basedOn w:val="Normal"/>
    <w:link w:val="ListParagraphChar"/>
    <w:uiPriority w:val="34"/>
    <w:qFormat/>
    <w:rsid w:val="004D0FB1"/>
    <w:pPr>
      <w:spacing w:after="165"/>
      <w:ind w:left="720"/>
      <w:contextualSpacing/>
    </w:pPr>
  </w:style>
  <w:style w:type="table" w:customStyle="1" w:styleId="AEMO1">
    <w:name w:val="AEMO1"/>
    <w:basedOn w:val="TableNormal"/>
    <w:next w:val="TableGrid"/>
    <w:uiPriority w:val="99"/>
    <w:rsid w:val="004D0FB1"/>
    <w:pPr>
      <w:spacing w:after="0" w:line="240" w:lineRule="auto"/>
    </w:pPr>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w:hAnsi="Segoe UI"/>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paragraph" w:customStyle="1" w:styleId="pf0">
    <w:name w:val="pf0"/>
    <w:basedOn w:val="Normal"/>
    <w:rsid w:val="00385831"/>
    <w:pPr>
      <w:spacing w:before="100" w:beforeAutospacing="1" w:after="100" w:afterAutospacing="1" w:line="240" w:lineRule="auto"/>
      <w:ind w:left="340"/>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semiHidden/>
    <w:unhideWhenUsed/>
    <w:rsid w:val="006A20BC"/>
    <w:rPr>
      <w:color w:val="605E5C"/>
      <w:shd w:val="clear" w:color="auto" w:fill="E1DFDD"/>
    </w:rPr>
  </w:style>
  <w:style w:type="table" w:customStyle="1" w:styleId="NOUSSideHeader11">
    <w:name w:val="NOUS Side Header11"/>
    <w:basedOn w:val="TableNormal"/>
    <w:next w:val="TableGrid"/>
    <w:uiPriority w:val="39"/>
    <w:rsid w:val="00CF2378"/>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tka Small" w:hAnsi="Sitka Small"/>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imSun" w:hAnsi="@SimSun"/>
        <w:sz w:val="17"/>
      </w:rPr>
    </w:tblStylePr>
    <w:tblStylePr w:type="band2Horz">
      <w:rPr>
        <w:rFonts w:ascii="@SimSun" w:hAnsi="@SimSun"/>
        <w:sz w:val="17"/>
      </w:rPr>
    </w:tblStylePr>
  </w:style>
  <w:style w:type="table" w:customStyle="1" w:styleId="AEMO2">
    <w:name w:val="AEMO2"/>
    <w:basedOn w:val="TableNormal"/>
    <w:next w:val="TableGrid"/>
    <w:uiPriority w:val="99"/>
    <w:rsid w:val="00CF2378"/>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tka Small" w:hAnsi="Sitka Small"/>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imSun" w:hAnsi="@SimSun"/>
        <w:sz w:val="17"/>
      </w:rPr>
    </w:tblStylePr>
    <w:tblStylePr w:type="band2Horz">
      <w:rPr>
        <w:rFonts w:ascii="@SimSun" w:hAnsi="@SimSun"/>
        <w:sz w:val="17"/>
      </w:rPr>
    </w:tblStylePr>
  </w:style>
  <w:style w:type="table" w:customStyle="1" w:styleId="AEMO11">
    <w:name w:val="AEMO11"/>
    <w:basedOn w:val="TableNormal"/>
    <w:next w:val="TableGrid"/>
    <w:uiPriority w:val="99"/>
    <w:rsid w:val="00B63AE5"/>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Bahnschrift SemiLight" w:hAnsi="Bahnschrift Semi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Bahnschrift" w:hAnsi="Bahnschrift"/>
        <w:sz w:val="17"/>
      </w:rPr>
    </w:tblStylePr>
    <w:tblStylePr w:type="band2Horz">
      <w:rPr>
        <w:rFonts w:ascii="Bahnschrift" w:hAnsi="Bahnschrift"/>
        <w:sz w:val="17"/>
      </w:rPr>
    </w:tblStylePr>
  </w:style>
  <w:style w:type="table" w:customStyle="1" w:styleId="AEMO3">
    <w:name w:val="AEMO3"/>
    <w:basedOn w:val="TableNormal"/>
    <w:next w:val="TableGrid"/>
    <w:uiPriority w:val="99"/>
    <w:rsid w:val="00DB5664"/>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Bahnschrift SemiCondensed" w:hAnsi="Bahnschrift SemiCondense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Bahnschrift SemiBold SemiConden" w:hAnsi="Bahnschrift SemiBold SemiConden"/>
        <w:sz w:val="17"/>
      </w:rPr>
    </w:tblStylePr>
    <w:tblStylePr w:type="band2Horz">
      <w:rPr>
        <w:rFonts w:ascii="Bahnschrift SemiBold SemiConden" w:hAnsi="Bahnschrift SemiBold SemiConden"/>
        <w:sz w:val="17"/>
      </w:rPr>
    </w:tblStylePr>
  </w:style>
  <w:style w:type="table" w:customStyle="1" w:styleId="AEMO4">
    <w:name w:val="AEMO4"/>
    <w:basedOn w:val="TableNormal"/>
    <w:next w:val="TableGrid"/>
    <w:uiPriority w:val="99"/>
    <w:rsid w:val="005D62E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Bahnschrift SemiCondensed" w:hAnsi="Bahnschrift SemiCondense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Bahnschrift SemiBold SemiConden" w:hAnsi="Bahnschrift SemiBold SemiConden"/>
        <w:sz w:val="17"/>
      </w:rPr>
    </w:tblStylePr>
    <w:tblStylePr w:type="band2Horz">
      <w:rPr>
        <w:rFonts w:ascii="Bahnschrift SemiBold SemiConden" w:hAnsi="Bahnschrift SemiBold SemiConden"/>
        <w:sz w:val="17"/>
      </w:rPr>
    </w:tblStylePr>
  </w:style>
  <w:style w:type="table" w:customStyle="1" w:styleId="AEMO31">
    <w:name w:val="AEMO31"/>
    <w:basedOn w:val="TableNormal"/>
    <w:next w:val="TableGrid"/>
    <w:uiPriority w:val="99"/>
    <w:rsid w:val="00580C97"/>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Bahnschrift SemiBold SemiConden" w:hAnsi="Bahnschrift SemiBold SemiConden"/>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Bahnschrift Light Condensed" w:hAnsi="Bahnschrift Light Condensed"/>
        <w:sz w:val="17"/>
      </w:rPr>
    </w:tblStylePr>
    <w:tblStylePr w:type="band2Horz">
      <w:rPr>
        <w:rFonts w:ascii="Bahnschrift Light Condensed" w:hAnsi="Bahnschrift Light Condensed"/>
        <w:sz w:val="17"/>
      </w:rPr>
    </w:tblStylePr>
  </w:style>
  <w:style w:type="character" w:customStyle="1" w:styleId="ui-provider">
    <w:name w:val="ui-provider"/>
    <w:basedOn w:val="DefaultParagraphFont"/>
    <w:rsid w:val="00413538"/>
  </w:style>
  <w:style w:type="paragraph" w:styleId="NormalWeb">
    <w:name w:val="Normal (Web)"/>
    <w:basedOn w:val="Normal"/>
    <w:uiPriority w:val="99"/>
    <w:semiHidden/>
    <w:unhideWhenUsed/>
    <w:rsid w:val="00DD1896"/>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AEMO5">
    <w:name w:val="AEMO5"/>
    <w:basedOn w:val="TableNormal"/>
    <w:next w:val="TableGrid"/>
    <w:uiPriority w:val="39"/>
    <w:rsid w:val="006475ED"/>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paragraph" w:styleId="Revision">
    <w:name w:val="Revision"/>
    <w:hidden/>
    <w:uiPriority w:val="99"/>
    <w:semiHidden/>
    <w:rsid w:val="004A7F16"/>
    <w:pPr>
      <w:spacing w:after="0" w:line="240" w:lineRule="auto"/>
    </w:pPr>
    <w:rPr>
      <w:rFonts w:ascii="Segoe UI" w:hAnsi="Segoe UI"/>
      <w:sz w:val="19"/>
      <w:lang w:val="en-AU"/>
    </w:rPr>
  </w:style>
  <w:style w:type="character" w:customStyle="1" w:styleId="ListParagraphChar">
    <w:name w:val="List Paragraph Char"/>
    <w:basedOn w:val="DefaultParagraphFont"/>
    <w:link w:val="ListParagraph"/>
    <w:uiPriority w:val="34"/>
    <w:locked/>
    <w:rsid w:val="00090EC5"/>
    <w:rPr>
      <w:rFonts w:ascii="Segoe UI" w:hAnsi="Segoe UI"/>
      <w:sz w:val="19"/>
      <w:lang w:val="en-AU"/>
    </w:rPr>
  </w:style>
  <w:style w:type="table" w:customStyle="1" w:styleId="AEMO6">
    <w:name w:val="AEMO6"/>
    <w:basedOn w:val="TableNormal"/>
    <w:next w:val="TableGrid"/>
    <w:uiPriority w:val="39"/>
    <w:rsid w:val="00CC79BB"/>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Marlett" w:hAnsi="Marlet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Yu Gothic Light" w:hAnsi="Yu Gothic Light"/>
        <w:sz w:val="17"/>
      </w:rPr>
    </w:tblStylePr>
    <w:tblStylePr w:type="band2Horz">
      <w:rPr>
        <w:rFonts w:ascii="Yu Gothic Light" w:hAnsi="Yu Gothic Light"/>
        <w:sz w:val="17"/>
      </w:rPr>
    </w:tblStylePr>
  </w:style>
  <w:style w:type="table" w:customStyle="1" w:styleId="NOUSSideHeader111">
    <w:name w:val="NOUS Side Header111"/>
    <w:basedOn w:val="TableNormal"/>
    <w:next w:val="TableGrid"/>
    <w:uiPriority w:val="39"/>
    <w:rsid w:val="00DD6A44"/>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cf11">
    <w:name w:val="cf11"/>
    <w:basedOn w:val="DefaultParagraphFont"/>
    <w:rsid w:val="00F36488"/>
    <w:rPr>
      <w:rFonts w:ascii="Segoe UI" w:hAnsi="Segoe UI" w:cs="Segoe UI" w:hint="default"/>
      <w:sz w:val="18"/>
      <w:szCs w:val="18"/>
    </w:rPr>
  </w:style>
  <w:style w:type="character" w:customStyle="1" w:styleId="normaltextrun">
    <w:name w:val="normaltextrun"/>
    <w:basedOn w:val="DefaultParagraphFont"/>
    <w:rsid w:val="00791D36"/>
  </w:style>
  <w:style w:type="character" w:customStyle="1" w:styleId="eop">
    <w:name w:val="eop"/>
    <w:basedOn w:val="DefaultParagraphFont"/>
    <w:rsid w:val="00791D36"/>
  </w:style>
  <w:style w:type="character" w:styleId="Mention">
    <w:name w:val="Mention"/>
    <w:basedOn w:val="DefaultParagraphFont"/>
    <w:uiPriority w:val="99"/>
    <w:unhideWhenUsed/>
    <w:rsid w:val="000D43DB"/>
    <w:rPr>
      <w:color w:val="2B579A"/>
      <w:shd w:val="clear" w:color="auto" w:fill="E1DFDD"/>
    </w:rPr>
  </w:style>
  <w:style w:type="character" w:styleId="UnresolvedMention">
    <w:name w:val="Unresolved Mention"/>
    <w:basedOn w:val="DefaultParagraphFont"/>
    <w:uiPriority w:val="99"/>
    <w:semiHidden/>
    <w:unhideWhenUsed/>
    <w:rsid w:val="005E2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01617">
      <w:bodyDiv w:val="1"/>
      <w:marLeft w:val="0"/>
      <w:marRight w:val="0"/>
      <w:marTop w:val="0"/>
      <w:marBottom w:val="0"/>
      <w:divBdr>
        <w:top w:val="none" w:sz="0" w:space="0" w:color="auto"/>
        <w:left w:val="none" w:sz="0" w:space="0" w:color="auto"/>
        <w:bottom w:val="none" w:sz="0" w:space="0" w:color="auto"/>
        <w:right w:val="none" w:sz="0" w:space="0" w:color="auto"/>
      </w:divBdr>
    </w:div>
    <w:div w:id="58210892">
      <w:bodyDiv w:val="1"/>
      <w:marLeft w:val="0"/>
      <w:marRight w:val="0"/>
      <w:marTop w:val="0"/>
      <w:marBottom w:val="0"/>
      <w:divBdr>
        <w:top w:val="none" w:sz="0" w:space="0" w:color="auto"/>
        <w:left w:val="none" w:sz="0" w:space="0" w:color="auto"/>
        <w:bottom w:val="none" w:sz="0" w:space="0" w:color="auto"/>
        <w:right w:val="none" w:sz="0" w:space="0" w:color="auto"/>
      </w:divBdr>
    </w:div>
    <w:div w:id="60687847">
      <w:bodyDiv w:val="1"/>
      <w:marLeft w:val="0"/>
      <w:marRight w:val="0"/>
      <w:marTop w:val="0"/>
      <w:marBottom w:val="0"/>
      <w:divBdr>
        <w:top w:val="none" w:sz="0" w:space="0" w:color="auto"/>
        <w:left w:val="none" w:sz="0" w:space="0" w:color="auto"/>
        <w:bottom w:val="none" w:sz="0" w:space="0" w:color="auto"/>
        <w:right w:val="none" w:sz="0" w:space="0" w:color="auto"/>
      </w:divBdr>
    </w:div>
    <w:div w:id="114376118">
      <w:bodyDiv w:val="1"/>
      <w:marLeft w:val="0"/>
      <w:marRight w:val="0"/>
      <w:marTop w:val="0"/>
      <w:marBottom w:val="0"/>
      <w:divBdr>
        <w:top w:val="none" w:sz="0" w:space="0" w:color="auto"/>
        <w:left w:val="none" w:sz="0" w:space="0" w:color="auto"/>
        <w:bottom w:val="none" w:sz="0" w:space="0" w:color="auto"/>
        <w:right w:val="none" w:sz="0" w:space="0" w:color="auto"/>
      </w:divBdr>
    </w:div>
    <w:div w:id="115679492">
      <w:bodyDiv w:val="1"/>
      <w:marLeft w:val="0"/>
      <w:marRight w:val="0"/>
      <w:marTop w:val="0"/>
      <w:marBottom w:val="0"/>
      <w:divBdr>
        <w:top w:val="none" w:sz="0" w:space="0" w:color="auto"/>
        <w:left w:val="none" w:sz="0" w:space="0" w:color="auto"/>
        <w:bottom w:val="none" w:sz="0" w:space="0" w:color="auto"/>
        <w:right w:val="none" w:sz="0" w:space="0" w:color="auto"/>
      </w:divBdr>
    </w:div>
    <w:div w:id="224342963">
      <w:bodyDiv w:val="1"/>
      <w:marLeft w:val="0"/>
      <w:marRight w:val="0"/>
      <w:marTop w:val="0"/>
      <w:marBottom w:val="0"/>
      <w:divBdr>
        <w:top w:val="none" w:sz="0" w:space="0" w:color="auto"/>
        <w:left w:val="none" w:sz="0" w:space="0" w:color="auto"/>
        <w:bottom w:val="none" w:sz="0" w:space="0" w:color="auto"/>
        <w:right w:val="none" w:sz="0" w:space="0" w:color="auto"/>
      </w:divBdr>
    </w:div>
    <w:div w:id="317266098">
      <w:bodyDiv w:val="1"/>
      <w:marLeft w:val="0"/>
      <w:marRight w:val="0"/>
      <w:marTop w:val="0"/>
      <w:marBottom w:val="0"/>
      <w:divBdr>
        <w:top w:val="none" w:sz="0" w:space="0" w:color="auto"/>
        <w:left w:val="none" w:sz="0" w:space="0" w:color="auto"/>
        <w:bottom w:val="none" w:sz="0" w:space="0" w:color="auto"/>
        <w:right w:val="none" w:sz="0" w:space="0" w:color="auto"/>
      </w:divBdr>
    </w:div>
    <w:div w:id="348606224">
      <w:bodyDiv w:val="1"/>
      <w:marLeft w:val="0"/>
      <w:marRight w:val="0"/>
      <w:marTop w:val="0"/>
      <w:marBottom w:val="0"/>
      <w:divBdr>
        <w:top w:val="none" w:sz="0" w:space="0" w:color="auto"/>
        <w:left w:val="none" w:sz="0" w:space="0" w:color="auto"/>
        <w:bottom w:val="none" w:sz="0" w:space="0" w:color="auto"/>
        <w:right w:val="none" w:sz="0" w:space="0" w:color="auto"/>
      </w:divBdr>
    </w:div>
    <w:div w:id="364526261">
      <w:bodyDiv w:val="1"/>
      <w:marLeft w:val="0"/>
      <w:marRight w:val="0"/>
      <w:marTop w:val="0"/>
      <w:marBottom w:val="0"/>
      <w:divBdr>
        <w:top w:val="none" w:sz="0" w:space="0" w:color="auto"/>
        <w:left w:val="none" w:sz="0" w:space="0" w:color="auto"/>
        <w:bottom w:val="none" w:sz="0" w:space="0" w:color="auto"/>
        <w:right w:val="none" w:sz="0" w:space="0" w:color="auto"/>
      </w:divBdr>
    </w:div>
    <w:div w:id="414864544">
      <w:bodyDiv w:val="1"/>
      <w:marLeft w:val="0"/>
      <w:marRight w:val="0"/>
      <w:marTop w:val="0"/>
      <w:marBottom w:val="0"/>
      <w:divBdr>
        <w:top w:val="none" w:sz="0" w:space="0" w:color="auto"/>
        <w:left w:val="none" w:sz="0" w:space="0" w:color="auto"/>
        <w:bottom w:val="none" w:sz="0" w:space="0" w:color="auto"/>
        <w:right w:val="none" w:sz="0" w:space="0" w:color="auto"/>
      </w:divBdr>
    </w:div>
    <w:div w:id="458259120">
      <w:bodyDiv w:val="1"/>
      <w:marLeft w:val="0"/>
      <w:marRight w:val="0"/>
      <w:marTop w:val="0"/>
      <w:marBottom w:val="0"/>
      <w:divBdr>
        <w:top w:val="none" w:sz="0" w:space="0" w:color="auto"/>
        <w:left w:val="none" w:sz="0" w:space="0" w:color="auto"/>
        <w:bottom w:val="none" w:sz="0" w:space="0" w:color="auto"/>
        <w:right w:val="none" w:sz="0" w:space="0" w:color="auto"/>
      </w:divBdr>
    </w:div>
    <w:div w:id="487792996">
      <w:bodyDiv w:val="1"/>
      <w:marLeft w:val="0"/>
      <w:marRight w:val="0"/>
      <w:marTop w:val="0"/>
      <w:marBottom w:val="0"/>
      <w:divBdr>
        <w:top w:val="none" w:sz="0" w:space="0" w:color="auto"/>
        <w:left w:val="none" w:sz="0" w:space="0" w:color="auto"/>
        <w:bottom w:val="none" w:sz="0" w:space="0" w:color="auto"/>
        <w:right w:val="none" w:sz="0" w:space="0" w:color="auto"/>
      </w:divBdr>
    </w:div>
    <w:div w:id="525100340">
      <w:bodyDiv w:val="1"/>
      <w:marLeft w:val="0"/>
      <w:marRight w:val="0"/>
      <w:marTop w:val="0"/>
      <w:marBottom w:val="0"/>
      <w:divBdr>
        <w:top w:val="none" w:sz="0" w:space="0" w:color="auto"/>
        <w:left w:val="none" w:sz="0" w:space="0" w:color="auto"/>
        <w:bottom w:val="none" w:sz="0" w:space="0" w:color="auto"/>
        <w:right w:val="none" w:sz="0" w:space="0" w:color="auto"/>
      </w:divBdr>
    </w:div>
    <w:div w:id="546141641">
      <w:bodyDiv w:val="1"/>
      <w:marLeft w:val="0"/>
      <w:marRight w:val="0"/>
      <w:marTop w:val="0"/>
      <w:marBottom w:val="0"/>
      <w:divBdr>
        <w:top w:val="none" w:sz="0" w:space="0" w:color="auto"/>
        <w:left w:val="none" w:sz="0" w:space="0" w:color="auto"/>
        <w:bottom w:val="none" w:sz="0" w:space="0" w:color="auto"/>
        <w:right w:val="none" w:sz="0" w:space="0" w:color="auto"/>
      </w:divBdr>
    </w:div>
    <w:div w:id="554044997">
      <w:bodyDiv w:val="1"/>
      <w:marLeft w:val="0"/>
      <w:marRight w:val="0"/>
      <w:marTop w:val="0"/>
      <w:marBottom w:val="0"/>
      <w:divBdr>
        <w:top w:val="none" w:sz="0" w:space="0" w:color="auto"/>
        <w:left w:val="none" w:sz="0" w:space="0" w:color="auto"/>
        <w:bottom w:val="none" w:sz="0" w:space="0" w:color="auto"/>
        <w:right w:val="none" w:sz="0" w:space="0" w:color="auto"/>
      </w:divBdr>
    </w:div>
    <w:div w:id="608633698">
      <w:bodyDiv w:val="1"/>
      <w:marLeft w:val="0"/>
      <w:marRight w:val="0"/>
      <w:marTop w:val="0"/>
      <w:marBottom w:val="0"/>
      <w:divBdr>
        <w:top w:val="none" w:sz="0" w:space="0" w:color="auto"/>
        <w:left w:val="none" w:sz="0" w:space="0" w:color="auto"/>
        <w:bottom w:val="none" w:sz="0" w:space="0" w:color="auto"/>
        <w:right w:val="none" w:sz="0" w:space="0" w:color="auto"/>
      </w:divBdr>
    </w:div>
    <w:div w:id="633291820">
      <w:bodyDiv w:val="1"/>
      <w:marLeft w:val="0"/>
      <w:marRight w:val="0"/>
      <w:marTop w:val="0"/>
      <w:marBottom w:val="0"/>
      <w:divBdr>
        <w:top w:val="none" w:sz="0" w:space="0" w:color="auto"/>
        <w:left w:val="none" w:sz="0" w:space="0" w:color="auto"/>
        <w:bottom w:val="none" w:sz="0" w:space="0" w:color="auto"/>
        <w:right w:val="none" w:sz="0" w:space="0" w:color="auto"/>
      </w:divBdr>
    </w:div>
    <w:div w:id="648635330">
      <w:bodyDiv w:val="1"/>
      <w:marLeft w:val="0"/>
      <w:marRight w:val="0"/>
      <w:marTop w:val="0"/>
      <w:marBottom w:val="0"/>
      <w:divBdr>
        <w:top w:val="none" w:sz="0" w:space="0" w:color="auto"/>
        <w:left w:val="none" w:sz="0" w:space="0" w:color="auto"/>
        <w:bottom w:val="none" w:sz="0" w:space="0" w:color="auto"/>
        <w:right w:val="none" w:sz="0" w:space="0" w:color="auto"/>
      </w:divBdr>
    </w:div>
    <w:div w:id="668679244">
      <w:bodyDiv w:val="1"/>
      <w:marLeft w:val="0"/>
      <w:marRight w:val="0"/>
      <w:marTop w:val="0"/>
      <w:marBottom w:val="0"/>
      <w:divBdr>
        <w:top w:val="none" w:sz="0" w:space="0" w:color="auto"/>
        <w:left w:val="none" w:sz="0" w:space="0" w:color="auto"/>
        <w:bottom w:val="none" w:sz="0" w:space="0" w:color="auto"/>
        <w:right w:val="none" w:sz="0" w:space="0" w:color="auto"/>
      </w:divBdr>
    </w:div>
    <w:div w:id="675306477">
      <w:bodyDiv w:val="1"/>
      <w:marLeft w:val="0"/>
      <w:marRight w:val="0"/>
      <w:marTop w:val="0"/>
      <w:marBottom w:val="0"/>
      <w:divBdr>
        <w:top w:val="none" w:sz="0" w:space="0" w:color="auto"/>
        <w:left w:val="none" w:sz="0" w:space="0" w:color="auto"/>
        <w:bottom w:val="none" w:sz="0" w:space="0" w:color="auto"/>
        <w:right w:val="none" w:sz="0" w:space="0" w:color="auto"/>
      </w:divBdr>
    </w:div>
    <w:div w:id="691882549">
      <w:bodyDiv w:val="1"/>
      <w:marLeft w:val="0"/>
      <w:marRight w:val="0"/>
      <w:marTop w:val="0"/>
      <w:marBottom w:val="0"/>
      <w:divBdr>
        <w:top w:val="none" w:sz="0" w:space="0" w:color="auto"/>
        <w:left w:val="none" w:sz="0" w:space="0" w:color="auto"/>
        <w:bottom w:val="none" w:sz="0" w:space="0" w:color="auto"/>
        <w:right w:val="none" w:sz="0" w:space="0" w:color="auto"/>
      </w:divBdr>
    </w:div>
    <w:div w:id="694354797">
      <w:bodyDiv w:val="1"/>
      <w:marLeft w:val="0"/>
      <w:marRight w:val="0"/>
      <w:marTop w:val="0"/>
      <w:marBottom w:val="0"/>
      <w:divBdr>
        <w:top w:val="none" w:sz="0" w:space="0" w:color="auto"/>
        <w:left w:val="none" w:sz="0" w:space="0" w:color="auto"/>
        <w:bottom w:val="none" w:sz="0" w:space="0" w:color="auto"/>
        <w:right w:val="none" w:sz="0" w:space="0" w:color="auto"/>
      </w:divBdr>
    </w:div>
    <w:div w:id="799804324">
      <w:bodyDiv w:val="1"/>
      <w:marLeft w:val="0"/>
      <w:marRight w:val="0"/>
      <w:marTop w:val="0"/>
      <w:marBottom w:val="0"/>
      <w:divBdr>
        <w:top w:val="none" w:sz="0" w:space="0" w:color="auto"/>
        <w:left w:val="none" w:sz="0" w:space="0" w:color="auto"/>
        <w:bottom w:val="none" w:sz="0" w:space="0" w:color="auto"/>
        <w:right w:val="none" w:sz="0" w:space="0" w:color="auto"/>
      </w:divBdr>
    </w:div>
    <w:div w:id="812478999">
      <w:bodyDiv w:val="1"/>
      <w:marLeft w:val="0"/>
      <w:marRight w:val="0"/>
      <w:marTop w:val="0"/>
      <w:marBottom w:val="0"/>
      <w:divBdr>
        <w:top w:val="none" w:sz="0" w:space="0" w:color="auto"/>
        <w:left w:val="none" w:sz="0" w:space="0" w:color="auto"/>
        <w:bottom w:val="none" w:sz="0" w:space="0" w:color="auto"/>
        <w:right w:val="none" w:sz="0" w:space="0" w:color="auto"/>
      </w:divBdr>
    </w:div>
    <w:div w:id="836723308">
      <w:bodyDiv w:val="1"/>
      <w:marLeft w:val="0"/>
      <w:marRight w:val="0"/>
      <w:marTop w:val="0"/>
      <w:marBottom w:val="0"/>
      <w:divBdr>
        <w:top w:val="none" w:sz="0" w:space="0" w:color="auto"/>
        <w:left w:val="none" w:sz="0" w:space="0" w:color="auto"/>
        <w:bottom w:val="none" w:sz="0" w:space="0" w:color="auto"/>
        <w:right w:val="none" w:sz="0" w:space="0" w:color="auto"/>
      </w:divBdr>
    </w:div>
    <w:div w:id="947127545">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37393610">
      <w:bodyDiv w:val="1"/>
      <w:marLeft w:val="0"/>
      <w:marRight w:val="0"/>
      <w:marTop w:val="0"/>
      <w:marBottom w:val="0"/>
      <w:divBdr>
        <w:top w:val="none" w:sz="0" w:space="0" w:color="auto"/>
        <w:left w:val="none" w:sz="0" w:space="0" w:color="auto"/>
        <w:bottom w:val="none" w:sz="0" w:space="0" w:color="auto"/>
        <w:right w:val="none" w:sz="0" w:space="0" w:color="auto"/>
      </w:divBdr>
    </w:div>
    <w:div w:id="1044603794">
      <w:bodyDiv w:val="1"/>
      <w:marLeft w:val="0"/>
      <w:marRight w:val="0"/>
      <w:marTop w:val="0"/>
      <w:marBottom w:val="0"/>
      <w:divBdr>
        <w:top w:val="none" w:sz="0" w:space="0" w:color="auto"/>
        <w:left w:val="none" w:sz="0" w:space="0" w:color="auto"/>
        <w:bottom w:val="none" w:sz="0" w:space="0" w:color="auto"/>
        <w:right w:val="none" w:sz="0" w:space="0" w:color="auto"/>
      </w:divBdr>
    </w:div>
    <w:div w:id="1071385638">
      <w:bodyDiv w:val="1"/>
      <w:marLeft w:val="0"/>
      <w:marRight w:val="0"/>
      <w:marTop w:val="0"/>
      <w:marBottom w:val="0"/>
      <w:divBdr>
        <w:top w:val="none" w:sz="0" w:space="0" w:color="auto"/>
        <w:left w:val="none" w:sz="0" w:space="0" w:color="auto"/>
        <w:bottom w:val="none" w:sz="0" w:space="0" w:color="auto"/>
        <w:right w:val="none" w:sz="0" w:space="0" w:color="auto"/>
      </w:divBdr>
    </w:div>
    <w:div w:id="1081678983">
      <w:bodyDiv w:val="1"/>
      <w:marLeft w:val="0"/>
      <w:marRight w:val="0"/>
      <w:marTop w:val="0"/>
      <w:marBottom w:val="0"/>
      <w:divBdr>
        <w:top w:val="none" w:sz="0" w:space="0" w:color="auto"/>
        <w:left w:val="none" w:sz="0" w:space="0" w:color="auto"/>
        <w:bottom w:val="none" w:sz="0" w:space="0" w:color="auto"/>
        <w:right w:val="none" w:sz="0" w:space="0" w:color="auto"/>
      </w:divBdr>
    </w:div>
    <w:div w:id="1199972772">
      <w:bodyDiv w:val="1"/>
      <w:marLeft w:val="0"/>
      <w:marRight w:val="0"/>
      <w:marTop w:val="0"/>
      <w:marBottom w:val="0"/>
      <w:divBdr>
        <w:top w:val="none" w:sz="0" w:space="0" w:color="auto"/>
        <w:left w:val="none" w:sz="0" w:space="0" w:color="auto"/>
        <w:bottom w:val="none" w:sz="0" w:space="0" w:color="auto"/>
        <w:right w:val="none" w:sz="0" w:space="0" w:color="auto"/>
      </w:divBdr>
    </w:div>
    <w:div w:id="1236549917">
      <w:bodyDiv w:val="1"/>
      <w:marLeft w:val="0"/>
      <w:marRight w:val="0"/>
      <w:marTop w:val="0"/>
      <w:marBottom w:val="0"/>
      <w:divBdr>
        <w:top w:val="none" w:sz="0" w:space="0" w:color="auto"/>
        <w:left w:val="none" w:sz="0" w:space="0" w:color="auto"/>
        <w:bottom w:val="none" w:sz="0" w:space="0" w:color="auto"/>
        <w:right w:val="none" w:sz="0" w:space="0" w:color="auto"/>
      </w:divBdr>
    </w:div>
    <w:div w:id="1272008170">
      <w:bodyDiv w:val="1"/>
      <w:marLeft w:val="0"/>
      <w:marRight w:val="0"/>
      <w:marTop w:val="0"/>
      <w:marBottom w:val="0"/>
      <w:divBdr>
        <w:top w:val="none" w:sz="0" w:space="0" w:color="auto"/>
        <w:left w:val="none" w:sz="0" w:space="0" w:color="auto"/>
        <w:bottom w:val="none" w:sz="0" w:space="0" w:color="auto"/>
        <w:right w:val="none" w:sz="0" w:space="0" w:color="auto"/>
      </w:divBdr>
    </w:div>
    <w:div w:id="1304120414">
      <w:bodyDiv w:val="1"/>
      <w:marLeft w:val="0"/>
      <w:marRight w:val="0"/>
      <w:marTop w:val="0"/>
      <w:marBottom w:val="0"/>
      <w:divBdr>
        <w:top w:val="none" w:sz="0" w:space="0" w:color="auto"/>
        <w:left w:val="none" w:sz="0" w:space="0" w:color="auto"/>
        <w:bottom w:val="none" w:sz="0" w:space="0" w:color="auto"/>
        <w:right w:val="none" w:sz="0" w:space="0" w:color="auto"/>
      </w:divBdr>
    </w:div>
    <w:div w:id="1348826480">
      <w:bodyDiv w:val="1"/>
      <w:marLeft w:val="0"/>
      <w:marRight w:val="0"/>
      <w:marTop w:val="0"/>
      <w:marBottom w:val="0"/>
      <w:divBdr>
        <w:top w:val="none" w:sz="0" w:space="0" w:color="auto"/>
        <w:left w:val="none" w:sz="0" w:space="0" w:color="auto"/>
        <w:bottom w:val="none" w:sz="0" w:space="0" w:color="auto"/>
        <w:right w:val="none" w:sz="0" w:space="0" w:color="auto"/>
      </w:divBdr>
    </w:div>
    <w:div w:id="1360204044">
      <w:bodyDiv w:val="1"/>
      <w:marLeft w:val="0"/>
      <w:marRight w:val="0"/>
      <w:marTop w:val="0"/>
      <w:marBottom w:val="0"/>
      <w:divBdr>
        <w:top w:val="none" w:sz="0" w:space="0" w:color="auto"/>
        <w:left w:val="none" w:sz="0" w:space="0" w:color="auto"/>
        <w:bottom w:val="none" w:sz="0" w:space="0" w:color="auto"/>
        <w:right w:val="none" w:sz="0" w:space="0" w:color="auto"/>
      </w:divBdr>
    </w:div>
    <w:div w:id="1400787509">
      <w:bodyDiv w:val="1"/>
      <w:marLeft w:val="0"/>
      <w:marRight w:val="0"/>
      <w:marTop w:val="0"/>
      <w:marBottom w:val="0"/>
      <w:divBdr>
        <w:top w:val="none" w:sz="0" w:space="0" w:color="auto"/>
        <w:left w:val="none" w:sz="0" w:space="0" w:color="auto"/>
        <w:bottom w:val="none" w:sz="0" w:space="0" w:color="auto"/>
        <w:right w:val="none" w:sz="0" w:space="0" w:color="auto"/>
      </w:divBdr>
    </w:div>
    <w:div w:id="1438211274">
      <w:bodyDiv w:val="1"/>
      <w:marLeft w:val="0"/>
      <w:marRight w:val="0"/>
      <w:marTop w:val="0"/>
      <w:marBottom w:val="0"/>
      <w:divBdr>
        <w:top w:val="none" w:sz="0" w:space="0" w:color="auto"/>
        <w:left w:val="none" w:sz="0" w:space="0" w:color="auto"/>
        <w:bottom w:val="none" w:sz="0" w:space="0" w:color="auto"/>
        <w:right w:val="none" w:sz="0" w:space="0" w:color="auto"/>
      </w:divBdr>
    </w:div>
    <w:div w:id="1519392036">
      <w:bodyDiv w:val="1"/>
      <w:marLeft w:val="0"/>
      <w:marRight w:val="0"/>
      <w:marTop w:val="0"/>
      <w:marBottom w:val="0"/>
      <w:divBdr>
        <w:top w:val="none" w:sz="0" w:space="0" w:color="auto"/>
        <w:left w:val="none" w:sz="0" w:space="0" w:color="auto"/>
        <w:bottom w:val="none" w:sz="0" w:space="0" w:color="auto"/>
        <w:right w:val="none" w:sz="0" w:space="0" w:color="auto"/>
      </w:divBdr>
    </w:div>
    <w:div w:id="1537543908">
      <w:bodyDiv w:val="1"/>
      <w:marLeft w:val="0"/>
      <w:marRight w:val="0"/>
      <w:marTop w:val="0"/>
      <w:marBottom w:val="0"/>
      <w:divBdr>
        <w:top w:val="none" w:sz="0" w:space="0" w:color="auto"/>
        <w:left w:val="none" w:sz="0" w:space="0" w:color="auto"/>
        <w:bottom w:val="none" w:sz="0" w:space="0" w:color="auto"/>
        <w:right w:val="none" w:sz="0" w:space="0" w:color="auto"/>
      </w:divBdr>
    </w:div>
    <w:div w:id="1547597029">
      <w:bodyDiv w:val="1"/>
      <w:marLeft w:val="0"/>
      <w:marRight w:val="0"/>
      <w:marTop w:val="0"/>
      <w:marBottom w:val="0"/>
      <w:divBdr>
        <w:top w:val="none" w:sz="0" w:space="0" w:color="auto"/>
        <w:left w:val="none" w:sz="0" w:space="0" w:color="auto"/>
        <w:bottom w:val="none" w:sz="0" w:space="0" w:color="auto"/>
        <w:right w:val="none" w:sz="0" w:space="0" w:color="auto"/>
      </w:divBdr>
    </w:div>
    <w:div w:id="1583951500">
      <w:bodyDiv w:val="1"/>
      <w:marLeft w:val="0"/>
      <w:marRight w:val="0"/>
      <w:marTop w:val="0"/>
      <w:marBottom w:val="0"/>
      <w:divBdr>
        <w:top w:val="none" w:sz="0" w:space="0" w:color="auto"/>
        <w:left w:val="none" w:sz="0" w:space="0" w:color="auto"/>
        <w:bottom w:val="none" w:sz="0" w:space="0" w:color="auto"/>
        <w:right w:val="none" w:sz="0" w:space="0" w:color="auto"/>
      </w:divBdr>
    </w:div>
    <w:div w:id="1654722290">
      <w:bodyDiv w:val="1"/>
      <w:marLeft w:val="0"/>
      <w:marRight w:val="0"/>
      <w:marTop w:val="0"/>
      <w:marBottom w:val="0"/>
      <w:divBdr>
        <w:top w:val="none" w:sz="0" w:space="0" w:color="auto"/>
        <w:left w:val="none" w:sz="0" w:space="0" w:color="auto"/>
        <w:bottom w:val="none" w:sz="0" w:space="0" w:color="auto"/>
        <w:right w:val="none" w:sz="0" w:space="0" w:color="auto"/>
      </w:divBdr>
    </w:div>
    <w:div w:id="1735348882">
      <w:bodyDiv w:val="1"/>
      <w:marLeft w:val="0"/>
      <w:marRight w:val="0"/>
      <w:marTop w:val="0"/>
      <w:marBottom w:val="0"/>
      <w:divBdr>
        <w:top w:val="none" w:sz="0" w:space="0" w:color="auto"/>
        <w:left w:val="none" w:sz="0" w:space="0" w:color="auto"/>
        <w:bottom w:val="none" w:sz="0" w:space="0" w:color="auto"/>
        <w:right w:val="none" w:sz="0" w:space="0" w:color="auto"/>
      </w:divBdr>
    </w:div>
    <w:div w:id="1747610331">
      <w:bodyDiv w:val="1"/>
      <w:marLeft w:val="0"/>
      <w:marRight w:val="0"/>
      <w:marTop w:val="0"/>
      <w:marBottom w:val="0"/>
      <w:divBdr>
        <w:top w:val="none" w:sz="0" w:space="0" w:color="auto"/>
        <w:left w:val="none" w:sz="0" w:space="0" w:color="auto"/>
        <w:bottom w:val="none" w:sz="0" w:space="0" w:color="auto"/>
        <w:right w:val="none" w:sz="0" w:space="0" w:color="auto"/>
      </w:divBdr>
    </w:div>
    <w:div w:id="1756244392">
      <w:bodyDiv w:val="1"/>
      <w:marLeft w:val="0"/>
      <w:marRight w:val="0"/>
      <w:marTop w:val="0"/>
      <w:marBottom w:val="0"/>
      <w:divBdr>
        <w:top w:val="none" w:sz="0" w:space="0" w:color="auto"/>
        <w:left w:val="none" w:sz="0" w:space="0" w:color="auto"/>
        <w:bottom w:val="none" w:sz="0" w:space="0" w:color="auto"/>
        <w:right w:val="none" w:sz="0" w:space="0" w:color="auto"/>
      </w:divBdr>
    </w:div>
    <w:div w:id="1771856570">
      <w:bodyDiv w:val="1"/>
      <w:marLeft w:val="0"/>
      <w:marRight w:val="0"/>
      <w:marTop w:val="0"/>
      <w:marBottom w:val="0"/>
      <w:divBdr>
        <w:top w:val="none" w:sz="0" w:space="0" w:color="auto"/>
        <w:left w:val="none" w:sz="0" w:space="0" w:color="auto"/>
        <w:bottom w:val="none" w:sz="0" w:space="0" w:color="auto"/>
        <w:right w:val="none" w:sz="0" w:space="0" w:color="auto"/>
      </w:divBdr>
    </w:div>
    <w:div w:id="1781950353">
      <w:bodyDiv w:val="1"/>
      <w:marLeft w:val="0"/>
      <w:marRight w:val="0"/>
      <w:marTop w:val="0"/>
      <w:marBottom w:val="0"/>
      <w:divBdr>
        <w:top w:val="none" w:sz="0" w:space="0" w:color="auto"/>
        <w:left w:val="none" w:sz="0" w:space="0" w:color="auto"/>
        <w:bottom w:val="none" w:sz="0" w:space="0" w:color="auto"/>
        <w:right w:val="none" w:sz="0" w:space="0" w:color="auto"/>
      </w:divBdr>
      <w:divsChild>
        <w:div w:id="222369190">
          <w:marLeft w:val="0"/>
          <w:marRight w:val="0"/>
          <w:marTop w:val="0"/>
          <w:marBottom w:val="0"/>
          <w:divBdr>
            <w:top w:val="none" w:sz="0" w:space="0" w:color="auto"/>
            <w:left w:val="none" w:sz="0" w:space="0" w:color="auto"/>
            <w:bottom w:val="none" w:sz="0" w:space="0" w:color="auto"/>
            <w:right w:val="none" w:sz="0" w:space="0" w:color="auto"/>
          </w:divBdr>
        </w:div>
      </w:divsChild>
    </w:div>
    <w:div w:id="1819374484">
      <w:bodyDiv w:val="1"/>
      <w:marLeft w:val="0"/>
      <w:marRight w:val="0"/>
      <w:marTop w:val="0"/>
      <w:marBottom w:val="0"/>
      <w:divBdr>
        <w:top w:val="none" w:sz="0" w:space="0" w:color="auto"/>
        <w:left w:val="none" w:sz="0" w:space="0" w:color="auto"/>
        <w:bottom w:val="none" w:sz="0" w:space="0" w:color="auto"/>
        <w:right w:val="none" w:sz="0" w:space="0" w:color="auto"/>
      </w:divBdr>
    </w:div>
    <w:div w:id="1837067784">
      <w:bodyDiv w:val="1"/>
      <w:marLeft w:val="0"/>
      <w:marRight w:val="0"/>
      <w:marTop w:val="0"/>
      <w:marBottom w:val="0"/>
      <w:divBdr>
        <w:top w:val="none" w:sz="0" w:space="0" w:color="auto"/>
        <w:left w:val="none" w:sz="0" w:space="0" w:color="auto"/>
        <w:bottom w:val="none" w:sz="0" w:space="0" w:color="auto"/>
        <w:right w:val="none" w:sz="0" w:space="0" w:color="auto"/>
      </w:divBdr>
    </w:div>
    <w:div w:id="1869566284">
      <w:bodyDiv w:val="1"/>
      <w:marLeft w:val="0"/>
      <w:marRight w:val="0"/>
      <w:marTop w:val="0"/>
      <w:marBottom w:val="0"/>
      <w:divBdr>
        <w:top w:val="none" w:sz="0" w:space="0" w:color="auto"/>
        <w:left w:val="none" w:sz="0" w:space="0" w:color="auto"/>
        <w:bottom w:val="none" w:sz="0" w:space="0" w:color="auto"/>
        <w:right w:val="none" w:sz="0" w:space="0" w:color="auto"/>
      </w:divBdr>
      <w:divsChild>
        <w:div w:id="2063361393">
          <w:marLeft w:val="0"/>
          <w:marRight w:val="0"/>
          <w:marTop w:val="0"/>
          <w:marBottom w:val="0"/>
          <w:divBdr>
            <w:top w:val="none" w:sz="0" w:space="0" w:color="auto"/>
            <w:left w:val="none" w:sz="0" w:space="0" w:color="auto"/>
            <w:bottom w:val="none" w:sz="0" w:space="0" w:color="auto"/>
            <w:right w:val="none" w:sz="0" w:space="0" w:color="auto"/>
          </w:divBdr>
        </w:div>
      </w:divsChild>
    </w:div>
    <w:div w:id="1904828833">
      <w:bodyDiv w:val="1"/>
      <w:marLeft w:val="0"/>
      <w:marRight w:val="0"/>
      <w:marTop w:val="0"/>
      <w:marBottom w:val="0"/>
      <w:divBdr>
        <w:top w:val="none" w:sz="0" w:space="0" w:color="auto"/>
        <w:left w:val="none" w:sz="0" w:space="0" w:color="auto"/>
        <w:bottom w:val="none" w:sz="0" w:space="0" w:color="auto"/>
        <w:right w:val="none" w:sz="0" w:space="0" w:color="auto"/>
      </w:divBdr>
    </w:div>
    <w:div w:id="2006127097">
      <w:bodyDiv w:val="1"/>
      <w:marLeft w:val="0"/>
      <w:marRight w:val="0"/>
      <w:marTop w:val="0"/>
      <w:marBottom w:val="0"/>
      <w:divBdr>
        <w:top w:val="none" w:sz="0" w:space="0" w:color="auto"/>
        <w:left w:val="none" w:sz="0" w:space="0" w:color="auto"/>
        <w:bottom w:val="none" w:sz="0" w:space="0" w:color="auto"/>
        <w:right w:val="none" w:sz="0" w:space="0" w:color="auto"/>
      </w:divBdr>
    </w:div>
    <w:div w:id="2107117913">
      <w:bodyDiv w:val="1"/>
      <w:marLeft w:val="0"/>
      <w:marRight w:val="0"/>
      <w:marTop w:val="0"/>
      <w:marBottom w:val="0"/>
      <w:divBdr>
        <w:top w:val="none" w:sz="0" w:space="0" w:color="auto"/>
        <w:left w:val="none" w:sz="0" w:space="0" w:color="auto"/>
        <w:bottom w:val="none" w:sz="0" w:space="0" w:color="auto"/>
        <w:right w:val="none" w:sz="0" w:space="0" w:color="auto"/>
      </w:divBdr>
    </w:div>
    <w:div w:id="2114933847">
      <w:bodyDiv w:val="1"/>
      <w:marLeft w:val="0"/>
      <w:marRight w:val="0"/>
      <w:marTop w:val="0"/>
      <w:marBottom w:val="0"/>
      <w:divBdr>
        <w:top w:val="none" w:sz="0" w:space="0" w:color="auto"/>
        <w:left w:val="none" w:sz="0" w:space="0" w:color="auto"/>
        <w:bottom w:val="none" w:sz="0" w:space="0" w:color="auto"/>
        <w:right w:val="none" w:sz="0" w:space="0" w:color="auto"/>
      </w:divBdr>
      <w:divsChild>
        <w:div w:id="2128037927">
          <w:marLeft w:val="0"/>
          <w:marRight w:val="0"/>
          <w:marTop w:val="0"/>
          <w:marBottom w:val="0"/>
          <w:divBdr>
            <w:top w:val="none" w:sz="0" w:space="0" w:color="auto"/>
            <w:left w:val="none" w:sz="0" w:space="0" w:color="auto"/>
            <w:bottom w:val="none" w:sz="0" w:space="0" w:color="auto"/>
            <w:right w:val="none" w:sz="0" w:space="0" w:color="auto"/>
          </w:divBdr>
        </w:div>
      </w:divsChild>
    </w:div>
    <w:div w:id="213321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www.fnlrs.com.au/formal-recognition-resources" TargetMode="External"/><Relationship Id="rId2" Type="http://schemas.openxmlformats.org/officeDocument/2006/relationships/hyperlink" Target="https://www.fnlrs.com.au/strategic-plan" TargetMode="External"/><Relationship Id="rId1" Type="http://schemas.openxmlformats.org/officeDocument/2006/relationships/hyperlink" Target="http://www.nntt.gov.au/Maps/QLD_Northern_NTDA_Schedule.pdf" TargetMode="External"/><Relationship Id="rId5" Type="http://schemas.openxmlformats.org/officeDocument/2006/relationships/hyperlink" Target="https://www.austlii.edu.au/cgi-bin/viewdoc/au/cases/cth/FCA/2021/80.html" TargetMode="External"/><Relationship Id="rId4" Type="http://schemas.openxmlformats.org/officeDocument/2006/relationships/hyperlink" Target="http://www.nntt.gov.au/News-and-Publications/latest-news/Pages/Taungurung-Settlement-ILUA.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9715E1-2AF3-4612-AB1F-AA933BDA8220}">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73</Pages>
  <Words>27936</Words>
  <Characters>158681</Characters>
  <Application>Microsoft Office Word</Application>
  <DocSecurity>0</DocSecurity>
  <Lines>2783</Lines>
  <Paragraphs>1403</Paragraphs>
  <ScaleCrop>false</ScaleCrop>
  <Company/>
  <LinksUpToDate>false</LinksUpToDate>
  <CharactersWithSpaces>185214</CharactersWithSpaces>
  <SharedDoc>false</SharedDoc>
  <HLinks>
    <vt:vector size="108" baseType="variant">
      <vt:variant>
        <vt:i4>5832728</vt:i4>
      </vt:variant>
      <vt:variant>
        <vt:i4>138</vt:i4>
      </vt:variant>
      <vt:variant>
        <vt:i4>0</vt:i4>
      </vt:variant>
      <vt:variant>
        <vt:i4>5</vt:i4>
      </vt:variant>
      <vt:variant>
        <vt:lpwstr>https://www.fnlrs.com.au/formal-recognition-resources</vt:lpwstr>
      </vt:variant>
      <vt:variant>
        <vt:lpwstr/>
      </vt:variant>
      <vt:variant>
        <vt:i4>1703984</vt:i4>
      </vt:variant>
      <vt:variant>
        <vt:i4>92</vt:i4>
      </vt:variant>
      <vt:variant>
        <vt:i4>0</vt:i4>
      </vt:variant>
      <vt:variant>
        <vt:i4>5</vt:i4>
      </vt:variant>
      <vt:variant>
        <vt:lpwstr/>
      </vt:variant>
      <vt:variant>
        <vt:lpwstr>_Toc166567199</vt:lpwstr>
      </vt:variant>
      <vt:variant>
        <vt:i4>1703984</vt:i4>
      </vt:variant>
      <vt:variant>
        <vt:i4>86</vt:i4>
      </vt:variant>
      <vt:variant>
        <vt:i4>0</vt:i4>
      </vt:variant>
      <vt:variant>
        <vt:i4>5</vt:i4>
      </vt:variant>
      <vt:variant>
        <vt:lpwstr/>
      </vt:variant>
      <vt:variant>
        <vt:lpwstr>_Toc166567198</vt:lpwstr>
      </vt:variant>
      <vt:variant>
        <vt:i4>1703984</vt:i4>
      </vt:variant>
      <vt:variant>
        <vt:i4>80</vt:i4>
      </vt:variant>
      <vt:variant>
        <vt:i4>0</vt:i4>
      </vt:variant>
      <vt:variant>
        <vt:i4>5</vt:i4>
      </vt:variant>
      <vt:variant>
        <vt:lpwstr/>
      </vt:variant>
      <vt:variant>
        <vt:lpwstr>_Toc166567197</vt:lpwstr>
      </vt:variant>
      <vt:variant>
        <vt:i4>1703984</vt:i4>
      </vt:variant>
      <vt:variant>
        <vt:i4>74</vt:i4>
      </vt:variant>
      <vt:variant>
        <vt:i4>0</vt:i4>
      </vt:variant>
      <vt:variant>
        <vt:i4>5</vt:i4>
      </vt:variant>
      <vt:variant>
        <vt:lpwstr/>
      </vt:variant>
      <vt:variant>
        <vt:lpwstr>_Toc166567196</vt:lpwstr>
      </vt:variant>
      <vt:variant>
        <vt:i4>1703984</vt:i4>
      </vt:variant>
      <vt:variant>
        <vt:i4>68</vt:i4>
      </vt:variant>
      <vt:variant>
        <vt:i4>0</vt:i4>
      </vt:variant>
      <vt:variant>
        <vt:i4>5</vt:i4>
      </vt:variant>
      <vt:variant>
        <vt:lpwstr/>
      </vt:variant>
      <vt:variant>
        <vt:lpwstr>_Toc166567195</vt:lpwstr>
      </vt:variant>
      <vt:variant>
        <vt:i4>1703984</vt:i4>
      </vt:variant>
      <vt:variant>
        <vt:i4>62</vt:i4>
      </vt:variant>
      <vt:variant>
        <vt:i4>0</vt:i4>
      </vt:variant>
      <vt:variant>
        <vt:i4>5</vt:i4>
      </vt:variant>
      <vt:variant>
        <vt:lpwstr/>
      </vt:variant>
      <vt:variant>
        <vt:lpwstr>_Toc166567194</vt:lpwstr>
      </vt:variant>
      <vt:variant>
        <vt:i4>1703984</vt:i4>
      </vt:variant>
      <vt:variant>
        <vt:i4>56</vt:i4>
      </vt:variant>
      <vt:variant>
        <vt:i4>0</vt:i4>
      </vt:variant>
      <vt:variant>
        <vt:i4>5</vt:i4>
      </vt:variant>
      <vt:variant>
        <vt:lpwstr/>
      </vt:variant>
      <vt:variant>
        <vt:lpwstr>_Toc166567193</vt:lpwstr>
      </vt:variant>
      <vt:variant>
        <vt:i4>1703984</vt:i4>
      </vt:variant>
      <vt:variant>
        <vt:i4>50</vt:i4>
      </vt:variant>
      <vt:variant>
        <vt:i4>0</vt:i4>
      </vt:variant>
      <vt:variant>
        <vt:i4>5</vt:i4>
      </vt:variant>
      <vt:variant>
        <vt:lpwstr/>
      </vt:variant>
      <vt:variant>
        <vt:lpwstr>_Toc166567192</vt:lpwstr>
      </vt:variant>
      <vt:variant>
        <vt:i4>1703984</vt:i4>
      </vt:variant>
      <vt:variant>
        <vt:i4>44</vt:i4>
      </vt:variant>
      <vt:variant>
        <vt:i4>0</vt:i4>
      </vt:variant>
      <vt:variant>
        <vt:i4>5</vt:i4>
      </vt:variant>
      <vt:variant>
        <vt:lpwstr/>
      </vt:variant>
      <vt:variant>
        <vt:lpwstr>_Toc166567191</vt:lpwstr>
      </vt:variant>
      <vt:variant>
        <vt:i4>1703984</vt:i4>
      </vt:variant>
      <vt:variant>
        <vt:i4>38</vt:i4>
      </vt:variant>
      <vt:variant>
        <vt:i4>0</vt:i4>
      </vt:variant>
      <vt:variant>
        <vt:i4>5</vt:i4>
      </vt:variant>
      <vt:variant>
        <vt:lpwstr/>
      </vt:variant>
      <vt:variant>
        <vt:lpwstr>_Toc166567190</vt:lpwstr>
      </vt:variant>
      <vt:variant>
        <vt:i4>1769520</vt:i4>
      </vt:variant>
      <vt:variant>
        <vt:i4>32</vt:i4>
      </vt:variant>
      <vt:variant>
        <vt:i4>0</vt:i4>
      </vt:variant>
      <vt:variant>
        <vt:i4>5</vt:i4>
      </vt:variant>
      <vt:variant>
        <vt:lpwstr/>
      </vt:variant>
      <vt:variant>
        <vt:lpwstr>_Toc166567189</vt:lpwstr>
      </vt:variant>
      <vt:variant>
        <vt:i4>1769520</vt:i4>
      </vt:variant>
      <vt:variant>
        <vt:i4>26</vt:i4>
      </vt:variant>
      <vt:variant>
        <vt:i4>0</vt:i4>
      </vt:variant>
      <vt:variant>
        <vt:i4>5</vt:i4>
      </vt:variant>
      <vt:variant>
        <vt:lpwstr/>
      </vt:variant>
      <vt:variant>
        <vt:lpwstr>_Toc166567188</vt:lpwstr>
      </vt:variant>
      <vt:variant>
        <vt:i4>1769520</vt:i4>
      </vt:variant>
      <vt:variant>
        <vt:i4>20</vt:i4>
      </vt:variant>
      <vt:variant>
        <vt:i4>0</vt:i4>
      </vt:variant>
      <vt:variant>
        <vt:i4>5</vt:i4>
      </vt:variant>
      <vt:variant>
        <vt:lpwstr/>
      </vt:variant>
      <vt:variant>
        <vt:lpwstr>_Toc166567187</vt:lpwstr>
      </vt:variant>
      <vt:variant>
        <vt:i4>1769520</vt:i4>
      </vt:variant>
      <vt:variant>
        <vt:i4>14</vt:i4>
      </vt:variant>
      <vt:variant>
        <vt:i4>0</vt:i4>
      </vt:variant>
      <vt:variant>
        <vt:i4>5</vt:i4>
      </vt:variant>
      <vt:variant>
        <vt:lpwstr/>
      </vt:variant>
      <vt:variant>
        <vt:lpwstr>_Toc166567186</vt:lpwstr>
      </vt:variant>
      <vt:variant>
        <vt:i4>1769520</vt:i4>
      </vt:variant>
      <vt:variant>
        <vt:i4>8</vt:i4>
      </vt:variant>
      <vt:variant>
        <vt:i4>0</vt:i4>
      </vt:variant>
      <vt:variant>
        <vt:i4>5</vt:i4>
      </vt:variant>
      <vt:variant>
        <vt:lpwstr/>
      </vt:variant>
      <vt:variant>
        <vt:lpwstr>_Toc166567185</vt:lpwstr>
      </vt:variant>
      <vt:variant>
        <vt:i4>1769520</vt:i4>
      </vt:variant>
      <vt:variant>
        <vt:i4>2</vt:i4>
      </vt:variant>
      <vt:variant>
        <vt:i4>0</vt:i4>
      </vt:variant>
      <vt:variant>
        <vt:i4>5</vt:i4>
      </vt:variant>
      <vt:variant>
        <vt:lpwstr/>
      </vt:variant>
      <vt:variant>
        <vt:lpwstr>_Toc166567184</vt:lpwstr>
      </vt:variant>
      <vt:variant>
        <vt:i4>7274503</vt:i4>
      </vt:variant>
      <vt:variant>
        <vt:i4>0</vt:i4>
      </vt:variant>
      <vt:variant>
        <vt:i4>0</vt:i4>
      </vt:variant>
      <vt:variant>
        <vt:i4>5</vt:i4>
      </vt:variant>
      <vt:variant>
        <vt:lpwstr>http://www.nntt.gov.au/Maps/QLD_Northern_NTDA_Schedule.pdf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2025-10-23T03:38:00Z</dcterms:created>
  <dcterms:modified xsi:type="dcterms:W3CDTF">2025-10-23T03:38:00Z</dcterms:modified>
</cp:coreProperties>
</file>