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C710" w14:textId="22B6B9BB" w:rsidR="00185B2B" w:rsidRPr="00623C12" w:rsidRDefault="00185B2B">
      <w:pPr>
        <w:pStyle w:val="Covertitle"/>
        <w:rPr>
          <w:rFonts w:cs="Segoe UI"/>
          <w:b/>
          <w:color w:val="00264D" w:themeColor="background2"/>
          <w:sz w:val="64"/>
          <w:szCs w:val="64"/>
        </w:rPr>
      </w:pPr>
      <w:r>
        <w:rPr>
          <w:noProof/>
        </w:rPr>
        <w:drawing>
          <wp:anchor distT="0" distB="0" distL="114300" distR="114300" simplePos="0" relativeHeight="251658242" behindDoc="1" locked="0" layoutInCell="1" allowOverlap="1" wp14:anchorId="0DBE1537" wp14:editId="47F5A816">
            <wp:simplePos x="0" y="0"/>
            <wp:positionH relativeFrom="page">
              <wp:align>left</wp:align>
            </wp:positionH>
            <wp:positionV relativeFrom="page">
              <wp:align>top</wp:align>
            </wp:positionV>
            <wp:extent cx="7559998" cy="10693741"/>
            <wp:effectExtent l="0" t="0" r="3175" b="0"/>
            <wp:wrapNone/>
            <wp:docPr id="495" name="Picture 495"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71790004"/>
          <w:docPartObj>
            <w:docPartGallery w:val="Cover Pages"/>
            <w:docPartUnique/>
          </w:docPartObj>
        </w:sdtPr>
        <w:sdtEndPr>
          <w:rPr>
            <w:color w:val="00264D" w:themeColor="background2"/>
          </w:rPr>
        </w:sdtEndPr>
        <w:sdtContent>
          <w:r w:rsidR="005800DE">
            <w:rPr>
              <w:rFonts w:cs="Segoe UI"/>
              <w:b/>
              <w:color w:val="00264D" w:themeColor="background2"/>
              <w:sz w:val="64"/>
              <w:szCs w:val="64"/>
            </w:rPr>
            <w:t>Review of Kimberley Land Council, 2019-22</w:t>
          </w:r>
        </w:sdtContent>
      </w:sdt>
    </w:p>
    <w:p w14:paraId="229E23C2" w14:textId="531BF78A" w:rsidR="00582338" w:rsidRDefault="001F2328">
      <w:pPr>
        <w:pStyle w:val="CoverPage-Client"/>
        <w:spacing w:before="360"/>
        <w:rPr>
          <w:rStyle w:val="CoverPage-ClientChar"/>
          <w:rFonts w:cs="Segoe UI"/>
          <w:color w:val="F8981D" w:themeColor="accent3"/>
        </w:rPr>
      </w:pPr>
      <w:r>
        <w:rPr>
          <w:rStyle w:val="CoverPage-ClientChar"/>
          <w:rFonts w:cs="Segoe UI"/>
          <w:color w:val="F8981D" w:themeColor="accent3"/>
        </w:rPr>
        <w:t>National Indigenous Australians Agency</w:t>
      </w:r>
    </w:p>
    <w:p w14:paraId="51FA3542" w14:textId="22CCC0E6" w:rsidR="001F2328" w:rsidRDefault="00582338">
      <w:pPr>
        <w:pStyle w:val="CoverPage-Client"/>
        <w:spacing w:before="360"/>
        <w:rPr>
          <w:rStyle w:val="Heading2Char"/>
          <w:rFonts w:cs="Segoe UI"/>
          <w:sz w:val="20"/>
          <w:szCs w:val="20"/>
        </w:rPr>
      </w:pPr>
      <w:r w:rsidRPr="00582338">
        <w:rPr>
          <w:rStyle w:val="CoverPage-ClientChar"/>
          <w:rFonts w:cs="Segoe UI"/>
          <w:color w:val="00264D" w:themeColor="background2"/>
          <w:sz w:val="20"/>
          <w:szCs w:val="10"/>
        </w:rPr>
        <w:t>June 2024</w:t>
      </w:r>
      <w:r w:rsidR="001F2328" w:rsidRPr="001F2328">
        <w:rPr>
          <w:rStyle w:val="Heading2Char"/>
          <w:rFonts w:cs="Segoe UI"/>
          <w:sz w:val="20"/>
          <w:szCs w:val="20"/>
        </w:rPr>
        <w:t xml:space="preserve"> </w:t>
      </w:r>
    </w:p>
    <w:p w14:paraId="7ECC9B22" w14:textId="0A1C15DE" w:rsidR="00185B2B" w:rsidRPr="00623C12" w:rsidRDefault="00185B2B">
      <w:pPr>
        <w:pStyle w:val="CoverPage-Client"/>
        <w:spacing w:before="360"/>
        <w:rPr>
          <w:rFonts w:cs="Segoe UI"/>
          <w:color w:val="F8981D" w:themeColor="accent3"/>
        </w:rPr>
      </w:pPr>
    </w:p>
    <w:p w14:paraId="0A685DE4" w14:textId="28E1F1CE" w:rsidR="00185B2B" w:rsidRPr="00623C12" w:rsidRDefault="00185B2B">
      <w:pPr>
        <w:pStyle w:val="CoverPage-Date"/>
        <w:spacing w:before="240"/>
      </w:pPr>
    </w:p>
    <w:p w14:paraId="60E6B517" w14:textId="77777777" w:rsidR="00185B2B" w:rsidRDefault="00185B2B">
      <w:pPr>
        <w:suppressAutoHyphens/>
        <w:spacing w:after="0" w:line="680" w:lineRule="exact"/>
        <w:sectPr w:rsidR="00185B2B" w:rsidSect="00F32834">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p w14:paraId="02EB495C" w14:textId="7AA99CC0" w:rsidR="001B2F3D" w:rsidRPr="0011473A" w:rsidRDefault="001B2F3D">
          <w:pPr>
            <w:pStyle w:val="TOCHeading"/>
            <w:rPr>
              <w:color w:val="00264D" w:themeColor="background2"/>
            </w:rPr>
          </w:pPr>
          <w:r w:rsidRPr="0011473A">
            <w:rPr>
              <w:color w:val="00264D" w:themeColor="background2"/>
            </w:rPr>
            <w:t>Contents</w:t>
          </w:r>
        </w:p>
        <w:p w14:paraId="44BA4AF7" w14:textId="3D0EED5A" w:rsidR="0046649F" w:rsidRDefault="00352A31">
          <w:pPr>
            <w:pStyle w:val="TOC1"/>
            <w:rPr>
              <w:rFonts w:asciiTheme="minorHAnsi" w:eastAsiaTheme="minorEastAsia" w:hAnsiTheme="minorHAnsi"/>
              <w:kern w:val="2"/>
              <w:sz w:val="24"/>
              <w:szCs w:val="24"/>
              <w:lang w:val="en-AU" w:eastAsia="en-AU"/>
              <w14:ligatures w14:val="standardContextual"/>
            </w:rPr>
          </w:pPr>
          <w:r>
            <w:fldChar w:fldCharType="begin"/>
          </w:r>
          <w:r>
            <w:instrText xml:space="preserve"> TOC \o "1-2" \h \z \u </w:instrText>
          </w:r>
          <w:r>
            <w:fldChar w:fldCharType="separate"/>
          </w:r>
          <w:hyperlink w:anchor="_Toc170470096" w:history="1">
            <w:r w:rsidR="0046649F" w:rsidRPr="002A447A">
              <w:rPr>
                <w:rStyle w:val="Hyperlink"/>
              </w:rPr>
              <w:t>1</w:t>
            </w:r>
            <w:r w:rsidR="0046649F">
              <w:rPr>
                <w:rFonts w:asciiTheme="minorHAnsi" w:eastAsiaTheme="minorEastAsia" w:hAnsiTheme="minorHAnsi"/>
                <w:kern w:val="2"/>
                <w:sz w:val="24"/>
                <w:szCs w:val="24"/>
                <w:lang w:val="en-AU" w:eastAsia="en-AU"/>
                <w14:ligatures w14:val="standardContextual"/>
              </w:rPr>
              <w:tab/>
            </w:r>
            <w:r w:rsidR="0046649F" w:rsidRPr="002A447A">
              <w:rPr>
                <w:rStyle w:val="Hyperlink"/>
              </w:rPr>
              <w:t>Profile of the Kimberley Land Council</w:t>
            </w:r>
            <w:r w:rsidR="0046649F">
              <w:rPr>
                <w:webHidden/>
              </w:rPr>
              <w:tab/>
            </w:r>
            <w:r w:rsidR="0046649F">
              <w:rPr>
                <w:webHidden/>
              </w:rPr>
              <w:fldChar w:fldCharType="begin"/>
            </w:r>
            <w:r w:rsidR="0046649F">
              <w:rPr>
                <w:webHidden/>
              </w:rPr>
              <w:instrText xml:space="preserve"> PAGEREF _Toc170470096 \h </w:instrText>
            </w:r>
            <w:r w:rsidR="0046649F">
              <w:rPr>
                <w:webHidden/>
              </w:rPr>
            </w:r>
            <w:r w:rsidR="0046649F">
              <w:rPr>
                <w:webHidden/>
              </w:rPr>
              <w:fldChar w:fldCharType="separate"/>
            </w:r>
            <w:r w:rsidR="00291532">
              <w:rPr>
                <w:webHidden/>
              </w:rPr>
              <w:t>2</w:t>
            </w:r>
            <w:r w:rsidR="0046649F">
              <w:rPr>
                <w:webHidden/>
              </w:rPr>
              <w:fldChar w:fldCharType="end"/>
            </w:r>
          </w:hyperlink>
        </w:p>
        <w:p w14:paraId="39DABBF9" w14:textId="30686FDE"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097" w:history="1">
            <w:r w:rsidRPr="002A447A">
              <w:rPr>
                <w:rStyle w:val="Hyperlink"/>
              </w:rPr>
              <w:t>2</w:t>
            </w:r>
            <w:r>
              <w:rPr>
                <w:rFonts w:asciiTheme="minorHAnsi" w:eastAsiaTheme="minorEastAsia" w:hAnsiTheme="minorHAnsi"/>
                <w:kern w:val="2"/>
                <w:sz w:val="24"/>
                <w:szCs w:val="24"/>
                <w:lang w:val="en-AU" w:eastAsia="en-AU"/>
                <w14:ligatures w14:val="standardContextual"/>
              </w:rPr>
              <w:tab/>
            </w:r>
            <w:r w:rsidRPr="002A447A">
              <w:rPr>
                <w:rStyle w:val="Hyperlink"/>
              </w:rPr>
              <w:t>Scope of the Review</w:t>
            </w:r>
            <w:r>
              <w:rPr>
                <w:webHidden/>
              </w:rPr>
              <w:tab/>
            </w:r>
            <w:r>
              <w:rPr>
                <w:webHidden/>
              </w:rPr>
              <w:fldChar w:fldCharType="begin"/>
            </w:r>
            <w:r>
              <w:rPr>
                <w:webHidden/>
              </w:rPr>
              <w:instrText xml:space="preserve"> PAGEREF _Toc170470097 \h </w:instrText>
            </w:r>
            <w:r>
              <w:rPr>
                <w:webHidden/>
              </w:rPr>
            </w:r>
            <w:r>
              <w:rPr>
                <w:webHidden/>
              </w:rPr>
              <w:fldChar w:fldCharType="separate"/>
            </w:r>
            <w:r w:rsidR="00291532">
              <w:rPr>
                <w:webHidden/>
              </w:rPr>
              <w:t>4</w:t>
            </w:r>
            <w:r>
              <w:rPr>
                <w:webHidden/>
              </w:rPr>
              <w:fldChar w:fldCharType="end"/>
            </w:r>
          </w:hyperlink>
        </w:p>
        <w:p w14:paraId="176A1BEC" w14:textId="3EA8ACB5"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098" w:history="1">
            <w:r w:rsidRPr="002A447A">
              <w:rPr>
                <w:rStyle w:val="Hyperlink"/>
              </w:rPr>
              <w:t>3</w:t>
            </w:r>
            <w:r>
              <w:rPr>
                <w:rFonts w:asciiTheme="minorHAnsi" w:eastAsiaTheme="minorEastAsia" w:hAnsiTheme="minorHAnsi"/>
                <w:kern w:val="2"/>
                <w:sz w:val="24"/>
                <w:szCs w:val="24"/>
                <w:lang w:val="en-AU" w:eastAsia="en-AU"/>
                <w14:ligatures w14:val="standardContextual"/>
              </w:rPr>
              <w:tab/>
            </w:r>
            <w:r w:rsidRPr="002A447A">
              <w:rPr>
                <w:rStyle w:val="Hyperlink"/>
              </w:rPr>
              <w:t>List of abbreviations</w:t>
            </w:r>
            <w:r>
              <w:rPr>
                <w:webHidden/>
              </w:rPr>
              <w:tab/>
            </w:r>
            <w:r>
              <w:rPr>
                <w:webHidden/>
              </w:rPr>
              <w:fldChar w:fldCharType="begin"/>
            </w:r>
            <w:r>
              <w:rPr>
                <w:webHidden/>
              </w:rPr>
              <w:instrText xml:space="preserve"> PAGEREF _Toc170470098 \h </w:instrText>
            </w:r>
            <w:r>
              <w:rPr>
                <w:webHidden/>
              </w:rPr>
            </w:r>
            <w:r>
              <w:rPr>
                <w:webHidden/>
              </w:rPr>
              <w:fldChar w:fldCharType="separate"/>
            </w:r>
            <w:r w:rsidR="00291532">
              <w:rPr>
                <w:webHidden/>
              </w:rPr>
              <w:t>6</w:t>
            </w:r>
            <w:r>
              <w:rPr>
                <w:webHidden/>
              </w:rPr>
              <w:fldChar w:fldCharType="end"/>
            </w:r>
          </w:hyperlink>
        </w:p>
        <w:p w14:paraId="5CBDE5C1" w14:textId="71EAFDD7"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099" w:history="1">
            <w:r w:rsidRPr="002A447A">
              <w:rPr>
                <w:rStyle w:val="Hyperlink"/>
              </w:rPr>
              <w:t>4</w:t>
            </w:r>
            <w:r>
              <w:rPr>
                <w:rFonts w:asciiTheme="minorHAnsi" w:eastAsiaTheme="minorEastAsia" w:hAnsiTheme="minorHAnsi"/>
                <w:kern w:val="2"/>
                <w:sz w:val="24"/>
                <w:szCs w:val="24"/>
                <w:lang w:val="en-AU" w:eastAsia="en-AU"/>
                <w14:ligatures w14:val="standardContextual"/>
              </w:rPr>
              <w:tab/>
            </w:r>
            <w:r w:rsidRPr="002A447A">
              <w:rPr>
                <w:rStyle w:val="Hyperlink"/>
              </w:rPr>
              <w:t>Executive summary of performance and recommendations</w:t>
            </w:r>
            <w:r>
              <w:rPr>
                <w:webHidden/>
              </w:rPr>
              <w:tab/>
            </w:r>
            <w:r>
              <w:rPr>
                <w:webHidden/>
              </w:rPr>
              <w:fldChar w:fldCharType="begin"/>
            </w:r>
            <w:r>
              <w:rPr>
                <w:webHidden/>
              </w:rPr>
              <w:instrText xml:space="preserve"> PAGEREF _Toc170470099 \h </w:instrText>
            </w:r>
            <w:r>
              <w:rPr>
                <w:webHidden/>
              </w:rPr>
            </w:r>
            <w:r>
              <w:rPr>
                <w:webHidden/>
              </w:rPr>
              <w:fldChar w:fldCharType="separate"/>
            </w:r>
            <w:r w:rsidR="00291532">
              <w:rPr>
                <w:webHidden/>
              </w:rPr>
              <w:t>8</w:t>
            </w:r>
            <w:r>
              <w:rPr>
                <w:webHidden/>
              </w:rPr>
              <w:fldChar w:fldCharType="end"/>
            </w:r>
          </w:hyperlink>
        </w:p>
        <w:p w14:paraId="7C23FFB7" w14:textId="61452F46"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100" w:history="1">
            <w:r w:rsidRPr="002A447A">
              <w:rPr>
                <w:rStyle w:val="Hyperlink"/>
              </w:rPr>
              <w:t>5</w:t>
            </w:r>
            <w:r>
              <w:rPr>
                <w:rFonts w:asciiTheme="minorHAnsi" w:eastAsiaTheme="minorEastAsia" w:hAnsiTheme="minorHAnsi"/>
                <w:kern w:val="2"/>
                <w:sz w:val="24"/>
                <w:szCs w:val="24"/>
                <w:lang w:val="en-AU" w:eastAsia="en-AU"/>
                <w14:ligatures w14:val="standardContextual"/>
              </w:rPr>
              <w:tab/>
            </w:r>
            <w:r w:rsidRPr="002A447A">
              <w:rPr>
                <w:rStyle w:val="Hyperlink"/>
              </w:rPr>
              <w:t>Performance assessment</w:t>
            </w:r>
            <w:r>
              <w:rPr>
                <w:webHidden/>
              </w:rPr>
              <w:tab/>
            </w:r>
            <w:r>
              <w:rPr>
                <w:webHidden/>
              </w:rPr>
              <w:fldChar w:fldCharType="begin"/>
            </w:r>
            <w:r>
              <w:rPr>
                <w:webHidden/>
              </w:rPr>
              <w:instrText xml:space="preserve"> PAGEREF _Toc170470100 \h </w:instrText>
            </w:r>
            <w:r>
              <w:rPr>
                <w:webHidden/>
              </w:rPr>
            </w:r>
            <w:r>
              <w:rPr>
                <w:webHidden/>
              </w:rPr>
              <w:fldChar w:fldCharType="separate"/>
            </w:r>
            <w:r w:rsidR="00291532">
              <w:rPr>
                <w:webHidden/>
              </w:rPr>
              <w:t>14</w:t>
            </w:r>
            <w:r>
              <w:rPr>
                <w:webHidden/>
              </w:rPr>
              <w:fldChar w:fldCharType="end"/>
            </w:r>
          </w:hyperlink>
        </w:p>
        <w:p w14:paraId="0C16112F" w14:textId="6F6C349F" w:rsidR="0046649F" w:rsidRDefault="0046649F">
          <w:pPr>
            <w:pStyle w:val="TOC2"/>
            <w:rPr>
              <w:rFonts w:asciiTheme="minorHAnsi" w:eastAsiaTheme="minorEastAsia" w:hAnsiTheme="minorHAnsi"/>
              <w:noProof/>
              <w:kern w:val="2"/>
              <w:sz w:val="24"/>
              <w:szCs w:val="24"/>
              <w:lang w:val="en-AU" w:eastAsia="en-AU"/>
              <w14:ligatures w14:val="standardContextual"/>
            </w:rPr>
          </w:pPr>
          <w:hyperlink w:anchor="_Toc170470101" w:history="1">
            <w:r w:rsidRPr="002A447A">
              <w:rPr>
                <w:rStyle w:val="Hyperlink"/>
                <w:noProof/>
              </w:rPr>
              <w:t>5.1</w:t>
            </w:r>
            <w:r>
              <w:rPr>
                <w:rFonts w:asciiTheme="minorHAnsi" w:eastAsiaTheme="minorEastAsia" w:hAnsiTheme="minorHAnsi"/>
                <w:noProof/>
                <w:kern w:val="2"/>
                <w:sz w:val="24"/>
                <w:szCs w:val="24"/>
                <w:lang w:val="en-AU" w:eastAsia="en-AU"/>
                <w14:ligatures w14:val="standardContextual"/>
              </w:rPr>
              <w:tab/>
            </w:r>
            <w:r w:rsidRPr="002A447A">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_Toc170470101 \h </w:instrText>
            </w:r>
            <w:r>
              <w:rPr>
                <w:noProof/>
                <w:webHidden/>
              </w:rPr>
            </w:r>
            <w:r>
              <w:rPr>
                <w:noProof/>
                <w:webHidden/>
              </w:rPr>
              <w:fldChar w:fldCharType="separate"/>
            </w:r>
            <w:r w:rsidR="00291532">
              <w:rPr>
                <w:noProof/>
                <w:webHidden/>
              </w:rPr>
              <w:t>14</w:t>
            </w:r>
            <w:r>
              <w:rPr>
                <w:noProof/>
                <w:webHidden/>
              </w:rPr>
              <w:fldChar w:fldCharType="end"/>
            </w:r>
          </w:hyperlink>
        </w:p>
        <w:p w14:paraId="459DFBBC" w14:textId="170CC9A0" w:rsidR="0046649F" w:rsidRDefault="0046649F">
          <w:pPr>
            <w:pStyle w:val="TOC2"/>
            <w:rPr>
              <w:rFonts w:asciiTheme="minorHAnsi" w:eastAsiaTheme="minorEastAsia" w:hAnsiTheme="minorHAnsi"/>
              <w:noProof/>
              <w:kern w:val="2"/>
              <w:sz w:val="24"/>
              <w:szCs w:val="24"/>
              <w:lang w:val="en-AU" w:eastAsia="en-AU"/>
              <w14:ligatures w14:val="standardContextual"/>
            </w:rPr>
          </w:pPr>
          <w:hyperlink w:anchor="_Toc170470102" w:history="1">
            <w:r w:rsidRPr="002A447A">
              <w:rPr>
                <w:rStyle w:val="Hyperlink"/>
                <w:noProof/>
              </w:rPr>
              <w:t>5.2</w:t>
            </w:r>
            <w:r>
              <w:rPr>
                <w:rFonts w:asciiTheme="minorHAnsi" w:eastAsiaTheme="minorEastAsia" w:hAnsiTheme="minorHAnsi"/>
                <w:noProof/>
                <w:kern w:val="2"/>
                <w:sz w:val="24"/>
                <w:szCs w:val="24"/>
                <w:lang w:val="en-AU" w:eastAsia="en-AU"/>
                <w14:ligatures w14:val="standardContextual"/>
              </w:rPr>
              <w:tab/>
            </w:r>
            <w:r w:rsidRPr="002A447A">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_Toc170470102 \h </w:instrText>
            </w:r>
            <w:r>
              <w:rPr>
                <w:noProof/>
                <w:webHidden/>
              </w:rPr>
            </w:r>
            <w:r>
              <w:rPr>
                <w:noProof/>
                <w:webHidden/>
              </w:rPr>
              <w:fldChar w:fldCharType="separate"/>
            </w:r>
            <w:r w:rsidR="00291532">
              <w:rPr>
                <w:noProof/>
                <w:webHidden/>
              </w:rPr>
              <w:t>30</w:t>
            </w:r>
            <w:r>
              <w:rPr>
                <w:noProof/>
                <w:webHidden/>
              </w:rPr>
              <w:fldChar w:fldCharType="end"/>
            </w:r>
          </w:hyperlink>
        </w:p>
        <w:p w14:paraId="58CF35F5" w14:textId="6934B3E2" w:rsidR="0046649F" w:rsidRDefault="0046649F">
          <w:pPr>
            <w:pStyle w:val="TOC2"/>
            <w:rPr>
              <w:rFonts w:asciiTheme="minorHAnsi" w:eastAsiaTheme="minorEastAsia" w:hAnsiTheme="minorHAnsi"/>
              <w:noProof/>
              <w:kern w:val="2"/>
              <w:sz w:val="24"/>
              <w:szCs w:val="24"/>
              <w:lang w:val="en-AU" w:eastAsia="en-AU"/>
              <w14:ligatures w14:val="standardContextual"/>
            </w:rPr>
          </w:pPr>
          <w:hyperlink w:anchor="_Toc170470103" w:history="1">
            <w:r w:rsidRPr="002A447A">
              <w:rPr>
                <w:rStyle w:val="Hyperlink"/>
                <w:noProof/>
              </w:rPr>
              <w:t>5.3</w:t>
            </w:r>
            <w:r>
              <w:rPr>
                <w:rFonts w:asciiTheme="minorHAnsi" w:eastAsiaTheme="minorEastAsia" w:hAnsiTheme="minorHAnsi"/>
                <w:noProof/>
                <w:kern w:val="2"/>
                <w:sz w:val="24"/>
                <w:szCs w:val="24"/>
                <w:lang w:val="en-AU" w:eastAsia="en-AU"/>
                <w14:ligatures w14:val="standardContextual"/>
              </w:rPr>
              <w:tab/>
            </w:r>
            <w:r w:rsidRPr="002A447A">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_Toc170470103 \h </w:instrText>
            </w:r>
            <w:r>
              <w:rPr>
                <w:noProof/>
                <w:webHidden/>
              </w:rPr>
            </w:r>
            <w:r>
              <w:rPr>
                <w:noProof/>
                <w:webHidden/>
              </w:rPr>
              <w:fldChar w:fldCharType="separate"/>
            </w:r>
            <w:r w:rsidR="00291532">
              <w:rPr>
                <w:noProof/>
                <w:webHidden/>
              </w:rPr>
              <w:t>35</w:t>
            </w:r>
            <w:r>
              <w:rPr>
                <w:noProof/>
                <w:webHidden/>
              </w:rPr>
              <w:fldChar w:fldCharType="end"/>
            </w:r>
          </w:hyperlink>
        </w:p>
        <w:p w14:paraId="2055EFF7" w14:textId="7CEBB1EA" w:rsidR="0046649F" w:rsidRDefault="0046649F">
          <w:pPr>
            <w:pStyle w:val="TOC2"/>
            <w:rPr>
              <w:rFonts w:asciiTheme="minorHAnsi" w:eastAsiaTheme="minorEastAsia" w:hAnsiTheme="minorHAnsi"/>
              <w:noProof/>
              <w:kern w:val="2"/>
              <w:sz w:val="24"/>
              <w:szCs w:val="24"/>
              <w:lang w:val="en-AU" w:eastAsia="en-AU"/>
              <w14:ligatures w14:val="standardContextual"/>
            </w:rPr>
          </w:pPr>
          <w:hyperlink w:anchor="_Toc170470104" w:history="1">
            <w:r w:rsidRPr="002A447A">
              <w:rPr>
                <w:rStyle w:val="Hyperlink"/>
                <w:noProof/>
              </w:rPr>
              <w:t>5.4</w:t>
            </w:r>
            <w:r>
              <w:rPr>
                <w:rFonts w:asciiTheme="minorHAnsi" w:eastAsiaTheme="minorEastAsia" w:hAnsiTheme="minorHAnsi"/>
                <w:noProof/>
                <w:kern w:val="2"/>
                <w:sz w:val="24"/>
                <w:szCs w:val="24"/>
                <w:lang w:val="en-AU" w:eastAsia="en-AU"/>
                <w14:ligatures w14:val="standardContextual"/>
              </w:rPr>
              <w:tab/>
            </w:r>
            <w:r w:rsidRPr="002A447A">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_Toc170470104 \h </w:instrText>
            </w:r>
            <w:r>
              <w:rPr>
                <w:noProof/>
                <w:webHidden/>
              </w:rPr>
            </w:r>
            <w:r>
              <w:rPr>
                <w:noProof/>
                <w:webHidden/>
              </w:rPr>
              <w:fldChar w:fldCharType="separate"/>
            </w:r>
            <w:r w:rsidR="00291532">
              <w:rPr>
                <w:noProof/>
                <w:webHidden/>
              </w:rPr>
              <w:t>40</w:t>
            </w:r>
            <w:r>
              <w:rPr>
                <w:noProof/>
                <w:webHidden/>
              </w:rPr>
              <w:fldChar w:fldCharType="end"/>
            </w:r>
          </w:hyperlink>
        </w:p>
        <w:p w14:paraId="1BE3A927" w14:textId="41DAC5D0" w:rsidR="0046649F" w:rsidRDefault="0046649F">
          <w:pPr>
            <w:pStyle w:val="TOC2"/>
            <w:rPr>
              <w:rFonts w:asciiTheme="minorHAnsi" w:eastAsiaTheme="minorEastAsia" w:hAnsiTheme="minorHAnsi"/>
              <w:noProof/>
              <w:kern w:val="2"/>
              <w:sz w:val="24"/>
              <w:szCs w:val="24"/>
              <w:lang w:val="en-AU" w:eastAsia="en-AU"/>
              <w14:ligatures w14:val="standardContextual"/>
            </w:rPr>
          </w:pPr>
          <w:hyperlink w:anchor="_Toc170470105" w:history="1">
            <w:r w:rsidRPr="002A447A">
              <w:rPr>
                <w:rStyle w:val="Hyperlink"/>
                <w:noProof/>
              </w:rPr>
              <w:t>5.5</w:t>
            </w:r>
            <w:r>
              <w:rPr>
                <w:rFonts w:asciiTheme="minorHAnsi" w:eastAsiaTheme="minorEastAsia" w:hAnsiTheme="minorHAnsi"/>
                <w:noProof/>
                <w:kern w:val="2"/>
                <w:sz w:val="24"/>
                <w:szCs w:val="24"/>
                <w:lang w:val="en-AU" w:eastAsia="en-AU"/>
                <w14:ligatures w14:val="standardContextual"/>
              </w:rPr>
              <w:tab/>
            </w:r>
            <w:r w:rsidRPr="002A447A">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_Toc170470105 \h </w:instrText>
            </w:r>
            <w:r>
              <w:rPr>
                <w:noProof/>
                <w:webHidden/>
              </w:rPr>
            </w:r>
            <w:r>
              <w:rPr>
                <w:noProof/>
                <w:webHidden/>
              </w:rPr>
              <w:fldChar w:fldCharType="separate"/>
            </w:r>
            <w:r w:rsidR="00291532">
              <w:rPr>
                <w:noProof/>
                <w:webHidden/>
              </w:rPr>
              <w:t>50</w:t>
            </w:r>
            <w:r>
              <w:rPr>
                <w:noProof/>
                <w:webHidden/>
              </w:rPr>
              <w:fldChar w:fldCharType="end"/>
            </w:r>
          </w:hyperlink>
        </w:p>
        <w:p w14:paraId="07DD0F85" w14:textId="35B1C33B" w:rsidR="0046649F" w:rsidRDefault="0046649F">
          <w:pPr>
            <w:pStyle w:val="TOC2"/>
            <w:rPr>
              <w:rFonts w:asciiTheme="minorHAnsi" w:eastAsiaTheme="minorEastAsia" w:hAnsiTheme="minorHAnsi"/>
              <w:noProof/>
              <w:kern w:val="2"/>
              <w:sz w:val="24"/>
              <w:szCs w:val="24"/>
              <w:lang w:val="en-AU" w:eastAsia="en-AU"/>
              <w14:ligatures w14:val="standardContextual"/>
            </w:rPr>
          </w:pPr>
          <w:hyperlink w:anchor="_Toc170470106" w:history="1">
            <w:r w:rsidRPr="002A447A">
              <w:rPr>
                <w:rStyle w:val="Hyperlink"/>
                <w:noProof/>
              </w:rPr>
              <w:t>5.6</w:t>
            </w:r>
            <w:r>
              <w:rPr>
                <w:rFonts w:asciiTheme="minorHAnsi" w:eastAsiaTheme="minorEastAsia" w:hAnsiTheme="minorHAnsi"/>
                <w:noProof/>
                <w:kern w:val="2"/>
                <w:sz w:val="24"/>
                <w:szCs w:val="24"/>
                <w:lang w:val="en-AU" w:eastAsia="en-AU"/>
                <w14:ligatures w14:val="standardContextual"/>
              </w:rPr>
              <w:tab/>
            </w:r>
            <w:r w:rsidRPr="002A447A">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_Toc170470106 \h </w:instrText>
            </w:r>
            <w:r>
              <w:rPr>
                <w:noProof/>
                <w:webHidden/>
              </w:rPr>
            </w:r>
            <w:r>
              <w:rPr>
                <w:noProof/>
                <w:webHidden/>
              </w:rPr>
              <w:fldChar w:fldCharType="separate"/>
            </w:r>
            <w:r w:rsidR="00291532">
              <w:rPr>
                <w:noProof/>
                <w:webHidden/>
              </w:rPr>
              <w:t>58</w:t>
            </w:r>
            <w:r>
              <w:rPr>
                <w:noProof/>
                <w:webHidden/>
              </w:rPr>
              <w:fldChar w:fldCharType="end"/>
            </w:r>
          </w:hyperlink>
        </w:p>
        <w:p w14:paraId="46A90655" w14:textId="097AA897" w:rsidR="0046649F" w:rsidRDefault="0046649F">
          <w:pPr>
            <w:pStyle w:val="TOC2"/>
            <w:rPr>
              <w:rFonts w:asciiTheme="minorHAnsi" w:eastAsiaTheme="minorEastAsia" w:hAnsiTheme="minorHAnsi"/>
              <w:noProof/>
              <w:kern w:val="2"/>
              <w:sz w:val="24"/>
              <w:szCs w:val="24"/>
              <w:lang w:val="en-AU" w:eastAsia="en-AU"/>
              <w14:ligatures w14:val="standardContextual"/>
            </w:rPr>
          </w:pPr>
          <w:hyperlink w:anchor="_Toc170470107" w:history="1">
            <w:r w:rsidRPr="002A447A">
              <w:rPr>
                <w:rStyle w:val="Hyperlink"/>
                <w:noProof/>
              </w:rPr>
              <w:t>5.7</w:t>
            </w:r>
            <w:r>
              <w:rPr>
                <w:rFonts w:asciiTheme="minorHAnsi" w:eastAsiaTheme="minorEastAsia" w:hAnsiTheme="minorHAnsi"/>
                <w:noProof/>
                <w:kern w:val="2"/>
                <w:sz w:val="24"/>
                <w:szCs w:val="24"/>
                <w:lang w:val="en-AU" w:eastAsia="en-AU"/>
                <w14:ligatures w14:val="standardContextual"/>
              </w:rPr>
              <w:tab/>
            </w:r>
            <w:r w:rsidRPr="002A447A">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_Toc170470107 \h </w:instrText>
            </w:r>
            <w:r>
              <w:rPr>
                <w:noProof/>
                <w:webHidden/>
              </w:rPr>
            </w:r>
            <w:r>
              <w:rPr>
                <w:noProof/>
                <w:webHidden/>
              </w:rPr>
              <w:fldChar w:fldCharType="separate"/>
            </w:r>
            <w:r w:rsidR="00291532">
              <w:rPr>
                <w:noProof/>
                <w:webHidden/>
              </w:rPr>
              <w:t>65</w:t>
            </w:r>
            <w:r>
              <w:rPr>
                <w:noProof/>
                <w:webHidden/>
              </w:rPr>
              <w:fldChar w:fldCharType="end"/>
            </w:r>
          </w:hyperlink>
        </w:p>
        <w:p w14:paraId="5D64BA60" w14:textId="0ED3A280"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108" w:history="1">
            <w:r w:rsidRPr="002A447A">
              <w:rPr>
                <w:rStyle w:val="Hyperlink"/>
              </w:rPr>
              <w:t>Appendix A</w:t>
            </w:r>
            <w:r>
              <w:rPr>
                <w:rFonts w:asciiTheme="minorHAnsi" w:eastAsiaTheme="minorEastAsia" w:hAnsiTheme="minorHAnsi"/>
                <w:kern w:val="2"/>
                <w:sz w:val="24"/>
                <w:szCs w:val="24"/>
                <w:lang w:val="en-AU" w:eastAsia="en-AU"/>
                <w14:ligatures w14:val="standardContextual"/>
              </w:rPr>
              <w:tab/>
            </w:r>
            <w:r w:rsidRPr="002A447A">
              <w:rPr>
                <w:rStyle w:val="Hyperlink"/>
              </w:rPr>
              <w:t>Project Terms of Reference and performance indicators for individual reports</w:t>
            </w:r>
            <w:r>
              <w:rPr>
                <w:webHidden/>
              </w:rPr>
              <w:tab/>
            </w:r>
            <w:r>
              <w:rPr>
                <w:webHidden/>
              </w:rPr>
              <w:fldChar w:fldCharType="begin"/>
            </w:r>
            <w:r>
              <w:rPr>
                <w:webHidden/>
              </w:rPr>
              <w:instrText xml:space="preserve"> PAGEREF _Toc170470108 \h </w:instrText>
            </w:r>
            <w:r>
              <w:rPr>
                <w:webHidden/>
              </w:rPr>
            </w:r>
            <w:r>
              <w:rPr>
                <w:webHidden/>
              </w:rPr>
              <w:fldChar w:fldCharType="separate"/>
            </w:r>
            <w:r w:rsidR="00291532">
              <w:rPr>
                <w:webHidden/>
              </w:rPr>
              <w:t>70</w:t>
            </w:r>
            <w:r>
              <w:rPr>
                <w:webHidden/>
              </w:rPr>
              <w:fldChar w:fldCharType="end"/>
            </w:r>
          </w:hyperlink>
        </w:p>
        <w:p w14:paraId="7C4EEA5C" w14:textId="71FCB6F9"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109" w:history="1">
            <w:r w:rsidRPr="002A447A">
              <w:rPr>
                <w:rStyle w:val="Hyperlink"/>
              </w:rPr>
              <w:t>Appendix B</w:t>
            </w:r>
            <w:r>
              <w:rPr>
                <w:rFonts w:asciiTheme="minorHAnsi" w:eastAsiaTheme="minorEastAsia" w:hAnsiTheme="minorHAnsi"/>
                <w:kern w:val="2"/>
                <w:sz w:val="24"/>
                <w:szCs w:val="24"/>
                <w:lang w:val="en-AU" w:eastAsia="en-AU"/>
                <w14:ligatures w14:val="standardContextual"/>
              </w:rPr>
              <w:tab/>
            </w:r>
            <w:r w:rsidRPr="002A447A">
              <w:rPr>
                <w:rStyle w:val="Hyperlink"/>
              </w:rPr>
              <w:t>Stakeholders consulted</w:t>
            </w:r>
            <w:r>
              <w:rPr>
                <w:webHidden/>
              </w:rPr>
              <w:tab/>
            </w:r>
            <w:r>
              <w:rPr>
                <w:webHidden/>
              </w:rPr>
              <w:fldChar w:fldCharType="begin"/>
            </w:r>
            <w:r>
              <w:rPr>
                <w:webHidden/>
              </w:rPr>
              <w:instrText xml:space="preserve"> PAGEREF _Toc170470109 \h </w:instrText>
            </w:r>
            <w:r>
              <w:rPr>
                <w:webHidden/>
              </w:rPr>
            </w:r>
            <w:r>
              <w:rPr>
                <w:webHidden/>
              </w:rPr>
              <w:fldChar w:fldCharType="separate"/>
            </w:r>
            <w:r w:rsidR="00291532">
              <w:rPr>
                <w:webHidden/>
              </w:rPr>
              <w:t>73</w:t>
            </w:r>
            <w:r>
              <w:rPr>
                <w:webHidden/>
              </w:rPr>
              <w:fldChar w:fldCharType="end"/>
            </w:r>
          </w:hyperlink>
        </w:p>
        <w:p w14:paraId="7A81C46E" w14:textId="4D8C785E"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110" w:history="1">
            <w:r w:rsidRPr="002A447A">
              <w:rPr>
                <w:rStyle w:val="Hyperlink"/>
              </w:rPr>
              <w:t>Appendix C</w:t>
            </w:r>
            <w:r>
              <w:rPr>
                <w:rFonts w:asciiTheme="minorHAnsi" w:eastAsiaTheme="minorEastAsia" w:hAnsiTheme="minorHAnsi"/>
                <w:kern w:val="2"/>
                <w:sz w:val="24"/>
                <w:szCs w:val="24"/>
                <w:lang w:val="en-AU" w:eastAsia="en-AU"/>
                <w14:ligatures w14:val="standardContextual"/>
              </w:rPr>
              <w:tab/>
            </w:r>
            <w:r w:rsidRPr="002A447A">
              <w:rPr>
                <w:rStyle w:val="Hyperlink"/>
              </w:rPr>
              <w:t>Documents reviewed</w:t>
            </w:r>
            <w:r>
              <w:rPr>
                <w:webHidden/>
              </w:rPr>
              <w:tab/>
            </w:r>
            <w:r>
              <w:rPr>
                <w:webHidden/>
              </w:rPr>
              <w:fldChar w:fldCharType="begin"/>
            </w:r>
            <w:r>
              <w:rPr>
                <w:webHidden/>
              </w:rPr>
              <w:instrText xml:space="preserve"> PAGEREF _Toc170470110 \h </w:instrText>
            </w:r>
            <w:r>
              <w:rPr>
                <w:webHidden/>
              </w:rPr>
            </w:r>
            <w:r>
              <w:rPr>
                <w:webHidden/>
              </w:rPr>
              <w:fldChar w:fldCharType="separate"/>
            </w:r>
            <w:r w:rsidR="00291532">
              <w:rPr>
                <w:webHidden/>
              </w:rPr>
              <w:t>74</w:t>
            </w:r>
            <w:r>
              <w:rPr>
                <w:webHidden/>
              </w:rPr>
              <w:fldChar w:fldCharType="end"/>
            </w:r>
          </w:hyperlink>
        </w:p>
        <w:p w14:paraId="5F599749" w14:textId="15EA08F8" w:rsidR="0046649F" w:rsidRDefault="0046649F">
          <w:pPr>
            <w:pStyle w:val="TOC1"/>
            <w:rPr>
              <w:rFonts w:asciiTheme="minorHAnsi" w:eastAsiaTheme="minorEastAsia" w:hAnsiTheme="minorHAnsi"/>
              <w:kern w:val="2"/>
              <w:sz w:val="24"/>
              <w:szCs w:val="24"/>
              <w:lang w:val="en-AU" w:eastAsia="en-AU"/>
              <w14:ligatures w14:val="standardContextual"/>
            </w:rPr>
          </w:pPr>
          <w:hyperlink w:anchor="_Toc170470111" w:history="1">
            <w:r w:rsidRPr="002A447A">
              <w:rPr>
                <w:rStyle w:val="Hyperlink"/>
              </w:rPr>
              <w:t>Appendix D</w:t>
            </w:r>
            <w:r>
              <w:rPr>
                <w:rFonts w:asciiTheme="minorHAnsi" w:eastAsiaTheme="minorEastAsia" w:hAnsiTheme="minorHAnsi"/>
                <w:kern w:val="2"/>
                <w:sz w:val="24"/>
                <w:szCs w:val="24"/>
                <w:lang w:val="en-AU" w:eastAsia="en-AU"/>
                <w14:ligatures w14:val="standardContextual"/>
              </w:rPr>
              <w:tab/>
            </w:r>
            <w:r w:rsidRPr="002A447A">
              <w:rPr>
                <w:rStyle w:val="Hyperlink"/>
              </w:rPr>
              <w:t>Glossary</w:t>
            </w:r>
            <w:r>
              <w:rPr>
                <w:webHidden/>
              </w:rPr>
              <w:tab/>
            </w:r>
            <w:r>
              <w:rPr>
                <w:webHidden/>
              </w:rPr>
              <w:fldChar w:fldCharType="begin"/>
            </w:r>
            <w:r>
              <w:rPr>
                <w:webHidden/>
              </w:rPr>
              <w:instrText xml:space="preserve"> PAGEREF _Toc170470111 \h </w:instrText>
            </w:r>
            <w:r>
              <w:rPr>
                <w:webHidden/>
              </w:rPr>
            </w:r>
            <w:r>
              <w:rPr>
                <w:webHidden/>
              </w:rPr>
              <w:fldChar w:fldCharType="separate"/>
            </w:r>
            <w:r w:rsidR="00291532">
              <w:rPr>
                <w:webHidden/>
              </w:rPr>
              <w:t>75</w:t>
            </w:r>
            <w:r>
              <w:rPr>
                <w:webHidden/>
              </w:rPr>
              <w:fldChar w:fldCharType="end"/>
            </w:r>
          </w:hyperlink>
        </w:p>
        <w:p w14:paraId="1769FD2E" w14:textId="0B0DB7F2" w:rsidR="001B2F3D" w:rsidRDefault="00352A31">
          <w:r>
            <w:rPr>
              <w:noProof/>
              <w:lang w:val="en-US"/>
            </w:rPr>
            <w:fldChar w:fldCharType="end"/>
          </w:r>
        </w:p>
      </w:sdtContent>
    </w:sdt>
    <w:p w14:paraId="3D1B258D" w14:textId="77777777" w:rsidR="006808F5" w:rsidRDefault="006808F5" w:rsidP="006808F5">
      <w:pPr>
        <w:rPr>
          <w:lang w:eastAsia="en-AU"/>
        </w:rPr>
      </w:pPr>
    </w:p>
    <w:p w14:paraId="3CF3A74C" w14:textId="77777777" w:rsidR="008E2276" w:rsidRDefault="008E2276">
      <w:pPr>
        <w:spacing w:after="165"/>
        <w:rPr>
          <w:lang w:eastAsia="en-AU"/>
        </w:rPr>
      </w:pPr>
      <w:r>
        <w:rPr>
          <w:lang w:eastAsia="en-AU"/>
        </w:rPr>
        <w:br w:type="page"/>
      </w:r>
    </w:p>
    <w:p w14:paraId="6D2E8192" w14:textId="7D174128" w:rsidR="00C07920" w:rsidRDefault="00C07920" w:rsidP="003006DB">
      <w:pPr>
        <w:pStyle w:val="Heading1"/>
        <w:spacing w:after="240"/>
      </w:pPr>
      <w:bookmarkStart w:id="0" w:name="_Toc170470096"/>
      <w:bookmarkStart w:id="1" w:name="_Toc502923371"/>
      <w:bookmarkStart w:id="2" w:name="_Toc502924507"/>
      <w:bookmarkStart w:id="3" w:name="_Toc502926805"/>
      <w:bookmarkStart w:id="4" w:name="_Toc502927134"/>
      <w:bookmarkStart w:id="5" w:name="_Toc503192289"/>
      <w:bookmarkStart w:id="6" w:name="_Toc536090116"/>
      <w:bookmarkStart w:id="7" w:name="_Toc536101046"/>
      <w:bookmarkStart w:id="8" w:name="_Toc536172300"/>
      <w:bookmarkStart w:id="9" w:name="_Toc46224621"/>
      <w:r>
        <w:lastRenderedPageBreak/>
        <w:t xml:space="preserve">Profile of the </w:t>
      </w:r>
      <w:r w:rsidRPr="00446C8E">
        <w:t>Kimberley Land Council</w:t>
      </w:r>
      <w:bookmarkEnd w:id="0"/>
    </w:p>
    <w:p w14:paraId="2C2DBA92" w14:textId="43087B12" w:rsidR="00C07920" w:rsidRDefault="00C07920" w:rsidP="00C07920">
      <w:pPr>
        <w:pStyle w:val="Heading5"/>
        <w:numPr>
          <w:ilvl w:val="4"/>
          <w:numId w:val="2"/>
        </w:numPr>
      </w:pPr>
      <w:r>
        <w:t xml:space="preserve">The </w:t>
      </w:r>
      <w:r w:rsidR="008B3311">
        <w:t>Kimberley Land Council (</w:t>
      </w:r>
      <w:r>
        <w:t>KLC</w:t>
      </w:r>
      <w:r w:rsidR="008B3311">
        <w:t>)</w:t>
      </w:r>
      <w:r>
        <w:t xml:space="preserve"> has offices in Broome (main office) and in Kununurra (East Kimberley), providing services to native title claimants and holders</w:t>
      </w:r>
    </w:p>
    <w:p w14:paraId="715B48AE" w14:textId="674CFE34" w:rsidR="00C07920" w:rsidRDefault="00C07920" w:rsidP="00CA6E3E">
      <w:r>
        <w:t xml:space="preserve">The KLC is the </w:t>
      </w:r>
      <w:r w:rsidR="00550399">
        <w:t>Native Title Representative Bod</w:t>
      </w:r>
      <w:r w:rsidR="005A7426">
        <w:t xml:space="preserve">y </w:t>
      </w:r>
      <w:r w:rsidR="0080528F">
        <w:t>(</w:t>
      </w:r>
      <w:r>
        <w:t>NTRB</w:t>
      </w:r>
      <w:r w:rsidR="0080528F">
        <w:t>)</w:t>
      </w:r>
      <w:r>
        <w:t xml:space="preserve"> for the Kimberley region</w:t>
      </w:r>
      <w:r w:rsidRPr="005A77E2">
        <w:t>.</w:t>
      </w:r>
      <w:r>
        <w:t xml:space="preserve"> It was </w:t>
      </w:r>
      <w:r w:rsidRPr="00983B3D">
        <w:t>established in 1978</w:t>
      </w:r>
      <w:r>
        <w:t xml:space="preserve"> and registered in 1979</w:t>
      </w:r>
      <w:r w:rsidRPr="75CE137A">
        <w:t>.</w:t>
      </w:r>
      <w:r w:rsidR="00E702B6">
        <w:t xml:space="preserve"> </w:t>
      </w:r>
      <w:r w:rsidR="00184D50">
        <w:t>KLC has</w:t>
      </w:r>
      <w:r w:rsidR="00D16E7A">
        <w:t xml:space="preserve"> performed representative body functions since the </w:t>
      </w:r>
      <w:r w:rsidR="00550399">
        <w:rPr>
          <w:i/>
        </w:rPr>
        <w:t>Native Title</w:t>
      </w:r>
      <w:r w:rsidR="00550399">
        <w:rPr>
          <w:i/>
          <w:spacing w:val="-5"/>
        </w:rPr>
        <w:t xml:space="preserve"> </w:t>
      </w:r>
      <w:r w:rsidR="00550399">
        <w:rPr>
          <w:i/>
        </w:rPr>
        <w:t>Act</w:t>
      </w:r>
      <w:r w:rsidR="00550399">
        <w:rPr>
          <w:i/>
          <w:spacing w:val="-2"/>
        </w:rPr>
        <w:t xml:space="preserve"> </w:t>
      </w:r>
      <w:r w:rsidR="00550399">
        <w:rPr>
          <w:i/>
        </w:rPr>
        <w:t xml:space="preserve">1993 </w:t>
      </w:r>
      <w:r w:rsidR="00550399" w:rsidRPr="00331EED">
        <w:rPr>
          <w:iCs/>
        </w:rPr>
        <w:t>(Cth)</w:t>
      </w:r>
      <w:r w:rsidR="00D16E7A" w:rsidRPr="75CE137A">
        <w:t xml:space="preserve"> </w:t>
      </w:r>
      <w:r w:rsidR="00EE5F12" w:rsidRPr="75CE137A">
        <w:t>(</w:t>
      </w:r>
      <w:r w:rsidR="00550399">
        <w:t xml:space="preserve">the </w:t>
      </w:r>
      <w:r w:rsidR="00D16E7A">
        <w:t>NTA</w:t>
      </w:r>
      <w:r w:rsidR="00EE5F12" w:rsidRPr="75CE137A">
        <w:t>)</w:t>
      </w:r>
      <w:r w:rsidR="00D16E7A" w:rsidRPr="75CE137A">
        <w:t xml:space="preserve"> </w:t>
      </w:r>
      <w:r w:rsidR="00D16E7A">
        <w:t xml:space="preserve">commenced and was recognised as the NTRB for the Kimberley </w:t>
      </w:r>
      <w:r w:rsidR="009F1402">
        <w:t xml:space="preserve">Representative </w:t>
      </w:r>
      <w:r w:rsidR="00D16E7A">
        <w:t>Aboriginal</w:t>
      </w:r>
      <w:r w:rsidR="009F1402">
        <w:t>/</w:t>
      </w:r>
      <w:r w:rsidR="00D16E7A">
        <w:t xml:space="preserve">Torres Strait Islander </w:t>
      </w:r>
      <w:r w:rsidR="009F1402">
        <w:t>Body</w:t>
      </w:r>
      <w:r w:rsidR="00D16E7A">
        <w:t xml:space="preserve"> (RATSIB) area in 2000</w:t>
      </w:r>
      <w:r w:rsidR="00184D50">
        <w:t>,</w:t>
      </w:r>
      <w:r w:rsidR="00937672">
        <w:t xml:space="preserve"> shortly after the requirement for representative</w:t>
      </w:r>
      <w:r w:rsidR="00A32E83">
        <w:t xml:space="preserve"> bodies to be recognised was introduced</w:t>
      </w:r>
      <w:r w:rsidR="00D16E7A">
        <w:t xml:space="preserve">. It has been continuously recognised as the NTRB for its RATSIB area since that </w:t>
      </w:r>
      <w:r w:rsidR="00184D50">
        <w:t>time.</w:t>
      </w:r>
      <w:r w:rsidR="00D16E7A">
        <w:t xml:space="preserve"> Its current recognition period commenced in July 2023 and runs to June 2026. </w:t>
      </w:r>
    </w:p>
    <w:p w14:paraId="56002CA7" w14:textId="619B5BC7" w:rsidR="00C07920" w:rsidRDefault="00C07920" w:rsidP="00CA6E3E">
      <w:r>
        <w:rPr>
          <w:noProof/>
          <w:lang w:eastAsia="en-AU"/>
        </w:rPr>
        <w:drawing>
          <wp:anchor distT="0" distB="0" distL="114300" distR="114300" simplePos="0" relativeHeight="251658240" behindDoc="0" locked="0" layoutInCell="1" allowOverlap="1" wp14:anchorId="72059D0E" wp14:editId="5CF4641E">
            <wp:simplePos x="0" y="0"/>
            <wp:positionH relativeFrom="column">
              <wp:posOffset>4095115</wp:posOffset>
            </wp:positionH>
            <wp:positionV relativeFrom="paragraph">
              <wp:posOffset>7620</wp:posOffset>
            </wp:positionV>
            <wp:extent cx="1387475" cy="1898650"/>
            <wp:effectExtent l="0" t="0" r="3175" b="6350"/>
            <wp:wrapSquare wrapText="bothSides"/>
            <wp:docPr id="7" name="Picture 7" descr="Map of Western Australia with Kimberley region highlighted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Western Australia with Kimberley region highlighted orang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7475" cy="1898650"/>
                    </a:xfrm>
                    <a:prstGeom prst="rect">
                      <a:avLst/>
                    </a:prstGeom>
                    <a:noFill/>
                  </pic:spPr>
                </pic:pic>
              </a:graphicData>
            </a:graphic>
            <wp14:sizeRelH relativeFrom="margin">
              <wp14:pctWidth>0</wp14:pctWidth>
            </wp14:sizeRelH>
            <wp14:sizeRelV relativeFrom="margin">
              <wp14:pctHeight>0</wp14:pctHeight>
            </wp14:sizeRelV>
          </wp:anchor>
        </w:drawing>
      </w:r>
      <w:r>
        <w:t xml:space="preserve">The KLC’s RATSIB area (pictured right) covers approximately </w:t>
      </w:r>
      <w:r w:rsidRPr="00983B3D">
        <w:t>423,000 square kilometres</w:t>
      </w:r>
      <w:r>
        <w:t xml:space="preserve"> of land</w:t>
      </w:r>
      <w:r w:rsidRPr="00983B3D">
        <w:t>,</w:t>
      </w:r>
      <w:r>
        <w:t xml:space="preserve"> </w:t>
      </w:r>
      <w:r w:rsidRPr="00983B3D">
        <w:t>which accounts for 16</w:t>
      </w:r>
      <w:r>
        <w:t xml:space="preserve"> per cent</w:t>
      </w:r>
      <w:r w:rsidRPr="00983B3D">
        <w:t xml:space="preserve"> of Western Australia.</w:t>
      </w:r>
      <w:r>
        <w:t xml:space="preserve"> </w:t>
      </w:r>
      <w:r w:rsidR="006B4142">
        <w:t xml:space="preserve">Between </w:t>
      </w:r>
      <w:r w:rsidR="006B4142" w:rsidRPr="007301C8">
        <w:t>1 July 2019 to 30 June 2022</w:t>
      </w:r>
      <w:r w:rsidR="006B4142">
        <w:t xml:space="preserve"> (</w:t>
      </w:r>
      <w:r>
        <w:t>the Review period</w:t>
      </w:r>
      <w:r w:rsidR="006B4142">
        <w:t>)</w:t>
      </w:r>
      <w:r>
        <w:t xml:space="preserve"> the KLC operated a main office in Broome and a regional office for the eastern </w:t>
      </w:r>
      <w:r w:rsidR="00B10700">
        <w:t xml:space="preserve">part </w:t>
      </w:r>
      <w:r>
        <w:t xml:space="preserve">of </w:t>
      </w:r>
      <w:r w:rsidR="00B10700">
        <w:t>its</w:t>
      </w:r>
      <w:r>
        <w:t xml:space="preserve"> RATSIB </w:t>
      </w:r>
      <w:r w:rsidR="00B10700">
        <w:t xml:space="preserve">area </w:t>
      </w:r>
      <w:r>
        <w:t xml:space="preserve">in Kununurra. </w:t>
      </w:r>
      <w:r w:rsidR="00422BC0">
        <w:t>T</w:t>
      </w:r>
      <w:r w:rsidR="00422BC0" w:rsidRPr="00E72556">
        <w:t xml:space="preserve">he KLC also has multiple offices for Land and Sea Management Unit </w:t>
      </w:r>
      <w:r w:rsidR="0064763E">
        <w:t xml:space="preserve">(LSMU) </w:t>
      </w:r>
      <w:r w:rsidR="00422BC0" w:rsidRPr="00E72556">
        <w:t>activities. These activities are carried out by the KLC in addition to the performance of native title functions and delivery of native title services</w:t>
      </w:r>
      <w:r w:rsidRPr="00C15181">
        <w:t>.</w:t>
      </w:r>
      <w:r>
        <w:t xml:space="preserve"> </w:t>
      </w:r>
      <w:r w:rsidR="00B13144">
        <w:t>KLC’s</w:t>
      </w:r>
      <w:r w:rsidR="00B13144" w:rsidDel="00184D50">
        <w:t xml:space="preserve"> </w:t>
      </w:r>
      <w:r>
        <w:t>Legal and research s</w:t>
      </w:r>
      <w:r w:rsidDel="00166B54">
        <w:t xml:space="preserve">taff </w:t>
      </w:r>
      <w:r>
        <w:t>were</w:t>
      </w:r>
      <w:r w:rsidDel="00166B54">
        <w:t xml:space="preserve"> </w:t>
      </w:r>
      <w:r>
        <w:t xml:space="preserve">located in </w:t>
      </w:r>
      <w:r w:rsidDel="00145A76">
        <w:t>the</w:t>
      </w:r>
      <w:r w:rsidR="00145A76">
        <w:t xml:space="preserve"> </w:t>
      </w:r>
      <w:r w:rsidDel="00166B54">
        <w:t>main office in Broome</w:t>
      </w:r>
      <w:r>
        <w:t>, with Native Title Services staff in both</w:t>
      </w:r>
      <w:r w:rsidR="00184D50">
        <w:t xml:space="preserve"> </w:t>
      </w:r>
      <w:r w:rsidR="00B10700">
        <w:t xml:space="preserve">its Broome and </w:t>
      </w:r>
      <w:r w:rsidR="006332FE">
        <w:t>Kununurra</w:t>
      </w:r>
      <w:r>
        <w:t xml:space="preserve"> offices.</w:t>
      </w:r>
    </w:p>
    <w:p w14:paraId="5FBDDCCE" w14:textId="7F853BFE" w:rsidR="00C07920" w:rsidRDefault="00C07920" w:rsidP="00CA6E3E">
      <w:r>
        <w:t>There have been 60 determinations of native title in the Kimberley RATSIB area since commencement of the</w:t>
      </w:r>
      <w:r w:rsidRPr="005A77E2">
        <w:t xml:space="preserve"> NTA</w:t>
      </w:r>
      <w:r>
        <w:t xml:space="preserve"> and there </w:t>
      </w:r>
      <w:r w:rsidR="00730569">
        <w:t xml:space="preserve">were </w:t>
      </w:r>
      <w:r w:rsidR="00846B3D">
        <w:t>31</w:t>
      </w:r>
      <w:r w:rsidR="00730569">
        <w:t xml:space="preserve"> </w:t>
      </w:r>
      <w:r>
        <w:t>Prescribed Bod</w:t>
      </w:r>
      <w:r w:rsidR="005A77E2">
        <w:t>y</w:t>
      </w:r>
      <w:r>
        <w:t xml:space="preserve"> Corporate</w:t>
      </w:r>
      <w:r w:rsidR="005A77E2">
        <w:t>s</w:t>
      </w:r>
      <w:r>
        <w:t xml:space="preserve"> (PBCs</w:t>
      </w:r>
      <w:r w:rsidRPr="75CE137A">
        <w:t>)</w:t>
      </w:r>
      <w:r w:rsidR="0099341E" w:rsidRPr="75CE137A">
        <w:t xml:space="preserve"> at the time of the Review</w:t>
      </w:r>
      <w:r w:rsidRPr="75CE137A">
        <w:t>.</w:t>
      </w:r>
      <w:r>
        <w:t xml:space="preserve"> Thirteen claims were determined during the Review period.</w:t>
      </w:r>
    </w:p>
    <w:p w14:paraId="11CCB862" w14:textId="6627A1AB" w:rsidR="00C07920" w:rsidRDefault="00C07920" w:rsidP="00CA6E3E">
      <w:r w:rsidRPr="00AF31C7">
        <w:t xml:space="preserve">The </w:t>
      </w:r>
      <w:r>
        <w:t>KLC</w:t>
      </w:r>
      <w:r w:rsidRPr="00AF31C7">
        <w:t xml:space="preserve"> received </w:t>
      </w:r>
      <w:r w:rsidR="00F67423">
        <w:t>relatively consistent</w:t>
      </w:r>
      <w:r w:rsidRPr="00AF31C7">
        <w:t xml:space="preserve"> levels of </w:t>
      </w:r>
      <w:r>
        <w:t xml:space="preserve">native title </w:t>
      </w:r>
      <w:r w:rsidRPr="00AF31C7">
        <w:t>funding</w:t>
      </w:r>
      <w:r>
        <w:t xml:space="preserve"> from NIAA</w:t>
      </w:r>
      <w:r w:rsidRPr="00AF31C7">
        <w:t xml:space="preserve"> during the Review </w:t>
      </w:r>
      <w:r w:rsidRPr="008A7476">
        <w:t>period. It received approximately $</w:t>
      </w:r>
      <w:r>
        <w:t>11.6</w:t>
      </w:r>
      <w:r w:rsidRPr="008A7476">
        <w:t xml:space="preserve"> million in </w:t>
      </w:r>
      <w:r w:rsidR="00422C52">
        <w:t>financial year (</w:t>
      </w:r>
      <w:r w:rsidR="00422C52" w:rsidRPr="008A7476">
        <w:t>FY</w:t>
      </w:r>
      <w:r w:rsidR="00422C52">
        <w:t xml:space="preserve">) </w:t>
      </w:r>
      <w:r w:rsidRPr="008A7476">
        <w:t>2019-20, $</w:t>
      </w:r>
      <w:r>
        <w:t>12</w:t>
      </w:r>
      <w:r w:rsidRPr="008A7476">
        <w:t xml:space="preserve"> million in </w:t>
      </w:r>
      <w:r w:rsidR="00422C52">
        <w:t>FY</w:t>
      </w:r>
      <w:r w:rsidRPr="008A7476">
        <w:t>2020-21 and $</w:t>
      </w:r>
      <w:r>
        <w:t>10.7</w:t>
      </w:r>
      <w:r w:rsidRPr="008A7476">
        <w:t xml:space="preserve"> million in </w:t>
      </w:r>
      <w:r w:rsidR="00422C52">
        <w:t>FY</w:t>
      </w:r>
      <w:r w:rsidRPr="008A7476">
        <w:t>2021-22.</w:t>
      </w:r>
    </w:p>
    <w:p w14:paraId="75CA5081" w14:textId="1510D12A" w:rsidR="00C07920" w:rsidRDefault="00C07920" w:rsidP="00CA6E3E">
      <w:r w:rsidDel="00166B54">
        <w:t xml:space="preserve">The KLC </w:t>
      </w:r>
      <w:r>
        <w:t>has a representative Board</w:t>
      </w:r>
      <w:r w:rsidR="00EA2393" w:rsidRPr="75CE137A">
        <w:t xml:space="preserve"> which was restructured d</w:t>
      </w:r>
      <w:r w:rsidRPr="75CE137A">
        <w:t>uring</w:t>
      </w:r>
      <w:r>
        <w:t xml:space="preserve"> the Review period to streamline representation by creation of a 12-member </w:t>
      </w:r>
      <w:r w:rsidDel="00166B54">
        <w:t>Executive Board</w:t>
      </w:r>
      <w:r>
        <w:t xml:space="preserve"> and a larger Representative Council</w:t>
      </w:r>
      <w:r w:rsidR="009E56A5">
        <w:t>,</w:t>
      </w:r>
      <w:r>
        <w:t xml:space="preserve"> with </w:t>
      </w:r>
      <w:r w:rsidR="00EE612D">
        <w:t>two</w:t>
      </w:r>
      <w:r>
        <w:t xml:space="preserve"> members nominated from every PBC</w:t>
      </w:r>
      <w:r w:rsidR="00EE5F12" w:rsidRPr="75CE137A">
        <w:t xml:space="preserve"> </w:t>
      </w:r>
      <w:r>
        <w:t>or claim group in the KLC RATSIB area.</w:t>
      </w:r>
      <w:r w:rsidDel="00166B54">
        <w:t xml:space="preserve"> </w:t>
      </w:r>
      <w:r w:rsidR="00E72556" w:rsidRPr="00667A17">
        <w:t>During the Review period, the Executive Board passed several significant resolutions, including to ratify the KLC’s Strategic Plan 2020-2024 and to convene a special general meeting of members at which members voted to amend the KLC’s Rule Book to incorporate a Representative Council at the commencement of FY2022-23</w:t>
      </w:r>
      <w:r w:rsidDel="00166B54">
        <w:t>.</w:t>
      </w:r>
    </w:p>
    <w:p w14:paraId="6D7F5AF3" w14:textId="44327E27" w:rsidR="00C07920" w:rsidDel="00166B54" w:rsidRDefault="00C07920" w:rsidP="00CA6E3E">
      <w:r>
        <w:t xml:space="preserve">In addition to its native title functions the KLC supports 18 Aboriginal Ranger groups through the Kimberley Ranger Network and conducts a range of land and sea management activities. </w:t>
      </w:r>
      <w:r w:rsidR="00FC62E2" w:rsidRPr="75CE137A">
        <w:t>The</w:t>
      </w:r>
      <w:r w:rsidR="00CA3DA9" w:rsidRPr="75CE137A">
        <w:t>se activities leverage off the native title funding</w:t>
      </w:r>
      <w:r w:rsidR="002023E3" w:rsidRPr="75CE137A">
        <w:t xml:space="preserve"> for corporate governance, support and administration. </w:t>
      </w:r>
      <w:r>
        <w:t>Approximately 60</w:t>
      </w:r>
      <w:r w:rsidR="009B2B9D">
        <w:t xml:space="preserve"> per cent</w:t>
      </w:r>
      <w:r>
        <w:t xml:space="preserve"> of the KLC’s staff are employed in relation to its native title functions.</w:t>
      </w:r>
      <w:r w:rsidRPr="002D0380" w:rsidDel="00166B54">
        <w:t xml:space="preserve"> </w:t>
      </w:r>
      <w:r w:rsidDel="00166B54">
        <w:t xml:space="preserve">Across the Review period First Nations </w:t>
      </w:r>
      <w:r>
        <w:t xml:space="preserve">staff comprised approximately </w:t>
      </w:r>
      <w:r w:rsidDel="00166B54">
        <w:t>half of the staff primarily delivering native title services</w:t>
      </w:r>
      <w:r w:rsidR="0072119A">
        <w:t>.</w:t>
      </w:r>
    </w:p>
    <w:p w14:paraId="49D1004E" w14:textId="14D6B9CB" w:rsidR="00C07920" w:rsidDel="00166B54" w:rsidRDefault="00C07920" w:rsidP="00CA6E3E">
      <w:r w:rsidDel="00166B54">
        <w:t>Senior management roles at the KLC comprised a</w:t>
      </w:r>
      <w:r w:rsidR="009B2B9D">
        <w:t xml:space="preserve"> Chief Executive Officer</w:t>
      </w:r>
      <w:r w:rsidDel="00166B54">
        <w:t xml:space="preserve"> </w:t>
      </w:r>
      <w:r w:rsidR="009B2B9D">
        <w:t>(</w:t>
      </w:r>
      <w:r w:rsidDel="00166B54">
        <w:t>CEO</w:t>
      </w:r>
      <w:r w:rsidR="009B2B9D">
        <w:t>)</w:t>
      </w:r>
      <w:r w:rsidDel="00166B54">
        <w:t xml:space="preserve">, Deputy CEO and five divisional heads, </w:t>
      </w:r>
      <w:r w:rsidR="00937672" w:rsidRPr="75CE137A">
        <w:t>being</w:t>
      </w:r>
      <w:r w:rsidDel="00166B54">
        <w:t xml:space="preserve"> a Principal Legal Officer</w:t>
      </w:r>
      <w:r w:rsidR="009B2B9D">
        <w:t xml:space="preserve"> (PLO)</w:t>
      </w:r>
      <w:r w:rsidDel="00166B54">
        <w:t xml:space="preserve">, Native Title Services Unit </w:t>
      </w:r>
      <w:r w:rsidR="007E4AF4">
        <w:t xml:space="preserve">(NTSU) </w:t>
      </w:r>
      <w:r w:rsidDel="00166B54">
        <w:t xml:space="preserve">Manager, </w:t>
      </w:r>
      <w:r w:rsidRPr="00CA7C01" w:rsidDel="00166B54">
        <w:t xml:space="preserve">Business Operations Manager, </w:t>
      </w:r>
      <w:r w:rsidR="008A197E">
        <w:t>Human Resources</w:t>
      </w:r>
      <w:r w:rsidR="00976CC3">
        <w:t xml:space="preserve"> (</w:t>
      </w:r>
      <w:r>
        <w:t>HR</w:t>
      </w:r>
      <w:r w:rsidR="00976CC3">
        <w:t>)</w:t>
      </w:r>
      <w:r>
        <w:t xml:space="preserve"> manager</w:t>
      </w:r>
      <w:r w:rsidDel="00166B54">
        <w:t>, and the</w:t>
      </w:r>
      <w:r w:rsidR="0064763E">
        <w:t xml:space="preserve"> LSMU </w:t>
      </w:r>
      <w:r w:rsidRPr="00D609BB" w:rsidDel="00166B54">
        <w:t>Man</w:t>
      </w:r>
      <w:r w:rsidDel="00166B54">
        <w:t>a</w:t>
      </w:r>
      <w:r w:rsidRPr="00D609BB" w:rsidDel="00166B54">
        <w:t>ger</w:t>
      </w:r>
      <w:r w:rsidR="0058767D">
        <w:t xml:space="preserve"> </w:t>
      </w:r>
      <w:r w:rsidR="0058767D" w:rsidRPr="75CE137A">
        <w:t>(who</w:t>
      </w:r>
      <w:r w:rsidR="00204B61">
        <w:t xml:space="preserve"> </w:t>
      </w:r>
      <w:r w:rsidR="00DD6381">
        <w:t>does not undertake functions under the NTA</w:t>
      </w:r>
      <w:r w:rsidR="0058767D">
        <w:t>)</w:t>
      </w:r>
      <w:r w:rsidR="00DD6381">
        <w:t>.</w:t>
      </w:r>
      <w:r>
        <w:t xml:space="preserve"> The KLC has a wholly owned subsidiary, Kimberley Sustainable Development </w:t>
      </w:r>
      <w:r w:rsidR="00362FB6">
        <w:t xml:space="preserve">Pty Ltd </w:t>
      </w:r>
      <w:r>
        <w:t xml:space="preserve">(KSD), </w:t>
      </w:r>
      <w:r w:rsidR="001230B7" w:rsidRPr="001230B7">
        <w:t>which manages native title funds from mining and exploration agreements for native title holders across the region in the Kimberley Sustainable Development Charitable Trust (KSDCT)</w:t>
      </w:r>
      <w:r>
        <w:t xml:space="preserve">). </w:t>
      </w:r>
      <w:r w:rsidR="0051029B" w:rsidRPr="007A7F13">
        <w:t>The KLC is also affiliated with Ambooriny Burru,</w:t>
      </w:r>
      <w:r w:rsidR="008A197E">
        <w:t xml:space="preserve"> a</w:t>
      </w:r>
      <w:r w:rsidR="0051029B" w:rsidRPr="007A7F13">
        <w:t xml:space="preserve"> charitable foundation established by eight native title groups/PBCs </w:t>
      </w:r>
      <w:r w:rsidR="008A197E">
        <w:lastRenderedPageBreak/>
        <w:t xml:space="preserve">in the </w:t>
      </w:r>
      <w:r w:rsidR="0051029B" w:rsidRPr="007A7F13">
        <w:t>Kimberley, that supports social and economic wellbeing and independence, including through its subsidiary KRED Enterprises</w:t>
      </w:r>
      <w:r>
        <w:t>.</w:t>
      </w:r>
    </w:p>
    <w:p w14:paraId="2D819208" w14:textId="6939D90D" w:rsidR="005F1A4F" w:rsidRPr="00407282" w:rsidRDefault="005F1A4F" w:rsidP="005F1A4F">
      <w:pPr>
        <w:pStyle w:val="Heading1"/>
        <w:numPr>
          <w:ilvl w:val="0"/>
          <w:numId w:val="2"/>
        </w:numPr>
      </w:pPr>
      <w:bookmarkStart w:id="10" w:name="_Toc160701460"/>
      <w:bookmarkStart w:id="11" w:name="_Toc170470097"/>
      <w:bookmarkStart w:id="12" w:name="_Ref170473252"/>
      <w:r>
        <w:lastRenderedPageBreak/>
        <w:t xml:space="preserve">Scope of the </w:t>
      </w:r>
      <w:r w:rsidR="00D42574">
        <w:t>R</w:t>
      </w:r>
      <w:r>
        <w:t>eview</w:t>
      </w:r>
      <w:bookmarkEnd w:id="10"/>
      <w:bookmarkEnd w:id="11"/>
      <w:bookmarkEnd w:id="12"/>
    </w:p>
    <w:p w14:paraId="0D4D28C5" w14:textId="1351488E" w:rsidR="00C8492B" w:rsidRDefault="00C8492B" w:rsidP="00C8492B">
      <w:bookmarkStart w:id="13" w:name="_Toc160701461"/>
      <w:r>
        <w:t xml:space="preserve">The National Indigenous Australians Agency (NIAA) has engaged Nous Group (Nous) to undertake an independent review of </w:t>
      </w:r>
      <w:r w:rsidRPr="00983AA5">
        <w:t>13</w:t>
      </w:r>
      <w:r w:rsidR="00FD68DF" w:rsidRPr="00FD68DF">
        <w:t xml:space="preserve"> Native Title Representative Bod</w:t>
      </w:r>
      <w:r w:rsidR="00FD68DF">
        <w:t>ies</w:t>
      </w:r>
      <w:r w:rsidR="00FD68DF" w:rsidRPr="00FD68DF">
        <w:t xml:space="preserve"> and Service Provider</w:t>
      </w:r>
      <w:r w:rsidR="00FD68DF">
        <w:t>s</w:t>
      </w:r>
      <w:r w:rsidRPr="00983AA5">
        <w:t xml:space="preserve"> </w:t>
      </w:r>
      <w:r w:rsidR="00FD68DF">
        <w:t>(</w:t>
      </w:r>
      <w:r w:rsidRPr="00983AA5">
        <w:t>NTRB-SPs</w:t>
      </w:r>
      <w:r w:rsidR="00FD68DF">
        <w:t>)</w:t>
      </w:r>
      <w:r>
        <w:t>.</w:t>
      </w:r>
    </w:p>
    <w:p w14:paraId="6421BD72" w14:textId="030770F3" w:rsidR="00C8492B" w:rsidRDefault="00C8492B" w:rsidP="00C8492B">
      <w:pPr>
        <w:rPr>
          <w:lang w:eastAsia="en-AU"/>
        </w:rPr>
      </w:pPr>
      <w:r>
        <w:rPr>
          <w:lang w:eastAsia="en-AU"/>
        </w:rPr>
        <w:t xml:space="preserve">The purpose of this Review was to assess the individual and comparative performance of NTRB-SPs in delivering native title outcomes for Aboriginal and Torres Strait Islander people and communities under </w:t>
      </w:r>
      <w:r>
        <w:t xml:space="preserve">the NTA </w:t>
      </w:r>
      <w:r>
        <w:rPr>
          <w:lang w:eastAsia="en-AU"/>
        </w:rPr>
        <w:t>over a time period of 1 July 2019 to 30 June 2022.</w:t>
      </w:r>
    </w:p>
    <w:p w14:paraId="7D6D9ADF" w14:textId="77777777" w:rsidR="00C8492B" w:rsidRDefault="00C8492B" w:rsidP="00C8492B">
      <w:pPr>
        <w:rPr>
          <w:lang w:eastAsia="en-AU"/>
        </w:rPr>
      </w:pPr>
      <w:r>
        <w:t>The R</w:t>
      </w:r>
      <w:r w:rsidRPr="00524158">
        <w:t xml:space="preserve">eview </w:t>
      </w:r>
      <w:r>
        <w:t>is</w:t>
      </w:r>
      <w:r w:rsidRPr="00524158">
        <w:t xml:space="preserve"> an opportunity to assess all the organisations over a consistent time period to understand performance during and post the C</w:t>
      </w:r>
      <w:r>
        <w:t>OVID</w:t>
      </w:r>
      <w:r w:rsidRPr="00524158">
        <w:t>-19 pandemic and the extent to which organisations have addressed recommendations from previous</w:t>
      </w:r>
      <w:r>
        <w:t xml:space="preserve"> organisational performance reviews.</w:t>
      </w:r>
    </w:p>
    <w:p w14:paraId="70DB62C2" w14:textId="77777777" w:rsidR="00C8492B" w:rsidRPr="00407282" w:rsidRDefault="00C8492B" w:rsidP="00C8492B">
      <w:pPr>
        <w:rPr>
          <w:lang w:eastAsia="en-AU"/>
        </w:rPr>
      </w:pPr>
      <w:r w:rsidRPr="00407282">
        <w:rPr>
          <w:lang w:eastAsia="en-AU"/>
        </w:rPr>
        <w:t>The Terms of Reference</w:t>
      </w:r>
      <w:r>
        <w:rPr>
          <w:lang w:eastAsia="en-AU"/>
        </w:rPr>
        <w:t xml:space="preserve"> (TOR)</w:t>
      </w:r>
      <w:r w:rsidRPr="00407282">
        <w:rPr>
          <w:lang w:eastAsia="en-AU"/>
        </w:rPr>
        <w:t xml:space="preserve"> provided by </w:t>
      </w:r>
      <w:r>
        <w:rPr>
          <w:lang w:eastAsia="en-AU"/>
        </w:rPr>
        <w:t xml:space="preserve">the </w:t>
      </w:r>
      <w:r w:rsidRPr="00407282">
        <w:rPr>
          <w:lang w:eastAsia="en-AU"/>
        </w:rPr>
        <w:t>NIAA for the Review are</w:t>
      </w:r>
      <w:r>
        <w:rPr>
          <w:lang w:eastAsia="en-AU"/>
        </w:rPr>
        <w:t xml:space="preserve"> to determine the extent to which each organisation</w:t>
      </w:r>
      <w:r w:rsidRPr="00407282">
        <w:rPr>
          <w:lang w:eastAsia="en-AU"/>
        </w:rPr>
        <w:t>:</w:t>
      </w:r>
    </w:p>
    <w:p w14:paraId="2B688F29" w14:textId="77777777" w:rsidR="00C8492B" w:rsidRDefault="00C8492B" w:rsidP="00C8492B">
      <w:pPr>
        <w:pStyle w:val="Bullet"/>
      </w:pPr>
      <w:r w:rsidRPr="00E71E76">
        <w:t>has achieved positive native title outcomes for persons who hold or may hold native title in its region taking account, where relevant, of disruptions caused by COVID-19</w:t>
      </w:r>
    </w:p>
    <w:p w14:paraId="6548D3E9" w14:textId="33D50DDB" w:rsidR="00C8492B" w:rsidRDefault="00C8492B" w:rsidP="00C8492B">
      <w:pPr>
        <w:pStyle w:val="Bullet"/>
      </w:pPr>
      <w:r w:rsidRPr="00336B7D">
        <w:t>assesses and prioritises applications for assistance in a manner that</w:t>
      </w:r>
      <w:r>
        <w:t xml:space="preserve"> is </w:t>
      </w:r>
      <w:r w:rsidRPr="00336B7D">
        <w:t>equitable, transparent and robust and is well publicised and understood by clients and potential clients</w:t>
      </w:r>
    </w:p>
    <w:p w14:paraId="35F67E71" w14:textId="6C35778B" w:rsidR="00C8492B" w:rsidRDefault="00C8492B" w:rsidP="00C8492B">
      <w:pPr>
        <w:pStyle w:val="Bullet"/>
      </w:pPr>
      <w:r w:rsidRPr="00CF754A">
        <w:t>deals respectfully, equitably, transparently and in a culturally appropriate manner with persons who hold or may hold native title in its region, including by adequately investigating and resolving complaints</w:t>
      </w:r>
    </w:p>
    <w:p w14:paraId="4C5D8500" w14:textId="352507D6" w:rsidR="00C8492B" w:rsidRDefault="00C8492B" w:rsidP="00C8492B">
      <w:pPr>
        <w:pStyle w:val="Bullet"/>
      </w:pPr>
      <w:r w:rsidRPr="000C32D9">
        <w:t>performs its functions in a cost-effective manner, including by identifying the key cost drivers for the organisation</w:t>
      </w:r>
    </w:p>
    <w:p w14:paraId="3AC42392" w14:textId="77777777" w:rsidR="00C8492B" w:rsidRDefault="00C8492B" w:rsidP="00C8492B">
      <w:pPr>
        <w:pStyle w:val="Bullet"/>
      </w:pPr>
      <w:r w:rsidRPr="00AE5BC4">
        <w:t>has governance and management structures, and organisational policies and an organisational culture that support efficient and effective project delivery</w:t>
      </w:r>
    </w:p>
    <w:p w14:paraId="11957853" w14:textId="77777777" w:rsidR="00C8492B" w:rsidRDefault="00C8492B" w:rsidP="00C8492B">
      <w:pPr>
        <w:pStyle w:val="Bullet"/>
      </w:pPr>
      <w:r w:rsidRPr="00FE02E6">
        <w:t xml:space="preserve">is adequately supporting </w:t>
      </w:r>
      <w:r>
        <w:t>PBCs</w:t>
      </w:r>
      <w:r w:rsidRPr="00FE02E6">
        <w:t xml:space="preserve"> towards self-sufficiency</w:t>
      </w:r>
    </w:p>
    <w:p w14:paraId="2E35CB4A" w14:textId="77777777" w:rsidR="00C8492B" w:rsidRPr="00407282" w:rsidRDefault="00C8492B" w:rsidP="00C8492B">
      <w:pPr>
        <w:pStyle w:val="Bullet"/>
      </w:pPr>
      <w:r w:rsidRPr="00AD2129">
        <w:t>has developed its planning for a post-determination environment</w:t>
      </w:r>
      <w:r>
        <w:t>.</w:t>
      </w:r>
    </w:p>
    <w:p w14:paraId="60C4A621" w14:textId="7E5E523D" w:rsidR="00C8492B" w:rsidRPr="00407282" w:rsidRDefault="00C8492B" w:rsidP="00C8492B">
      <w:r w:rsidRPr="00407282">
        <w:t xml:space="preserve">The complete TOR are included in </w:t>
      </w:r>
      <w:r w:rsidR="008C1B94">
        <w:rPr>
          <w:highlight w:val="magenta"/>
        </w:rPr>
        <w:fldChar w:fldCharType="begin"/>
      </w:r>
      <w:r w:rsidR="008C1B94">
        <w:instrText xml:space="preserve"> REF _Ref163046335 \n \h </w:instrText>
      </w:r>
      <w:r w:rsidR="008C1B94">
        <w:rPr>
          <w:highlight w:val="magenta"/>
        </w:rPr>
      </w:r>
      <w:r w:rsidR="008C1B94">
        <w:rPr>
          <w:highlight w:val="magenta"/>
        </w:rPr>
        <w:fldChar w:fldCharType="separate"/>
      </w:r>
      <w:r w:rsidR="00291532">
        <w:t>Appendix A</w:t>
      </w:r>
      <w:r w:rsidR="008C1B94">
        <w:rPr>
          <w:highlight w:val="magenta"/>
        </w:rPr>
        <w:fldChar w:fldCharType="end"/>
      </w:r>
      <w:r w:rsidRPr="00407282">
        <w:t xml:space="preserve">. </w:t>
      </w:r>
    </w:p>
    <w:p w14:paraId="73262E6E" w14:textId="77777777" w:rsidR="00C8492B" w:rsidRPr="00C66F22" w:rsidRDefault="00C8492B" w:rsidP="00883B4B">
      <w:pPr>
        <w:pStyle w:val="Heading5"/>
        <w:rPr>
          <w:b w:val="0"/>
        </w:rPr>
      </w:pPr>
      <w:r w:rsidRPr="00C66F22">
        <w:t xml:space="preserve">Methodology </w:t>
      </w:r>
    </w:p>
    <w:p w14:paraId="1AD02820" w14:textId="77777777" w:rsidR="00C8492B" w:rsidRPr="00407282" w:rsidRDefault="00C8492B" w:rsidP="00C8492B">
      <w:r w:rsidRPr="00407282">
        <w:rPr>
          <w:lang w:eastAsia="en-AU"/>
        </w:rPr>
        <w:t>Nous</w:t>
      </w:r>
      <w:r w:rsidRPr="00407282" w:rsidDel="00A05394">
        <w:rPr>
          <w:lang w:eastAsia="en-AU"/>
        </w:rPr>
        <w:t xml:space="preserve"> </w:t>
      </w:r>
      <w:r>
        <w:rPr>
          <w:lang w:eastAsia="en-AU"/>
        </w:rPr>
        <w:t xml:space="preserve">originally </w:t>
      </w:r>
      <w:r w:rsidRPr="00407282">
        <w:rPr>
          <w:lang w:eastAsia="en-AU"/>
        </w:rPr>
        <w:t xml:space="preserve">designed </w:t>
      </w:r>
      <w:r w:rsidRPr="00407282">
        <w:t xml:space="preserve">the methodology </w:t>
      </w:r>
      <w:r>
        <w:t xml:space="preserve">for the previous round of Reviews conducted </w:t>
      </w:r>
      <w:r w:rsidRPr="007A327E">
        <w:t>from 2017 to 2021,</w:t>
      </w:r>
      <w:r>
        <w:t xml:space="preserve"> which was reviewed at that time by </w:t>
      </w:r>
      <w:r w:rsidRPr="00407282">
        <w:t xml:space="preserve">NTRB-SPs </w:t>
      </w:r>
      <w:r w:rsidRPr="007A327E">
        <w:t xml:space="preserve">and </w:t>
      </w:r>
      <w:r>
        <w:t xml:space="preserve">the </w:t>
      </w:r>
      <w:r w:rsidRPr="007A327E">
        <w:t>NIAA</w:t>
      </w:r>
      <w:r>
        <w:t>. The methodology has been modified to incorporate lessons learned, streamline some previously repetitive elements, reflect current context and be consistent with the current TOR.</w:t>
      </w:r>
    </w:p>
    <w:p w14:paraId="3EA01856" w14:textId="77777777" w:rsidR="00C8492B" w:rsidRDefault="00C8492B" w:rsidP="00C8492B">
      <w:pPr>
        <w:rPr>
          <w:highlight w:val="yellow"/>
          <w:lang w:eastAsia="en-AU"/>
        </w:rPr>
      </w:pPr>
      <w:r w:rsidRPr="00407282">
        <w:t xml:space="preserve">The method </w:t>
      </w:r>
      <w:r>
        <w:t xml:space="preserve">draws on a defined set of performance indicators under each TOR. These indicators </w:t>
      </w:r>
      <w:r w:rsidRPr="00407282">
        <w:t xml:space="preserve">combine qualitative and quantitative performance assessment </w:t>
      </w:r>
      <w:r>
        <w:t xml:space="preserve">and include external factors </w:t>
      </w:r>
      <w:r w:rsidRPr="00407282">
        <w:t>to account for the unique context within which each NTRB-SP operates</w:t>
      </w:r>
      <w:r>
        <w:t xml:space="preserve">, based on </w:t>
      </w:r>
      <w:r>
        <w:rPr>
          <w:lang w:eastAsia="en-AU"/>
        </w:rPr>
        <w:t>broader social and geographical factors that impact performance.</w:t>
      </w:r>
    </w:p>
    <w:p w14:paraId="1ED26460" w14:textId="4158D716" w:rsidR="00C8492B" w:rsidRDefault="00C8492B" w:rsidP="00C8492B">
      <w:pPr>
        <w:rPr>
          <w:lang w:eastAsia="en-AU"/>
        </w:rPr>
      </w:pPr>
      <w:r>
        <w:rPr>
          <w:lang w:eastAsia="en-AU"/>
        </w:rPr>
        <w:t xml:space="preserve">Nous used a mixed method approach to undertaking </w:t>
      </w:r>
      <w:r w:rsidR="005E4B9F">
        <w:rPr>
          <w:lang w:eastAsia="en-AU"/>
        </w:rPr>
        <w:t>this Review</w:t>
      </w:r>
      <w:r>
        <w:rPr>
          <w:lang w:eastAsia="en-AU"/>
        </w:rPr>
        <w:t>, including an analysis of quantitative data on the progress of claims, Future Acts and Indigenous Land Use Agreements (ILUA), performance against milestones, budgetary performance and staffing.</w:t>
      </w:r>
      <w:r w:rsidRPr="008A3142">
        <w:t xml:space="preserve"> </w:t>
      </w:r>
      <w:r w:rsidRPr="00BA7DE4">
        <w:t xml:space="preserve">A list of the data </w:t>
      </w:r>
      <w:r>
        <w:t xml:space="preserve">and documents </w:t>
      </w:r>
      <w:r w:rsidRPr="00BA7DE4">
        <w:t xml:space="preserve">that informed the Review can be found at </w:t>
      </w:r>
      <w:r w:rsidR="008C1B94">
        <w:rPr>
          <w:highlight w:val="magenta"/>
          <w:lang w:eastAsia="en-AU"/>
        </w:rPr>
        <w:fldChar w:fldCharType="begin"/>
      </w:r>
      <w:r w:rsidR="008C1B94">
        <w:instrText xml:space="preserve"> REF _Ref163046345 \n \h </w:instrText>
      </w:r>
      <w:r w:rsidR="008C1B94">
        <w:rPr>
          <w:highlight w:val="magenta"/>
          <w:lang w:eastAsia="en-AU"/>
        </w:rPr>
      </w:r>
      <w:r w:rsidR="008C1B94">
        <w:rPr>
          <w:highlight w:val="magenta"/>
          <w:lang w:eastAsia="en-AU"/>
        </w:rPr>
        <w:fldChar w:fldCharType="separate"/>
      </w:r>
      <w:r w:rsidR="00291532">
        <w:t>Appendix C</w:t>
      </w:r>
      <w:r w:rsidR="008C1B94">
        <w:rPr>
          <w:highlight w:val="magenta"/>
          <w:lang w:eastAsia="en-AU"/>
        </w:rPr>
        <w:fldChar w:fldCharType="end"/>
      </w:r>
      <w:r w:rsidRPr="008F33CA">
        <w:rPr>
          <w:lang w:eastAsia="en-AU"/>
        </w:rPr>
        <w:t>.</w:t>
      </w:r>
    </w:p>
    <w:p w14:paraId="08617525" w14:textId="263483D6" w:rsidR="00C8492B" w:rsidRPr="00EB0FDE" w:rsidRDefault="00C8492B" w:rsidP="00C8492B">
      <w:pPr>
        <w:rPr>
          <w:lang w:eastAsia="en-AU"/>
        </w:rPr>
      </w:pPr>
      <w:r>
        <w:rPr>
          <w:lang w:eastAsia="en-AU"/>
        </w:rPr>
        <w:lastRenderedPageBreak/>
        <w:t xml:space="preserve">The quantitative analysis was complemented by stakeholder interviews. As required by the NIAA, and in accordance with the TOR, this </w:t>
      </w:r>
      <w:r w:rsidR="005E4B9F">
        <w:rPr>
          <w:lang w:eastAsia="en-AU"/>
        </w:rPr>
        <w:t>R</w:t>
      </w:r>
      <w:r>
        <w:rPr>
          <w:lang w:eastAsia="en-AU"/>
        </w:rPr>
        <w:t xml:space="preserve">eview involved consultations with persons affected by the activities of each NTRB-SP, including Traditional Owners, PBCs, staff of the NTRB-SP, state governments, NIAA, the Federal Court and legal stakeholders. A list of the stakeholder consultations undertaken for this </w:t>
      </w:r>
      <w:r w:rsidR="005E4B9F">
        <w:rPr>
          <w:lang w:eastAsia="en-AU"/>
        </w:rPr>
        <w:t>R</w:t>
      </w:r>
      <w:r>
        <w:rPr>
          <w:lang w:eastAsia="en-AU"/>
        </w:rPr>
        <w:t xml:space="preserve">eview is set out in </w:t>
      </w:r>
      <w:r w:rsidR="008C1B94" w:rsidRPr="00EB0FDE">
        <w:rPr>
          <w:lang w:eastAsia="en-AU"/>
        </w:rPr>
        <w:fldChar w:fldCharType="begin"/>
      </w:r>
      <w:r w:rsidR="008C1B94" w:rsidRPr="00EB0FDE">
        <w:rPr>
          <w:lang w:eastAsia="en-AU"/>
        </w:rPr>
        <w:instrText xml:space="preserve"> REF _Ref144268691 \n \h </w:instrText>
      </w:r>
      <w:r w:rsidR="00EB0FDE">
        <w:rPr>
          <w:lang w:eastAsia="en-AU"/>
        </w:rPr>
        <w:instrText xml:space="preserve"> \* MERGEFORMAT </w:instrText>
      </w:r>
      <w:r w:rsidR="008C1B94" w:rsidRPr="00EB0FDE">
        <w:rPr>
          <w:lang w:eastAsia="en-AU"/>
        </w:rPr>
      </w:r>
      <w:r w:rsidR="008C1B94" w:rsidRPr="00EB0FDE">
        <w:rPr>
          <w:lang w:eastAsia="en-AU"/>
        </w:rPr>
        <w:fldChar w:fldCharType="separate"/>
      </w:r>
      <w:r w:rsidR="00291532">
        <w:rPr>
          <w:lang w:eastAsia="en-AU"/>
        </w:rPr>
        <w:t>Appendix B</w:t>
      </w:r>
      <w:r w:rsidR="008C1B94" w:rsidRPr="00EB0FDE">
        <w:rPr>
          <w:lang w:eastAsia="en-AU"/>
        </w:rPr>
        <w:fldChar w:fldCharType="end"/>
      </w:r>
      <w:r w:rsidRPr="00EB0FDE">
        <w:rPr>
          <w:lang w:eastAsia="en-AU"/>
        </w:rPr>
        <w:t>.</w:t>
      </w:r>
    </w:p>
    <w:p w14:paraId="1DD7BDBF" w14:textId="36B64131" w:rsidR="00C8492B" w:rsidRPr="00EB0FDE" w:rsidRDefault="008509D8" w:rsidP="00C8492B">
      <w:pPr>
        <w:rPr>
          <w:lang w:eastAsia="en-AU"/>
        </w:rPr>
      </w:pPr>
      <w:r w:rsidRPr="00EB0FDE">
        <w:t>A full description of the methodology and the performance indicators under each TOR was provided to each NTRB-SP.</w:t>
      </w:r>
      <w:r w:rsidRPr="00EB0FDE">
        <w:rPr>
          <w:lang w:eastAsia="en-AU"/>
        </w:rPr>
        <w:t xml:space="preserve"> Nous used a variety of methods to contact stakeholders, including Traditional Owners, for feedback. The approach to stakeholder consultation for the Review was set out in the Consultation Plan, which was also provided to each </w:t>
      </w:r>
      <w:r w:rsidRPr="00EB0FDE">
        <w:t>NTRB-SP</w:t>
      </w:r>
      <w:r w:rsidRPr="00EB0FDE" w:rsidDel="004D1617">
        <w:rPr>
          <w:lang w:eastAsia="en-AU"/>
        </w:rPr>
        <w:t xml:space="preserve"> </w:t>
      </w:r>
      <w:r w:rsidRPr="00EB0FDE">
        <w:rPr>
          <w:lang w:eastAsia="en-AU"/>
        </w:rPr>
        <w:t>at the outset</w:t>
      </w:r>
      <w:r w:rsidR="00C8492B" w:rsidRPr="00EB0FDE">
        <w:rPr>
          <w:lang w:eastAsia="en-AU"/>
        </w:rPr>
        <w:t>.</w:t>
      </w:r>
    </w:p>
    <w:p w14:paraId="78970FCA" w14:textId="77777777" w:rsidR="00C8492B" w:rsidRPr="00C66F22" w:rsidRDefault="00C8492B" w:rsidP="00883B4B">
      <w:pPr>
        <w:pStyle w:val="Heading5"/>
        <w:rPr>
          <w:b w:val="0"/>
        </w:rPr>
      </w:pPr>
      <w:r w:rsidRPr="00EB0FDE">
        <w:t xml:space="preserve">Limitations </w:t>
      </w:r>
    </w:p>
    <w:p w14:paraId="5645BC8E" w14:textId="77777777" w:rsidR="00C8492B" w:rsidRPr="00EB0FDE" w:rsidRDefault="00C8492B" w:rsidP="00C8492B">
      <w:pPr>
        <w:rPr>
          <w:lang w:eastAsia="en-AU"/>
        </w:rPr>
      </w:pPr>
      <w:r w:rsidRPr="00EB0FDE">
        <w:rPr>
          <w:lang w:eastAsia="en-AU"/>
        </w:rPr>
        <w:t xml:space="preserve">Nous acknowledges that, despite best efforts to seek broad feedback: </w:t>
      </w:r>
    </w:p>
    <w:p w14:paraId="4C5F7D4F" w14:textId="20C4FF4D" w:rsidR="00C8492B" w:rsidRPr="00EB0FDE" w:rsidRDefault="00C8492B" w:rsidP="00C8492B">
      <w:pPr>
        <w:pStyle w:val="Bullet"/>
      </w:pPr>
      <w:r w:rsidRPr="00EB0FDE">
        <w:t xml:space="preserve">only a limited number of stakeholders provided feedback (see </w:t>
      </w:r>
      <w:r w:rsidR="008C1B94" w:rsidRPr="00EB0FDE">
        <w:fldChar w:fldCharType="begin"/>
      </w:r>
      <w:r w:rsidR="008C1B94" w:rsidRPr="00EB0FDE">
        <w:instrText xml:space="preserve"> REF _Ref144268691 \n \h </w:instrText>
      </w:r>
      <w:r w:rsidR="00EB0FDE">
        <w:instrText xml:space="preserve"> \* MERGEFORMAT </w:instrText>
      </w:r>
      <w:r w:rsidR="008C1B94" w:rsidRPr="00EB0FDE">
        <w:fldChar w:fldCharType="separate"/>
      </w:r>
      <w:r w:rsidR="00291532">
        <w:t>Appendix B</w:t>
      </w:r>
      <w:r w:rsidR="008C1B94" w:rsidRPr="00EB0FDE">
        <w:fldChar w:fldCharType="end"/>
      </w:r>
      <w:r w:rsidRPr="00EB0FDE">
        <w:t xml:space="preserve"> for further detail)</w:t>
      </w:r>
    </w:p>
    <w:p w14:paraId="065724DB" w14:textId="77777777" w:rsidR="00C8492B" w:rsidRPr="00EB0FDE" w:rsidRDefault="00C8492B" w:rsidP="00C8492B">
      <w:pPr>
        <w:pStyle w:val="Bullet"/>
      </w:pPr>
      <w:r w:rsidRPr="00EB0FDE">
        <w:t>stakeholders who responded to the call for feedback were, in the main, those who were dissatisfied with the process or outcome of their native title claim.</w:t>
      </w:r>
    </w:p>
    <w:p w14:paraId="582DA146" w14:textId="0BD00062" w:rsidR="00C8492B" w:rsidRDefault="00EB0FDE" w:rsidP="00C8492B">
      <w:pPr>
        <w:rPr>
          <w:lang w:eastAsia="en-AU"/>
        </w:rPr>
      </w:pPr>
      <w:r w:rsidRPr="00EB0FDE">
        <w:rPr>
          <w:lang w:eastAsia="en-AU"/>
        </w:rPr>
        <w:t>Accordingly, Nous appreciates that the views of the consulted stakeholders may not be representative of the views of most stakeholders who actually interacted with, or used the services of, each NTRB-SP</w:t>
      </w:r>
      <w:r w:rsidR="00C8492B" w:rsidRPr="00EB0FDE">
        <w:rPr>
          <w:lang w:eastAsia="en-AU"/>
        </w:rPr>
        <w:t>.</w:t>
      </w:r>
    </w:p>
    <w:p w14:paraId="6990F1B7" w14:textId="77777777" w:rsidR="00C8492B" w:rsidRDefault="00C8492B" w:rsidP="00C8492B">
      <w:pPr>
        <w:rPr>
          <w:lang w:eastAsia="en-AU"/>
        </w:rPr>
      </w:pPr>
      <w:r>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7895D9E9" w14:textId="4170F427" w:rsidR="00C8492B" w:rsidRDefault="00C8492B" w:rsidP="00C8492B">
      <w:pPr>
        <w:rPr>
          <w:lang w:eastAsia="en-AU"/>
        </w:rPr>
      </w:pPr>
      <w:r>
        <w:rPr>
          <w:lang w:eastAsia="en-AU"/>
        </w:rPr>
        <w:t xml:space="preserve">These concerns and complaints have been acknowledged and reported (as communicated to Nous) as part of this </w:t>
      </w:r>
      <w:r w:rsidR="005E4B9F">
        <w:rPr>
          <w:lang w:eastAsia="en-AU"/>
        </w:rPr>
        <w:t>R</w:t>
      </w:r>
      <w:r>
        <w:rPr>
          <w:lang w:eastAsia="en-AU"/>
        </w:rPr>
        <w:t xml:space="preserve">eview. </w:t>
      </w:r>
    </w:p>
    <w:p w14:paraId="27D5B715" w14:textId="05E14164" w:rsidR="00C8492B" w:rsidRDefault="00C8492B" w:rsidP="00C8492B">
      <w:pPr>
        <w:rPr>
          <w:lang w:eastAsia="en-AU"/>
        </w:rPr>
      </w:pPr>
      <w:r>
        <w:rPr>
          <w:lang w:eastAsia="en-AU"/>
        </w:rPr>
        <w:t xml:space="preserve">It is acknowledged that Nous has not investigated or assessed the merits of these concerns, as part of this </w:t>
      </w:r>
      <w:r w:rsidR="005E4B9F">
        <w:rPr>
          <w:lang w:eastAsia="en-AU"/>
        </w:rPr>
        <w:t>R</w:t>
      </w:r>
      <w:r>
        <w:rPr>
          <w:lang w:eastAsia="en-AU"/>
        </w:rPr>
        <w:t>eview. This falls outside the scope of Nous’ role and the TOR. Accordingly, no statement is made regarding the legitimacy of these concerns or complaints.</w:t>
      </w:r>
    </w:p>
    <w:p w14:paraId="4CDD68C9" w14:textId="7E734994" w:rsidR="00C8492B" w:rsidRPr="005F5D6D" w:rsidRDefault="00C8492B" w:rsidP="00C8492B">
      <w:pPr>
        <w:rPr>
          <w:lang w:eastAsia="en-AU"/>
        </w:rPr>
      </w:pPr>
      <w:r>
        <w:rPr>
          <w:lang w:eastAsia="en-AU"/>
        </w:rPr>
        <w:t>NTRB-SPs have been given the opportunity to view the draft reports and to provide feedback to Nous about the issues raised in them. They will also be given the opportunity to make a formal response at the time of publication.</w:t>
      </w:r>
    </w:p>
    <w:p w14:paraId="1609CED6" w14:textId="77777777" w:rsidR="00A6362C" w:rsidRDefault="00A6362C" w:rsidP="007F4D1F">
      <w:pPr>
        <w:pStyle w:val="Heading1"/>
        <w:numPr>
          <w:ilvl w:val="0"/>
          <w:numId w:val="2"/>
        </w:numPr>
        <w:spacing w:after="120"/>
      </w:pPr>
      <w:bookmarkStart w:id="14" w:name="_Toc170470098"/>
      <w:r>
        <w:lastRenderedPageBreak/>
        <w:t>List of abbreviations</w:t>
      </w:r>
      <w:bookmarkEnd w:id="14"/>
      <w:r>
        <w:t xml:space="preserve"> </w:t>
      </w:r>
    </w:p>
    <w:tbl>
      <w:tblPr>
        <w:tblStyle w:val="TableGrid"/>
        <w:tblW w:w="0" w:type="auto"/>
        <w:tblLook w:val="04A0" w:firstRow="1" w:lastRow="0" w:firstColumn="1" w:lastColumn="0" w:noHBand="0" w:noVBand="1"/>
      </w:tblPr>
      <w:tblGrid>
        <w:gridCol w:w="2323"/>
        <w:gridCol w:w="6607"/>
      </w:tblGrid>
      <w:tr w:rsidR="00372F09" w14:paraId="6A127611" w14:textId="77777777" w:rsidTr="00FF391B">
        <w:trPr>
          <w:cnfStyle w:val="100000000000" w:firstRow="1" w:lastRow="0" w:firstColumn="0" w:lastColumn="0" w:oddVBand="0" w:evenVBand="0" w:oddHBand="0" w:evenHBand="0" w:firstRowFirstColumn="0" w:firstRowLastColumn="0" w:lastRowFirstColumn="0" w:lastRowLastColumn="0"/>
        </w:trPr>
        <w:tc>
          <w:tcPr>
            <w:tcW w:w="2323" w:type="dxa"/>
          </w:tcPr>
          <w:p w14:paraId="412790EB" w14:textId="77777777" w:rsidR="00372F09" w:rsidRPr="00CA6E3E" w:rsidRDefault="00372F09" w:rsidP="00CA6E3E">
            <w:pPr>
              <w:pStyle w:val="TableNheader"/>
            </w:pPr>
            <w:r w:rsidRPr="00CA6E3E">
              <w:t>Abbreviation</w:t>
            </w:r>
          </w:p>
        </w:tc>
        <w:tc>
          <w:tcPr>
            <w:tcW w:w="6607" w:type="dxa"/>
          </w:tcPr>
          <w:p w14:paraId="25EF5812" w14:textId="77777777" w:rsidR="00372F09" w:rsidRPr="00CA6E3E" w:rsidRDefault="00372F09" w:rsidP="00CA6E3E">
            <w:pPr>
              <w:pStyle w:val="TableNheader"/>
            </w:pPr>
            <w:r w:rsidRPr="00CA6E3E">
              <w:t>Meaning</w:t>
            </w:r>
          </w:p>
        </w:tc>
      </w:tr>
      <w:tr w:rsidR="00372F09" w14:paraId="511A6837"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0F54B96A" w14:textId="77777777" w:rsidR="00372F09" w:rsidRPr="0086469F" w:rsidRDefault="00372F09" w:rsidP="00CA6E3E">
            <w:pPr>
              <w:pStyle w:val="TableNText"/>
            </w:pPr>
            <w:r w:rsidRPr="0086469F">
              <w:t>AGM</w:t>
            </w:r>
          </w:p>
        </w:tc>
        <w:tc>
          <w:tcPr>
            <w:tcW w:w="6607" w:type="dxa"/>
          </w:tcPr>
          <w:p w14:paraId="4059D3AD" w14:textId="5B30A9C7" w:rsidR="00372F09" w:rsidRPr="0086469F" w:rsidRDefault="00372F09" w:rsidP="00CA6E3E">
            <w:pPr>
              <w:pStyle w:val="TableNText"/>
            </w:pPr>
            <w:r w:rsidRPr="0086469F">
              <w:t>Ann</w:t>
            </w:r>
            <w:r w:rsidR="001E4AEA" w:rsidRPr="0086469F">
              <w:t>ual general meeting</w:t>
            </w:r>
          </w:p>
        </w:tc>
      </w:tr>
      <w:tr w:rsidR="004F737B" w14:paraId="02BDB7CF"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26024AF2" w14:textId="5073C60E" w:rsidR="004F737B" w:rsidRPr="0086469F" w:rsidRDefault="004F737B" w:rsidP="00CA6E3E">
            <w:pPr>
              <w:pStyle w:val="TableNText"/>
            </w:pPr>
            <w:r w:rsidRPr="004F737B">
              <w:t>Assistance Guidelines</w:t>
            </w:r>
          </w:p>
        </w:tc>
        <w:tc>
          <w:tcPr>
            <w:tcW w:w="6607" w:type="dxa"/>
          </w:tcPr>
          <w:p w14:paraId="4101F26B" w14:textId="722319E5" w:rsidR="004F737B" w:rsidRPr="0086469F" w:rsidRDefault="004F737B" w:rsidP="00CA6E3E">
            <w:pPr>
              <w:pStyle w:val="TableNText"/>
            </w:pPr>
            <w:r w:rsidRPr="004F737B">
              <w:t>Guidelines for Assistance in Native Title Claims</w:t>
            </w:r>
          </w:p>
        </w:tc>
      </w:tr>
      <w:tr w:rsidR="00372F09" w14:paraId="48B0013C"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7D1CF40C" w14:textId="77777777" w:rsidR="00372F09" w:rsidRPr="0086469F" w:rsidRDefault="00372F09" w:rsidP="00CA6E3E">
            <w:pPr>
              <w:pStyle w:val="TableNText"/>
            </w:pPr>
            <w:r w:rsidRPr="0086469F" w:rsidDel="00166B54">
              <w:t>CEO</w:t>
            </w:r>
          </w:p>
        </w:tc>
        <w:tc>
          <w:tcPr>
            <w:tcW w:w="6607" w:type="dxa"/>
          </w:tcPr>
          <w:p w14:paraId="5ACB6A0B" w14:textId="77777777" w:rsidR="00372F09" w:rsidRPr="0086469F" w:rsidRDefault="00372F09" w:rsidP="00CA6E3E">
            <w:pPr>
              <w:pStyle w:val="TableNText"/>
            </w:pPr>
            <w:r w:rsidRPr="0086469F">
              <w:t>Chief Executive Officer</w:t>
            </w:r>
            <w:r w:rsidRPr="0086469F" w:rsidDel="00166B54">
              <w:t xml:space="preserve"> </w:t>
            </w:r>
          </w:p>
        </w:tc>
      </w:tr>
      <w:tr w:rsidR="00372F09" w14:paraId="340BF329"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232C4173" w14:textId="77777777" w:rsidR="00372F09" w:rsidRPr="0086469F" w:rsidDel="00166B54" w:rsidRDefault="00372F09" w:rsidP="00CA6E3E">
            <w:pPr>
              <w:pStyle w:val="TableNText"/>
            </w:pPr>
            <w:r w:rsidRPr="0086469F">
              <w:t>FAN</w:t>
            </w:r>
          </w:p>
        </w:tc>
        <w:tc>
          <w:tcPr>
            <w:tcW w:w="6607" w:type="dxa"/>
          </w:tcPr>
          <w:p w14:paraId="73D7ACC5" w14:textId="74EE17DF" w:rsidR="00372F09" w:rsidRPr="0086469F" w:rsidRDefault="00372F09" w:rsidP="00CA6E3E">
            <w:pPr>
              <w:pStyle w:val="TableNText"/>
            </w:pPr>
            <w:r w:rsidRPr="0086469F">
              <w:t>Future Act notification</w:t>
            </w:r>
          </w:p>
        </w:tc>
      </w:tr>
      <w:tr w:rsidR="00372F09" w14:paraId="6A0914E8"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497C2D75" w14:textId="77777777" w:rsidR="00372F09" w:rsidRPr="0086469F" w:rsidRDefault="00372F09" w:rsidP="00CA6E3E">
            <w:pPr>
              <w:pStyle w:val="TableNText"/>
            </w:pPr>
            <w:r w:rsidRPr="0086469F">
              <w:t>FTE</w:t>
            </w:r>
          </w:p>
        </w:tc>
        <w:tc>
          <w:tcPr>
            <w:tcW w:w="6607" w:type="dxa"/>
          </w:tcPr>
          <w:p w14:paraId="3BE8B8DF" w14:textId="77777777" w:rsidR="00372F09" w:rsidRPr="0086469F" w:rsidRDefault="00372F09" w:rsidP="00CA6E3E">
            <w:pPr>
              <w:pStyle w:val="TableNText"/>
            </w:pPr>
            <w:r w:rsidRPr="0086469F">
              <w:t xml:space="preserve">Full time equivalent </w:t>
            </w:r>
          </w:p>
        </w:tc>
      </w:tr>
      <w:tr w:rsidR="00372F09" w14:paraId="28F9E671"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7973F693" w14:textId="77777777" w:rsidR="00372F09" w:rsidRPr="0086469F" w:rsidRDefault="00372F09" w:rsidP="00CA6E3E">
            <w:pPr>
              <w:pStyle w:val="TableNText"/>
            </w:pPr>
            <w:r w:rsidRPr="0086469F">
              <w:t>FY</w:t>
            </w:r>
          </w:p>
        </w:tc>
        <w:tc>
          <w:tcPr>
            <w:tcW w:w="6607" w:type="dxa"/>
          </w:tcPr>
          <w:p w14:paraId="70C74DA0" w14:textId="77777777" w:rsidR="00372F09" w:rsidRPr="0086469F" w:rsidRDefault="00372F09" w:rsidP="00CA6E3E">
            <w:pPr>
              <w:pStyle w:val="TableNText"/>
            </w:pPr>
            <w:r w:rsidRPr="0086469F">
              <w:t xml:space="preserve">Financial year </w:t>
            </w:r>
          </w:p>
        </w:tc>
      </w:tr>
      <w:tr w:rsidR="00372F09" w14:paraId="1E652342"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160A4582" w14:textId="77777777" w:rsidR="00372F09" w:rsidRPr="0086469F" w:rsidRDefault="00372F09" w:rsidP="00CA6E3E">
            <w:pPr>
              <w:pStyle w:val="TableNText"/>
            </w:pPr>
            <w:r w:rsidRPr="0086469F">
              <w:t>HR</w:t>
            </w:r>
          </w:p>
        </w:tc>
        <w:tc>
          <w:tcPr>
            <w:tcW w:w="6607" w:type="dxa"/>
          </w:tcPr>
          <w:p w14:paraId="23195881" w14:textId="77777777" w:rsidR="00372F09" w:rsidRPr="0086469F" w:rsidRDefault="00372F09" w:rsidP="00CA6E3E">
            <w:pPr>
              <w:pStyle w:val="TableNText"/>
            </w:pPr>
            <w:r w:rsidRPr="0086469F">
              <w:t xml:space="preserve">Human resources </w:t>
            </w:r>
          </w:p>
        </w:tc>
      </w:tr>
      <w:tr w:rsidR="00372F09" w14:paraId="330933CA"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29065F03" w14:textId="77777777" w:rsidR="00372F09" w:rsidRPr="0086469F" w:rsidRDefault="00372F09" w:rsidP="00CA6E3E">
            <w:pPr>
              <w:pStyle w:val="TableNText"/>
            </w:pPr>
            <w:r w:rsidRPr="0086469F">
              <w:t>ILUA</w:t>
            </w:r>
          </w:p>
        </w:tc>
        <w:tc>
          <w:tcPr>
            <w:tcW w:w="6607" w:type="dxa"/>
          </w:tcPr>
          <w:p w14:paraId="7477CD3B" w14:textId="77777777" w:rsidR="00372F09" w:rsidRPr="0086469F" w:rsidRDefault="00372F09" w:rsidP="00CA6E3E">
            <w:pPr>
              <w:pStyle w:val="TableNText"/>
            </w:pPr>
            <w:r w:rsidRPr="0086469F">
              <w:t xml:space="preserve">Indigenous Land Use Agreements </w:t>
            </w:r>
          </w:p>
        </w:tc>
      </w:tr>
      <w:tr w:rsidR="00372F09" w14:paraId="1D7C5C81"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0314A0D5" w14:textId="77777777" w:rsidR="00372F09" w:rsidRDefault="00372F09" w:rsidP="00CA6E3E">
            <w:pPr>
              <w:pStyle w:val="TableNText"/>
              <w:rPr>
                <w:lang w:eastAsia="en-AU"/>
              </w:rPr>
            </w:pPr>
            <w:r>
              <w:t>KLC</w:t>
            </w:r>
          </w:p>
        </w:tc>
        <w:tc>
          <w:tcPr>
            <w:tcW w:w="6607" w:type="dxa"/>
          </w:tcPr>
          <w:p w14:paraId="496AB3B1" w14:textId="77777777" w:rsidR="00372F09" w:rsidRDefault="00372F09" w:rsidP="00CA6E3E">
            <w:pPr>
              <w:pStyle w:val="TableNText"/>
              <w:rPr>
                <w:lang w:eastAsia="en-AU"/>
              </w:rPr>
            </w:pPr>
            <w:r>
              <w:t xml:space="preserve">Kimberley Land Council </w:t>
            </w:r>
          </w:p>
        </w:tc>
      </w:tr>
      <w:tr w:rsidR="00372F09" w14:paraId="739A011A"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5E30B6F0" w14:textId="77777777" w:rsidR="00372F09" w:rsidRDefault="00372F09" w:rsidP="00CA6E3E">
            <w:pPr>
              <w:pStyle w:val="TableNText"/>
            </w:pPr>
            <w:r>
              <w:t>KSD</w:t>
            </w:r>
          </w:p>
        </w:tc>
        <w:tc>
          <w:tcPr>
            <w:tcW w:w="6607" w:type="dxa"/>
          </w:tcPr>
          <w:p w14:paraId="0DE70AE7" w14:textId="77777777" w:rsidR="00372F09" w:rsidRDefault="00372F09" w:rsidP="00CA6E3E">
            <w:pPr>
              <w:pStyle w:val="TableNText"/>
            </w:pPr>
            <w:r>
              <w:t xml:space="preserve">Kimberley Sustainable Development Pty Ltd </w:t>
            </w:r>
          </w:p>
        </w:tc>
      </w:tr>
      <w:tr w:rsidR="00372F09" w14:paraId="122519A1"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762943B2" w14:textId="77777777" w:rsidR="00372F09" w:rsidRDefault="00372F09" w:rsidP="00CA6E3E">
            <w:pPr>
              <w:pStyle w:val="TableNText"/>
            </w:pPr>
            <w:r>
              <w:t>KSDCT</w:t>
            </w:r>
          </w:p>
        </w:tc>
        <w:tc>
          <w:tcPr>
            <w:tcW w:w="6607" w:type="dxa"/>
          </w:tcPr>
          <w:p w14:paraId="2816EA3E" w14:textId="77777777" w:rsidR="00372F09" w:rsidRDefault="00372F09" w:rsidP="00CA6E3E">
            <w:pPr>
              <w:pStyle w:val="TableNText"/>
            </w:pPr>
            <w:r w:rsidRPr="00BB3F50">
              <w:t>Kimberley Sustainable Development Charitable Trust</w:t>
            </w:r>
            <w:r>
              <w:t xml:space="preserve"> </w:t>
            </w:r>
          </w:p>
        </w:tc>
      </w:tr>
      <w:tr w:rsidR="00372F09" w14:paraId="00D960F3"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3454E572" w14:textId="4FC0DDEB" w:rsidR="00372F09" w:rsidRDefault="00372F09" w:rsidP="00CA6E3E">
            <w:pPr>
              <w:pStyle w:val="TableNText"/>
            </w:pPr>
            <w:r>
              <w:rPr>
                <w:lang w:eastAsia="en-AU"/>
              </w:rPr>
              <w:t>LSMU</w:t>
            </w:r>
          </w:p>
        </w:tc>
        <w:tc>
          <w:tcPr>
            <w:tcW w:w="6607" w:type="dxa"/>
          </w:tcPr>
          <w:p w14:paraId="37F3037B" w14:textId="454D5A29" w:rsidR="00372F09" w:rsidRPr="00BB3F50" w:rsidRDefault="00776B41" w:rsidP="00CA6E3E">
            <w:pPr>
              <w:pStyle w:val="TableNText"/>
            </w:pPr>
            <w:r>
              <w:t>Land and Sea Management Unit</w:t>
            </w:r>
          </w:p>
        </w:tc>
      </w:tr>
      <w:tr w:rsidR="00372F09" w14:paraId="6F28C892"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2E6906E5" w14:textId="77777777" w:rsidR="00372F09" w:rsidRDefault="00372F09" w:rsidP="00CA6E3E">
            <w:pPr>
              <w:pStyle w:val="TableNText"/>
              <w:rPr>
                <w:lang w:eastAsia="en-AU"/>
              </w:rPr>
            </w:pPr>
            <w:r>
              <w:t>MOU</w:t>
            </w:r>
          </w:p>
        </w:tc>
        <w:tc>
          <w:tcPr>
            <w:tcW w:w="6607" w:type="dxa"/>
          </w:tcPr>
          <w:p w14:paraId="0E3A5703" w14:textId="4C45F269" w:rsidR="00372F09" w:rsidRPr="00BB3F50" w:rsidRDefault="00372F09" w:rsidP="00CA6E3E">
            <w:pPr>
              <w:pStyle w:val="TableNText"/>
            </w:pPr>
            <w:r w:rsidRPr="00D34B34">
              <w:t xml:space="preserve">Memorandum of </w:t>
            </w:r>
            <w:r w:rsidR="001E4AEA">
              <w:t>u</w:t>
            </w:r>
            <w:r w:rsidR="001E4AEA" w:rsidRPr="00D34B34">
              <w:t>nderstanding</w:t>
            </w:r>
          </w:p>
        </w:tc>
      </w:tr>
      <w:tr w:rsidR="00372F09" w14:paraId="24160654"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0AA36D42" w14:textId="77777777" w:rsidR="00372F09" w:rsidRDefault="00372F09" w:rsidP="00CA6E3E">
            <w:pPr>
              <w:pStyle w:val="TableNText"/>
            </w:pPr>
            <w:r>
              <w:t>NIAA</w:t>
            </w:r>
          </w:p>
        </w:tc>
        <w:tc>
          <w:tcPr>
            <w:tcW w:w="6607" w:type="dxa"/>
          </w:tcPr>
          <w:p w14:paraId="3AA34189" w14:textId="77777777" w:rsidR="00372F09" w:rsidRPr="00BB3F50" w:rsidRDefault="00372F09" w:rsidP="00CA6E3E">
            <w:pPr>
              <w:pStyle w:val="TableNText"/>
            </w:pPr>
            <w:r>
              <w:t xml:space="preserve">National Indigenous Australians Agency </w:t>
            </w:r>
          </w:p>
        </w:tc>
      </w:tr>
      <w:tr w:rsidR="00CA33BC" w14:paraId="45B20D4C"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126218A4" w14:textId="326D6D3E" w:rsidR="00CA33BC" w:rsidRDefault="00CA33BC" w:rsidP="00CA6E3E">
            <w:pPr>
              <w:pStyle w:val="TableNText"/>
            </w:pPr>
            <w:r w:rsidRPr="00CA33BC">
              <w:t>NNTT</w:t>
            </w:r>
          </w:p>
        </w:tc>
        <w:tc>
          <w:tcPr>
            <w:tcW w:w="6607" w:type="dxa"/>
          </w:tcPr>
          <w:p w14:paraId="585811DC" w14:textId="0BABB346" w:rsidR="00CA33BC" w:rsidRDefault="00CA33BC" w:rsidP="00CA6E3E">
            <w:pPr>
              <w:pStyle w:val="TableNText"/>
            </w:pPr>
            <w:r w:rsidRPr="00CA33BC">
              <w:t>National Native Title Tribunal</w:t>
            </w:r>
          </w:p>
        </w:tc>
      </w:tr>
      <w:tr w:rsidR="00372F09" w14:paraId="37CD5988"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7BFD8B05" w14:textId="77777777" w:rsidR="00372F09" w:rsidRDefault="00372F09" w:rsidP="00CA6E3E">
            <w:pPr>
              <w:pStyle w:val="TableNText"/>
            </w:pPr>
            <w:r>
              <w:t>Nous</w:t>
            </w:r>
          </w:p>
        </w:tc>
        <w:tc>
          <w:tcPr>
            <w:tcW w:w="6607" w:type="dxa"/>
          </w:tcPr>
          <w:p w14:paraId="48CB3C19" w14:textId="77777777" w:rsidR="00372F09" w:rsidRDefault="00372F09" w:rsidP="00CA6E3E">
            <w:pPr>
              <w:pStyle w:val="TableNText"/>
            </w:pPr>
            <w:r>
              <w:t xml:space="preserve">Nous Group </w:t>
            </w:r>
          </w:p>
        </w:tc>
      </w:tr>
      <w:tr w:rsidR="00372F09" w14:paraId="2D3CF564"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5BF09710" w14:textId="77777777" w:rsidR="00372F09" w:rsidRPr="00FA1437" w:rsidRDefault="00372F09" w:rsidP="00CA6E3E">
            <w:pPr>
              <w:pStyle w:val="TableNText"/>
              <w:rPr>
                <w:lang w:eastAsia="en-AU"/>
              </w:rPr>
            </w:pPr>
            <w:r>
              <w:t>NTRB</w:t>
            </w:r>
          </w:p>
        </w:tc>
        <w:tc>
          <w:tcPr>
            <w:tcW w:w="6607" w:type="dxa"/>
          </w:tcPr>
          <w:p w14:paraId="37E026CA" w14:textId="0F45B74B" w:rsidR="00372F09" w:rsidRPr="00FA1437" w:rsidRDefault="00BB4084" w:rsidP="00CA6E3E">
            <w:pPr>
              <w:pStyle w:val="TableNText"/>
              <w:rPr>
                <w:lang w:eastAsia="en-AU"/>
              </w:rPr>
            </w:pPr>
            <w:r>
              <w:t>Native Title Representative B</w:t>
            </w:r>
            <w:r w:rsidR="00372F09">
              <w:t xml:space="preserve">ody </w:t>
            </w:r>
          </w:p>
        </w:tc>
      </w:tr>
      <w:tr w:rsidR="00372F09" w14:paraId="6B2B8BD0"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169EC749" w14:textId="13AAAB1B" w:rsidR="00372F09" w:rsidRDefault="00372F09" w:rsidP="00CA6E3E">
            <w:pPr>
              <w:pStyle w:val="TableNText"/>
              <w:rPr>
                <w:lang w:eastAsia="en-AU"/>
              </w:rPr>
            </w:pPr>
            <w:r>
              <w:t>NTRB-SP</w:t>
            </w:r>
          </w:p>
        </w:tc>
        <w:tc>
          <w:tcPr>
            <w:tcW w:w="6607" w:type="dxa"/>
          </w:tcPr>
          <w:p w14:paraId="644FF9B5" w14:textId="04443A3C" w:rsidR="00372F09" w:rsidRDefault="00BB4084" w:rsidP="00CA6E3E">
            <w:pPr>
              <w:pStyle w:val="TableNText"/>
              <w:rPr>
                <w:lang w:eastAsia="en-AU"/>
              </w:rPr>
            </w:pPr>
            <w:r w:rsidRPr="00514F25">
              <w:t>Native Title Representative B</w:t>
            </w:r>
            <w:r w:rsidR="00372F09" w:rsidRPr="00514F25">
              <w:t>od</w:t>
            </w:r>
            <w:r w:rsidR="00372F09">
              <w:t>y</w:t>
            </w:r>
            <w:r w:rsidR="00372F09" w:rsidRPr="00514F25">
              <w:t xml:space="preserve"> and </w:t>
            </w:r>
            <w:r w:rsidRPr="00514F25">
              <w:t>Service Provider</w:t>
            </w:r>
            <w:r>
              <w:t xml:space="preserve"> </w:t>
            </w:r>
          </w:p>
        </w:tc>
      </w:tr>
      <w:tr w:rsidR="00372F09" w14:paraId="29F753A7"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vAlign w:val="top"/>
          </w:tcPr>
          <w:p w14:paraId="009F9C75" w14:textId="77777777" w:rsidR="00372F09" w:rsidRDefault="00372F09" w:rsidP="00CA6E3E">
            <w:pPr>
              <w:pStyle w:val="TableNText"/>
            </w:pPr>
            <w:r>
              <w:t>NTSU</w:t>
            </w:r>
          </w:p>
        </w:tc>
        <w:tc>
          <w:tcPr>
            <w:tcW w:w="6607" w:type="dxa"/>
            <w:vAlign w:val="top"/>
          </w:tcPr>
          <w:p w14:paraId="0641EB94" w14:textId="77777777" w:rsidR="00372F09" w:rsidRPr="00514F25" w:rsidRDefault="00372F09" w:rsidP="00CA6E3E">
            <w:pPr>
              <w:pStyle w:val="TableNText"/>
            </w:pPr>
            <w:r w:rsidDel="00166B54">
              <w:t>Native Title Services Unit</w:t>
            </w:r>
          </w:p>
        </w:tc>
      </w:tr>
      <w:tr w:rsidR="00372F09" w14:paraId="1BD49EF4"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1050E633" w14:textId="77777777" w:rsidR="00372F09" w:rsidRDefault="00372F09" w:rsidP="00CA6E3E">
            <w:pPr>
              <w:pStyle w:val="TableNText"/>
              <w:rPr>
                <w:lang w:eastAsia="en-AU"/>
              </w:rPr>
            </w:pPr>
            <w:r>
              <w:rPr>
                <w:lang w:eastAsia="en-AU"/>
              </w:rPr>
              <w:t>ORIC</w:t>
            </w:r>
          </w:p>
        </w:tc>
        <w:tc>
          <w:tcPr>
            <w:tcW w:w="6607" w:type="dxa"/>
          </w:tcPr>
          <w:p w14:paraId="0A9BF362" w14:textId="77777777" w:rsidR="00372F09" w:rsidRDefault="00372F09" w:rsidP="00CA6E3E">
            <w:pPr>
              <w:pStyle w:val="TableNText"/>
              <w:rPr>
                <w:lang w:eastAsia="en-AU"/>
              </w:rPr>
            </w:pPr>
            <w:r w:rsidRPr="007D7B43">
              <w:rPr>
                <w:lang w:eastAsia="en-AU"/>
              </w:rPr>
              <w:t>Office of the Registrar of Indigenous Corporations</w:t>
            </w:r>
            <w:r>
              <w:rPr>
                <w:lang w:eastAsia="en-AU"/>
              </w:rPr>
              <w:t xml:space="preserve"> </w:t>
            </w:r>
          </w:p>
        </w:tc>
      </w:tr>
      <w:tr w:rsidR="00372F09" w14:paraId="7AEBA7EA"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46E2B624" w14:textId="77777777" w:rsidR="00372F09" w:rsidRDefault="00372F09" w:rsidP="00CA6E3E">
            <w:pPr>
              <w:pStyle w:val="TableNText"/>
              <w:rPr>
                <w:lang w:eastAsia="en-AU"/>
              </w:rPr>
            </w:pPr>
            <w:r>
              <w:t>PBCs</w:t>
            </w:r>
          </w:p>
        </w:tc>
        <w:tc>
          <w:tcPr>
            <w:tcW w:w="6607" w:type="dxa"/>
          </w:tcPr>
          <w:p w14:paraId="02726DD1" w14:textId="77777777" w:rsidR="00372F09" w:rsidRDefault="00372F09" w:rsidP="00CA6E3E">
            <w:pPr>
              <w:pStyle w:val="TableNText"/>
              <w:rPr>
                <w:lang w:eastAsia="en-AU"/>
              </w:rPr>
            </w:pPr>
            <w:r>
              <w:t xml:space="preserve">Prescribed Body Corporates </w:t>
            </w:r>
          </w:p>
        </w:tc>
      </w:tr>
      <w:tr w:rsidR="00372F09" w14:paraId="59BB0DA9"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3D95B6AB" w14:textId="77777777" w:rsidR="00372F09" w:rsidRDefault="00372F09" w:rsidP="00CA6E3E">
            <w:pPr>
              <w:pStyle w:val="TableNText"/>
              <w:rPr>
                <w:lang w:eastAsia="en-AU"/>
              </w:rPr>
            </w:pPr>
            <w:r>
              <w:t>PLO</w:t>
            </w:r>
          </w:p>
        </w:tc>
        <w:tc>
          <w:tcPr>
            <w:tcW w:w="6607" w:type="dxa"/>
          </w:tcPr>
          <w:p w14:paraId="338D95DD" w14:textId="77777777" w:rsidR="00372F09" w:rsidRDefault="00372F09" w:rsidP="00CA6E3E">
            <w:pPr>
              <w:pStyle w:val="TableNText"/>
              <w:rPr>
                <w:lang w:eastAsia="en-AU"/>
              </w:rPr>
            </w:pPr>
            <w:r w:rsidDel="00166B54">
              <w:t>Principal Legal Officer</w:t>
            </w:r>
          </w:p>
        </w:tc>
      </w:tr>
      <w:tr w:rsidR="00372F09" w14:paraId="7F39CA33"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7807E615" w14:textId="77777777" w:rsidR="00372F09" w:rsidRPr="00761F69" w:rsidRDefault="00372F09" w:rsidP="00CA6E3E">
            <w:pPr>
              <w:pStyle w:val="TableNText"/>
              <w:rPr>
                <w:lang w:eastAsia="en-AU"/>
              </w:rPr>
            </w:pPr>
            <w:r>
              <w:t>RASTIB</w:t>
            </w:r>
          </w:p>
        </w:tc>
        <w:tc>
          <w:tcPr>
            <w:tcW w:w="6607" w:type="dxa"/>
          </w:tcPr>
          <w:p w14:paraId="62129DBA" w14:textId="74615E7E" w:rsidR="00372F09" w:rsidRDefault="00372F09" w:rsidP="00CA6E3E">
            <w:pPr>
              <w:pStyle w:val="TableNText"/>
              <w:rPr>
                <w:lang w:eastAsia="en-AU"/>
              </w:rPr>
            </w:pPr>
            <w:r>
              <w:t>R</w:t>
            </w:r>
            <w:r w:rsidRPr="00EE612D">
              <w:t>epresentative Aboriginal</w:t>
            </w:r>
            <w:r w:rsidR="009F1402" w:rsidRPr="00EE612D">
              <w:t>/</w:t>
            </w:r>
            <w:r w:rsidRPr="00EE612D">
              <w:t xml:space="preserve">Torres Strait Islander </w:t>
            </w:r>
            <w:r w:rsidR="009F1402">
              <w:t>B</w:t>
            </w:r>
            <w:r w:rsidR="009F1402" w:rsidRPr="00EE612D">
              <w:t>ody</w:t>
            </w:r>
            <w:r w:rsidRPr="00EE612D">
              <w:t xml:space="preserve"> </w:t>
            </w:r>
          </w:p>
        </w:tc>
      </w:tr>
      <w:tr w:rsidR="005A324C" w14:paraId="35D46F74"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3A4CBF99" w14:textId="63D51DCF" w:rsidR="005A324C" w:rsidRDefault="005A324C" w:rsidP="00CA6E3E">
            <w:pPr>
              <w:pStyle w:val="TableNText"/>
            </w:pPr>
            <w:r w:rsidRPr="00390D6E">
              <w:rPr>
                <w:lang w:eastAsia="en-AU"/>
              </w:rPr>
              <w:t>RNTBC</w:t>
            </w:r>
          </w:p>
        </w:tc>
        <w:tc>
          <w:tcPr>
            <w:tcW w:w="6607" w:type="dxa"/>
          </w:tcPr>
          <w:p w14:paraId="2D5F2328" w14:textId="0651A190" w:rsidR="005A324C" w:rsidRDefault="005A324C" w:rsidP="00CA6E3E">
            <w:pPr>
              <w:pStyle w:val="TableNText"/>
            </w:pPr>
            <w:r>
              <w:rPr>
                <w:lang w:eastAsia="en-AU"/>
              </w:rPr>
              <w:t>R</w:t>
            </w:r>
            <w:r w:rsidRPr="005A324C">
              <w:rPr>
                <w:lang w:eastAsia="en-AU"/>
              </w:rPr>
              <w:t>egistered native title bodies corporate</w:t>
            </w:r>
          </w:p>
        </w:tc>
      </w:tr>
      <w:tr w:rsidR="001A1912" w14:paraId="546A706A"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033C2915" w14:textId="6CABE2CD" w:rsidR="001A1912" w:rsidRPr="00390D6E" w:rsidRDefault="001A1912" w:rsidP="00CA6E3E">
            <w:pPr>
              <w:pStyle w:val="TableNText"/>
              <w:rPr>
                <w:lang w:eastAsia="en-AU"/>
              </w:rPr>
            </w:pPr>
            <w:r>
              <w:rPr>
                <w:bCs/>
              </w:rPr>
              <w:t>T</w:t>
            </w:r>
            <w:r w:rsidRPr="003D67F0">
              <w:rPr>
                <w:bCs/>
              </w:rPr>
              <w:t>he CATSI Act</w:t>
            </w:r>
          </w:p>
        </w:tc>
        <w:tc>
          <w:tcPr>
            <w:tcW w:w="6607" w:type="dxa"/>
          </w:tcPr>
          <w:p w14:paraId="3600B69D" w14:textId="0A585ADF" w:rsidR="001A1912" w:rsidRDefault="001A1912" w:rsidP="00CA6E3E">
            <w:pPr>
              <w:pStyle w:val="TableNText"/>
              <w:rPr>
                <w:lang w:eastAsia="en-AU"/>
              </w:rPr>
            </w:pPr>
            <w:r w:rsidRPr="0075762D">
              <w:rPr>
                <w:bCs/>
                <w:i/>
                <w:iCs/>
              </w:rPr>
              <w:t xml:space="preserve">Corporations (Aboriginal and Torres Strait Islander) Act 2006 </w:t>
            </w:r>
            <w:r w:rsidRPr="0075762D">
              <w:rPr>
                <w:bCs/>
              </w:rPr>
              <w:t>(Cth)</w:t>
            </w:r>
            <w:r w:rsidRPr="0075762D">
              <w:rPr>
                <w:bCs/>
                <w:i/>
                <w:iCs/>
              </w:rPr>
              <w:t xml:space="preserve"> </w:t>
            </w:r>
          </w:p>
        </w:tc>
      </w:tr>
      <w:tr w:rsidR="00372F09" w14:paraId="71C1647A"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670EFA5D" w14:textId="77777777" w:rsidR="00372F09" w:rsidRDefault="00372F09" w:rsidP="00CA6E3E">
            <w:pPr>
              <w:pStyle w:val="TableNText"/>
            </w:pPr>
            <w:r>
              <w:rPr>
                <w:iCs/>
              </w:rPr>
              <w:t xml:space="preserve">The </w:t>
            </w:r>
            <w:r w:rsidRPr="00C435EE">
              <w:rPr>
                <w:iCs/>
              </w:rPr>
              <w:t>NTA</w:t>
            </w:r>
          </w:p>
        </w:tc>
        <w:tc>
          <w:tcPr>
            <w:tcW w:w="6607" w:type="dxa"/>
          </w:tcPr>
          <w:p w14:paraId="44A7BB18" w14:textId="77777777" w:rsidR="00372F09" w:rsidRDefault="00372F09" w:rsidP="00CA6E3E">
            <w:pPr>
              <w:pStyle w:val="TableNText"/>
            </w:pPr>
            <w:r>
              <w:rPr>
                <w:i/>
              </w:rPr>
              <w:t>Native Title</w:t>
            </w:r>
            <w:r>
              <w:rPr>
                <w:i/>
                <w:spacing w:val="-5"/>
              </w:rPr>
              <w:t xml:space="preserve"> </w:t>
            </w:r>
            <w:r>
              <w:rPr>
                <w:i/>
              </w:rPr>
              <w:t>Act</w:t>
            </w:r>
            <w:r>
              <w:rPr>
                <w:i/>
                <w:spacing w:val="-2"/>
              </w:rPr>
              <w:t xml:space="preserve"> </w:t>
            </w:r>
            <w:r>
              <w:rPr>
                <w:i/>
              </w:rPr>
              <w:t xml:space="preserve">1993 </w:t>
            </w:r>
            <w:r w:rsidRPr="00331EED">
              <w:rPr>
                <w:iCs/>
              </w:rPr>
              <w:t>(Cth)</w:t>
            </w:r>
          </w:p>
        </w:tc>
      </w:tr>
      <w:tr w:rsidR="00372F09" w14:paraId="40ABF32C" w14:textId="77777777" w:rsidTr="00FF391B">
        <w:trPr>
          <w:cnfStyle w:val="000000100000" w:firstRow="0" w:lastRow="0" w:firstColumn="0" w:lastColumn="0" w:oddVBand="0" w:evenVBand="0" w:oddHBand="1" w:evenHBand="0" w:firstRowFirstColumn="0" w:firstRowLastColumn="0" w:lastRowFirstColumn="0" w:lastRowLastColumn="0"/>
        </w:trPr>
        <w:tc>
          <w:tcPr>
            <w:tcW w:w="2323" w:type="dxa"/>
          </w:tcPr>
          <w:p w14:paraId="23389794" w14:textId="77777777" w:rsidR="00372F09" w:rsidRDefault="00372F09" w:rsidP="00CA6E3E">
            <w:pPr>
              <w:pStyle w:val="TableNText"/>
            </w:pPr>
            <w:r>
              <w:lastRenderedPageBreak/>
              <w:t>The Review period</w:t>
            </w:r>
          </w:p>
        </w:tc>
        <w:tc>
          <w:tcPr>
            <w:tcW w:w="6607" w:type="dxa"/>
          </w:tcPr>
          <w:p w14:paraId="4D1BDAF6" w14:textId="77777777" w:rsidR="00372F09" w:rsidRDefault="00372F09" w:rsidP="00CA6E3E">
            <w:pPr>
              <w:pStyle w:val="TableNText"/>
            </w:pPr>
            <w:r w:rsidRPr="007301C8">
              <w:t>1 July 2019 to 30 June 2022</w:t>
            </w:r>
          </w:p>
        </w:tc>
      </w:tr>
      <w:tr w:rsidR="00372F09" w14:paraId="510EDC9A" w14:textId="77777777" w:rsidTr="00FF391B">
        <w:trPr>
          <w:cnfStyle w:val="000000010000" w:firstRow="0" w:lastRow="0" w:firstColumn="0" w:lastColumn="0" w:oddVBand="0" w:evenVBand="0" w:oddHBand="0" w:evenHBand="1" w:firstRowFirstColumn="0" w:firstRowLastColumn="0" w:lastRowFirstColumn="0" w:lastRowLastColumn="0"/>
        </w:trPr>
        <w:tc>
          <w:tcPr>
            <w:tcW w:w="2323" w:type="dxa"/>
          </w:tcPr>
          <w:p w14:paraId="1F9CB6BA" w14:textId="77777777" w:rsidR="00372F09" w:rsidRDefault="00372F09" w:rsidP="00CA6E3E">
            <w:pPr>
              <w:pStyle w:val="TableNText"/>
              <w:rPr>
                <w:lang w:eastAsia="en-AU"/>
              </w:rPr>
            </w:pPr>
            <w:r>
              <w:rPr>
                <w:lang w:eastAsia="en-AU"/>
              </w:rPr>
              <w:t>TOR</w:t>
            </w:r>
          </w:p>
        </w:tc>
        <w:tc>
          <w:tcPr>
            <w:tcW w:w="6607" w:type="dxa"/>
          </w:tcPr>
          <w:p w14:paraId="5A1ACBF2" w14:textId="77777777" w:rsidR="00372F09" w:rsidRDefault="00372F09" w:rsidP="00CA6E3E">
            <w:pPr>
              <w:pStyle w:val="TableNText"/>
              <w:rPr>
                <w:lang w:eastAsia="en-AU"/>
              </w:rPr>
            </w:pPr>
            <w:r w:rsidRPr="00407282">
              <w:rPr>
                <w:lang w:eastAsia="en-AU"/>
              </w:rPr>
              <w:t>Terms of Reference</w:t>
            </w:r>
          </w:p>
        </w:tc>
      </w:tr>
    </w:tbl>
    <w:p w14:paraId="7C88E844" w14:textId="77777777" w:rsidR="00510662" w:rsidRPr="00510662" w:rsidRDefault="00510662" w:rsidP="00510662">
      <w:pPr>
        <w:rPr>
          <w:lang w:eastAsia="en-AU"/>
        </w:rPr>
      </w:pPr>
    </w:p>
    <w:p w14:paraId="65A3A546" w14:textId="0825325D" w:rsidR="00F7159C" w:rsidRDefault="00F7159C" w:rsidP="007F4D1F">
      <w:pPr>
        <w:pStyle w:val="Heading1"/>
        <w:numPr>
          <w:ilvl w:val="0"/>
          <w:numId w:val="2"/>
        </w:numPr>
        <w:spacing w:after="120"/>
      </w:pPr>
      <w:bookmarkStart w:id="15" w:name="_Toc170470099"/>
      <w:r>
        <w:lastRenderedPageBreak/>
        <w:t xml:space="preserve">Executive </w:t>
      </w:r>
      <w:r w:rsidR="007F4D1F">
        <w:t>s</w:t>
      </w:r>
      <w:r w:rsidRPr="00407282">
        <w:t xml:space="preserve">ummary of performance and </w:t>
      </w:r>
      <w:r>
        <w:t>recommendations</w:t>
      </w:r>
      <w:bookmarkEnd w:id="13"/>
      <w:bookmarkEnd w:id="15"/>
      <w:r>
        <w:t xml:space="preserve"> </w:t>
      </w:r>
    </w:p>
    <w:bookmarkEnd w:id="1"/>
    <w:bookmarkEnd w:id="2"/>
    <w:bookmarkEnd w:id="3"/>
    <w:bookmarkEnd w:id="4"/>
    <w:bookmarkEnd w:id="5"/>
    <w:bookmarkEnd w:id="6"/>
    <w:bookmarkEnd w:id="7"/>
    <w:bookmarkEnd w:id="8"/>
    <w:bookmarkEnd w:id="9"/>
    <w:p w14:paraId="21E43E71" w14:textId="02503564" w:rsidR="003560B7" w:rsidRPr="003560B7" w:rsidRDefault="003560B7" w:rsidP="003560B7">
      <w:pPr>
        <w:rPr>
          <w:rFonts w:eastAsia="Times New Roman" w:cs="Times New Roman"/>
          <w:b/>
          <w:color w:val="000000" w:themeColor="text1"/>
          <w:sz w:val="20"/>
          <w:szCs w:val="24"/>
        </w:rPr>
      </w:pPr>
      <w:r w:rsidRPr="003560B7">
        <w:t xml:space="preserve">The summary and recommendations for each TOR are reproduced here as an overall summary. The detailed performance assessment against each performance indicator follows in section </w:t>
      </w:r>
      <w:r>
        <w:fldChar w:fldCharType="begin"/>
      </w:r>
      <w:r>
        <w:instrText xml:space="preserve"> REF _Ref163046382 \n \h </w:instrText>
      </w:r>
      <w:r>
        <w:fldChar w:fldCharType="separate"/>
      </w:r>
      <w:r w:rsidR="00291532">
        <w:t>5</w:t>
      </w:r>
      <w:r>
        <w:fldChar w:fldCharType="end"/>
      </w:r>
      <w:r w:rsidRPr="003560B7">
        <w:t>.</w:t>
      </w:r>
    </w:p>
    <w:p w14:paraId="4A2F3CF9" w14:textId="72CE6F7B" w:rsidR="00C36333" w:rsidRDefault="00446C8E" w:rsidP="00446C8E">
      <w:pPr>
        <w:pStyle w:val="Heading5"/>
        <w:numPr>
          <w:ilvl w:val="4"/>
          <w:numId w:val="2"/>
        </w:numPr>
      </w:pPr>
      <w:r w:rsidRPr="005249FC">
        <w:t xml:space="preserve">TOR 1 | Extent to which each organisation has achieved positive native title outcomes for persons who hold or may hold native title in its region taking account, where relevant, of disruptions caused by </w:t>
      </w:r>
      <w:r>
        <w:t>COVID-19.</w:t>
      </w:r>
    </w:p>
    <w:p w14:paraId="486E6C1C" w14:textId="77777777" w:rsidR="00005F58" w:rsidRDefault="00005F58" w:rsidP="00005F58">
      <w:pPr>
        <w:rPr>
          <w:lang w:eastAsia="en-AU"/>
        </w:rPr>
      </w:pPr>
      <w:r>
        <w:rPr>
          <w:lang w:eastAsia="en-AU"/>
        </w:rPr>
        <w:t>The KLC made significant progress in achieving native title determinations despite the challenges posed by COVID-19, with 12 consent determinations and one litigated determination during the Review period. The KLC additionally supported nine ILUAs, including one that resulted in the surrender of native title. At the end of the Review period, the KLC was pursuing five active native title claims and one compensation claim, with additional compensation claims in early scoping. Ninety-seven per cent of the claimable land within the RATSIB area was subject to a registered native title claim or determination.</w:t>
      </w:r>
    </w:p>
    <w:p w14:paraId="4F364503" w14:textId="77777777" w:rsidR="00005F58" w:rsidRDefault="00005F58" w:rsidP="00005F58">
      <w:pPr>
        <w:rPr>
          <w:lang w:eastAsia="en-AU"/>
        </w:rPr>
      </w:pPr>
      <w:r>
        <w:rPr>
          <w:lang w:eastAsia="en-AU"/>
        </w:rPr>
        <w:t xml:space="preserve">The KLC had a high-performing legal team despite the challenges of recruitment and retention. The KLC’s anthropology team remained relatively stable throughout the Review period, supporting the maintenance of corporate knowledge. Under the overall direction of the PLO, legal and anthropological staff were allocated to each region and each claim, with a Senior Anthropologist position providing support and guidance to the internal anthropology staff. </w:t>
      </w:r>
    </w:p>
    <w:p w14:paraId="700271EF" w14:textId="77777777" w:rsidR="00005F58" w:rsidRDefault="00005F58" w:rsidP="00005F58">
      <w:pPr>
        <w:rPr>
          <w:lang w:eastAsia="en-AU"/>
        </w:rPr>
      </w:pPr>
      <w:r>
        <w:rPr>
          <w:lang w:eastAsia="en-AU"/>
        </w:rPr>
        <w:t xml:space="preserve">In the six cases where KLC-employed lawyers acted for one party and a professional conflict arose, representation of another party to a claim was briefed out to external lawyers. Through an independent process, the KLC established a panel of lawyers with relevant expertise in native title litigation. If a funded party appointed a lawyer from the panel, the KLC would enter into a funding agreement with that lawyer. If the funded party appointed a lawyer who was not on the panel, the KLC PLO would confirm that person had relevant expertise in native title matters before the KLC would enter into a funding agreement with that lawyer. External anthropologists were used for the preparation of connection reports in most cases. </w:t>
      </w:r>
    </w:p>
    <w:p w14:paraId="28D9C29B" w14:textId="77777777" w:rsidR="00005F58" w:rsidRDefault="00005F58" w:rsidP="00005F58">
      <w:pPr>
        <w:rPr>
          <w:lang w:eastAsia="en-AU"/>
        </w:rPr>
      </w:pPr>
      <w:r>
        <w:rPr>
          <w:lang w:eastAsia="en-AU"/>
        </w:rPr>
        <w:t>A number of Traditional Owners who contacted the Review were dissatisfied with the outcomes achieved for their family. Their concerns generally related to differences between their own understanding of their history and the composition of their claims, which they attributed to the KLC. The Review understands that the composition of claim groups is a highly sensitive and potentially divisive issue that can cause enormous distress for the parties, with some Traditional Owners describing outcomes as like “a second dispossession”. The unwavering views of parties involved in disputes is challenging and can complicate mediation processes, adding to the difficulty of achieving acceptable outcomes for all claimants. The KLC noted, however, that claims (including claim group composition) were authorised by claim groups (not the KLC) and determined by the Federal Court following rigorous testing of evidence, with KLC staff indicating that “we can only do what the evidence tells us”.</w:t>
      </w:r>
    </w:p>
    <w:p w14:paraId="450B739F" w14:textId="77777777" w:rsidR="00005F58" w:rsidRDefault="00005F58" w:rsidP="00005F58">
      <w:pPr>
        <w:rPr>
          <w:lang w:eastAsia="en-AU"/>
        </w:rPr>
      </w:pPr>
      <w:r>
        <w:rPr>
          <w:lang w:eastAsia="en-AU"/>
        </w:rPr>
        <w:t>The Review notes the complexity of recent and remaining claims, with as many as five different groups asserting interests in some claim areas. The challenges increase as the amount of claimable land that can be subject to determination decreases.</w:t>
      </w:r>
    </w:p>
    <w:p w14:paraId="4245B675" w14:textId="20D26B68" w:rsidR="00452416" w:rsidRDefault="00005F58" w:rsidP="00005F58">
      <w:pPr>
        <w:rPr>
          <w:lang w:eastAsia="en-AU"/>
        </w:rPr>
      </w:pPr>
      <w:r>
        <w:rPr>
          <w:lang w:eastAsia="en-AU"/>
        </w:rPr>
        <w:t>The composition of historical claims, including claim group boundaries, has compounded the dissatisfaction felt by some Traditional Owners, presenting challenges for governance of the resulting PBCs and for the KLC in managing ongoing relationships with Traditional Owners.</w:t>
      </w:r>
    </w:p>
    <w:p w14:paraId="436F3AC4" w14:textId="77777777" w:rsidR="00452416" w:rsidRDefault="00452416">
      <w:pPr>
        <w:spacing w:after="165"/>
        <w:rPr>
          <w:lang w:eastAsia="en-AU"/>
        </w:rPr>
      </w:pPr>
      <w:r>
        <w:rPr>
          <w:lang w:eastAsia="en-AU"/>
        </w:rPr>
        <w:br w:type="page"/>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005F58" w:rsidRPr="00C62E0F" w14:paraId="69B53EC1" w14:textId="77777777" w:rsidTr="00D149E1">
        <w:trPr>
          <w:trHeight w:val="360"/>
        </w:trPr>
        <w:tc>
          <w:tcPr>
            <w:tcW w:w="8223" w:type="dxa"/>
          </w:tcPr>
          <w:p w14:paraId="67C070DD" w14:textId="77777777" w:rsidR="00005F58" w:rsidRPr="00C62E0F" w:rsidRDefault="00005F58" w:rsidP="00D149E1">
            <w:pPr>
              <w:spacing w:line="259" w:lineRule="auto"/>
              <w:rPr>
                <w:lang w:eastAsia="en-AU"/>
              </w:rPr>
            </w:pPr>
            <w:r w:rsidRPr="00C62E0F">
              <w:rPr>
                <w:noProof/>
                <w:lang w:eastAsia="en-AU"/>
              </w:rPr>
              <w:lastRenderedPageBreak/>
              <w:drawing>
                <wp:inline distT="0" distB="0" distL="0" distR="0" wp14:anchorId="1A5324C9" wp14:editId="02B6FCC1">
                  <wp:extent cx="5114199" cy="287655"/>
                  <wp:effectExtent l="0" t="0" r="0" b="0"/>
                  <wp:docPr id="758138911" name="Picture 75813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5CB6BE74" w14:textId="77777777" w:rsidR="00005F58" w:rsidRPr="00C62E0F" w:rsidRDefault="00005F58" w:rsidP="00D149E1">
            <w:pPr>
              <w:spacing w:after="100" w:afterAutospacing="1" w:line="259" w:lineRule="auto"/>
              <w:jc w:val="center"/>
              <w:rPr>
                <w:sz w:val="30"/>
                <w:szCs w:val="30"/>
                <w:lang w:eastAsia="en-AU"/>
              </w:rPr>
            </w:pPr>
            <w:r w:rsidRPr="00C62E0F">
              <w:rPr>
                <w:color w:val="FFFFFF" w:themeColor="background1"/>
                <w:sz w:val="30"/>
                <w:szCs w:val="30"/>
                <w:lang w:eastAsia="en-AU"/>
              </w:rPr>
              <w:t>1</w:t>
            </w:r>
          </w:p>
        </w:tc>
      </w:tr>
      <w:tr w:rsidR="00005F58" w:rsidRPr="00C62E0F" w14:paraId="424CE0A6" w14:textId="77777777" w:rsidTr="00D149E1">
        <w:tc>
          <w:tcPr>
            <w:tcW w:w="8930" w:type="dxa"/>
            <w:gridSpan w:val="2"/>
            <w:tcBorders>
              <w:bottom w:val="single" w:sz="4" w:space="0" w:color="F8981D" w:themeColor="accent3"/>
              <w:right w:val="single" w:sz="18" w:space="0" w:color="F8981D" w:themeColor="accent3"/>
            </w:tcBorders>
          </w:tcPr>
          <w:p w14:paraId="6935716A" w14:textId="77777777" w:rsidR="00005F58" w:rsidRPr="00E04419" w:rsidRDefault="00005F58" w:rsidP="00D149E1">
            <w:pPr>
              <w:rPr>
                <w:lang w:eastAsia="en-AU"/>
              </w:rPr>
            </w:pPr>
            <w:r w:rsidRPr="00FD6075">
              <w:rPr>
                <w:lang w:eastAsia="en-AU"/>
              </w:rPr>
              <w:t xml:space="preserve">The KLC should develop a document with options available to Traditional Owners who are concerned about the governance of their PBC to address the dissatisfaction of Traditional Owners where significant tensions between groups have </w:t>
            </w:r>
            <w:r w:rsidRPr="00F340FB">
              <w:rPr>
                <w:lang w:eastAsia="en-AU"/>
              </w:rPr>
              <w:t>arisen as a result of the claim process or determination</w:t>
            </w:r>
            <w:r w:rsidRPr="00FD6075">
              <w:rPr>
                <w:lang w:eastAsia="en-AU"/>
              </w:rPr>
              <w:t>.</w:t>
            </w:r>
          </w:p>
        </w:tc>
      </w:tr>
    </w:tbl>
    <w:p w14:paraId="3DB86E15" w14:textId="01AA5F37" w:rsidR="00446C8E" w:rsidRDefault="00446C8E" w:rsidP="00446C8E">
      <w:pPr>
        <w:pStyle w:val="Heading5"/>
        <w:numPr>
          <w:ilvl w:val="4"/>
          <w:numId w:val="0"/>
        </w:numPr>
      </w:pPr>
      <w:r w:rsidRPr="000F23A3">
        <w:t>TOR 2 | Extent to which each organisation assesses and prioritises applications for assistance in a manner that is equitable, transparent, and robust and is well publicised and understood by clients and potential clients</w:t>
      </w:r>
      <w:r>
        <w:t>.</w:t>
      </w:r>
    </w:p>
    <w:p w14:paraId="3132588F" w14:textId="77777777" w:rsidR="00005F58" w:rsidRDefault="00005F58" w:rsidP="00005F58">
      <w:pPr>
        <w:rPr>
          <w:lang w:eastAsia="en-AU"/>
        </w:rPr>
      </w:pPr>
      <w:r>
        <w:rPr>
          <w:lang w:eastAsia="en-AU"/>
        </w:rPr>
        <w:t>The KLC had a clear and well-documented policy in place for assessing and prioritising applications for assistance that it applied to all applications for assistance. The policy was made publicly available to clients through several channels. A Committee of the Board, the NTRB Grants Committee, assessed applications to determine if they met the criteria for assistance, including their legal merit and the factors that influenced a claim’s relative priority.</w:t>
      </w:r>
    </w:p>
    <w:p w14:paraId="737C226A" w14:textId="77777777" w:rsidR="00005F58" w:rsidRDefault="00005F58" w:rsidP="00005F58">
      <w:pPr>
        <w:rPr>
          <w:lang w:eastAsia="en-AU"/>
        </w:rPr>
      </w:pPr>
      <w:r>
        <w:rPr>
          <w:lang w:eastAsia="en-AU"/>
        </w:rPr>
        <w:t xml:space="preserve">The policy clearly stated that applicants would be informed of the decision and the reasoning behind it in writing. The Review saw no evidence that this policy was not followed however a very small number of clients who had applications refused reported to the Review that they were unclear as to the grounds for their rejection. </w:t>
      </w:r>
    </w:p>
    <w:p w14:paraId="7C412CBF" w14:textId="77777777" w:rsidR="00005F58" w:rsidRDefault="00005F58" w:rsidP="00005F58">
      <w:pPr>
        <w:rPr>
          <w:lang w:eastAsia="en-AU"/>
        </w:rPr>
      </w:pPr>
      <w:r>
        <w:rPr>
          <w:lang w:eastAsia="en-AU"/>
        </w:rPr>
        <w:t>A small number of Traditional Owners and other stakeholders associated with KLC also expressed a concern to the Review that the prioritisation process may be influenced by Board members or senior staff with ties to relevant claim groups. The Review was not provided with any evidence of specific cases and notes that the KLC has a clearly documented conflict of interest policy which appears to be consistently applied in practice.</w:t>
      </w:r>
    </w:p>
    <w:p w14:paraId="3E88D6C5" w14:textId="6B5E9F7C" w:rsidR="00005F58" w:rsidRDefault="00005F58" w:rsidP="00005F58">
      <w:pPr>
        <w:rPr>
          <w:lang w:eastAsia="en-AU"/>
        </w:rPr>
      </w:pPr>
      <w:r>
        <w:rPr>
          <w:lang w:eastAsia="en-AU"/>
        </w:rPr>
        <w:t>The large volume of work in the post-determination space continues to grow and compete with resources available for claims. This places a constraint on the ability of the KLC to prioritise increasingly complex claims. Staff consistently held the view that funding had not kept up with workload over the Review period.</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005F58" w14:paraId="3FFEBC17" w14:textId="77777777" w:rsidTr="00D149E1">
        <w:trPr>
          <w:trHeight w:val="360"/>
        </w:trPr>
        <w:tc>
          <w:tcPr>
            <w:tcW w:w="8223" w:type="dxa"/>
          </w:tcPr>
          <w:p w14:paraId="4EA98538" w14:textId="77777777" w:rsidR="00005F58" w:rsidRDefault="00005F58" w:rsidP="00D149E1">
            <w:pPr>
              <w:rPr>
                <w:lang w:eastAsia="en-AU"/>
              </w:rPr>
            </w:pPr>
            <w:r w:rsidRPr="00F97AB5">
              <w:rPr>
                <w:noProof/>
                <w:lang w:eastAsia="en-AU"/>
              </w:rPr>
              <w:drawing>
                <wp:inline distT="0" distB="0" distL="0" distR="0" wp14:anchorId="342CFD28" wp14:editId="3CF8C15F">
                  <wp:extent cx="5114199" cy="287655"/>
                  <wp:effectExtent l="0" t="0" r="0" b="0"/>
                  <wp:docPr id="731787019" name="Picture 73178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58689A92" w14:textId="77777777" w:rsidR="00005F58" w:rsidRPr="00F97AB5" w:rsidRDefault="00005F58" w:rsidP="00D149E1">
            <w:pPr>
              <w:spacing w:after="100" w:afterAutospacing="1"/>
              <w:jc w:val="center"/>
              <w:rPr>
                <w:sz w:val="30"/>
                <w:szCs w:val="30"/>
                <w:lang w:eastAsia="en-AU"/>
              </w:rPr>
            </w:pPr>
            <w:r w:rsidRPr="00A00AA7">
              <w:rPr>
                <w:color w:val="FFFFFF" w:themeColor="background1"/>
                <w:sz w:val="30"/>
                <w:szCs w:val="30"/>
                <w:lang w:eastAsia="en-AU"/>
              </w:rPr>
              <w:t>2</w:t>
            </w:r>
          </w:p>
        </w:tc>
      </w:tr>
      <w:tr w:rsidR="00005F58" w14:paraId="6D215E56" w14:textId="77777777" w:rsidTr="00D149E1">
        <w:tc>
          <w:tcPr>
            <w:tcW w:w="8930" w:type="dxa"/>
            <w:gridSpan w:val="2"/>
            <w:tcBorders>
              <w:bottom w:val="single" w:sz="4" w:space="0" w:color="F8981D" w:themeColor="accent3"/>
              <w:right w:val="single" w:sz="18" w:space="0" w:color="F8981D" w:themeColor="accent3"/>
            </w:tcBorders>
          </w:tcPr>
          <w:p w14:paraId="2A828B29" w14:textId="77777777" w:rsidR="00005F58" w:rsidRPr="00BD37ED" w:rsidRDefault="00005F58" w:rsidP="00D149E1">
            <w:r>
              <w:t>Ensure that where applications for assistance are refused, the applicants are always provided with an explanation of the prioritisation process and clearly articulated reasoning</w:t>
            </w:r>
            <w:r w:rsidRPr="004B72F7">
              <w:t xml:space="preserve"> for</w:t>
            </w:r>
            <w:r>
              <w:t xml:space="preserve"> the</w:t>
            </w:r>
            <w:r w:rsidRPr="004B72F7">
              <w:t xml:space="preserve"> decision</w:t>
            </w:r>
            <w:r>
              <w:t xml:space="preserve"> including an accurate plain English record of the decisions made and the reasoning behind them.</w:t>
            </w:r>
          </w:p>
        </w:tc>
      </w:tr>
    </w:tbl>
    <w:p w14:paraId="00EC6CD9" w14:textId="37989ACA" w:rsidR="00446C8E" w:rsidRDefault="00446C8E" w:rsidP="00446C8E">
      <w:pPr>
        <w:pStyle w:val="Heading5"/>
        <w:numPr>
          <w:ilvl w:val="4"/>
          <w:numId w:val="2"/>
        </w:numPr>
      </w:pPr>
      <w:r w:rsidRPr="00BD4348">
        <w:t>TOR 3 | Extent to which each organisation deals respectfully, equitably, transparently and in a culturally appropriate manner with persons who hold or may hold native title in its region</w:t>
      </w:r>
      <w:r>
        <w:t>.</w:t>
      </w:r>
    </w:p>
    <w:p w14:paraId="67BE3CAC" w14:textId="77777777" w:rsidR="00005F58" w:rsidRDefault="00005F58" w:rsidP="00005F58">
      <w:pPr>
        <w:rPr>
          <w:lang w:eastAsia="en-AU"/>
        </w:rPr>
      </w:pPr>
      <w:r>
        <w:rPr>
          <w:lang w:eastAsia="en-AU"/>
        </w:rPr>
        <w:t>The KLC had an established approach toward respectful and culturally appropriate engagement in its native title work that remained in place throughout the Review period. Cultural competency and respectful practices were embedded into the organisation’s practices through induction programs and cultural immersion. The strong component of Indigenous staff with ties to the Kimberley, including those in leadership positions, meant that the KLC had strategic and operational insight into cultural appropriateness throughout all levels of the organisation.</w:t>
      </w:r>
    </w:p>
    <w:p w14:paraId="082A9384" w14:textId="77777777" w:rsidR="00005F58" w:rsidRDefault="00005F58" w:rsidP="00005F58">
      <w:pPr>
        <w:rPr>
          <w:lang w:eastAsia="en-AU"/>
        </w:rPr>
      </w:pPr>
      <w:r>
        <w:rPr>
          <w:lang w:eastAsia="en-AU"/>
        </w:rPr>
        <w:t xml:space="preserve">These positive engagement practices could be enhanced by the development of more explicit documentation, such as protocols and guidelines. </w:t>
      </w:r>
    </w:p>
    <w:p w14:paraId="6469DA2F" w14:textId="77777777" w:rsidR="00005F58" w:rsidRDefault="00005F58" w:rsidP="00005F58">
      <w:pPr>
        <w:rPr>
          <w:lang w:eastAsia="en-AU"/>
        </w:rPr>
      </w:pPr>
      <w:r>
        <w:rPr>
          <w:lang w:eastAsia="en-AU"/>
        </w:rPr>
        <w:lastRenderedPageBreak/>
        <w:t xml:space="preserve">Some Traditional Owners noted that there could be greater transparency in communication and improvements to the cultural appropriateness of meetings, particularly regarding the right way for men and women to meet and make decisions. There was also a view that more attention could be paid to helping Traditional Owners understand legal jargon, by having more Indigenous staff present at meetings. Given the sensitivity around the use and return of cultural materials, there is a need to pay particular attention to culturally appropriate ways of conveying decisions around handling of this material. </w:t>
      </w:r>
    </w:p>
    <w:p w14:paraId="4BE435DC" w14:textId="77777777" w:rsidR="00005F58" w:rsidRDefault="00005F58" w:rsidP="00005F58">
      <w:pPr>
        <w:rPr>
          <w:lang w:eastAsia="en-AU"/>
        </w:rPr>
      </w:pPr>
      <w:r>
        <w:rPr>
          <w:lang w:eastAsia="en-AU"/>
        </w:rPr>
        <w:t>The KLC had a complaints policy available on its website with detailed information about how complaints are processed. Information about how decisions regarding assistance could be reviewed was available in the applications for assistance guidelines.</w:t>
      </w:r>
    </w:p>
    <w:p w14:paraId="23BA2811" w14:textId="0CF30B46" w:rsidR="00005F58" w:rsidRDefault="00005F58" w:rsidP="00005F58">
      <w:pPr>
        <w:rPr>
          <w:lang w:eastAsia="en-AU"/>
        </w:rPr>
      </w:pPr>
      <w:r>
        <w:rPr>
          <w:lang w:eastAsia="en-AU"/>
        </w:rPr>
        <w:t>Across the Review period, the KLC received ten complaints related to native title. The KLC reported that all the complaints were examined and addressed, noting that this was not always to the satisfaction of the complainant.</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005F58" w14:paraId="3FBA645B" w14:textId="77777777" w:rsidTr="00D149E1">
        <w:trPr>
          <w:trHeight w:val="360"/>
        </w:trPr>
        <w:tc>
          <w:tcPr>
            <w:tcW w:w="8223" w:type="dxa"/>
          </w:tcPr>
          <w:p w14:paraId="460CFF19" w14:textId="77777777" w:rsidR="00005F58" w:rsidRDefault="00005F58" w:rsidP="00D149E1">
            <w:pPr>
              <w:rPr>
                <w:lang w:eastAsia="en-AU"/>
              </w:rPr>
            </w:pPr>
            <w:r w:rsidRPr="00F97AB5">
              <w:rPr>
                <w:noProof/>
                <w:lang w:eastAsia="en-AU"/>
              </w:rPr>
              <w:drawing>
                <wp:inline distT="0" distB="0" distL="0" distR="0" wp14:anchorId="27D87EDB" wp14:editId="378764CF">
                  <wp:extent cx="5114199" cy="287655"/>
                  <wp:effectExtent l="0" t="0" r="0" b="0"/>
                  <wp:docPr id="1449746872" name="Picture 144974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7BA33879" w14:textId="77777777" w:rsidR="00005F58" w:rsidRPr="00F97AB5" w:rsidRDefault="00005F58" w:rsidP="00D149E1">
            <w:pPr>
              <w:spacing w:after="100" w:afterAutospacing="1"/>
              <w:jc w:val="center"/>
              <w:rPr>
                <w:sz w:val="30"/>
                <w:szCs w:val="30"/>
                <w:lang w:eastAsia="en-AU"/>
              </w:rPr>
            </w:pPr>
            <w:r>
              <w:rPr>
                <w:color w:val="FFFFFF" w:themeColor="background1"/>
                <w:sz w:val="30"/>
                <w:szCs w:val="30"/>
                <w:lang w:eastAsia="en-AU"/>
              </w:rPr>
              <w:t>3</w:t>
            </w:r>
          </w:p>
        </w:tc>
      </w:tr>
      <w:tr w:rsidR="00005F58" w14:paraId="22FB5DE2" w14:textId="77777777" w:rsidTr="00D149E1">
        <w:tc>
          <w:tcPr>
            <w:tcW w:w="8930" w:type="dxa"/>
            <w:gridSpan w:val="2"/>
            <w:tcBorders>
              <w:right w:val="single" w:sz="18" w:space="0" w:color="F8981D" w:themeColor="accent3"/>
            </w:tcBorders>
          </w:tcPr>
          <w:p w14:paraId="6CA8CE33" w14:textId="77777777" w:rsidR="00005F58" w:rsidRPr="00BD37ED" w:rsidRDefault="00005F58" w:rsidP="00D149E1">
            <w:r>
              <w:rPr>
                <w:lang w:eastAsia="en-AU"/>
              </w:rPr>
              <w:t>Develop written protocols and guidelines to document the KLC’s culturally appropriate engagement strategies, including protocols by which meetings will be run.</w:t>
            </w:r>
          </w:p>
        </w:tc>
      </w:tr>
      <w:tr w:rsidR="00005F58" w14:paraId="4FE1EEF8" w14:textId="77777777" w:rsidTr="00D149E1">
        <w:trPr>
          <w:trHeight w:val="360"/>
        </w:trPr>
        <w:tc>
          <w:tcPr>
            <w:tcW w:w="8223" w:type="dxa"/>
          </w:tcPr>
          <w:p w14:paraId="204D7B8C" w14:textId="77777777" w:rsidR="00005F58" w:rsidRDefault="00005F58" w:rsidP="00D149E1">
            <w:pPr>
              <w:rPr>
                <w:lang w:eastAsia="en-AU"/>
              </w:rPr>
            </w:pPr>
            <w:r w:rsidRPr="00F97AB5">
              <w:rPr>
                <w:noProof/>
                <w:lang w:eastAsia="en-AU"/>
              </w:rPr>
              <w:drawing>
                <wp:inline distT="0" distB="0" distL="0" distR="0" wp14:anchorId="60333D74" wp14:editId="28C96655">
                  <wp:extent cx="5114199" cy="287655"/>
                  <wp:effectExtent l="0" t="0" r="0" b="0"/>
                  <wp:docPr id="1181297430" name="Picture 118129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57897888" w14:textId="77777777" w:rsidR="00005F58" w:rsidRPr="00F97AB5" w:rsidRDefault="00005F58" w:rsidP="00D149E1">
            <w:pPr>
              <w:spacing w:after="100" w:afterAutospacing="1"/>
              <w:jc w:val="center"/>
              <w:rPr>
                <w:sz w:val="30"/>
                <w:szCs w:val="30"/>
                <w:lang w:eastAsia="en-AU"/>
              </w:rPr>
            </w:pPr>
            <w:r>
              <w:rPr>
                <w:color w:val="FFFFFF" w:themeColor="background1"/>
                <w:sz w:val="30"/>
                <w:szCs w:val="30"/>
                <w:lang w:eastAsia="en-AU"/>
              </w:rPr>
              <w:t>4</w:t>
            </w:r>
          </w:p>
        </w:tc>
      </w:tr>
      <w:tr w:rsidR="00005F58" w14:paraId="7FDEF7E1" w14:textId="77777777" w:rsidTr="00D149E1">
        <w:tc>
          <w:tcPr>
            <w:tcW w:w="8930" w:type="dxa"/>
            <w:gridSpan w:val="2"/>
            <w:tcBorders>
              <w:bottom w:val="single" w:sz="8" w:space="0" w:color="F8981D" w:themeColor="accent3"/>
              <w:right w:val="single" w:sz="18" w:space="0" w:color="F8981D" w:themeColor="accent3"/>
            </w:tcBorders>
          </w:tcPr>
          <w:p w14:paraId="299979B6" w14:textId="77777777" w:rsidR="00005F58" w:rsidRPr="00BD37ED" w:rsidRDefault="00005F58" w:rsidP="00D149E1">
            <w:pPr>
              <w:rPr>
                <w:lang w:eastAsia="en-AU"/>
              </w:rPr>
            </w:pPr>
            <w:r w:rsidRPr="0055330F">
              <w:rPr>
                <w:lang w:eastAsia="en-AU"/>
              </w:rPr>
              <w:t>Develop more culturally sensitive approaches to advising Traditional Owners on privacy considerations which may limit access to genealogical information.</w:t>
            </w:r>
          </w:p>
        </w:tc>
      </w:tr>
    </w:tbl>
    <w:p w14:paraId="0916392E" w14:textId="557C8C03" w:rsidR="00446C8E" w:rsidRDefault="00446C8E" w:rsidP="00446C8E">
      <w:pPr>
        <w:pStyle w:val="Heading5"/>
        <w:numPr>
          <w:ilvl w:val="4"/>
          <w:numId w:val="2"/>
        </w:numPr>
      </w:pPr>
      <w:r w:rsidRPr="00E626B9">
        <w:t>TOR 4 | Extent to which each organisation performs its functions in a cost-effective manner, including by identifying the key cost drivers for the organisation</w:t>
      </w:r>
      <w:r>
        <w:t>.</w:t>
      </w:r>
    </w:p>
    <w:p w14:paraId="7E3EDA65" w14:textId="77777777" w:rsidR="00005F58" w:rsidRDefault="00005F58" w:rsidP="00005F58">
      <w:pPr>
        <w:rPr>
          <w:lang w:eastAsia="en-AU"/>
        </w:rPr>
      </w:pPr>
      <w:r>
        <w:rPr>
          <w:lang w:eastAsia="en-AU"/>
        </w:rPr>
        <w:t>The KLC adopted cost effective practices over the Review period, showing year-on-year improvement against budget. This achievement in cost effectiveness has been against an environment that presented significant challenges to cost efficiencies, including the very remote nature of the region.</w:t>
      </w:r>
    </w:p>
    <w:p w14:paraId="4C4D4B74" w14:textId="77777777" w:rsidR="00005F58" w:rsidRDefault="00005F58" w:rsidP="00005F58">
      <w:pPr>
        <w:rPr>
          <w:lang w:eastAsia="en-AU"/>
        </w:rPr>
      </w:pPr>
      <w:r>
        <w:rPr>
          <w:lang w:eastAsia="en-AU"/>
        </w:rPr>
        <w:t xml:space="preserve">Staff salaries made up the greatest item of spending for the KLC, with competition from the mining sector in particular impacting on salary costs. Unfilled vacancies led to a need to contract some work out, leading to spending on corporate consultants significantly exceeding budgeted amounts. </w:t>
      </w:r>
    </w:p>
    <w:p w14:paraId="4C54773C" w14:textId="77777777" w:rsidR="00005F58" w:rsidRDefault="00005F58" w:rsidP="00005F58">
      <w:pPr>
        <w:rPr>
          <w:lang w:eastAsia="en-AU"/>
        </w:rPr>
      </w:pPr>
      <w:r>
        <w:rPr>
          <w:lang w:eastAsia="en-AU"/>
        </w:rPr>
        <w:t>The KLC’s policies and processes for claim group meetings balance considerations of cost-effectiveness with the importance of supporting equitable participation.</w:t>
      </w:r>
    </w:p>
    <w:p w14:paraId="5F6F0752" w14:textId="77777777" w:rsidR="00005F58" w:rsidRDefault="00005F58" w:rsidP="00005F58">
      <w:pPr>
        <w:rPr>
          <w:lang w:eastAsia="en-AU"/>
        </w:rPr>
      </w:pPr>
      <w:r>
        <w:rPr>
          <w:lang w:eastAsia="en-AU"/>
        </w:rPr>
        <w:t xml:space="preserve">The use of external anthropology and legal consultants appears cost effective and has generally been on budget. These costs and other costs related to field work were impacted during the Review period by the COVID-19 pandemic and public health restrictions. </w:t>
      </w:r>
    </w:p>
    <w:p w14:paraId="1630558E" w14:textId="4178BC6A" w:rsidR="00005F58" w:rsidRPr="00005F58" w:rsidRDefault="00005F58" w:rsidP="00005F58">
      <w:pPr>
        <w:rPr>
          <w:lang w:eastAsia="en-AU"/>
        </w:rPr>
      </w:pPr>
      <w:r>
        <w:rPr>
          <w:lang w:eastAsia="en-AU"/>
        </w:rPr>
        <w:t>The KLC used a range of cost-saving measures during the Review period, including reducing travel costs through improved coordination, negotiating discounts through bigger professional contracts and effectively managing IT infrastructure.</w:t>
      </w:r>
    </w:p>
    <w:p w14:paraId="6AD87137" w14:textId="0E98110E" w:rsidR="00446C8E" w:rsidRDefault="00446C8E" w:rsidP="00446C8E">
      <w:pPr>
        <w:pStyle w:val="Heading5"/>
        <w:numPr>
          <w:ilvl w:val="4"/>
          <w:numId w:val="2"/>
        </w:numPr>
      </w:pPr>
      <w:r w:rsidRPr="006F6223">
        <w:t>TOR 5 | Extent to which each organisation has governance and management structures, and organisational policies and an organisational culture that support efficient and effective project</w:t>
      </w:r>
      <w:r w:rsidR="0042418A">
        <w:t xml:space="preserve"> delivery</w:t>
      </w:r>
      <w:r>
        <w:t>.</w:t>
      </w:r>
    </w:p>
    <w:p w14:paraId="73F689B8" w14:textId="77777777" w:rsidR="00005F58" w:rsidRDefault="00005F58" w:rsidP="00005F58">
      <w:pPr>
        <w:rPr>
          <w:lang w:eastAsia="en-AU"/>
        </w:rPr>
      </w:pPr>
      <w:r>
        <w:rPr>
          <w:lang w:eastAsia="en-AU"/>
        </w:rPr>
        <w:t xml:space="preserve">The KLC’s governance structure underwent significant reform towards the end of the Review period, with the introduction of a more streamlined Executive Board of 12 Directors and Cultural Advisers together with </w:t>
      </w:r>
      <w:r>
        <w:rPr>
          <w:lang w:eastAsia="en-AU"/>
        </w:rPr>
        <w:lastRenderedPageBreak/>
        <w:t>a large 60-member Representative Council. This restructure, introduced at the 2022 annual general meeting (AGM), was strongly supported across the Kimberley and has led to a more manageable governance structure for the KLC.</w:t>
      </w:r>
    </w:p>
    <w:p w14:paraId="540E5FD6" w14:textId="77777777" w:rsidR="00005F58" w:rsidRDefault="00005F58" w:rsidP="00005F58">
      <w:pPr>
        <w:rPr>
          <w:lang w:eastAsia="en-AU"/>
        </w:rPr>
      </w:pPr>
      <w:r>
        <w:rPr>
          <w:lang w:eastAsia="en-AU"/>
        </w:rPr>
        <w:t xml:space="preserve">The restructure will need careful ongoing management however, as it was seen by some Traditional Owners as diminishing decision-making power for regional representatives across the Kimberley and a way of entrenching what they perceived as “a small core of influential powerbrokers within the KLC”. Cross-membership of individuals on various related Boards was also highlighted by some commentators as an over-concentration of power in too few people. The Review found that KLC adopted consistent use of conflict of interest policies and processes. </w:t>
      </w:r>
    </w:p>
    <w:p w14:paraId="467F88A8" w14:textId="77777777" w:rsidR="00005F58" w:rsidRDefault="00005F58" w:rsidP="00005F58">
      <w:pPr>
        <w:rPr>
          <w:lang w:eastAsia="en-AU"/>
        </w:rPr>
      </w:pPr>
      <w:r>
        <w:rPr>
          <w:lang w:eastAsia="en-AU"/>
        </w:rPr>
        <w:t xml:space="preserve">Despite the upheaval caused by the early termination of the newly appointed CEO in early 2021, the KLC has maintained strong executive leadership and its organisational structure and financial management continued to be sound. </w:t>
      </w:r>
    </w:p>
    <w:p w14:paraId="09464316" w14:textId="25AA6ECC" w:rsidR="00005F58" w:rsidRDefault="00005F58" w:rsidP="00005F58">
      <w:pPr>
        <w:rPr>
          <w:lang w:eastAsia="en-AU"/>
        </w:rPr>
      </w:pPr>
      <w:r>
        <w:rPr>
          <w:lang w:eastAsia="en-AU"/>
        </w:rPr>
        <w:t>Concerns were raised by some Directors in May 2021 about potential fraudulent mismanagement of the KSDCT, which is managed by a wholly owned subsidiary of the KLC, KSD. These concerns led to the KLC commissioning an independent inquiry into the KSDCT. The high-profile inquiry found no evidence of wrongdoing by the KSDCT, or by the KLC, in the management of the native title funds held by native title holders in the region.</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005F58" w:rsidRPr="00C62E0F" w14:paraId="47271AD8" w14:textId="77777777" w:rsidTr="00D149E1">
        <w:trPr>
          <w:trHeight w:val="360"/>
        </w:trPr>
        <w:tc>
          <w:tcPr>
            <w:tcW w:w="7852" w:type="dxa"/>
          </w:tcPr>
          <w:p w14:paraId="1DCD9469" w14:textId="77777777" w:rsidR="00005F58" w:rsidRPr="00C62E0F" w:rsidRDefault="00005F58" w:rsidP="00D149E1">
            <w:pPr>
              <w:spacing w:line="259" w:lineRule="auto"/>
              <w:rPr>
                <w:lang w:eastAsia="en-AU"/>
              </w:rPr>
            </w:pPr>
            <w:r w:rsidRPr="00C62E0F">
              <w:rPr>
                <w:noProof/>
                <w:lang w:eastAsia="en-AU"/>
              </w:rPr>
              <w:drawing>
                <wp:inline distT="0" distB="0" distL="0" distR="0" wp14:anchorId="3ED2AEFD" wp14:editId="338FF122">
                  <wp:extent cx="5114199" cy="287655"/>
                  <wp:effectExtent l="0" t="0" r="0" b="0"/>
                  <wp:docPr id="930028683" name="Picture 9300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1078" w:type="dxa"/>
            <w:shd w:val="clear" w:color="auto" w:fill="F8981D" w:themeFill="accent3"/>
          </w:tcPr>
          <w:p w14:paraId="72C33DCF" w14:textId="77777777" w:rsidR="00005F58" w:rsidRPr="00C62E0F" w:rsidRDefault="00005F58" w:rsidP="00D149E1">
            <w:pPr>
              <w:spacing w:after="100" w:afterAutospacing="1" w:line="259" w:lineRule="auto"/>
              <w:jc w:val="center"/>
              <w:rPr>
                <w:sz w:val="30"/>
                <w:szCs w:val="30"/>
                <w:lang w:eastAsia="en-AU"/>
              </w:rPr>
            </w:pPr>
            <w:r>
              <w:rPr>
                <w:color w:val="FFFFFF" w:themeColor="background1"/>
                <w:sz w:val="30"/>
                <w:szCs w:val="30"/>
                <w:lang w:eastAsia="en-AU"/>
              </w:rPr>
              <w:t>5</w:t>
            </w:r>
          </w:p>
        </w:tc>
      </w:tr>
      <w:tr w:rsidR="00005F58" w:rsidRPr="00C62E0F" w14:paraId="54EED106" w14:textId="77777777" w:rsidTr="00D149E1">
        <w:tc>
          <w:tcPr>
            <w:tcW w:w="8930" w:type="dxa"/>
            <w:gridSpan w:val="2"/>
            <w:tcBorders>
              <w:right w:val="single" w:sz="18" w:space="0" w:color="F8981D" w:themeColor="accent3"/>
            </w:tcBorders>
          </w:tcPr>
          <w:p w14:paraId="423DB8FE" w14:textId="77777777" w:rsidR="00005F58" w:rsidRPr="00E04419" w:rsidRDefault="00005F58" w:rsidP="00D149E1">
            <w:pPr>
              <w:spacing w:line="259" w:lineRule="auto"/>
            </w:pPr>
            <w:r>
              <w:t>Monitor and develop strategies to mitigate the risk that the restructured Board arrangements may be seen by Traditional Owners to be a means of centralising influence in a small number of representatives.</w:t>
            </w:r>
          </w:p>
        </w:tc>
      </w:tr>
      <w:tr w:rsidR="00005F58" w:rsidRPr="00C62E0F" w14:paraId="70B70684" w14:textId="77777777" w:rsidTr="00D149E1">
        <w:trPr>
          <w:trHeight w:val="360"/>
        </w:trPr>
        <w:tc>
          <w:tcPr>
            <w:tcW w:w="7852" w:type="dxa"/>
          </w:tcPr>
          <w:p w14:paraId="68D5AA78" w14:textId="77777777" w:rsidR="00005F58" w:rsidRPr="00C62E0F" w:rsidRDefault="00005F58" w:rsidP="00D149E1">
            <w:pPr>
              <w:spacing w:line="259" w:lineRule="auto"/>
              <w:rPr>
                <w:lang w:eastAsia="en-AU"/>
              </w:rPr>
            </w:pPr>
            <w:r w:rsidRPr="00C62E0F">
              <w:rPr>
                <w:noProof/>
                <w:lang w:eastAsia="en-AU"/>
              </w:rPr>
              <w:drawing>
                <wp:inline distT="0" distB="0" distL="0" distR="0" wp14:anchorId="34227B4C" wp14:editId="29E0D333">
                  <wp:extent cx="5114199" cy="287655"/>
                  <wp:effectExtent l="0" t="0" r="0" b="0"/>
                  <wp:docPr id="1694037390" name="Picture 1694037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1078" w:type="dxa"/>
            <w:shd w:val="clear" w:color="auto" w:fill="F8981D" w:themeFill="accent3"/>
          </w:tcPr>
          <w:p w14:paraId="67F9AEE2" w14:textId="77777777" w:rsidR="00005F58" w:rsidRPr="00C62E0F" w:rsidRDefault="00005F58" w:rsidP="00D149E1">
            <w:pPr>
              <w:spacing w:after="100" w:afterAutospacing="1" w:line="259" w:lineRule="auto"/>
              <w:jc w:val="center"/>
              <w:rPr>
                <w:sz w:val="30"/>
                <w:szCs w:val="30"/>
                <w:lang w:eastAsia="en-AU"/>
              </w:rPr>
            </w:pPr>
            <w:r>
              <w:rPr>
                <w:color w:val="FFFFFF" w:themeColor="background1"/>
                <w:sz w:val="30"/>
                <w:szCs w:val="30"/>
                <w:lang w:eastAsia="en-AU"/>
              </w:rPr>
              <w:t>6</w:t>
            </w:r>
          </w:p>
        </w:tc>
      </w:tr>
      <w:tr w:rsidR="00005F58" w:rsidRPr="00C62E0F" w14:paraId="6926F862" w14:textId="77777777" w:rsidTr="00D149E1">
        <w:tc>
          <w:tcPr>
            <w:tcW w:w="8930" w:type="dxa"/>
            <w:gridSpan w:val="2"/>
            <w:tcBorders>
              <w:right w:val="single" w:sz="18" w:space="0" w:color="F8981D" w:themeColor="accent3"/>
            </w:tcBorders>
          </w:tcPr>
          <w:p w14:paraId="3881DDCE" w14:textId="77777777" w:rsidR="00005F58" w:rsidRPr="00E04419" w:rsidRDefault="00005F58" w:rsidP="00D149E1">
            <w:pPr>
              <w:spacing w:line="259" w:lineRule="auto"/>
            </w:pPr>
            <w:r>
              <w:t>Communicate regularly to Traditional Owners about the implementation of recommendations made by the inquiry into the KSDCT.</w:t>
            </w:r>
          </w:p>
        </w:tc>
      </w:tr>
      <w:tr w:rsidR="00005F58" w:rsidRPr="00C62E0F" w14:paraId="41DF92D6" w14:textId="77777777" w:rsidTr="00D149E1">
        <w:trPr>
          <w:trHeight w:val="360"/>
        </w:trPr>
        <w:tc>
          <w:tcPr>
            <w:tcW w:w="7852" w:type="dxa"/>
          </w:tcPr>
          <w:p w14:paraId="1713AB8F" w14:textId="77777777" w:rsidR="00005F58" w:rsidRPr="00C62E0F" w:rsidRDefault="00005F58" w:rsidP="00D149E1">
            <w:pPr>
              <w:spacing w:line="259" w:lineRule="auto"/>
              <w:rPr>
                <w:lang w:eastAsia="en-AU"/>
              </w:rPr>
            </w:pPr>
            <w:r w:rsidRPr="00C62E0F">
              <w:rPr>
                <w:noProof/>
                <w:lang w:eastAsia="en-AU"/>
              </w:rPr>
              <w:drawing>
                <wp:inline distT="0" distB="0" distL="0" distR="0" wp14:anchorId="31131509" wp14:editId="441AB503">
                  <wp:extent cx="5114199" cy="287655"/>
                  <wp:effectExtent l="0" t="0" r="0" b="0"/>
                  <wp:docPr id="1641527019" name="Picture 164152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1078" w:type="dxa"/>
            <w:shd w:val="clear" w:color="auto" w:fill="F8981D" w:themeFill="accent3"/>
          </w:tcPr>
          <w:p w14:paraId="68A94C43" w14:textId="77777777" w:rsidR="00005F58" w:rsidRPr="00C62E0F" w:rsidRDefault="00005F58" w:rsidP="00D149E1">
            <w:pPr>
              <w:spacing w:after="100" w:afterAutospacing="1" w:line="259" w:lineRule="auto"/>
              <w:jc w:val="center"/>
              <w:rPr>
                <w:sz w:val="30"/>
                <w:szCs w:val="30"/>
                <w:lang w:eastAsia="en-AU"/>
              </w:rPr>
            </w:pPr>
            <w:r>
              <w:rPr>
                <w:color w:val="FFFFFF" w:themeColor="background1"/>
                <w:sz w:val="30"/>
                <w:szCs w:val="30"/>
                <w:lang w:eastAsia="en-AU"/>
              </w:rPr>
              <w:t>7</w:t>
            </w:r>
          </w:p>
        </w:tc>
      </w:tr>
      <w:tr w:rsidR="00005F58" w:rsidRPr="00C62E0F" w14:paraId="5AC125C4" w14:textId="77777777" w:rsidTr="00D149E1">
        <w:tc>
          <w:tcPr>
            <w:tcW w:w="8930" w:type="dxa"/>
            <w:gridSpan w:val="2"/>
            <w:tcBorders>
              <w:bottom w:val="single" w:sz="4" w:space="0" w:color="F8981D" w:themeColor="accent3"/>
              <w:right w:val="single" w:sz="18" w:space="0" w:color="F8981D" w:themeColor="accent3"/>
            </w:tcBorders>
          </w:tcPr>
          <w:p w14:paraId="3910F62E" w14:textId="77777777" w:rsidR="00005F58" w:rsidRPr="00E04419" w:rsidRDefault="00005F58" w:rsidP="00D149E1">
            <w:pPr>
              <w:spacing w:line="259" w:lineRule="auto"/>
            </w:pPr>
            <w:r w:rsidRPr="00D02E1B">
              <w:t>Develop a policy and communication materials to demonstrate to the community the separation between KLC and its wholly owned subsidiary KSD</w:t>
            </w:r>
            <w:r>
              <w:t>.</w:t>
            </w:r>
          </w:p>
        </w:tc>
      </w:tr>
    </w:tbl>
    <w:p w14:paraId="15D1DD92" w14:textId="29BB3BAE" w:rsidR="00446C8E" w:rsidRDefault="00446C8E" w:rsidP="00184DFE">
      <w:pPr>
        <w:pStyle w:val="Heading5"/>
        <w:numPr>
          <w:ilvl w:val="0"/>
          <w:numId w:val="0"/>
        </w:numPr>
      </w:pPr>
      <w:r w:rsidRPr="001419D3">
        <w:t xml:space="preserve">TOR 6 | Extent to which each organisation is adequately supporting </w:t>
      </w:r>
      <w:r>
        <w:t xml:space="preserve">PBCs </w:t>
      </w:r>
      <w:r w:rsidRPr="001419D3">
        <w:t>towards self-sufficiency</w:t>
      </w:r>
      <w:r>
        <w:t>.</w:t>
      </w:r>
      <w:r w:rsidR="00163A11">
        <w:t xml:space="preserve"> </w:t>
      </w:r>
    </w:p>
    <w:p w14:paraId="61BD36D9" w14:textId="142D967F" w:rsidR="00005F58" w:rsidRDefault="00005F58" w:rsidP="00005F58">
      <w:pPr>
        <w:rPr>
          <w:lang w:eastAsia="en-AU"/>
        </w:rPr>
      </w:pPr>
      <w:r>
        <w:rPr>
          <w:lang w:eastAsia="en-AU"/>
        </w:rPr>
        <w:t xml:space="preserve">The KLC supported 29 of the 31 PBCs in the Kimberley region with either a formal service agreement for transitioning PBCs or a legal retainer with the PBCs who engaged KLC to provide legal representation. No PBCs required formal intervention from </w:t>
      </w:r>
      <w:r w:rsidRPr="00005F58">
        <w:rPr>
          <w:lang w:eastAsia="en-AU"/>
        </w:rPr>
        <w:t xml:space="preserve">Office of the Registrar of Indigenous Corporations </w:t>
      </w:r>
      <w:r>
        <w:rPr>
          <w:lang w:eastAsia="en-AU"/>
        </w:rPr>
        <w:t>(ORIC) during the Review period. Most of the supported PBCs (22 PBCs) relied on the KLC for basic funding and support, including for meetings, financial administration, corporate governance and compliance. PBC Director awareness of responsibilities was generally appropriate, with many PBCs in the region requiring significant support from the KLC Legal Unit to remain compliant. Some PBCs who engaged with the Review were conscious of their need for more help to keep up with legislative changes.</w:t>
      </w:r>
    </w:p>
    <w:p w14:paraId="32EE10C1" w14:textId="66BD2BB7" w:rsidR="00005F58" w:rsidRDefault="00005F58" w:rsidP="00005F58">
      <w:pPr>
        <w:rPr>
          <w:lang w:eastAsia="en-AU"/>
        </w:rPr>
      </w:pPr>
      <w:r>
        <w:rPr>
          <w:lang w:eastAsia="en-AU"/>
        </w:rPr>
        <w:t xml:space="preserve">Support was mainly provided through the KLC’s NTSU, which comprised two regional managers and a team of project and field officers. However, the NTSU for the East Kimberley, based in Kununurra was significantly understaffed during the Review period, which limited the KLC’s ability to provide support in </w:t>
      </w:r>
      <w:r>
        <w:rPr>
          <w:lang w:eastAsia="en-AU"/>
        </w:rPr>
        <w:lastRenderedPageBreak/>
        <w:t xml:space="preserve">that region. In addition, Future Act officers handled </w:t>
      </w:r>
      <w:r w:rsidR="0075354B" w:rsidRPr="00390D6E">
        <w:rPr>
          <w:lang w:eastAsia="en-AU"/>
        </w:rPr>
        <w:t xml:space="preserve">Future Act </w:t>
      </w:r>
      <w:r w:rsidR="0075354B">
        <w:rPr>
          <w:lang w:eastAsia="en-AU"/>
        </w:rPr>
        <w:t>n</w:t>
      </w:r>
      <w:r w:rsidR="0075354B" w:rsidRPr="00390D6E">
        <w:rPr>
          <w:lang w:eastAsia="en-AU"/>
        </w:rPr>
        <w:t>otifications (</w:t>
      </w:r>
      <w:r>
        <w:rPr>
          <w:lang w:eastAsia="en-AU"/>
        </w:rPr>
        <w:t>FANs</w:t>
      </w:r>
      <w:r w:rsidR="0075354B">
        <w:rPr>
          <w:lang w:eastAsia="en-AU"/>
        </w:rPr>
        <w:t>)</w:t>
      </w:r>
      <w:r>
        <w:rPr>
          <w:lang w:eastAsia="en-AU"/>
        </w:rPr>
        <w:t xml:space="preserve"> for PBCs and native title applicants. </w:t>
      </w:r>
    </w:p>
    <w:p w14:paraId="7205817F" w14:textId="77777777" w:rsidR="00005F58" w:rsidRDefault="00005F58" w:rsidP="00005F58">
      <w:pPr>
        <w:rPr>
          <w:lang w:eastAsia="en-AU"/>
        </w:rPr>
      </w:pPr>
      <w:r>
        <w:rPr>
          <w:lang w:eastAsia="en-AU"/>
        </w:rPr>
        <w:t xml:space="preserve">The KLC had a three-category system for monitoring the capability of PBCs: emerging, for PBCs which relied heavily on the KLC for basic support; transitioning; and independent, for PBCs which largely did not require the KLC’s support. Staff reported that PBCs often “boomerang” back from the higher levels of self-sufficiency to lower levels due to lack of sustainability in internal capacity. </w:t>
      </w:r>
    </w:p>
    <w:p w14:paraId="5845C69E" w14:textId="77777777" w:rsidR="00005F58" w:rsidRDefault="00005F58" w:rsidP="00005F58">
      <w:pPr>
        <w:rPr>
          <w:lang w:eastAsia="en-AU"/>
        </w:rPr>
      </w:pPr>
      <w:r>
        <w:rPr>
          <w:lang w:eastAsia="en-AU"/>
        </w:rPr>
        <w:t xml:space="preserve">Like other NTRB-SPs, the KLC was funded by NIAA during the Review period to provide only basic support to PBCs and to allocate the funding as it believed appropriate, based on need. Some PBCs advised that they would prefer to receive their funds directly from NIAA and were concerned that they were not receiving “the full value” of their NIAA funding. PBC members who spoke with the Review reported that the cost of activities needed to remain compliant absorbed the available funds, leaving capability development and sustainability unfunded. They wanted broader support from the KLC to develop an economic base for their organisation so they could become more self-sufficient. The Review notes that the PBC funding provided to KLC (and other NTRB-SPs) by the NIAA did not include this kind of support. </w:t>
      </w:r>
    </w:p>
    <w:p w14:paraId="07E18161" w14:textId="77777777" w:rsidR="00005F58" w:rsidRDefault="00005F58" w:rsidP="00005F58">
      <w:pPr>
        <w:rPr>
          <w:lang w:eastAsia="en-AU"/>
        </w:rPr>
      </w:pPr>
      <w:r>
        <w:rPr>
          <w:lang w:eastAsia="en-AU"/>
        </w:rPr>
        <w:t xml:space="preserve">Many Traditional Owners contacted the Review to express their dissatisfaction with the governance of their PBC. Smaller family groups reported having little say when decisions were made by a majority vote. The Review notes that these are structural matters relating to native title and not matters where the KLC has any powers to intervene unless formally requested. </w:t>
      </w:r>
    </w:p>
    <w:p w14:paraId="712D21E1" w14:textId="77777777" w:rsidR="00005F58" w:rsidRDefault="00005F58" w:rsidP="00005F58">
      <w:pPr>
        <w:rPr>
          <w:lang w:eastAsia="en-AU"/>
        </w:rPr>
      </w:pPr>
      <w:r>
        <w:rPr>
          <w:lang w:eastAsia="en-AU"/>
        </w:rPr>
        <w:t>The KLC has had a Transfer of Native Title Materials policy in place since 2016 and has been returning materials to PBCs across the Review period. KLC anthropologists advised that the policy needs to be updated subsequent to a Federal Court ruling during the Review period.</w:t>
      </w:r>
    </w:p>
    <w:p w14:paraId="08877FA4" w14:textId="6B79A50E" w:rsidR="00005F58" w:rsidRDefault="00005F58" w:rsidP="00005F58">
      <w:pPr>
        <w:rPr>
          <w:lang w:eastAsia="en-AU"/>
        </w:rPr>
      </w:pPr>
      <w:r>
        <w:rPr>
          <w:lang w:eastAsia="en-AU"/>
        </w:rPr>
        <w:t>There was significant resources activity in the Kimberley region leading to the overwhelming majority of FANs received being exploration licences. The number of FANs received is higher than comparable RATSIB areas examined during the Review period. However, this activity was concentrated in specific locations and the Review assessed that external factors had a moderate impact on the ability for PBCs to be self-sufficient.</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005F58" w:rsidRPr="00BF2584" w14:paraId="77B05378" w14:textId="77777777" w:rsidTr="00D149E1">
        <w:trPr>
          <w:trHeight w:val="360"/>
        </w:trPr>
        <w:tc>
          <w:tcPr>
            <w:tcW w:w="8223" w:type="dxa"/>
          </w:tcPr>
          <w:p w14:paraId="6138C88C" w14:textId="77777777" w:rsidR="00005F58" w:rsidRPr="00BF2584" w:rsidRDefault="00005F58" w:rsidP="00D149E1">
            <w:pPr>
              <w:spacing w:line="259" w:lineRule="auto"/>
              <w:rPr>
                <w:lang w:eastAsia="en-AU"/>
              </w:rPr>
            </w:pPr>
            <w:r w:rsidRPr="00BF2584">
              <w:rPr>
                <w:noProof/>
                <w:lang w:eastAsia="en-AU"/>
              </w:rPr>
              <w:drawing>
                <wp:inline distT="0" distB="0" distL="0" distR="0" wp14:anchorId="321FC3AD" wp14:editId="07A29992">
                  <wp:extent cx="5114199" cy="287655"/>
                  <wp:effectExtent l="0" t="0" r="0" b="0"/>
                  <wp:docPr id="889574880" name="Picture 88957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5A728DA2" w14:textId="77777777" w:rsidR="00005F58" w:rsidRPr="00BF2584" w:rsidRDefault="00005F58" w:rsidP="00D149E1">
            <w:pPr>
              <w:spacing w:after="100" w:afterAutospacing="1" w:line="259" w:lineRule="auto"/>
              <w:jc w:val="center"/>
              <w:rPr>
                <w:sz w:val="30"/>
                <w:szCs w:val="30"/>
                <w:lang w:eastAsia="en-AU"/>
              </w:rPr>
            </w:pPr>
            <w:r>
              <w:rPr>
                <w:color w:val="FFFFFF" w:themeColor="background1"/>
                <w:sz w:val="30"/>
                <w:szCs w:val="30"/>
                <w:lang w:eastAsia="en-AU"/>
              </w:rPr>
              <w:t>8</w:t>
            </w:r>
          </w:p>
        </w:tc>
      </w:tr>
      <w:tr w:rsidR="00005F58" w:rsidRPr="00BF2584" w14:paraId="20BD5100" w14:textId="77777777" w:rsidTr="00D149E1">
        <w:tc>
          <w:tcPr>
            <w:tcW w:w="8930" w:type="dxa"/>
            <w:gridSpan w:val="2"/>
            <w:tcBorders>
              <w:right w:val="single" w:sz="18" w:space="0" w:color="F8981D" w:themeColor="accent3"/>
            </w:tcBorders>
          </w:tcPr>
          <w:p w14:paraId="427F17B5" w14:textId="77777777" w:rsidR="00005F58" w:rsidRPr="00BF2584" w:rsidRDefault="00005F58" w:rsidP="00D149E1">
            <w:pPr>
              <w:spacing w:line="259" w:lineRule="auto"/>
            </w:pPr>
            <w:r>
              <w:t>Ensure ongoing mechanisms</w:t>
            </w:r>
            <w:r w:rsidRPr="00BF2584">
              <w:t xml:space="preserve"> to collect feedback from client PBCs through a formal, regularly conducted process.</w:t>
            </w:r>
          </w:p>
        </w:tc>
      </w:tr>
      <w:tr w:rsidR="00005F58" w:rsidRPr="00BF2584" w14:paraId="1EEF98D7" w14:textId="77777777" w:rsidTr="00D149E1">
        <w:trPr>
          <w:trHeight w:val="360"/>
        </w:trPr>
        <w:tc>
          <w:tcPr>
            <w:tcW w:w="8223" w:type="dxa"/>
          </w:tcPr>
          <w:p w14:paraId="19D9231A" w14:textId="77777777" w:rsidR="00005F58" w:rsidRPr="00BF2584" w:rsidRDefault="00005F58" w:rsidP="00D149E1">
            <w:pPr>
              <w:spacing w:line="259" w:lineRule="auto"/>
              <w:rPr>
                <w:lang w:eastAsia="en-AU"/>
              </w:rPr>
            </w:pPr>
            <w:r w:rsidRPr="00BF2584">
              <w:rPr>
                <w:noProof/>
                <w:lang w:eastAsia="en-AU"/>
              </w:rPr>
              <w:drawing>
                <wp:inline distT="0" distB="0" distL="0" distR="0" wp14:anchorId="03EA21BA" wp14:editId="481C8C13">
                  <wp:extent cx="5114199" cy="287655"/>
                  <wp:effectExtent l="0" t="0" r="0" b="0"/>
                  <wp:docPr id="670256864" name="Picture 67025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3A245577" w14:textId="77777777" w:rsidR="00005F58" w:rsidRPr="00BF2584" w:rsidRDefault="00005F58" w:rsidP="00D149E1">
            <w:pPr>
              <w:spacing w:after="100" w:afterAutospacing="1" w:line="259" w:lineRule="auto"/>
              <w:jc w:val="center"/>
              <w:rPr>
                <w:sz w:val="30"/>
                <w:szCs w:val="30"/>
                <w:lang w:eastAsia="en-AU"/>
              </w:rPr>
            </w:pPr>
            <w:r>
              <w:rPr>
                <w:color w:val="FFFFFF" w:themeColor="background1"/>
                <w:sz w:val="30"/>
                <w:szCs w:val="30"/>
                <w:lang w:eastAsia="en-AU"/>
              </w:rPr>
              <w:t>9</w:t>
            </w:r>
          </w:p>
        </w:tc>
      </w:tr>
      <w:tr w:rsidR="00005F58" w:rsidRPr="00BF2584" w14:paraId="3AE65A37" w14:textId="77777777" w:rsidTr="00D149E1">
        <w:tc>
          <w:tcPr>
            <w:tcW w:w="8930" w:type="dxa"/>
            <w:gridSpan w:val="2"/>
            <w:tcBorders>
              <w:bottom w:val="single" w:sz="4" w:space="0" w:color="F8981D" w:themeColor="accent3"/>
              <w:right w:val="single" w:sz="18" w:space="0" w:color="F8981D" w:themeColor="accent3"/>
            </w:tcBorders>
          </w:tcPr>
          <w:p w14:paraId="68C72514" w14:textId="77777777" w:rsidR="00005F58" w:rsidRPr="00BF2584" w:rsidRDefault="00005F58" w:rsidP="00D149E1">
            <w:pPr>
              <w:spacing w:line="259" w:lineRule="auto"/>
            </w:pPr>
            <w:r>
              <w:t xml:space="preserve">Ensure the Return of Cultural Materials Policy is updated in line with the </w:t>
            </w:r>
            <w:r w:rsidRPr="00736449">
              <w:t>Tommy on behalf of the Yinhawangka Gobawarrah v State of Western Australia (No 2) [2019] FCA 1551</w:t>
            </w:r>
            <w:r>
              <w:t xml:space="preserve"> ruling.</w:t>
            </w:r>
          </w:p>
        </w:tc>
      </w:tr>
    </w:tbl>
    <w:p w14:paraId="0CBA8C96" w14:textId="77777777" w:rsidR="00446C8E" w:rsidRDefault="00446C8E" w:rsidP="00446C8E">
      <w:pPr>
        <w:pStyle w:val="Heading5"/>
        <w:numPr>
          <w:ilvl w:val="4"/>
          <w:numId w:val="2"/>
        </w:numPr>
      </w:pPr>
      <w:r w:rsidRPr="00720C33">
        <w:t>TOR 7 | Extent to which each organisation has developed its planning for a post-determination environment</w:t>
      </w:r>
      <w:r>
        <w:t>.</w:t>
      </w:r>
    </w:p>
    <w:p w14:paraId="5EE04FB3" w14:textId="77777777" w:rsidR="00005F58" w:rsidRDefault="00005F58" w:rsidP="00005F58">
      <w:pPr>
        <w:rPr>
          <w:lang w:eastAsia="en-AU"/>
        </w:rPr>
      </w:pPr>
      <w:r>
        <w:rPr>
          <w:lang w:eastAsia="en-AU"/>
        </w:rPr>
        <w:t xml:space="preserve">The KLC is aware that more and more of its native title work will sit in the post-determination space with only three per cent of its area left to be determined. This is a key consideration in its 2020-24 Strategic Plan, with PBC capacity building and self-sufficiency addressed under each of its four objectives of empowerment in nation building, native title rights and recognition, partnerships and relationships, and financially sustainable operations. The latter two objectives also focus more on the role KLC will play in the post-determination space and how its operations will be supported financially as grant funding for native title claims reduces. </w:t>
      </w:r>
    </w:p>
    <w:p w14:paraId="5E5E675C" w14:textId="77777777" w:rsidR="00005F58" w:rsidRDefault="00005F58" w:rsidP="00005F58">
      <w:pPr>
        <w:rPr>
          <w:lang w:eastAsia="en-AU"/>
        </w:rPr>
      </w:pPr>
      <w:r>
        <w:rPr>
          <w:lang w:eastAsia="en-AU"/>
        </w:rPr>
        <w:lastRenderedPageBreak/>
        <w:t xml:space="preserve">The 2020-24 Strategic Plan was developed with Traditional Owner input and includes measures of success for each objective. There is scope for the KLC to provide greater clarity on how objectives and targets will specifically be achieved. </w:t>
      </w:r>
    </w:p>
    <w:p w14:paraId="66B00C63" w14:textId="77777777" w:rsidR="00005F58" w:rsidRDefault="00005F58" w:rsidP="00005F58">
      <w:pPr>
        <w:rPr>
          <w:lang w:eastAsia="en-AU"/>
        </w:rPr>
      </w:pPr>
      <w:r>
        <w:rPr>
          <w:lang w:eastAsia="en-AU"/>
        </w:rPr>
        <w:t>The KLC used its platform to consult with and advocate for PBCs in reform of matters related to native title across the Review period, in line with its commitment to influence in the post-determination period.</w:t>
      </w:r>
    </w:p>
    <w:p w14:paraId="63820692" w14:textId="0AD81540" w:rsidR="00005F58" w:rsidRDefault="00005F58" w:rsidP="00005F58">
      <w:pPr>
        <w:rPr>
          <w:lang w:eastAsia="en-AU"/>
        </w:rPr>
      </w:pPr>
      <w:r>
        <w:rPr>
          <w:lang w:eastAsia="en-AU"/>
        </w:rPr>
        <w:t>Some native title holders raised concerns that the KLC’s need for long-term financial sustainability risks putting it into economic competition with PBCs, therefore potentially limiting their progress towards autonomy.</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005F58" w14:paraId="350755A3" w14:textId="77777777" w:rsidTr="00D149E1">
        <w:trPr>
          <w:trHeight w:val="360"/>
        </w:trPr>
        <w:tc>
          <w:tcPr>
            <w:tcW w:w="8223" w:type="dxa"/>
          </w:tcPr>
          <w:p w14:paraId="171BED0D" w14:textId="77777777" w:rsidR="00005F58" w:rsidRDefault="00005F58" w:rsidP="00D149E1">
            <w:pPr>
              <w:rPr>
                <w:lang w:eastAsia="en-AU"/>
              </w:rPr>
            </w:pPr>
            <w:r w:rsidRPr="00F97AB5">
              <w:rPr>
                <w:noProof/>
                <w:lang w:eastAsia="en-AU"/>
              </w:rPr>
              <w:drawing>
                <wp:inline distT="0" distB="0" distL="0" distR="0" wp14:anchorId="21808D86" wp14:editId="5BC21FA6">
                  <wp:extent cx="5114199" cy="287655"/>
                  <wp:effectExtent l="0" t="0" r="0" b="0"/>
                  <wp:docPr id="504992821" name="Picture 50499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2561D3CE" w14:textId="77777777" w:rsidR="00005F58" w:rsidRPr="00F97AB5" w:rsidRDefault="00005F58" w:rsidP="00D149E1">
            <w:pPr>
              <w:spacing w:after="100" w:afterAutospacing="1"/>
              <w:jc w:val="center"/>
              <w:rPr>
                <w:sz w:val="30"/>
                <w:szCs w:val="30"/>
                <w:lang w:eastAsia="en-AU"/>
              </w:rPr>
            </w:pPr>
            <w:r>
              <w:rPr>
                <w:color w:val="FFFFFF" w:themeColor="background1"/>
                <w:sz w:val="30"/>
                <w:szCs w:val="30"/>
                <w:lang w:eastAsia="en-AU"/>
              </w:rPr>
              <w:t>10</w:t>
            </w:r>
          </w:p>
        </w:tc>
      </w:tr>
      <w:tr w:rsidR="00005F58" w14:paraId="7478F75B" w14:textId="77777777" w:rsidTr="00D149E1">
        <w:tc>
          <w:tcPr>
            <w:tcW w:w="8930" w:type="dxa"/>
            <w:gridSpan w:val="2"/>
            <w:tcBorders>
              <w:right w:val="single" w:sz="18" w:space="0" w:color="F8981D" w:themeColor="accent3"/>
            </w:tcBorders>
          </w:tcPr>
          <w:p w14:paraId="756D12D9" w14:textId="77777777" w:rsidR="00005F58" w:rsidRPr="00BD37ED" w:rsidRDefault="00005F58" w:rsidP="00D149E1">
            <w:r w:rsidRPr="00F70FB0">
              <w:t xml:space="preserve">Consider </w:t>
            </w:r>
            <w:r>
              <w:t>how indicators of the K</w:t>
            </w:r>
            <w:r w:rsidRPr="00F70FB0">
              <w:t xml:space="preserve">LC </w:t>
            </w:r>
            <w:r>
              <w:t xml:space="preserve">development </w:t>
            </w:r>
            <w:r w:rsidRPr="00F70FB0">
              <w:t>in a post-determination environment</w:t>
            </w:r>
            <w:r>
              <w:t xml:space="preserve"> can be more clearly documented and communicated, and assign responsibility for tracking and monitoring progress.</w:t>
            </w:r>
          </w:p>
        </w:tc>
      </w:tr>
      <w:tr w:rsidR="00005F58" w14:paraId="5CCAD876" w14:textId="77777777" w:rsidTr="00D149E1">
        <w:trPr>
          <w:trHeight w:val="360"/>
        </w:trPr>
        <w:tc>
          <w:tcPr>
            <w:tcW w:w="8223" w:type="dxa"/>
          </w:tcPr>
          <w:p w14:paraId="5FB646E2" w14:textId="77777777" w:rsidR="00005F58" w:rsidRDefault="00005F58" w:rsidP="00D149E1">
            <w:pPr>
              <w:rPr>
                <w:lang w:eastAsia="en-AU"/>
              </w:rPr>
            </w:pPr>
            <w:r w:rsidRPr="00F97AB5">
              <w:rPr>
                <w:noProof/>
                <w:lang w:eastAsia="en-AU"/>
              </w:rPr>
              <w:drawing>
                <wp:inline distT="0" distB="0" distL="0" distR="0" wp14:anchorId="41451891" wp14:editId="12CC56C8">
                  <wp:extent cx="5114199" cy="287655"/>
                  <wp:effectExtent l="0" t="0" r="0" b="0"/>
                  <wp:docPr id="840418453" name="Picture 8404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6ECA2A6F" w14:textId="77777777" w:rsidR="00005F58" w:rsidRPr="00F97AB5" w:rsidRDefault="00005F58" w:rsidP="00D149E1">
            <w:pPr>
              <w:spacing w:after="100" w:afterAutospacing="1"/>
              <w:jc w:val="center"/>
              <w:rPr>
                <w:sz w:val="30"/>
                <w:szCs w:val="30"/>
                <w:lang w:eastAsia="en-AU"/>
              </w:rPr>
            </w:pPr>
            <w:r>
              <w:rPr>
                <w:color w:val="FFFFFF" w:themeColor="background1"/>
                <w:sz w:val="30"/>
                <w:szCs w:val="30"/>
                <w:lang w:eastAsia="en-AU"/>
              </w:rPr>
              <w:t>11</w:t>
            </w:r>
          </w:p>
        </w:tc>
      </w:tr>
      <w:tr w:rsidR="00005F58" w14:paraId="454FCD37" w14:textId="77777777" w:rsidTr="00D149E1">
        <w:tc>
          <w:tcPr>
            <w:tcW w:w="8930" w:type="dxa"/>
            <w:gridSpan w:val="2"/>
            <w:tcBorders>
              <w:bottom w:val="single" w:sz="4" w:space="0" w:color="F8981D" w:themeColor="accent3"/>
              <w:right w:val="single" w:sz="18" w:space="0" w:color="F8981D" w:themeColor="accent3"/>
            </w:tcBorders>
          </w:tcPr>
          <w:p w14:paraId="6CDF15AF" w14:textId="77777777" w:rsidR="00005F58" w:rsidRPr="00BD37ED" w:rsidRDefault="00005F58" w:rsidP="00D149E1">
            <w:r>
              <w:t>Seek ways to better communicate the role of the KLC in the post-determination world in supporting, and not competing, with PBCs.</w:t>
            </w:r>
          </w:p>
        </w:tc>
      </w:tr>
    </w:tbl>
    <w:p w14:paraId="0D808932" w14:textId="77777777" w:rsidR="00005F58" w:rsidRPr="00005F58" w:rsidRDefault="00005F58" w:rsidP="00005F58">
      <w:pPr>
        <w:rPr>
          <w:lang w:eastAsia="en-AU"/>
        </w:rPr>
      </w:pPr>
    </w:p>
    <w:p w14:paraId="7D958330" w14:textId="2224170B" w:rsidR="00D02E1B" w:rsidRDefault="006575A9" w:rsidP="006575A9">
      <w:r>
        <w:t xml:space="preserve"> </w:t>
      </w:r>
    </w:p>
    <w:p w14:paraId="45586E14" w14:textId="6BD6CE68" w:rsidR="00446C8E" w:rsidRDefault="00446C8E" w:rsidP="006575A9">
      <w:r>
        <w:br w:type="page"/>
      </w:r>
    </w:p>
    <w:p w14:paraId="54B34FEB" w14:textId="77DDDEA5" w:rsidR="00F863D2" w:rsidRDefault="00A57D7D" w:rsidP="004A7D47">
      <w:pPr>
        <w:pStyle w:val="Heading1"/>
        <w:spacing w:after="240"/>
      </w:pPr>
      <w:bookmarkStart w:id="16" w:name="_Ref161738053"/>
      <w:bookmarkStart w:id="17" w:name="_Ref163046382"/>
      <w:bookmarkStart w:id="18" w:name="_Toc170470100"/>
      <w:r>
        <w:lastRenderedPageBreak/>
        <w:t>Performance</w:t>
      </w:r>
      <w:r w:rsidR="00F863D2">
        <w:t xml:space="preserve"> </w:t>
      </w:r>
      <w:r w:rsidR="00B65410">
        <w:t>a</w:t>
      </w:r>
      <w:r w:rsidR="00F863D2">
        <w:t>ssessment</w:t>
      </w:r>
      <w:bookmarkEnd w:id="16"/>
      <w:bookmarkEnd w:id="17"/>
      <w:bookmarkEnd w:id="18"/>
    </w:p>
    <w:p w14:paraId="16FAAE2C" w14:textId="20666202" w:rsidR="003560B7" w:rsidRPr="003560B7" w:rsidRDefault="003560B7" w:rsidP="003560B7">
      <w:pPr>
        <w:rPr>
          <w:rFonts w:ascii="Segoe UI Semibold" w:eastAsia="Times New Roman" w:hAnsi="Segoe UI Semibold" w:cs="Times New Roman"/>
          <w:color w:val="00264D"/>
          <w:sz w:val="26"/>
          <w:szCs w:val="19"/>
        </w:rPr>
      </w:pPr>
      <w:r w:rsidRPr="003560B7">
        <w:t xml:space="preserve">This section assesses performance against the relevant performance indicators for </w:t>
      </w:r>
      <w:r w:rsidR="0085092B">
        <w:t>each</w:t>
      </w:r>
      <w:r w:rsidRPr="003560B7">
        <w:t xml:space="preserve"> TOR. See </w:t>
      </w:r>
      <w:r w:rsidR="0085092B">
        <w:fldChar w:fldCharType="begin"/>
      </w:r>
      <w:r w:rsidR="0085092B">
        <w:instrText xml:space="preserve"> REF _Ref163046335 \n \h </w:instrText>
      </w:r>
      <w:r w:rsidR="0085092B">
        <w:fldChar w:fldCharType="separate"/>
      </w:r>
      <w:r w:rsidR="00291532">
        <w:t>Appendix A</w:t>
      </w:r>
      <w:r w:rsidR="0085092B">
        <w:fldChar w:fldCharType="end"/>
      </w:r>
      <w:r w:rsidRPr="003560B7">
        <w:t xml:space="preserve"> for the performance indicators.</w:t>
      </w:r>
    </w:p>
    <w:p w14:paraId="13CB0047" w14:textId="37CEE381" w:rsidR="00DB03E4" w:rsidRPr="006A47CB" w:rsidRDefault="00390D6E" w:rsidP="004A7D47">
      <w:pPr>
        <w:pStyle w:val="Heading2"/>
        <w:rPr>
          <w:sz w:val="26"/>
        </w:rPr>
      </w:pPr>
      <w:bookmarkStart w:id="19" w:name="_Toc170470101"/>
      <w:r w:rsidRPr="006A47CB">
        <w:t>TOR 1</w:t>
      </w:r>
      <w:r w:rsidR="004E7350">
        <w:t xml:space="preserve"> |</w:t>
      </w:r>
      <w:r w:rsidRPr="006A47CB">
        <w:t xml:space="preserve"> </w:t>
      </w:r>
      <w:r w:rsidR="00DB03E4" w:rsidRPr="006A47CB">
        <w:rPr>
          <w:rStyle w:val="Heading2Char"/>
          <w:rFonts w:eastAsiaTheme="minorHAnsi"/>
        </w:rPr>
        <w:t xml:space="preserve">Extent to which each organisation has achieved positive native title outcomes for persons who hold or </w:t>
      </w:r>
      <w:r w:rsidR="006A47CB" w:rsidRPr="006A47CB">
        <w:rPr>
          <w:rStyle w:val="Heading2Char"/>
          <w:rFonts w:eastAsiaTheme="minorHAnsi"/>
          <w:sz w:val="26"/>
        </w:rPr>
        <w:t>may hold</w:t>
      </w:r>
      <w:r w:rsidR="00DB03E4" w:rsidRPr="006A47CB">
        <w:rPr>
          <w:rStyle w:val="Heading2Char"/>
          <w:rFonts w:eastAsiaTheme="minorHAnsi"/>
        </w:rPr>
        <w:t xml:space="preserve"> native title in its region taking account, where relevant, of disruptions caused by COVID-19.</w:t>
      </w:r>
      <w:bookmarkEnd w:id="19"/>
    </w:p>
    <w:tbl>
      <w:tblPr>
        <w:tblStyle w:val="TableGrid"/>
        <w:tblW w:w="0" w:type="auto"/>
        <w:shd w:val="clear" w:color="auto" w:fill="E6E6E1" w:themeFill="accent5"/>
        <w:tblLook w:val="04A0" w:firstRow="1" w:lastRow="0" w:firstColumn="1" w:lastColumn="0" w:noHBand="0" w:noVBand="1"/>
      </w:tblPr>
      <w:tblGrid>
        <w:gridCol w:w="8930"/>
      </w:tblGrid>
      <w:tr w:rsidR="00F932E6" w14:paraId="1D27A065" w14:textId="77777777" w:rsidTr="231D041B">
        <w:trPr>
          <w:cnfStyle w:val="100000000000" w:firstRow="1" w:lastRow="0" w:firstColumn="0" w:lastColumn="0" w:oddVBand="0" w:evenVBand="0" w:oddHBand="0" w:evenHBand="0" w:firstRowFirstColumn="0" w:firstRowLastColumn="0" w:lastRowFirstColumn="0" w:lastRowLastColumn="0"/>
        </w:trPr>
        <w:tc>
          <w:tcPr>
            <w:tcW w:w="8930" w:type="dxa"/>
          </w:tcPr>
          <w:p w14:paraId="5460CE22" w14:textId="102282A6" w:rsidR="00F60836" w:rsidRPr="00791BD1" w:rsidRDefault="00F60836" w:rsidP="00791BD1">
            <w:pPr>
              <w:pStyle w:val="Longformcallout"/>
              <w:rPr>
                <w:rFonts w:asciiTheme="majorHAnsi" w:hAnsiTheme="majorHAnsi" w:cstheme="majorHAnsi"/>
              </w:rPr>
            </w:pPr>
            <w:r w:rsidRPr="00791BD1">
              <w:rPr>
                <w:rFonts w:asciiTheme="majorHAnsi" w:hAnsiTheme="majorHAnsi" w:cstheme="majorHAnsi"/>
              </w:rPr>
              <w:t>Summary</w:t>
            </w:r>
          </w:p>
          <w:p w14:paraId="0D07937E" w14:textId="73F6358B" w:rsidR="009A5096" w:rsidRDefault="009A5096" w:rsidP="00791BD1">
            <w:pPr>
              <w:pStyle w:val="Longformcallout"/>
            </w:pPr>
            <w:r>
              <w:t xml:space="preserve">The KLC made </w:t>
            </w:r>
            <w:r w:rsidR="00351882">
              <w:t xml:space="preserve">significant </w:t>
            </w:r>
            <w:r>
              <w:t xml:space="preserve">progress in achieving native title determinations despite the challenges posed by COVID-19, with </w:t>
            </w:r>
            <w:r w:rsidR="00A00947">
              <w:t>12</w:t>
            </w:r>
            <w:r>
              <w:t xml:space="preserve"> consent determinations </w:t>
            </w:r>
            <w:r w:rsidR="00EF5E5B">
              <w:t xml:space="preserve">and one litigated determination </w:t>
            </w:r>
            <w:r>
              <w:t xml:space="preserve">during the Review period. The </w:t>
            </w:r>
            <w:r w:rsidR="00FF3259">
              <w:t>KLC</w:t>
            </w:r>
            <w:r w:rsidR="00775A8D">
              <w:t xml:space="preserve"> additionally supported nine ILUAs, including one that resulted in the </w:t>
            </w:r>
            <w:r w:rsidR="006131AA">
              <w:t>surrender</w:t>
            </w:r>
            <w:r w:rsidR="00775A8D">
              <w:t xml:space="preserve"> of </w:t>
            </w:r>
            <w:r w:rsidR="007A76C8">
              <w:t>n</w:t>
            </w:r>
            <w:r w:rsidR="00775A8D">
              <w:t xml:space="preserve">ative </w:t>
            </w:r>
            <w:r w:rsidR="007A76C8">
              <w:t>t</w:t>
            </w:r>
            <w:r w:rsidR="00775A8D">
              <w:t>itle</w:t>
            </w:r>
            <w:r>
              <w:t xml:space="preserve">. </w:t>
            </w:r>
            <w:r w:rsidR="007D2A2D">
              <w:t>At the</w:t>
            </w:r>
            <w:r>
              <w:t xml:space="preserve"> end of the Review period, the </w:t>
            </w:r>
            <w:r w:rsidR="00775A8D">
              <w:t>K</w:t>
            </w:r>
            <w:r>
              <w:t xml:space="preserve">LC was pursuing </w:t>
            </w:r>
            <w:r w:rsidR="00CE5C6E">
              <w:t xml:space="preserve">five </w:t>
            </w:r>
            <w:r w:rsidR="00772964">
              <w:t xml:space="preserve">active </w:t>
            </w:r>
            <w:r w:rsidR="00CE5C6E">
              <w:t>native title</w:t>
            </w:r>
            <w:r>
              <w:t xml:space="preserve"> claims</w:t>
            </w:r>
            <w:r w:rsidR="00772964">
              <w:t xml:space="preserve"> and one compensation claim</w:t>
            </w:r>
            <w:r w:rsidR="00DA4DB6">
              <w:t>, with additional compensation claim</w:t>
            </w:r>
            <w:r w:rsidR="005A6760">
              <w:t xml:space="preserve">s </w:t>
            </w:r>
            <w:r w:rsidR="00C24683">
              <w:t>in early scoping</w:t>
            </w:r>
            <w:r w:rsidR="007A76C8">
              <w:t>.</w:t>
            </w:r>
            <w:r>
              <w:t xml:space="preserve"> </w:t>
            </w:r>
            <w:r w:rsidR="007A76C8">
              <w:t>Ninety-seven</w:t>
            </w:r>
            <w:r>
              <w:t xml:space="preserve"> per cent of the claimable land within the RATSIB area </w:t>
            </w:r>
            <w:r w:rsidR="00FD68DF">
              <w:t xml:space="preserve">was </w:t>
            </w:r>
            <w:r>
              <w:t>subject to a registered native title claim or determination</w:t>
            </w:r>
            <w:r w:rsidR="00746A28">
              <w:t>.</w:t>
            </w:r>
          </w:p>
          <w:p w14:paraId="76B21233" w14:textId="660BC96E" w:rsidR="00F932FF" w:rsidRDefault="00C070EE" w:rsidP="00791BD1">
            <w:pPr>
              <w:pStyle w:val="Longformcallout"/>
            </w:pPr>
            <w:r>
              <w:t>The KLC</w:t>
            </w:r>
            <w:r w:rsidR="00D279B1">
              <w:t xml:space="preserve"> ha</w:t>
            </w:r>
            <w:r w:rsidR="006C2024">
              <w:t>d</w:t>
            </w:r>
            <w:r w:rsidR="00D279B1">
              <w:t xml:space="preserve"> a </w:t>
            </w:r>
            <w:r w:rsidR="0066099D">
              <w:t>high-performing legal team</w:t>
            </w:r>
            <w:r w:rsidR="006C2024">
              <w:t xml:space="preserve"> despite the challenges of recruitment and retention. </w:t>
            </w:r>
            <w:r w:rsidR="001D42ED">
              <w:t xml:space="preserve">The KLC’s anthropology team </w:t>
            </w:r>
            <w:r w:rsidR="004534D9">
              <w:t>rem</w:t>
            </w:r>
            <w:r w:rsidR="00A00947">
              <w:t>a</w:t>
            </w:r>
            <w:r w:rsidR="004534D9">
              <w:t>ined relatively stable through</w:t>
            </w:r>
            <w:r w:rsidR="004B7D07">
              <w:t>out</w:t>
            </w:r>
            <w:r w:rsidR="004534D9">
              <w:t xml:space="preserve"> the Review pe</w:t>
            </w:r>
            <w:r w:rsidR="00A404E7">
              <w:t xml:space="preserve">riod, supporting the maintenance of </w:t>
            </w:r>
            <w:r w:rsidR="0053014A">
              <w:t xml:space="preserve">corporate knowledge. </w:t>
            </w:r>
            <w:r w:rsidR="00D36707">
              <w:t xml:space="preserve">Under the overall direction of the </w:t>
            </w:r>
            <w:r w:rsidR="002560FC">
              <w:t>PLO,</w:t>
            </w:r>
            <w:r w:rsidR="00184036">
              <w:t xml:space="preserve"> </w:t>
            </w:r>
            <w:r w:rsidR="002560FC">
              <w:t xml:space="preserve">legal and anthropological staff were allocated to each </w:t>
            </w:r>
            <w:r w:rsidR="003378CD">
              <w:t xml:space="preserve">region and each claim, with a </w:t>
            </w:r>
            <w:r w:rsidR="005A74FD">
              <w:t>Senior</w:t>
            </w:r>
            <w:r w:rsidR="003378CD">
              <w:t xml:space="preserve"> Anthropologist position providing support and guidance to the internal anthropology staff.</w:t>
            </w:r>
            <w:r w:rsidR="00184036">
              <w:t xml:space="preserve"> </w:t>
            </w:r>
          </w:p>
          <w:p w14:paraId="28712F08" w14:textId="4C5C1FC7" w:rsidR="005A74FD" w:rsidRDefault="00794A65" w:rsidP="00791BD1">
            <w:pPr>
              <w:pStyle w:val="Longformcallout"/>
            </w:pPr>
            <w:r w:rsidRPr="0077208C">
              <w:t>In the six cases where KLC-employed lawyers acted for one party and a professional conflict arose, representation of another party to a claim was briefed out to external lawyers</w:t>
            </w:r>
            <w:r w:rsidR="005A74FD">
              <w:t xml:space="preserve">. </w:t>
            </w:r>
            <w:r w:rsidR="00474D57">
              <w:t>Through an independent process, t</w:t>
            </w:r>
            <w:r w:rsidR="005A74FD">
              <w:t xml:space="preserve">he KLC </w:t>
            </w:r>
            <w:r w:rsidR="005A74FD" w:rsidRPr="00BF70D5">
              <w:t>established</w:t>
            </w:r>
            <w:r w:rsidR="00474D57">
              <w:t xml:space="preserve"> </w:t>
            </w:r>
            <w:r w:rsidR="005A74FD" w:rsidRPr="00BF70D5">
              <w:t>a panel of lawyers with relevant expertise in native title litigation. If a funded party appoint</w:t>
            </w:r>
            <w:r w:rsidR="00474D57">
              <w:t>ed</w:t>
            </w:r>
            <w:r w:rsidR="005A74FD" w:rsidRPr="00BF70D5">
              <w:t xml:space="preserve"> a lawyer from the panel, the KLC </w:t>
            </w:r>
            <w:r w:rsidR="00474D57">
              <w:t xml:space="preserve">would </w:t>
            </w:r>
            <w:r w:rsidR="005A74FD" w:rsidRPr="00BF70D5">
              <w:t>enter into a funding agreement with that lawyer. If the funded party appoint</w:t>
            </w:r>
            <w:r w:rsidR="00487462">
              <w:t>ed</w:t>
            </w:r>
            <w:r w:rsidR="005A74FD" w:rsidRPr="00BF70D5">
              <w:t xml:space="preserve"> a lawyer who </w:t>
            </w:r>
            <w:r w:rsidR="00487462">
              <w:t>was</w:t>
            </w:r>
            <w:r w:rsidR="00487462" w:rsidRPr="00BF70D5">
              <w:t xml:space="preserve"> </w:t>
            </w:r>
            <w:r w:rsidR="005A74FD" w:rsidRPr="00BF70D5">
              <w:t xml:space="preserve">not on the panel, the KLC PLO </w:t>
            </w:r>
            <w:r w:rsidR="00487462">
              <w:t xml:space="preserve">would </w:t>
            </w:r>
            <w:r w:rsidR="005A74FD" w:rsidRPr="00BF70D5">
              <w:t>confirm that person ha</w:t>
            </w:r>
            <w:r w:rsidR="00487462">
              <w:t>d</w:t>
            </w:r>
            <w:r w:rsidR="005A74FD" w:rsidRPr="00BF70D5">
              <w:t xml:space="preserve"> relevant expertise in native title matters before the KLC </w:t>
            </w:r>
            <w:r w:rsidR="00487462">
              <w:t>would</w:t>
            </w:r>
            <w:r w:rsidR="00487462" w:rsidRPr="00BF70D5">
              <w:t xml:space="preserve"> </w:t>
            </w:r>
            <w:r w:rsidR="005A74FD" w:rsidRPr="00BF70D5">
              <w:t>enter into a funding agreement with that lawyer</w:t>
            </w:r>
            <w:r w:rsidR="005A74FD">
              <w:t xml:space="preserve">. External anthropologists were used for the preparation of connection reports in most cases. </w:t>
            </w:r>
          </w:p>
          <w:p w14:paraId="68586221" w14:textId="053BFC9F" w:rsidR="00A14C16" w:rsidRDefault="3C479C7B" w:rsidP="00A14C16">
            <w:pPr>
              <w:rPr>
                <w:lang w:eastAsia="en-AU"/>
              </w:rPr>
            </w:pPr>
            <w:r w:rsidRPr="231D041B">
              <w:rPr>
                <w:lang w:eastAsia="en-AU"/>
              </w:rPr>
              <w:t>A number of Traditional Owners who contacted the Review were dissatisfied with the outcomes achieved for their family. Their concerns generally related to differences between their own understanding of their history and the composition of their claims, which they attributed to the KLC</w:t>
            </w:r>
            <w:r w:rsidR="00487462">
              <w:rPr>
                <w:lang w:eastAsia="en-AU"/>
              </w:rPr>
              <w:t>.</w:t>
            </w:r>
            <w:r w:rsidRPr="231D041B">
              <w:rPr>
                <w:lang w:eastAsia="en-AU"/>
              </w:rPr>
              <w:t xml:space="preserve"> The Review understands that the composition of claim groups is a highly sensitive and potentially divisive issue that can cause enormous distress for the parties, with some Traditional Owners describing outcomes as like “a second dispossession”. The unwavering views of parties involved in disputes is challenging and can complicate mediation processes, adding to the difficulty of achieving acceptable outcomes for all claimants. The KLC noted, however, that claims (including claim group composition) </w:t>
            </w:r>
            <w:r w:rsidR="00B53BB5">
              <w:rPr>
                <w:lang w:eastAsia="en-AU"/>
              </w:rPr>
              <w:t>were</w:t>
            </w:r>
            <w:r w:rsidR="00B53BB5" w:rsidRPr="231D041B">
              <w:rPr>
                <w:lang w:eastAsia="en-AU"/>
              </w:rPr>
              <w:t xml:space="preserve"> </w:t>
            </w:r>
            <w:r w:rsidRPr="231D041B">
              <w:rPr>
                <w:lang w:eastAsia="en-AU"/>
              </w:rPr>
              <w:t>authorised by claim groups (not the KLC) and determined by the Federal Court following rigorous testing of evidence, with KLC staff indicating that “we can only do what the evidence tells us”.</w:t>
            </w:r>
          </w:p>
          <w:p w14:paraId="2AB528BE" w14:textId="77777777" w:rsidR="005A74FD" w:rsidRDefault="005A74FD" w:rsidP="00170E1B">
            <w:pPr>
              <w:rPr>
                <w:lang w:eastAsia="en-AU"/>
              </w:rPr>
            </w:pPr>
            <w:r>
              <w:rPr>
                <w:lang w:eastAsia="en-AU"/>
              </w:rPr>
              <w:t xml:space="preserve">The Review notes the complexity of recent and remaining claims, with as many as five different groups </w:t>
            </w:r>
            <w:r w:rsidR="00170E1B">
              <w:rPr>
                <w:lang w:eastAsia="en-AU"/>
              </w:rPr>
              <w:t>asserting interests</w:t>
            </w:r>
            <w:r>
              <w:rPr>
                <w:lang w:eastAsia="en-AU"/>
              </w:rPr>
              <w:t xml:space="preserve"> in some </w:t>
            </w:r>
            <w:r w:rsidR="00170E1B">
              <w:rPr>
                <w:lang w:eastAsia="en-AU"/>
              </w:rPr>
              <w:t>claim areas.</w:t>
            </w:r>
            <w:r>
              <w:rPr>
                <w:lang w:eastAsia="en-AU"/>
              </w:rPr>
              <w:t xml:space="preserve"> The challenges increase as the amount of claimable land that can be subject to determination decreases.</w:t>
            </w:r>
          </w:p>
          <w:p w14:paraId="369C16E8" w14:textId="294E40A5" w:rsidR="009F5EE5" w:rsidRDefault="005A74FD" w:rsidP="009C753E">
            <w:r>
              <w:rPr>
                <w:lang w:eastAsia="en-AU"/>
              </w:rPr>
              <w:t>The composition of historical claims, including claim group boundaries, has compounded the dissatisfaction felt by some Traditional Owners, presenting challenges for governance of the resulting PBCs and for the KLC in managing ongoing relationships with Traditional Owners.</w:t>
            </w:r>
          </w:p>
        </w:tc>
      </w:tr>
    </w:tbl>
    <w:p w14:paraId="5C971AD9" w14:textId="50247029" w:rsidR="00390D6E" w:rsidRDefault="00AE7C5C" w:rsidP="002D1B94">
      <w:pPr>
        <w:keepNext/>
        <w:numPr>
          <w:ilvl w:val="2"/>
          <w:numId w:val="21"/>
        </w:numPr>
        <w:spacing w:before="480" w:after="60"/>
        <w:outlineLvl w:val="2"/>
        <w:rPr>
          <w:rFonts w:ascii="Segoe UI Semibold" w:eastAsia="Times New Roman" w:hAnsi="Segoe UI Semibold" w:cs="Times New Roman"/>
          <w:color w:val="00264D"/>
          <w:sz w:val="26"/>
          <w:szCs w:val="19"/>
          <w:lang w:eastAsia="en-AU"/>
        </w:rPr>
      </w:pPr>
      <w:r>
        <w:rPr>
          <w:rFonts w:ascii="Segoe UI Semibold" w:eastAsia="Times New Roman" w:hAnsi="Segoe UI Semibold" w:cs="Times New Roman"/>
          <w:color w:val="00264D"/>
          <w:sz w:val="26"/>
          <w:szCs w:val="19"/>
          <w:lang w:eastAsia="en-AU"/>
        </w:rPr>
        <w:lastRenderedPageBreak/>
        <w:t xml:space="preserve">TOR 1: </w:t>
      </w:r>
      <w:r w:rsidR="00390D6E" w:rsidRPr="00390D6E">
        <w:rPr>
          <w:rFonts w:ascii="Segoe UI Semibold" w:eastAsia="Times New Roman" w:hAnsi="Segoe UI Semibold" w:cs="Times New Roman"/>
          <w:color w:val="00264D"/>
          <w:sz w:val="26"/>
          <w:szCs w:val="19"/>
          <w:lang w:eastAsia="en-AU"/>
        </w:rPr>
        <w:t>Assessment of performance</w:t>
      </w:r>
    </w:p>
    <w:p w14:paraId="56CC6E30" w14:textId="03E63368" w:rsidR="00F12A45" w:rsidRPr="00390D6E" w:rsidRDefault="00F12A45" w:rsidP="00F12A45">
      <w:pPr>
        <w:rPr>
          <w:lang w:eastAsia="en-AU"/>
        </w:rPr>
      </w:pPr>
      <w:r w:rsidRPr="00F12A45">
        <w:rPr>
          <w:lang w:eastAsia="en-AU"/>
        </w:rPr>
        <w:t>This section presents an assessment of performance against the performance indicators for this TOR. To see the performance indicators please see</w:t>
      </w:r>
      <w:r>
        <w:rPr>
          <w:lang w:eastAsia="en-AU"/>
        </w:rPr>
        <w:t xml:space="preserve"> </w:t>
      </w:r>
      <w:r>
        <w:rPr>
          <w:lang w:eastAsia="en-AU"/>
        </w:rPr>
        <w:fldChar w:fldCharType="begin"/>
      </w:r>
      <w:r>
        <w:rPr>
          <w:lang w:eastAsia="en-AU"/>
        </w:rPr>
        <w:instrText xml:space="preserve"> REF _Ref163046335 \n \h </w:instrText>
      </w:r>
      <w:r>
        <w:rPr>
          <w:lang w:eastAsia="en-AU"/>
        </w:rPr>
      </w:r>
      <w:r>
        <w:rPr>
          <w:lang w:eastAsia="en-AU"/>
        </w:rPr>
        <w:fldChar w:fldCharType="separate"/>
      </w:r>
      <w:r w:rsidR="00291532">
        <w:rPr>
          <w:lang w:eastAsia="en-AU"/>
        </w:rPr>
        <w:t>Appendix A</w:t>
      </w:r>
      <w:r>
        <w:rPr>
          <w:lang w:eastAsia="en-AU"/>
        </w:rPr>
        <w:fldChar w:fldCharType="end"/>
      </w:r>
      <w:r w:rsidRPr="00F12A45">
        <w:rPr>
          <w:lang w:eastAsia="en-AU"/>
        </w:rPr>
        <w:t>.</w:t>
      </w:r>
    </w:p>
    <w:p w14:paraId="398CDD93" w14:textId="7EFD5DE1" w:rsidR="007A1D32" w:rsidRPr="007A1D32" w:rsidRDefault="007A1D32" w:rsidP="007A1D32">
      <w:pPr>
        <w:pStyle w:val="Heading4"/>
        <w:rPr>
          <w:rFonts w:ascii="Segoe UI" w:hAnsi="Segoe UI"/>
          <w:color w:val="000000" w:themeColor="text1"/>
          <w:sz w:val="20"/>
          <w:szCs w:val="20"/>
        </w:rPr>
      </w:pPr>
      <w:r w:rsidRPr="007A1D32">
        <w:t xml:space="preserve">Native title outcomes including from facilitation and assistance, certification, notification, dispute resolution and other relevant functions </w:t>
      </w:r>
    </w:p>
    <w:p w14:paraId="6536E22F" w14:textId="7CCF58C1" w:rsidR="00390D6E" w:rsidRPr="00390D6E" w:rsidRDefault="00390D6E" w:rsidP="00390D6E">
      <w:pPr>
        <w:keepNext/>
        <w:numPr>
          <w:ilvl w:val="4"/>
          <w:numId w:val="2"/>
        </w:numPr>
        <w:spacing w:before="240"/>
        <w:outlineLvl w:val="4"/>
        <w:rPr>
          <w:rFonts w:eastAsia="Times New Roman" w:cs="Times New Roman"/>
          <w:color w:val="000000" w:themeColor="text1"/>
          <w:sz w:val="20"/>
          <w:szCs w:val="24"/>
          <w:lang w:eastAsia="en-AU"/>
        </w:rPr>
      </w:pPr>
      <w:r w:rsidRPr="00390D6E">
        <w:rPr>
          <w:rFonts w:eastAsia="Times New Roman" w:cs="Times New Roman"/>
          <w:b/>
          <w:color w:val="000000" w:themeColor="text1"/>
          <w:sz w:val="20"/>
          <w:szCs w:val="24"/>
          <w:lang w:eastAsia="en-AU"/>
        </w:rPr>
        <w:t xml:space="preserve">The KLC </w:t>
      </w:r>
      <w:r w:rsidR="00926BC8">
        <w:rPr>
          <w:rFonts w:eastAsia="Times New Roman" w:cs="Times New Roman"/>
          <w:b/>
          <w:color w:val="000000" w:themeColor="text1"/>
          <w:sz w:val="20"/>
          <w:szCs w:val="24"/>
          <w:lang w:eastAsia="en-AU"/>
        </w:rPr>
        <w:t>was</w:t>
      </w:r>
      <w:r w:rsidRPr="00390D6E">
        <w:rPr>
          <w:rFonts w:eastAsia="Times New Roman" w:cs="Times New Roman"/>
          <w:b/>
          <w:color w:val="000000" w:themeColor="text1"/>
          <w:sz w:val="20"/>
          <w:szCs w:val="24"/>
          <w:lang w:eastAsia="en-AU"/>
        </w:rPr>
        <w:t xml:space="preserve"> effective in progressing native title determinations during the Review period</w:t>
      </w:r>
    </w:p>
    <w:p w14:paraId="03ED7DBF" w14:textId="5C468CF2" w:rsidR="00390D6E" w:rsidRPr="00390D6E" w:rsidRDefault="000755C7" w:rsidP="00390D6E">
      <w:pPr>
        <w:suppressAutoHyphens/>
      </w:pPr>
      <w:r>
        <w:t>During</w:t>
      </w:r>
      <w:r w:rsidR="009B709E">
        <w:t xml:space="preserve"> the Review period the KLC</w:t>
      </w:r>
      <w:r w:rsidR="00390D6E" w:rsidRPr="00390D6E">
        <w:t>:</w:t>
      </w:r>
    </w:p>
    <w:p w14:paraId="4847D578" w14:textId="45C0841B" w:rsidR="00390D6E" w:rsidRPr="00AA43AA" w:rsidRDefault="008613CB" w:rsidP="008C1BD3">
      <w:pPr>
        <w:pStyle w:val="Bullet"/>
      </w:pPr>
      <w:r w:rsidRPr="00F01918">
        <w:t>legally represented</w:t>
      </w:r>
      <w:r w:rsidR="00EE521A" w:rsidRPr="00F01918">
        <w:t xml:space="preserve"> </w:t>
      </w:r>
      <w:r w:rsidR="002B03BA" w:rsidRPr="00F01918">
        <w:rPr>
          <w:rFonts w:asciiTheme="majorHAnsi" w:hAnsiTheme="majorHAnsi" w:cstheme="majorBidi"/>
        </w:rPr>
        <w:t>13</w:t>
      </w:r>
      <w:r w:rsidR="00390D6E" w:rsidRPr="00F01918">
        <w:rPr>
          <w:rFonts w:asciiTheme="majorHAnsi" w:hAnsiTheme="majorHAnsi" w:cstheme="majorBidi"/>
        </w:rPr>
        <w:t xml:space="preserve"> determinations</w:t>
      </w:r>
      <w:r w:rsidR="00F325E5">
        <w:t>, one by litigation and the remainder by consent</w:t>
      </w:r>
    </w:p>
    <w:p w14:paraId="06D54619" w14:textId="6ED183BF" w:rsidR="00390D6E" w:rsidRPr="000107CD" w:rsidRDefault="00EE521A" w:rsidP="008C1BD3">
      <w:pPr>
        <w:pStyle w:val="Bullet"/>
      </w:pPr>
      <w:r w:rsidRPr="00722158">
        <w:rPr>
          <w:rFonts w:asciiTheme="majorHAnsi" w:hAnsiTheme="majorHAnsi" w:cstheme="majorHAnsi"/>
        </w:rPr>
        <w:t xml:space="preserve">provided </w:t>
      </w:r>
      <w:r w:rsidR="00DD3CF1">
        <w:rPr>
          <w:rFonts w:asciiTheme="majorHAnsi" w:hAnsiTheme="majorHAnsi" w:cstheme="majorHAnsi"/>
        </w:rPr>
        <w:t xml:space="preserve">funding </w:t>
      </w:r>
      <w:r w:rsidR="003B07F0">
        <w:rPr>
          <w:rFonts w:asciiTheme="majorHAnsi" w:hAnsiTheme="majorHAnsi" w:cstheme="majorHAnsi"/>
        </w:rPr>
        <w:t>for</w:t>
      </w:r>
      <w:r w:rsidR="00390D6E" w:rsidRPr="00722158">
        <w:rPr>
          <w:rFonts w:asciiTheme="majorHAnsi" w:hAnsiTheme="majorHAnsi" w:cstheme="majorHAnsi"/>
        </w:rPr>
        <w:t xml:space="preserve"> external </w:t>
      </w:r>
      <w:r w:rsidR="00B23646">
        <w:rPr>
          <w:rFonts w:asciiTheme="majorHAnsi" w:hAnsiTheme="majorHAnsi" w:cstheme="majorHAnsi"/>
        </w:rPr>
        <w:t>legal representation</w:t>
      </w:r>
      <w:r w:rsidR="00390D6E" w:rsidRPr="00722158">
        <w:rPr>
          <w:rFonts w:asciiTheme="majorHAnsi" w:hAnsiTheme="majorHAnsi" w:cstheme="majorHAnsi"/>
        </w:rPr>
        <w:t xml:space="preserve"> </w:t>
      </w:r>
      <w:r w:rsidR="00FD4FA9">
        <w:rPr>
          <w:rFonts w:asciiTheme="majorHAnsi" w:hAnsiTheme="majorHAnsi" w:cstheme="majorHAnsi"/>
        </w:rPr>
        <w:t xml:space="preserve">for </w:t>
      </w:r>
      <w:r w:rsidR="00E4067B">
        <w:rPr>
          <w:rFonts w:asciiTheme="majorHAnsi" w:hAnsiTheme="majorHAnsi" w:cstheme="majorHAnsi"/>
        </w:rPr>
        <w:t xml:space="preserve">two </w:t>
      </w:r>
      <w:r w:rsidR="00523C07">
        <w:rPr>
          <w:rFonts w:asciiTheme="majorHAnsi" w:hAnsiTheme="majorHAnsi" w:cstheme="majorHAnsi"/>
        </w:rPr>
        <w:t xml:space="preserve">further </w:t>
      </w:r>
      <w:r w:rsidR="00FD4FA9">
        <w:rPr>
          <w:rFonts w:asciiTheme="majorHAnsi" w:hAnsiTheme="majorHAnsi" w:cstheme="majorHAnsi"/>
        </w:rPr>
        <w:t>determination</w:t>
      </w:r>
      <w:r w:rsidR="00E4067B">
        <w:rPr>
          <w:rFonts w:asciiTheme="majorHAnsi" w:hAnsiTheme="majorHAnsi" w:cstheme="majorHAnsi"/>
        </w:rPr>
        <w:t>s</w:t>
      </w:r>
      <w:r w:rsidR="00FD4FA9" w:rsidRPr="00A13A69">
        <w:rPr>
          <w:rFonts w:asciiTheme="minorHAnsi" w:hAnsiTheme="minorHAnsi" w:cstheme="minorHAnsi"/>
        </w:rPr>
        <w:t xml:space="preserve"> and for</w:t>
      </w:r>
      <w:r w:rsidR="006A6E04" w:rsidRPr="00A13A69">
        <w:rPr>
          <w:rFonts w:asciiTheme="minorHAnsi" w:hAnsiTheme="minorHAnsi" w:cstheme="minorHAnsi"/>
        </w:rPr>
        <w:t xml:space="preserve"> </w:t>
      </w:r>
      <w:r w:rsidR="006A6E04">
        <w:t>a further</w:t>
      </w:r>
      <w:r w:rsidR="00390D6E" w:rsidRPr="000107CD">
        <w:t xml:space="preserve"> </w:t>
      </w:r>
      <w:r w:rsidR="00A57581">
        <w:t>five</w:t>
      </w:r>
      <w:r w:rsidR="00390D6E" w:rsidRPr="000107CD">
        <w:t xml:space="preserve"> </w:t>
      </w:r>
      <w:r w:rsidR="00A57581">
        <w:t>claims</w:t>
      </w:r>
    </w:p>
    <w:p w14:paraId="3C7C4087" w14:textId="0C437357" w:rsidR="00390D6E" w:rsidRPr="00390D6E" w:rsidRDefault="00EE521A" w:rsidP="008C1BD3">
      <w:pPr>
        <w:pStyle w:val="Bullet"/>
      </w:pPr>
      <w:r w:rsidRPr="75CE137A">
        <w:rPr>
          <w:rFonts w:asciiTheme="majorHAnsi" w:hAnsiTheme="majorHAnsi" w:cstheme="majorBidi"/>
        </w:rPr>
        <w:t xml:space="preserve">supported </w:t>
      </w:r>
      <w:r w:rsidR="000A31A5" w:rsidRPr="75CE137A">
        <w:rPr>
          <w:rFonts w:asciiTheme="majorHAnsi" w:hAnsiTheme="majorHAnsi" w:cstheme="majorBidi"/>
        </w:rPr>
        <w:t>29</w:t>
      </w:r>
      <w:r w:rsidR="00390D6E" w:rsidRPr="75CE137A">
        <w:rPr>
          <w:rFonts w:asciiTheme="majorHAnsi" w:hAnsiTheme="majorHAnsi" w:cstheme="majorBidi"/>
        </w:rPr>
        <w:t xml:space="preserve"> of </w:t>
      </w:r>
      <w:r w:rsidR="00B23646" w:rsidRPr="75CE137A">
        <w:rPr>
          <w:rFonts w:asciiTheme="majorHAnsi" w:hAnsiTheme="majorHAnsi" w:cstheme="majorBidi"/>
        </w:rPr>
        <w:t xml:space="preserve">the </w:t>
      </w:r>
      <w:r w:rsidR="000A31A5" w:rsidRPr="75CE137A">
        <w:rPr>
          <w:rFonts w:asciiTheme="majorHAnsi" w:hAnsiTheme="majorHAnsi" w:cstheme="majorBidi"/>
        </w:rPr>
        <w:t>31</w:t>
      </w:r>
      <w:r w:rsidR="00390D6E" w:rsidRPr="75CE137A">
        <w:rPr>
          <w:rFonts w:asciiTheme="majorHAnsi" w:hAnsiTheme="majorHAnsi" w:cstheme="majorBidi"/>
        </w:rPr>
        <w:t xml:space="preserve"> PBCs in </w:t>
      </w:r>
      <w:r w:rsidR="00173EF1" w:rsidRPr="75CE137A">
        <w:rPr>
          <w:rFonts w:asciiTheme="majorHAnsi" w:hAnsiTheme="majorHAnsi" w:cstheme="majorBidi"/>
        </w:rPr>
        <w:t>its</w:t>
      </w:r>
      <w:r w:rsidR="00390D6E" w:rsidRPr="75CE137A">
        <w:rPr>
          <w:rFonts w:asciiTheme="majorHAnsi" w:hAnsiTheme="majorHAnsi" w:cstheme="majorBidi"/>
        </w:rPr>
        <w:t xml:space="preserve"> RATSIB area</w:t>
      </w:r>
      <w:r w:rsidR="00390D6E" w:rsidRPr="00390D6E">
        <w:t xml:space="preserve"> to varying degrees</w:t>
      </w:r>
      <w:r w:rsidR="00014D66" w:rsidDel="00173EF1">
        <w:t xml:space="preserve"> </w:t>
      </w:r>
      <w:r w:rsidR="002F1C3F">
        <w:t xml:space="preserve">including in relation to </w:t>
      </w:r>
      <w:r w:rsidR="001739EA">
        <w:t xml:space="preserve">corporate </w:t>
      </w:r>
      <w:r w:rsidR="00014D66">
        <w:t>compliance</w:t>
      </w:r>
      <w:r w:rsidR="000755C7">
        <w:t xml:space="preserve">, </w:t>
      </w:r>
      <w:r w:rsidR="00390D6E" w:rsidRPr="00390D6E">
        <w:t>notification and agreement-making functions</w:t>
      </w:r>
    </w:p>
    <w:p w14:paraId="05C44ED1" w14:textId="4CB5A011" w:rsidR="00390D6E" w:rsidRPr="00390D6E" w:rsidRDefault="00EE521A" w:rsidP="008C1BD3">
      <w:pPr>
        <w:pStyle w:val="Bullet"/>
      </w:pPr>
      <w:r w:rsidRPr="000107CD">
        <w:rPr>
          <w:rFonts w:asciiTheme="majorHAnsi" w:hAnsiTheme="majorHAnsi" w:cstheme="majorHAnsi"/>
        </w:rPr>
        <w:t xml:space="preserve">registered </w:t>
      </w:r>
      <w:r w:rsidR="00390D6E" w:rsidRPr="000107CD">
        <w:rPr>
          <w:rFonts w:asciiTheme="majorHAnsi" w:hAnsiTheme="majorHAnsi" w:cstheme="majorHAnsi"/>
        </w:rPr>
        <w:t>nine ILUAs</w:t>
      </w:r>
      <w:r w:rsidR="00390D6E" w:rsidRPr="00390D6E">
        <w:t>, one of which resulted in the extinguishment of native title</w:t>
      </w:r>
      <w:r w:rsidR="00CE0E97">
        <w:t xml:space="preserve"> in return for other benefits</w:t>
      </w:r>
    </w:p>
    <w:p w14:paraId="13393775" w14:textId="03DCB6E3" w:rsidR="00743445" w:rsidRPr="00743445" w:rsidRDefault="00EE521A" w:rsidP="008C1BD3">
      <w:pPr>
        <w:pStyle w:val="Bullet"/>
        <w:rPr>
          <w:rFonts w:asciiTheme="majorHAnsi" w:hAnsiTheme="majorHAnsi" w:cstheme="majorHAnsi"/>
        </w:rPr>
      </w:pPr>
      <w:r w:rsidRPr="00743445">
        <w:rPr>
          <w:rFonts w:asciiTheme="majorHAnsi" w:hAnsiTheme="majorHAnsi" w:cstheme="majorHAnsi"/>
        </w:rPr>
        <w:t xml:space="preserve">filed </w:t>
      </w:r>
      <w:r w:rsidR="00743445" w:rsidRPr="00743445">
        <w:rPr>
          <w:rFonts w:asciiTheme="majorHAnsi" w:hAnsiTheme="majorHAnsi" w:cstheme="majorHAnsi"/>
        </w:rPr>
        <w:t>seven new claims</w:t>
      </w:r>
    </w:p>
    <w:p w14:paraId="4DA87E25" w14:textId="50DF056B" w:rsidR="00390D6E" w:rsidRPr="000107CD" w:rsidRDefault="00EE521A" w:rsidP="008C1BD3">
      <w:pPr>
        <w:pStyle w:val="Bullet"/>
      </w:pPr>
      <w:r w:rsidRPr="000107CD">
        <w:t xml:space="preserve">represented </w:t>
      </w:r>
      <w:r w:rsidR="00390D6E" w:rsidRPr="000107CD">
        <w:t xml:space="preserve">one claim (Balanggarra #3) where </w:t>
      </w:r>
      <w:r w:rsidR="00390D6E" w:rsidRPr="00A37A1B">
        <w:t>native title was found not to exist</w:t>
      </w:r>
      <w:r w:rsidR="00F325E5">
        <w:t>.</w:t>
      </w:r>
    </w:p>
    <w:p w14:paraId="53FC3C83" w14:textId="6E66BA62" w:rsidR="00390D6E" w:rsidRPr="000107CD" w:rsidRDefault="00390D6E" w:rsidP="000755C7">
      <w:pPr>
        <w:rPr>
          <w:lang w:eastAsia="en-AU"/>
        </w:rPr>
      </w:pPr>
      <w:r w:rsidRPr="000107CD">
        <w:rPr>
          <w:lang w:eastAsia="en-AU"/>
        </w:rPr>
        <w:t xml:space="preserve">At the end of the Review period, there were </w:t>
      </w:r>
      <w:r w:rsidR="009210E9" w:rsidRPr="00A13A69">
        <w:rPr>
          <w:rFonts w:ascii="Segoe UI Semibold" w:hAnsi="Segoe UI Semibold" w:cs="Segoe UI Semibold"/>
          <w:lang w:eastAsia="en-AU"/>
        </w:rPr>
        <w:t xml:space="preserve">six active </w:t>
      </w:r>
      <w:r w:rsidRPr="00A13A69">
        <w:rPr>
          <w:rFonts w:ascii="Segoe UI Semibold" w:hAnsi="Segoe UI Semibold" w:cs="Segoe UI Semibold"/>
          <w:lang w:eastAsia="en-AU"/>
        </w:rPr>
        <w:t>claims</w:t>
      </w:r>
      <w:r w:rsidRPr="000107CD">
        <w:rPr>
          <w:lang w:eastAsia="en-AU"/>
        </w:rPr>
        <w:t>: f</w:t>
      </w:r>
      <w:r w:rsidR="00CF4D18">
        <w:rPr>
          <w:lang w:eastAsia="en-AU"/>
        </w:rPr>
        <w:t>ive</w:t>
      </w:r>
      <w:r w:rsidRPr="000107CD">
        <w:rPr>
          <w:lang w:eastAsia="en-AU"/>
        </w:rPr>
        <w:t xml:space="preserve"> for native title and one for compensation. </w:t>
      </w:r>
    </w:p>
    <w:p w14:paraId="12470ECA" w14:textId="486CF966" w:rsidR="00FF70FD" w:rsidRDefault="00390D6E" w:rsidP="00390D6E">
      <w:pPr>
        <w:rPr>
          <w:szCs w:val="19"/>
        </w:rPr>
      </w:pPr>
      <w:r w:rsidRPr="00390D6E">
        <w:t xml:space="preserve">The details of the determinations </w:t>
      </w:r>
      <w:r w:rsidR="00E1163C">
        <w:rPr>
          <w:szCs w:val="19"/>
        </w:rPr>
        <w:t>supported</w:t>
      </w:r>
      <w:r w:rsidR="009D3858" w:rsidRPr="00A03FCB">
        <w:rPr>
          <w:szCs w:val="19"/>
        </w:rPr>
        <w:t xml:space="preserve"> by </w:t>
      </w:r>
      <w:r w:rsidR="00B53BB5">
        <w:rPr>
          <w:szCs w:val="19"/>
        </w:rPr>
        <w:t xml:space="preserve">the </w:t>
      </w:r>
      <w:r w:rsidR="009D3858" w:rsidRPr="00A03FCB">
        <w:rPr>
          <w:szCs w:val="19"/>
        </w:rPr>
        <w:t xml:space="preserve">KLC </w:t>
      </w:r>
      <w:r w:rsidRPr="00A03FCB">
        <w:rPr>
          <w:szCs w:val="19"/>
        </w:rPr>
        <w:t xml:space="preserve">during the Review period are presented in </w:t>
      </w:r>
      <w:r w:rsidR="00EE521A" w:rsidRPr="00A03FCB">
        <w:rPr>
          <w:szCs w:val="19"/>
        </w:rPr>
        <w:fldChar w:fldCharType="begin"/>
      </w:r>
      <w:r w:rsidR="00EE521A" w:rsidRPr="00A03FCB">
        <w:rPr>
          <w:szCs w:val="19"/>
        </w:rPr>
        <w:instrText xml:space="preserve"> REF _Ref138328731 \h  \* MERGEFORMAT </w:instrText>
      </w:r>
      <w:r w:rsidR="00EE521A" w:rsidRPr="00A03FCB">
        <w:rPr>
          <w:szCs w:val="19"/>
        </w:rPr>
      </w:r>
      <w:r w:rsidR="00EE521A" w:rsidRPr="00A03FCB">
        <w:rPr>
          <w:szCs w:val="19"/>
        </w:rPr>
        <w:fldChar w:fldCharType="separate"/>
      </w:r>
      <w:r w:rsidR="00291532" w:rsidRPr="00291532">
        <w:rPr>
          <w:szCs w:val="19"/>
        </w:rPr>
        <w:t>Table 1</w:t>
      </w:r>
      <w:r w:rsidR="00EE521A" w:rsidRPr="00A03FCB">
        <w:rPr>
          <w:szCs w:val="19"/>
        </w:rPr>
        <w:fldChar w:fldCharType="end"/>
      </w:r>
      <w:r w:rsidRPr="00A03FCB">
        <w:rPr>
          <w:szCs w:val="19"/>
        </w:rPr>
        <w:t>.</w:t>
      </w:r>
      <w:r w:rsidR="002C6E7A">
        <w:rPr>
          <w:szCs w:val="19"/>
        </w:rPr>
        <w:t xml:space="preserve"> </w:t>
      </w:r>
      <w:r w:rsidR="00E1163C">
        <w:rPr>
          <w:szCs w:val="19"/>
        </w:rPr>
        <w:t>All except on</w:t>
      </w:r>
      <w:r w:rsidR="008613CB">
        <w:rPr>
          <w:szCs w:val="19"/>
        </w:rPr>
        <w:t xml:space="preserve">e </w:t>
      </w:r>
      <w:r w:rsidR="00E1163C">
        <w:rPr>
          <w:szCs w:val="19"/>
        </w:rPr>
        <w:t>of these were</w:t>
      </w:r>
      <w:r w:rsidR="008613CB">
        <w:rPr>
          <w:szCs w:val="19"/>
        </w:rPr>
        <w:t xml:space="preserve"> legally represented by the KLC.</w:t>
      </w:r>
    </w:p>
    <w:p w14:paraId="51AFD7DA" w14:textId="7365C97F" w:rsidR="00390D6E" w:rsidRPr="00390D6E" w:rsidRDefault="00390D6E" w:rsidP="00390D6E">
      <w:pPr>
        <w:keepNext/>
        <w:spacing w:before="240"/>
        <w:rPr>
          <w:rFonts w:ascii="Segoe UI Semibold" w:hAnsi="Segoe UI Semibold"/>
          <w:bCs/>
          <w:color w:val="00264D" w:themeColor="background2"/>
          <w:szCs w:val="18"/>
        </w:rPr>
      </w:pPr>
      <w:bookmarkStart w:id="20" w:name="_Ref138328731"/>
      <w:r w:rsidRPr="00390D6E">
        <w:rPr>
          <w:rFonts w:ascii="Segoe UI Semibold" w:hAnsi="Segoe UI Semibold"/>
          <w:bCs/>
          <w:color w:val="00264D" w:themeColor="background2"/>
          <w:szCs w:val="18"/>
        </w:rPr>
        <w:t xml:space="preserve">Table </w:t>
      </w:r>
      <w:r w:rsidRPr="00390D6E">
        <w:rPr>
          <w:rFonts w:ascii="Segoe UI Semibold" w:hAnsi="Segoe UI Semibold"/>
          <w:bCs/>
          <w:color w:val="00264D" w:themeColor="background2"/>
          <w:szCs w:val="18"/>
        </w:rPr>
        <w:fldChar w:fldCharType="begin"/>
      </w:r>
      <w:r w:rsidRPr="00390D6E">
        <w:rPr>
          <w:rFonts w:ascii="Segoe UI Semibold" w:hAnsi="Segoe UI Semibold"/>
          <w:bCs/>
          <w:color w:val="00264D" w:themeColor="background2"/>
          <w:szCs w:val="18"/>
        </w:rPr>
        <w:instrText xml:space="preserve"> SEQ Table \* ARABIC </w:instrText>
      </w:r>
      <w:r w:rsidRPr="00390D6E">
        <w:rPr>
          <w:rFonts w:ascii="Segoe UI Semibold" w:hAnsi="Segoe UI Semibold"/>
          <w:bCs/>
          <w:color w:val="00264D" w:themeColor="background2"/>
          <w:szCs w:val="18"/>
        </w:rPr>
        <w:fldChar w:fldCharType="separate"/>
      </w:r>
      <w:r w:rsidR="00291532">
        <w:rPr>
          <w:rFonts w:ascii="Segoe UI Semibold" w:hAnsi="Segoe UI Semibold"/>
          <w:bCs/>
          <w:noProof/>
          <w:color w:val="00264D" w:themeColor="background2"/>
          <w:szCs w:val="18"/>
        </w:rPr>
        <w:t>1</w:t>
      </w:r>
      <w:r w:rsidRPr="00390D6E">
        <w:rPr>
          <w:rFonts w:ascii="Segoe UI Semibold" w:hAnsi="Segoe UI Semibold"/>
          <w:bCs/>
          <w:color w:val="00264D" w:themeColor="background2"/>
          <w:szCs w:val="18"/>
        </w:rPr>
        <w:fldChar w:fldCharType="end"/>
      </w:r>
      <w:bookmarkEnd w:id="20"/>
      <w:r w:rsidRPr="00390D6E">
        <w:rPr>
          <w:rFonts w:ascii="Segoe UI Semibold" w:hAnsi="Segoe UI Semibold"/>
          <w:bCs/>
          <w:color w:val="00264D" w:themeColor="background2"/>
          <w:szCs w:val="18"/>
        </w:rPr>
        <w:t xml:space="preserve"> | Determinations </w:t>
      </w:r>
      <w:r w:rsidR="004C3572">
        <w:rPr>
          <w:rFonts w:ascii="Segoe UI Semibold" w:hAnsi="Segoe UI Semibold"/>
          <w:bCs/>
          <w:color w:val="00264D" w:themeColor="background2"/>
          <w:szCs w:val="18"/>
        </w:rPr>
        <w:t>supported</w:t>
      </w:r>
      <w:r w:rsidRPr="00390D6E">
        <w:rPr>
          <w:rFonts w:ascii="Segoe UI Semibold" w:hAnsi="Segoe UI Semibold"/>
          <w:bCs/>
          <w:color w:val="00264D" w:themeColor="background2"/>
          <w:szCs w:val="18"/>
        </w:rPr>
        <w:t xml:space="preserve"> by the KLC </w:t>
      </w:r>
      <w:r w:rsidR="00B53BB5">
        <w:rPr>
          <w:rFonts w:ascii="Segoe UI Semibold" w:hAnsi="Segoe UI Semibold"/>
          <w:bCs/>
          <w:color w:val="00264D" w:themeColor="background2"/>
          <w:szCs w:val="18"/>
        </w:rPr>
        <w:t>during the Review period</w:t>
      </w:r>
      <w:r w:rsidRPr="00390D6E">
        <w:rPr>
          <w:rFonts w:ascii="Segoe UI Semibold" w:hAnsi="Segoe UI Semibold"/>
          <w:bCs/>
          <w:color w:val="00264D" w:themeColor="background2"/>
          <w:szCs w:val="18"/>
          <w:vertAlign w:val="superscript"/>
        </w:rPr>
        <w:footnoteReference w:id="2"/>
      </w:r>
    </w:p>
    <w:tbl>
      <w:tblPr>
        <w:tblStyle w:val="AEMO211"/>
        <w:tblpPr w:leftFromText="180" w:rightFromText="180" w:vertAnchor="text" w:tblpX="-851" w:tblpY="1"/>
        <w:tblOverlap w:val="never"/>
        <w:tblW w:w="5873" w:type="pct"/>
        <w:tblLayout w:type="fixed"/>
        <w:tblLook w:val="04A0" w:firstRow="1" w:lastRow="0" w:firstColumn="1" w:lastColumn="0" w:noHBand="0" w:noVBand="1"/>
      </w:tblPr>
      <w:tblGrid>
        <w:gridCol w:w="1845"/>
        <w:gridCol w:w="1275"/>
        <w:gridCol w:w="1139"/>
        <w:gridCol w:w="1416"/>
        <w:gridCol w:w="1418"/>
        <w:gridCol w:w="1275"/>
        <w:gridCol w:w="2121"/>
      </w:tblGrid>
      <w:tr w:rsidR="00AA122E" w:rsidRPr="00390D6E" w14:paraId="0224C38D" w14:textId="77777777" w:rsidTr="001C019D">
        <w:trPr>
          <w:cnfStyle w:val="100000000000" w:firstRow="1" w:lastRow="0" w:firstColumn="0" w:lastColumn="0" w:oddVBand="0" w:evenVBand="0" w:oddHBand="0" w:evenHBand="0" w:firstRowFirstColumn="0" w:firstRowLastColumn="0" w:lastRowFirstColumn="0" w:lastRowLastColumn="0"/>
        </w:trPr>
        <w:tc>
          <w:tcPr>
            <w:tcW w:w="879" w:type="pct"/>
          </w:tcPr>
          <w:p w14:paraId="7ED262A4" w14:textId="77777777" w:rsidR="00390D6E" w:rsidRPr="00390D6E" w:rsidRDefault="00390D6E" w:rsidP="001C019D">
            <w:pPr>
              <w:pStyle w:val="TableNheader"/>
            </w:pPr>
            <w:r w:rsidRPr="00390D6E">
              <w:t>PBC</w:t>
            </w:r>
          </w:p>
        </w:tc>
        <w:tc>
          <w:tcPr>
            <w:tcW w:w="608" w:type="pct"/>
          </w:tcPr>
          <w:p w14:paraId="681F1B59" w14:textId="0A455CBA" w:rsidR="00390D6E" w:rsidRPr="00390D6E" w:rsidRDefault="00341F5F" w:rsidP="001C019D">
            <w:pPr>
              <w:pStyle w:val="TableNheader"/>
            </w:pPr>
            <w:r>
              <w:t>C</w:t>
            </w:r>
            <w:r w:rsidR="00390D6E" w:rsidRPr="00390D6E">
              <w:t>ase name</w:t>
            </w:r>
            <w:r>
              <w:br/>
            </w:r>
            <w:r w:rsidRPr="00341F5F">
              <w:rPr>
                <w:rFonts w:asciiTheme="minorHAnsi" w:hAnsiTheme="minorHAnsi" w:cstheme="minorHAnsi"/>
                <w:sz w:val="16"/>
                <w:szCs w:val="20"/>
              </w:rPr>
              <w:t>(shortened)</w:t>
            </w:r>
          </w:p>
        </w:tc>
        <w:tc>
          <w:tcPr>
            <w:tcW w:w="543" w:type="pct"/>
          </w:tcPr>
          <w:p w14:paraId="0C690338" w14:textId="77777777" w:rsidR="00390D6E" w:rsidRPr="00390D6E" w:rsidRDefault="00390D6E" w:rsidP="001C019D">
            <w:pPr>
              <w:pStyle w:val="TableNheader"/>
            </w:pPr>
            <w:r w:rsidRPr="00390D6E">
              <w:t xml:space="preserve">Date filed </w:t>
            </w:r>
            <w:r w:rsidRPr="00341F5F">
              <w:rPr>
                <w:rFonts w:asciiTheme="minorHAnsi" w:hAnsiTheme="minorHAnsi" w:cstheme="minorHAnsi"/>
                <w:sz w:val="16"/>
                <w:szCs w:val="20"/>
              </w:rPr>
              <w:t>(first application)</w:t>
            </w:r>
          </w:p>
        </w:tc>
        <w:tc>
          <w:tcPr>
            <w:tcW w:w="675" w:type="pct"/>
          </w:tcPr>
          <w:p w14:paraId="33AD45AC" w14:textId="77777777" w:rsidR="00390D6E" w:rsidRPr="00390D6E" w:rsidRDefault="00390D6E" w:rsidP="001C019D">
            <w:pPr>
              <w:pStyle w:val="TableNheader"/>
            </w:pPr>
            <w:r w:rsidRPr="00390D6E">
              <w:t>Determination date</w:t>
            </w:r>
          </w:p>
        </w:tc>
        <w:tc>
          <w:tcPr>
            <w:tcW w:w="676" w:type="pct"/>
          </w:tcPr>
          <w:p w14:paraId="34E410EA" w14:textId="33095488" w:rsidR="006F65E4" w:rsidRPr="00E62E71" w:rsidRDefault="006F65E4" w:rsidP="001C019D">
            <w:pPr>
              <w:pStyle w:val="TableNheader"/>
              <w:rPr>
                <w:sz w:val="17"/>
                <w:szCs w:val="17"/>
              </w:rPr>
            </w:pPr>
            <w:r w:rsidRPr="00E62E71">
              <w:t>Representative</w:t>
            </w:r>
          </w:p>
        </w:tc>
        <w:tc>
          <w:tcPr>
            <w:tcW w:w="608" w:type="pct"/>
          </w:tcPr>
          <w:p w14:paraId="1956B885" w14:textId="6AD2D28B" w:rsidR="00390D6E" w:rsidRPr="00390D6E" w:rsidRDefault="00390D6E" w:rsidP="001C019D">
            <w:pPr>
              <w:pStyle w:val="TableNheader"/>
            </w:pPr>
            <w:r w:rsidRPr="00390D6E">
              <w:t>Judgement</w:t>
            </w:r>
          </w:p>
        </w:tc>
        <w:tc>
          <w:tcPr>
            <w:tcW w:w="1011" w:type="pct"/>
          </w:tcPr>
          <w:p w14:paraId="2EF18269" w14:textId="77777777" w:rsidR="00390D6E" w:rsidRPr="00390D6E" w:rsidRDefault="00390D6E" w:rsidP="001C019D">
            <w:pPr>
              <w:pStyle w:val="TableNheader"/>
            </w:pPr>
            <w:r w:rsidRPr="00390D6E">
              <w:t>Status commentary</w:t>
            </w:r>
          </w:p>
        </w:tc>
      </w:tr>
      <w:tr w:rsidR="00AA122E" w:rsidRPr="00390D6E" w14:paraId="03DC2621" w14:textId="77777777" w:rsidTr="001C019D">
        <w:trPr>
          <w:cnfStyle w:val="000000100000" w:firstRow="0" w:lastRow="0" w:firstColumn="0" w:lastColumn="0" w:oddVBand="0" w:evenVBand="0" w:oddHBand="1" w:evenHBand="0" w:firstRowFirstColumn="0" w:firstRowLastColumn="0" w:lastRowFirstColumn="0" w:lastRowLastColumn="0"/>
          <w:trHeight w:val="580"/>
        </w:trPr>
        <w:tc>
          <w:tcPr>
            <w:tcW w:w="879" w:type="pct"/>
            <w:hideMark/>
          </w:tcPr>
          <w:p w14:paraId="576E9DB0" w14:textId="39B09FAD" w:rsidR="00390D6E" w:rsidRPr="00390D6E" w:rsidRDefault="00390D6E" w:rsidP="001C019D">
            <w:pPr>
              <w:pStyle w:val="TableNText"/>
              <w:rPr>
                <w:lang w:eastAsia="en-AU"/>
              </w:rPr>
            </w:pPr>
            <w:r w:rsidRPr="00390D6E">
              <w:rPr>
                <w:lang w:eastAsia="en-AU"/>
              </w:rPr>
              <w:t xml:space="preserve">Bunuba Dawangarri Aboriginal Corporation </w:t>
            </w:r>
            <w:r w:rsidR="005A324C" w:rsidRPr="005A324C">
              <w:rPr>
                <w:lang w:eastAsia="en-AU"/>
              </w:rPr>
              <w:t xml:space="preserve">registered native title bodies corporate </w:t>
            </w:r>
            <w:r w:rsidR="005A324C">
              <w:rPr>
                <w:lang w:eastAsia="en-AU"/>
              </w:rPr>
              <w:t>(</w:t>
            </w:r>
            <w:r w:rsidRPr="00390D6E">
              <w:rPr>
                <w:lang w:eastAsia="en-AU"/>
              </w:rPr>
              <w:t>RNTBC</w:t>
            </w:r>
            <w:r w:rsidR="005A324C">
              <w:rPr>
                <w:lang w:eastAsia="en-AU"/>
              </w:rPr>
              <w:t>)</w:t>
            </w:r>
          </w:p>
        </w:tc>
        <w:tc>
          <w:tcPr>
            <w:tcW w:w="608" w:type="pct"/>
            <w:hideMark/>
          </w:tcPr>
          <w:p w14:paraId="49A43BE3" w14:textId="77777777" w:rsidR="00390D6E" w:rsidRPr="00390D6E" w:rsidRDefault="00390D6E" w:rsidP="001C019D">
            <w:pPr>
              <w:pStyle w:val="TableNText"/>
              <w:rPr>
                <w:lang w:eastAsia="en-AU"/>
              </w:rPr>
            </w:pPr>
            <w:r w:rsidRPr="00390D6E">
              <w:rPr>
                <w:lang w:eastAsia="en-AU"/>
              </w:rPr>
              <w:t>Bunuba #2 Part B</w:t>
            </w:r>
          </w:p>
        </w:tc>
        <w:tc>
          <w:tcPr>
            <w:tcW w:w="543" w:type="pct"/>
            <w:noWrap/>
            <w:hideMark/>
          </w:tcPr>
          <w:p w14:paraId="3C9A40DE" w14:textId="77777777" w:rsidR="00390D6E" w:rsidRPr="00390D6E" w:rsidRDefault="00390D6E" w:rsidP="001C019D">
            <w:pPr>
              <w:pStyle w:val="TableNText"/>
              <w:rPr>
                <w:lang w:eastAsia="en-AU"/>
              </w:rPr>
            </w:pPr>
            <w:r w:rsidRPr="00390D6E">
              <w:rPr>
                <w:lang w:eastAsia="en-AU"/>
              </w:rPr>
              <w:t>10/04/2012</w:t>
            </w:r>
          </w:p>
        </w:tc>
        <w:tc>
          <w:tcPr>
            <w:tcW w:w="675" w:type="pct"/>
            <w:hideMark/>
          </w:tcPr>
          <w:p w14:paraId="04B7507B" w14:textId="77777777" w:rsidR="00390D6E" w:rsidRPr="00390D6E" w:rsidRDefault="00390D6E" w:rsidP="001C019D">
            <w:pPr>
              <w:pStyle w:val="TableNText"/>
              <w:rPr>
                <w:lang w:eastAsia="en-AU"/>
              </w:rPr>
            </w:pPr>
            <w:r w:rsidRPr="00390D6E">
              <w:rPr>
                <w:lang w:eastAsia="en-AU"/>
              </w:rPr>
              <w:t>25/07/2019</w:t>
            </w:r>
          </w:p>
        </w:tc>
        <w:tc>
          <w:tcPr>
            <w:tcW w:w="676" w:type="pct"/>
          </w:tcPr>
          <w:p w14:paraId="372111E3" w14:textId="59DC8143" w:rsidR="008613CB" w:rsidRDefault="008613CB" w:rsidP="001C019D">
            <w:pPr>
              <w:pStyle w:val="TableNText"/>
              <w:rPr>
                <w:lang w:eastAsia="en-AU"/>
              </w:rPr>
            </w:pPr>
            <w:r>
              <w:rPr>
                <w:lang w:eastAsia="en-AU"/>
              </w:rPr>
              <w:t>KLC</w:t>
            </w:r>
          </w:p>
        </w:tc>
        <w:tc>
          <w:tcPr>
            <w:tcW w:w="608" w:type="pct"/>
            <w:hideMark/>
          </w:tcPr>
          <w:p w14:paraId="07972B45" w14:textId="4397F1B9" w:rsidR="00390D6E" w:rsidRPr="00390D6E" w:rsidRDefault="00390D6E" w:rsidP="001C019D">
            <w:pPr>
              <w:pStyle w:val="TableNText"/>
              <w:rPr>
                <w:lang w:eastAsia="en-AU"/>
              </w:rPr>
            </w:pPr>
            <w:r w:rsidRPr="00390D6E">
              <w:rPr>
                <w:lang w:eastAsia="en-AU"/>
              </w:rPr>
              <w:t>Native title exists in parts of the determination area</w:t>
            </w:r>
            <w:r w:rsidR="00A54B76">
              <w:rPr>
                <w:lang w:eastAsia="en-AU"/>
              </w:rPr>
              <w:t>.</w:t>
            </w:r>
          </w:p>
        </w:tc>
        <w:tc>
          <w:tcPr>
            <w:tcW w:w="1011" w:type="pct"/>
          </w:tcPr>
          <w:p w14:paraId="4D63AC77" w14:textId="278B30B2" w:rsidR="00390D6E" w:rsidRPr="00390D6E" w:rsidRDefault="00390D6E" w:rsidP="001C019D">
            <w:pPr>
              <w:pStyle w:val="TableNText"/>
              <w:rPr>
                <w:lang w:eastAsia="en-AU"/>
              </w:rPr>
            </w:pPr>
            <w:r w:rsidRPr="00390D6E">
              <w:rPr>
                <w:lang w:eastAsia="en-AU"/>
              </w:rPr>
              <w:t xml:space="preserve">The claim was determined by consent and covers an area of 284.6715 square kilometres of land and waters in the vicinity of </w:t>
            </w:r>
            <w:r w:rsidR="00917794">
              <w:rPr>
                <w:lang w:eastAsia="en-AU"/>
              </w:rPr>
              <w:t>Fitzroy Crossing</w:t>
            </w:r>
            <w:r w:rsidRPr="00390D6E">
              <w:rPr>
                <w:lang w:eastAsia="en-AU"/>
              </w:rPr>
              <w:t>.</w:t>
            </w:r>
          </w:p>
        </w:tc>
      </w:tr>
      <w:tr w:rsidR="00AA122E" w:rsidRPr="00390D6E" w14:paraId="33D84F5D" w14:textId="77777777" w:rsidTr="001C019D">
        <w:trPr>
          <w:cnfStyle w:val="000000010000" w:firstRow="0" w:lastRow="0" w:firstColumn="0" w:lastColumn="0" w:oddVBand="0" w:evenVBand="0" w:oddHBand="0" w:evenHBand="1" w:firstRowFirstColumn="0" w:firstRowLastColumn="0" w:lastRowFirstColumn="0" w:lastRowLastColumn="0"/>
          <w:trHeight w:val="580"/>
        </w:trPr>
        <w:tc>
          <w:tcPr>
            <w:tcW w:w="879" w:type="pct"/>
            <w:hideMark/>
          </w:tcPr>
          <w:p w14:paraId="2FAF6BBF" w14:textId="64AB0720" w:rsidR="00390D6E" w:rsidRPr="00390D6E" w:rsidRDefault="00390D6E" w:rsidP="001C019D">
            <w:pPr>
              <w:pStyle w:val="TableNText"/>
              <w:rPr>
                <w:lang w:eastAsia="en-AU"/>
              </w:rPr>
            </w:pPr>
            <w:r w:rsidRPr="00390D6E">
              <w:rPr>
                <w:lang w:eastAsia="en-AU"/>
              </w:rPr>
              <w:t>Mayala Inninalang Aboriginal Corporation</w:t>
            </w:r>
            <w:r w:rsidR="0003288E">
              <w:rPr>
                <w:lang w:eastAsia="en-AU"/>
              </w:rPr>
              <w:t xml:space="preserve"> RNTBC</w:t>
            </w:r>
          </w:p>
        </w:tc>
        <w:tc>
          <w:tcPr>
            <w:tcW w:w="608" w:type="pct"/>
            <w:hideMark/>
          </w:tcPr>
          <w:p w14:paraId="77C55B38" w14:textId="77777777" w:rsidR="00390D6E" w:rsidRPr="00390D6E" w:rsidRDefault="00390D6E" w:rsidP="001C019D">
            <w:pPr>
              <w:pStyle w:val="TableNText"/>
              <w:rPr>
                <w:lang w:eastAsia="en-AU"/>
              </w:rPr>
            </w:pPr>
            <w:r w:rsidRPr="00390D6E">
              <w:rPr>
                <w:lang w:eastAsia="en-AU"/>
              </w:rPr>
              <w:t>Mayala #2</w:t>
            </w:r>
          </w:p>
        </w:tc>
        <w:tc>
          <w:tcPr>
            <w:tcW w:w="543" w:type="pct"/>
            <w:hideMark/>
          </w:tcPr>
          <w:p w14:paraId="69497591" w14:textId="77777777" w:rsidR="00390D6E" w:rsidRPr="00390D6E" w:rsidRDefault="00390D6E" w:rsidP="001C019D">
            <w:pPr>
              <w:pStyle w:val="TableNText"/>
              <w:rPr>
                <w:lang w:eastAsia="en-AU"/>
              </w:rPr>
            </w:pPr>
            <w:r w:rsidRPr="00390D6E">
              <w:rPr>
                <w:lang w:eastAsia="en-AU"/>
              </w:rPr>
              <w:t>11/01/2018</w:t>
            </w:r>
          </w:p>
        </w:tc>
        <w:tc>
          <w:tcPr>
            <w:tcW w:w="675" w:type="pct"/>
            <w:hideMark/>
          </w:tcPr>
          <w:p w14:paraId="42303031" w14:textId="77777777" w:rsidR="00390D6E" w:rsidRPr="00390D6E" w:rsidRDefault="00390D6E" w:rsidP="001C019D">
            <w:pPr>
              <w:pStyle w:val="TableNText"/>
              <w:rPr>
                <w:lang w:eastAsia="en-AU"/>
              </w:rPr>
            </w:pPr>
            <w:r w:rsidRPr="00390D6E">
              <w:rPr>
                <w:lang w:eastAsia="en-AU"/>
              </w:rPr>
              <w:t>25/07/2019</w:t>
            </w:r>
          </w:p>
        </w:tc>
        <w:tc>
          <w:tcPr>
            <w:tcW w:w="676" w:type="pct"/>
          </w:tcPr>
          <w:p w14:paraId="39054BC1" w14:textId="7B57BE07" w:rsidR="008613CB" w:rsidRDefault="008613CB" w:rsidP="001C019D">
            <w:pPr>
              <w:pStyle w:val="TableNText"/>
              <w:rPr>
                <w:lang w:eastAsia="en-AU"/>
              </w:rPr>
            </w:pPr>
            <w:r>
              <w:rPr>
                <w:lang w:eastAsia="en-AU"/>
              </w:rPr>
              <w:t>KLC</w:t>
            </w:r>
          </w:p>
        </w:tc>
        <w:tc>
          <w:tcPr>
            <w:tcW w:w="608" w:type="pct"/>
            <w:hideMark/>
          </w:tcPr>
          <w:p w14:paraId="4DB58C96" w14:textId="55690583" w:rsidR="00390D6E" w:rsidRPr="00390D6E" w:rsidRDefault="00390D6E" w:rsidP="001C019D">
            <w:pPr>
              <w:pStyle w:val="TableNText"/>
              <w:rPr>
                <w:lang w:eastAsia="en-AU"/>
              </w:rPr>
            </w:pPr>
            <w:r w:rsidRPr="00390D6E">
              <w:rPr>
                <w:lang w:eastAsia="en-AU"/>
              </w:rPr>
              <w:t>Native title exists in parts of the determination area</w:t>
            </w:r>
            <w:r w:rsidR="00A54B76">
              <w:rPr>
                <w:lang w:eastAsia="en-AU"/>
              </w:rPr>
              <w:t>.</w:t>
            </w:r>
          </w:p>
        </w:tc>
        <w:tc>
          <w:tcPr>
            <w:tcW w:w="1011" w:type="pct"/>
          </w:tcPr>
          <w:p w14:paraId="48DF2697" w14:textId="77777777" w:rsidR="00390D6E" w:rsidRPr="00390D6E" w:rsidRDefault="00390D6E" w:rsidP="001C019D">
            <w:pPr>
              <w:pStyle w:val="TableNText"/>
              <w:rPr>
                <w:lang w:eastAsia="en-AU"/>
              </w:rPr>
            </w:pPr>
            <w:r w:rsidRPr="00390D6E">
              <w:rPr>
                <w:lang w:eastAsia="en-AU"/>
              </w:rPr>
              <w:t>The claim was determined by consent and covers an area of 0.0343 square kilometres of land and waters in the vicinity of Derby.</w:t>
            </w:r>
          </w:p>
        </w:tc>
      </w:tr>
      <w:tr w:rsidR="00AA122E" w:rsidRPr="00390D6E" w14:paraId="4C903050" w14:textId="77777777" w:rsidTr="001C019D">
        <w:trPr>
          <w:cnfStyle w:val="000000100000" w:firstRow="0" w:lastRow="0" w:firstColumn="0" w:lastColumn="0" w:oddVBand="0" w:evenVBand="0" w:oddHBand="1" w:evenHBand="0" w:firstRowFirstColumn="0" w:firstRowLastColumn="0" w:lastRowFirstColumn="0" w:lastRowLastColumn="0"/>
          <w:trHeight w:val="580"/>
        </w:trPr>
        <w:tc>
          <w:tcPr>
            <w:tcW w:w="879" w:type="pct"/>
            <w:hideMark/>
          </w:tcPr>
          <w:p w14:paraId="0C697AD4" w14:textId="77777777" w:rsidR="00390D6E" w:rsidRPr="00390D6E" w:rsidRDefault="00390D6E" w:rsidP="001C019D">
            <w:pPr>
              <w:pStyle w:val="TableNText"/>
              <w:rPr>
                <w:lang w:eastAsia="en-AU"/>
              </w:rPr>
            </w:pPr>
            <w:r w:rsidRPr="00390D6E">
              <w:rPr>
                <w:lang w:eastAsia="en-AU"/>
              </w:rPr>
              <w:t>Yanunijarra Aboriginal Corporation RNTBC</w:t>
            </w:r>
          </w:p>
        </w:tc>
        <w:tc>
          <w:tcPr>
            <w:tcW w:w="608" w:type="pct"/>
            <w:hideMark/>
          </w:tcPr>
          <w:p w14:paraId="4599DAE7" w14:textId="77777777" w:rsidR="00390D6E" w:rsidRPr="00390D6E" w:rsidRDefault="00390D6E" w:rsidP="001C019D">
            <w:pPr>
              <w:pStyle w:val="TableNText"/>
              <w:rPr>
                <w:lang w:eastAsia="en-AU"/>
              </w:rPr>
            </w:pPr>
            <w:r w:rsidRPr="00390D6E">
              <w:rPr>
                <w:lang w:eastAsia="en-AU"/>
              </w:rPr>
              <w:t>Ngurrara D1</w:t>
            </w:r>
          </w:p>
        </w:tc>
        <w:tc>
          <w:tcPr>
            <w:tcW w:w="543" w:type="pct"/>
            <w:noWrap/>
            <w:hideMark/>
          </w:tcPr>
          <w:p w14:paraId="3A6F9920" w14:textId="77777777" w:rsidR="00390D6E" w:rsidRPr="00390D6E" w:rsidRDefault="00390D6E" w:rsidP="001C019D">
            <w:pPr>
              <w:pStyle w:val="TableNText"/>
              <w:rPr>
                <w:lang w:eastAsia="en-AU"/>
              </w:rPr>
            </w:pPr>
            <w:r w:rsidRPr="00390D6E">
              <w:rPr>
                <w:lang w:eastAsia="en-AU"/>
              </w:rPr>
              <w:t>19/07/2018</w:t>
            </w:r>
          </w:p>
        </w:tc>
        <w:tc>
          <w:tcPr>
            <w:tcW w:w="675" w:type="pct"/>
            <w:hideMark/>
          </w:tcPr>
          <w:p w14:paraId="665225DB" w14:textId="77777777" w:rsidR="00390D6E" w:rsidRPr="00390D6E" w:rsidRDefault="00390D6E" w:rsidP="001C019D">
            <w:pPr>
              <w:pStyle w:val="TableNText"/>
              <w:rPr>
                <w:lang w:eastAsia="en-AU"/>
              </w:rPr>
            </w:pPr>
            <w:r w:rsidRPr="00390D6E">
              <w:rPr>
                <w:lang w:eastAsia="en-AU"/>
              </w:rPr>
              <w:t>9/08/2019</w:t>
            </w:r>
          </w:p>
        </w:tc>
        <w:tc>
          <w:tcPr>
            <w:tcW w:w="676" w:type="pct"/>
          </w:tcPr>
          <w:p w14:paraId="2880642F" w14:textId="350ACEBC" w:rsidR="00F67E25" w:rsidRDefault="00F67E25" w:rsidP="001C019D">
            <w:pPr>
              <w:pStyle w:val="TableNText"/>
              <w:rPr>
                <w:lang w:eastAsia="en-AU"/>
              </w:rPr>
            </w:pPr>
            <w:r>
              <w:rPr>
                <w:lang w:eastAsia="en-AU"/>
              </w:rPr>
              <w:t>KLC</w:t>
            </w:r>
          </w:p>
        </w:tc>
        <w:tc>
          <w:tcPr>
            <w:tcW w:w="608" w:type="pct"/>
            <w:hideMark/>
          </w:tcPr>
          <w:p w14:paraId="78833C77" w14:textId="1FF8D7ED" w:rsidR="00390D6E" w:rsidRPr="00390D6E" w:rsidRDefault="00390D6E" w:rsidP="001C019D">
            <w:pPr>
              <w:pStyle w:val="TableNText"/>
              <w:rPr>
                <w:lang w:eastAsia="en-AU"/>
              </w:rPr>
            </w:pPr>
            <w:r w:rsidRPr="00390D6E">
              <w:rPr>
                <w:lang w:eastAsia="en-AU"/>
              </w:rPr>
              <w:t xml:space="preserve">Native title exists in the </w:t>
            </w:r>
            <w:r w:rsidRPr="00390D6E">
              <w:rPr>
                <w:lang w:eastAsia="en-AU"/>
              </w:rPr>
              <w:lastRenderedPageBreak/>
              <w:t>entire determination area</w:t>
            </w:r>
            <w:r w:rsidR="00A54B76">
              <w:rPr>
                <w:lang w:eastAsia="en-AU"/>
              </w:rPr>
              <w:t>.</w:t>
            </w:r>
          </w:p>
        </w:tc>
        <w:tc>
          <w:tcPr>
            <w:tcW w:w="1011" w:type="pct"/>
          </w:tcPr>
          <w:p w14:paraId="5DB38F60" w14:textId="4E0C3C88" w:rsidR="00390D6E" w:rsidRPr="00390D6E" w:rsidRDefault="00390D6E" w:rsidP="001C019D">
            <w:pPr>
              <w:pStyle w:val="TableNText"/>
              <w:rPr>
                <w:lang w:eastAsia="en-AU"/>
              </w:rPr>
            </w:pPr>
            <w:r w:rsidRPr="00390D6E">
              <w:rPr>
                <w:lang w:eastAsia="en-AU"/>
              </w:rPr>
              <w:lastRenderedPageBreak/>
              <w:t xml:space="preserve">The claim was determined by consent </w:t>
            </w:r>
            <w:r w:rsidRPr="00390D6E">
              <w:rPr>
                <w:lang w:eastAsia="en-AU"/>
              </w:rPr>
              <w:lastRenderedPageBreak/>
              <w:t>and covers an area of 1</w:t>
            </w:r>
            <w:r w:rsidR="001A1039">
              <w:rPr>
                <w:lang w:eastAsia="en-AU"/>
              </w:rPr>
              <w:t>,</w:t>
            </w:r>
            <w:r w:rsidRPr="00390D6E">
              <w:rPr>
                <w:lang w:eastAsia="en-AU"/>
              </w:rPr>
              <w:t xml:space="preserve">574.1318 square kilometres of land and waters in the vicinity of </w:t>
            </w:r>
            <w:r w:rsidR="00917794">
              <w:rPr>
                <w:lang w:eastAsia="en-AU"/>
              </w:rPr>
              <w:t>the Great Sandy Desert</w:t>
            </w:r>
            <w:r w:rsidRPr="00390D6E">
              <w:rPr>
                <w:lang w:eastAsia="en-AU"/>
              </w:rPr>
              <w:t>.</w:t>
            </w:r>
          </w:p>
        </w:tc>
      </w:tr>
      <w:tr w:rsidR="00AA122E" w:rsidRPr="00390D6E" w14:paraId="11C161B2" w14:textId="77777777" w:rsidTr="001C019D">
        <w:trPr>
          <w:cnfStyle w:val="000000010000" w:firstRow="0" w:lastRow="0" w:firstColumn="0" w:lastColumn="0" w:oddVBand="0" w:evenVBand="0" w:oddHBand="0" w:evenHBand="1" w:firstRowFirstColumn="0" w:firstRowLastColumn="0" w:lastRowFirstColumn="0" w:lastRowLastColumn="0"/>
          <w:trHeight w:val="870"/>
        </w:trPr>
        <w:tc>
          <w:tcPr>
            <w:tcW w:w="879" w:type="pct"/>
            <w:hideMark/>
          </w:tcPr>
          <w:p w14:paraId="529A501E" w14:textId="510E7F53" w:rsidR="00390D6E" w:rsidRPr="00390D6E" w:rsidRDefault="00390D6E" w:rsidP="001C019D">
            <w:pPr>
              <w:pStyle w:val="TableNText"/>
              <w:rPr>
                <w:lang w:eastAsia="en-AU"/>
              </w:rPr>
            </w:pPr>
            <w:r w:rsidRPr="00390D6E">
              <w:rPr>
                <w:lang w:eastAsia="en-AU"/>
              </w:rPr>
              <w:lastRenderedPageBreak/>
              <w:t>Yawuru Native Title Holders Aboriginal Corporation RNTBC</w:t>
            </w:r>
          </w:p>
        </w:tc>
        <w:tc>
          <w:tcPr>
            <w:tcW w:w="608" w:type="pct"/>
            <w:hideMark/>
          </w:tcPr>
          <w:p w14:paraId="05006DB0" w14:textId="77777777" w:rsidR="00390D6E" w:rsidRPr="00390D6E" w:rsidRDefault="00390D6E" w:rsidP="001C019D">
            <w:pPr>
              <w:pStyle w:val="TableNText"/>
              <w:rPr>
                <w:lang w:eastAsia="en-AU"/>
              </w:rPr>
            </w:pPr>
            <w:r w:rsidRPr="00390D6E">
              <w:rPr>
                <w:lang w:eastAsia="en-AU"/>
              </w:rPr>
              <w:t>Edarrbur (Rubibi #18) (on behalf of the Yawuru Community)</w:t>
            </w:r>
          </w:p>
        </w:tc>
        <w:tc>
          <w:tcPr>
            <w:tcW w:w="543" w:type="pct"/>
            <w:hideMark/>
          </w:tcPr>
          <w:p w14:paraId="7C7CA3CB" w14:textId="77777777" w:rsidR="00390D6E" w:rsidRPr="00390D6E" w:rsidRDefault="00390D6E" w:rsidP="001C019D">
            <w:pPr>
              <w:pStyle w:val="TableNText"/>
              <w:rPr>
                <w:lang w:eastAsia="en-AU"/>
              </w:rPr>
            </w:pPr>
            <w:r w:rsidRPr="00390D6E">
              <w:rPr>
                <w:lang w:eastAsia="en-AU"/>
              </w:rPr>
              <w:t>11/11/2015</w:t>
            </w:r>
          </w:p>
        </w:tc>
        <w:tc>
          <w:tcPr>
            <w:tcW w:w="675" w:type="pct"/>
            <w:hideMark/>
          </w:tcPr>
          <w:p w14:paraId="54A49F0D" w14:textId="77777777" w:rsidR="00390D6E" w:rsidRPr="00390D6E" w:rsidRDefault="00390D6E" w:rsidP="001C019D">
            <w:pPr>
              <w:pStyle w:val="TableNText"/>
              <w:rPr>
                <w:lang w:eastAsia="en-AU"/>
              </w:rPr>
            </w:pPr>
            <w:r w:rsidRPr="00390D6E">
              <w:rPr>
                <w:lang w:eastAsia="en-AU"/>
              </w:rPr>
              <w:t>4/11/2019</w:t>
            </w:r>
          </w:p>
        </w:tc>
        <w:tc>
          <w:tcPr>
            <w:tcW w:w="676" w:type="pct"/>
          </w:tcPr>
          <w:p w14:paraId="4BD6916C" w14:textId="4C3BE259" w:rsidR="00F754EB" w:rsidRDefault="00F754EB" w:rsidP="001C019D">
            <w:pPr>
              <w:pStyle w:val="TableNText"/>
              <w:rPr>
                <w:lang w:eastAsia="en-AU"/>
              </w:rPr>
            </w:pPr>
            <w:r>
              <w:rPr>
                <w:lang w:eastAsia="en-AU"/>
              </w:rPr>
              <w:t>KLC</w:t>
            </w:r>
          </w:p>
        </w:tc>
        <w:tc>
          <w:tcPr>
            <w:tcW w:w="608" w:type="pct"/>
            <w:hideMark/>
          </w:tcPr>
          <w:p w14:paraId="4A769CC0" w14:textId="5B68501F" w:rsidR="00390D6E" w:rsidRPr="00390D6E" w:rsidRDefault="00390D6E" w:rsidP="001C019D">
            <w:pPr>
              <w:pStyle w:val="TableNText"/>
              <w:rPr>
                <w:lang w:eastAsia="en-AU"/>
              </w:rPr>
            </w:pPr>
            <w:r w:rsidRPr="00390D6E">
              <w:rPr>
                <w:lang w:eastAsia="en-AU"/>
              </w:rPr>
              <w:t>Native title exists in parts of the determination area</w:t>
            </w:r>
            <w:r w:rsidR="00A54B76">
              <w:rPr>
                <w:lang w:eastAsia="en-AU"/>
              </w:rPr>
              <w:t>.</w:t>
            </w:r>
          </w:p>
        </w:tc>
        <w:tc>
          <w:tcPr>
            <w:tcW w:w="1011" w:type="pct"/>
          </w:tcPr>
          <w:p w14:paraId="43684239" w14:textId="77777777" w:rsidR="00390D6E" w:rsidRPr="00390D6E" w:rsidRDefault="00390D6E" w:rsidP="001C019D">
            <w:pPr>
              <w:pStyle w:val="TableNText"/>
              <w:rPr>
                <w:lang w:eastAsia="en-AU"/>
              </w:rPr>
            </w:pPr>
            <w:r w:rsidRPr="00390D6E">
              <w:rPr>
                <w:lang w:eastAsia="en-AU"/>
              </w:rPr>
              <w:t>The claim was determined by consent and covers an area of 113.2305 square kilometres of land and waters in the vicinity of Broome.</w:t>
            </w:r>
          </w:p>
        </w:tc>
      </w:tr>
      <w:tr w:rsidR="00AA122E" w:rsidRPr="00390D6E" w14:paraId="7D8C81BB" w14:textId="77777777" w:rsidTr="001C019D">
        <w:trPr>
          <w:cnfStyle w:val="000000100000" w:firstRow="0" w:lastRow="0" w:firstColumn="0" w:lastColumn="0" w:oddVBand="0" w:evenVBand="0" w:oddHBand="1" w:evenHBand="0" w:firstRowFirstColumn="0" w:firstRowLastColumn="0" w:lastRowFirstColumn="0" w:lastRowLastColumn="0"/>
          <w:trHeight w:val="328"/>
        </w:trPr>
        <w:tc>
          <w:tcPr>
            <w:tcW w:w="879" w:type="pct"/>
            <w:hideMark/>
          </w:tcPr>
          <w:p w14:paraId="42CDAD1A" w14:textId="3606C3B0" w:rsidR="00390D6E" w:rsidRPr="00390D6E" w:rsidRDefault="00390D6E" w:rsidP="001C019D">
            <w:pPr>
              <w:pStyle w:val="TableNText"/>
              <w:rPr>
                <w:lang w:eastAsia="en-AU"/>
              </w:rPr>
            </w:pPr>
            <w:r w:rsidRPr="00390D6E">
              <w:rPr>
                <w:lang w:eastAsia="en-AU"/>
              </w:rPr>
              <w:t xml:space="preserve">Gogolanyngor Aboriginal </w:t>
            </w:r>
            <w:r w:rsidR="00A45EC1">
              <w:rPr>
                <w:lang w:eastAsia="en-AU"/>
              </w:rPr>
              <w:t>C</w:t>
            </w:r>
            <w:r w:rsidR="00A45EC1" w:rsidRPr="00390D6E">
              <w:rPr>
                <w:lang w:eastAsia="en-AU"/>
              </w:rPr>
              <w:t>orporation</w:t>
            </w:r>
            <w:r w:rsidR="00A45EC1">
              <w:rPr>
                <w:lang w:eastAsia="en-AU"/>
              </w:rPr>
              <w:t xml:space="preserve"> RNTBC</w:t>
            </w:r>
            <w:r w:rsidRPr="00390D6E">
              <w:rPr>
                <w:lang w:eastAsia="en-AU"/>
              </w:rPr>
              <w:t>, Nimanburr Aboriginal Corporation</w:t>
            </w:r>
            <w:r w:rsidR="0003288E">
              <w:rPr>
                <w:lang w:eastAsia="en-AU"/>
              </w:rPr>
              <w:t xml:space="preserve"> RNTBC</w:t>
            </w:r>
          </w:p>
        </w:tc>
        <w:tc>
          <w:tcPr>
            <w:tcW w:w="608" w:type="pct"/>
            <w:hideMark/>
          </w:tcPr>
          <w:p w14:paraId="67768434" w14:textId="77777777" w:rsidR="00390D6E" w:rsidRPr="00390D6E" w:rsidRDefault="00390D6E" w:rsidP="001C019D">
            <w:pPr>
              <w:pStyle w:val="TableNText"/>
              <w:rPr>
                <w:lang w:eastAsia="en-AU"/>
              </w:rPr>
            </w:pPr>
            <w:r w:rsidRPr="00390D6E">
              <w:rPr>
                <w:lang w:eastAsia="en-AU"/>
              </w:rPr>
              <w:t>Bindunbur Part B</w:t>
            </w:r>
          </w:p>
        </w:tc>
        <w:tc>
          <w:tcPr>
            <w:tcW w:w="543" w:type="pct"/>
            <w:noWrap/>
            <w:hideMark/>
          </w:tcPr>
          <w:p w14:paraId="48BA9CDA" w14:textId="77777777" w:rsidR="00390D6E" w:rsidRPr="00390D6E" w:rsidRDefault="00390D6E" w:rsidP="001C019D">
            <w:pPr>
              <w:pStyle w:val="TableNText"/>
              <w:rPr>
                <w:lang w:eastAsia="en-AU"/>
              </w:rPr>
            </w:pPr>
            <w:r w:rsidRPr="00390D6E">
              <w:rPr>
                <w:lang w:eastAsia="en-AU"/>
              </w:rPr>
              <w:t>18/12/2015</w:t>
            </w:r>
          </w:p>
        </w:tc>
        <w:tc>
          <w:tcPr>
            <w:tcW w:w="675" w:type="pct"/>
            <w:hideMark/>
          </w:tcPr>
          <w:p w14:paraId="3A20287E" w14:textId="77777777" w:rsidR="00390D6E" w:rsidRPr="00390D6E" w:rsidRDefault="00390D6E" w:rsidP="001C019D">
            <w:pPr>
              <w:pStyle w:val="TableNText"/>
              <w:rPr>
                <w:lang w:eastAsia="en-AU"/>
              </w:rPr>
            </w:pPr>
            <w:r w:rsidRPr="00390D6E">
              <w:rPr>
                <w:lang w:eastAsia="en-AU"/>
              </w:rPr>
              <w:t>13/11/2019</w:t>
            </w:r>
          </w:p>
        </w:tc>
        <w:tc>
          <w:tcPr>
            <w:tcW w:w="676" w:type="pct"/>
          </w:tcPr>
          <w:p w14:paraId="0BCCB8D5" w14:textId="7C2901ED" w:rsidR="00F754EB" w:rsidRDefault="00F754EB" w:rsidP="001C019D">
            <w:pPr>
              <w:pStyle w:val="TableNText"/>
              <w:rPr>
                <w:lang w:eastAsia="en-AU"/>
              </w:rPr>
            </w:pPr>
            <w:r>
              <w:rPr>
                <w:lang w:eastAsia="en-AU"/>
              </w:rPr>
              <w:t>KLC</w:t>
            </w:r>
          </w:p>
        </w:tc>
        <w:tc>
          <w:tcPr>
            <w:tcW w:w="608" w:type="pct"/>
            <w:hideMark/>
          </w:tcPr>
          <w:p w14:paraId="7EBE46AE" w14:textId="01D60D66" w:rsidR="00390D6E" w:rsidRPr="00390D6E" w:rsidRDefault="00390D6E" w:rsidP="001C019D">
            <w:pPr>
              <w:pStyle w:val="TableNText"/>
              <w:rPr>
                <w:lang w:eastAsia="en-AU"/>
              </w:rPr>
            </w:pPr>
            <w:r w:rsidRPr="00390D6E">
              <w:rPr>
                <w:lang w:eastAsia="en-AU"/>
              </w:rPr>
              <w:t>Native title exists in the entire determination area</w:t>
            </w:r>
            <w:r w:rsidR="00A54B76">
              <w:rPr>
                <w:lang w:eastAsia="en-AU"/>
              </w:rPr>
              <w:t>.</w:t>
            </w:r>
          </w:p>
        </w:tc>
        <w:tc>
          <w:tcPr>
            <w:tcW w:w="1011" w:type="pct"/>
          </w:tcPr>
          <w:p w14:paraId="64AA8A67" w14:textId="77777777" w:rsidR="00390D6E" w:rsidRPr="00390D6E" w:rsidRDefault="00390D6E" w:rsidP="001C019D">
            <w:pPr>
              <w:pStyle w:val="TableNText"/>
              <w:rPr>
                <w:lang w:eastAsia="en-AU"/>
              </w:rPr>
            </w:pPr>
            <w:r w:rsidRPr="00390D6E">
              <w:rPr>
                <w:lang w:eastAsia="en-AU"/>
              </w:rPr>
              <w:t>The claim was determined by litigation and covers an area of 303.5491 square kilometres of land and waters in the vicinity of Broome.</w:t>
            </w:r>
          </w:p>
        </w:tc>
      </w:tr>
      <w:tr w:rsidR="00AA122E" w:rsidRPr="00390D6E" w14:paraId="35B98291" w14:textId="77777777" w:rsidTr="001C019D">
        <w:trPr>
          <w:cnfStyle w:val="000000010000" w:firstRow="0" w:lastRow="0" w:firstColumn="0" w:lastColumn="0" w:oddVBand="0" w:evenVBand="0" w:oddHBand="0" w:evenHBand="1" w:firstRowFirstColumn="0" w:firstRowLastColumn="0" w:lastRowFirstColumn="0" w:lastRowLastColumn="0"/>
          <w:trHeight w:val="290"/>
        </w:trPr>
        <w:tc>
          <w:tcPr>
            <w:tcW w:w="879" w:type="pct"/>
            <w:hideMark/>
          </w:tcPr>
          <w:p w14:paraId="1259EDDB" w14:textId="77777777" w:rsidR="00390D6E" w:rsidRPr="001A1039" w:rsidRDefault="00390D6E" w:rsidP="001C019D">
            <w:pPr>
              <w:pStyle w:val="TableNText"/>
            </w:pPr>
            <w:r w:rsidRPr="001A1039">
              <w:t>Indigenous Land and Sea Corporation</w:t>
            </w:r>
          </w:p>
        </w:tc>
        <w:tc>
          <w:tcPr>
            <w:tcW w:w="608" w:type="pct"/>
            <w:hideMark/>
          </w:tcPr>
          <w:p w14:paraId="1F06950C" w14:textId="77777777" w:rsidR="00390D6E" w:rsidRPr="001A1039" w:rsidRDefault="00390D6E" w:rsidP="001C019D">
            <w:pPr>
              <w:pStyle w:val="TableNText"/>
            </w:pPr>
            <w:r w:rsidRPr="001A1039">
              <w:t>Birriman-gan</w:t>
            </w:r>
          </w:p>
        </w:tc>
        <w:tc>
          <w:tcPr>
            <w:tcW w:w="543" w:type="pct"/>
            <w:hideMark/>
          </w:tcPr>
          <w:p w14:paraId="5A90A076" w14:textId="77777777" w:rsidR="00390D6E" w:rsidRPr="001A1039" w:rsidRDefault="00390D6E" w:rsidP="001C019D">
            <w:pPr>
              <w:pStyle w:val="TableNText"/>
            </w:pPr>
            <w:r w:rsidRPr="001A1039">
              <w:t>6/06/2019</w:t>
            </w:r>
          </w:p>
        </w:tc>
        <w:tc>
          <w:tcPr>
            <w:tcW w:w="675" w:type="pct"/>
            <w:hideMark/>
          </w:tcPr>
          <w:p w14:paraId="7968A40F" w14:textId="77777777" w:rsidR="00390D6E" w:rsidRPr="001A1039" w:rsidRDefault="00390D6E" w:rsidP="001C019D">
            <w:pPr>
              <w:pStyle w:val="TableNText"/>
            </w:pPr>
            <w:r w:rsidRPr="001A1039">
              <w:t>19/12/2019</w:t>
            </w:r>
          </w:p>
        </w:tc>
        <w:tc>
          <w:tcPr>
            <w:tcW w:w="676" w:type="pct"/>
          </w:tcPr>
          <w:p w14:paraId="28CA5A36" w14:textId="7DF90C74" w:rsidR="007235F3" w:rsidRPr="001A1039" w:rsidRDefault="007235F3" w:rsidP="001C019D">
            <w:pPr>
              <w:pStyle w:val="TableNText"/>
            </w:pPr>
            <w:r>
              <w:rPr>
                <w:lang w:eastAsia="en-AU"/>
              </w:rPr>
              <w:t>KLC</w:t>
            </w:r>
          </w:p>
        </w:tc>
        <w:tc>
          <w:tcPr>
            <w:tcW w:w="608" w:type="pct"/>
            <w:hideMark/>
          </w:tcPr>
          <w:p w14:paraId="3E6AC172" w14:textId="12A6EC77" w:rsidR="00390D6E" w:rsidRPr="001A1039" w:rsidRDefault="00390D6E" w:rsidP="001C019D">
            <w:pPr>
              <w:pStyle w:val="TableNText"/>
            </w:pPr>
            <w:r w:rsidRPr="001A1039">
              <w:t>Native title exists in the entire determination area</w:t>
            </w:r>
            <w:r w:rsidR="00A54B76" w:rsidRPr="001A1039">
              <w:t>.</w:t>
            </w:r>
          </w:p>
        </w:tc>
        <w:tc>
          <w:tcPr>
            <w:tcW w:w="1011" w:type="pct"/>
          </w:tcPr>
          <w:p w14:paraId="208BFEC5" w14:textId="311E3A12" w:rsidR="00390D6E" w:rsidRPr="001A1039" w:rsidRDefault="00390D6E" w:rsidP="001C019D">
            <w:pPr>
              <w:pStyle w:val="TableNText"/>
            </w:pPr>
            <w:r w:rsidRPr="001A1039">
              <w:t>The claim was determined by consent and covers an area of 2</w:t>
            </w:r>
            <w:r w:rsidR="001A1039">
              <w:t>,</w:t>
            </w:r>
            <w:r w:rsidRPr="001A1039">
              <w:t>191.7091 square kilometres of land and waters in the vicinity of Broome.</w:t>
            </w:r>
          </w:p>
        </w:tc>
      </w:tr>
      <w:tr w:rsidR="00AA122E" w:rsidRPr="00390D6E" w14:paraId="10BCBDB2" w14:textId="77777777" w:rsidTr="001C019D">
        <w:trPr>
          <w:cnfStyle w:val="000000100000" w:firstRow="0" w:lastRow="0" w:firstColumn="0" w:lastColumn="0" w:oddVBand="0" w:evenVBand="0" w:oddHBand="1" w:evenHBand="0" w:firstRowFirstColumn="0" w:firstRowLastColumn="0" w:lastRowFirstColumn="0" w:lastRowLastColumn="0"/>
          <w:trHeight w:val="290"/>
        </w:trPr>
        <w:tc>
          <w:tcPr>
            <w:tcW w:w="879" w:type="pct"/>
            <w:hideMark/>
          </w:tcPr>
          <w:p w14:paraId="28D2B497" w14:textId="77777777" w:rsidR="00390D6E" w:rsidRPr="00390D6E" w:rsidRDefault="00390D6E" w:rsidP="001C019D">
            <w:pPr>
              <w:pStyle w:val="TableNText"/>
              <w:rPr>
                <w:lang w:eastAsia="en-AU"/>
              </w:rPr>
            </w:pPr>
            <w:r w:rsidRPr="00390D6E">
              <w:rPr>
                <w:lang w:eastAsia="en-AU"/>
              </w:rPr>
              <w:t>Balanggarra Aboriginal Corporation RNTBC</w:t>
            </w:r>
          </w:p>
        </w:tc>
        <w:tc>
          <w:tcPr>
            <w:tcW w:w="608" w:type="pct"/>
            <w:hideMark/>
          </w:tcPr>
          <w:p w14:paraId="3666DC5F" w14:textId="77777777" w:rsidR="00390D6E" w:rsidRPr="00390D6E" w:rsidRDefault="00390D6E" w:rsidP="001C019D">
            <w:pPr>
              <w:pStyle w:val="TableNText"/>
              <w:rPr>
                <w:lang w:eastAsia="en-AU"/>
              </w:rPr>
            </w:pPr>
            <w:r w:rsidRPr="00390D6E">
              <w:rPr>
                <w:lang w:eastAsia="en-AU"/>
              </w:rPr>
              <w:t>Balanggarra #3 Part B</w:t>
            </w:r>
          </w:p>
        </w:tc>
        <w:tc>
          <w:tcPr>
            <w:tcW w:w="543" w:type="pct"/>
            <w:hideMark/>
          </w:tcPr>
          <w:p w14:paraId="23210859" w14:textId="77777777" w:rsidR="00390D6E" w:rsidRPr="00390D6E" w:rsidRDefault="00390D6E" w:rsidP="001C019D">
            <w:pPr>
              <w:pStyle w:val="TableNText"/>
              <w:rPr>
                <w:lang w:eastAsia="en-AU"/>
              </w:rPr>
            </w:pPr>
            <w:r w:rsidRPr="00390D6E">
              <w:rPr>
                <w:lang w:eastAsia="en-AU"/>
              </w:rPr>
              <w:t>3/07/2000</w:t>
            </w:r>
          </w:p>
        </w:tc>
        <w:tc>
          <w:tcPr>
            <w:tcW w:w="675" w:type="pct"/>
            <w:hideMark/>
          </w:tcPr>
          <w:p w14:paraId="4549FE05" w14:textId="77777777" w:rsidR="00390D6E" w:rsidRPr="00390D6E" w:rsidRDefault="00390D6E" w:rsidP="001C019D">
            <w:pPr>
              <w:pStyle w:val="TableNText"/>
              <w:rPr>
                <w:lang w:eastAsia="en-AU"/>
              </w:rPr>
            </w:pPr>
            <w:r w:rsidRPr="00390D6E">
              <w:rPr>
                <w:lang w:eastAsia="en-AU"/>
              </w:rPr>
              <w:t>20/04/2020</w:t>
            </w:r>
          </w:p>
        </w:tc>
        <w:tc>
          <w:tcPr>
            <w:tcW w:w="676" w:type="pct"/>
          </w:tcPr>
          <w:p w14:paraId="268CAC5F" w14:textId="5B844FDF" w:rsidR="007235F3" w:rsidRDefault="007235F3" w:rsidP="001C019D">
            <w:pPr>
              <w:pStyle w:val="TableNText"/>
              <w:rPr>
                <w:lang w:eastAsia="en-AU"/>
              </w:rPr>
            </w:pPr>
            <w:r>
              <w:rPr>
                <w:lang w:eastAsia="en-AU"/>
              </w:rPr>
              <w:t>KLC</w:t>
            </w:r>
          </w:p>
        </w:tc>
        <w:tc>
          <w:tcPr>
            <w:tcW w:w="608" w:type="pct"/>
            <w:hideMark/>
          </w:tcPr>
          <w:p w14:paraId="42A2EECB" w14:textId="778AE554" w:rsidR="00390D6E" w:rsidRPr="00390D6E" w:rsidRDefault="00390D6E" w:rsidP="001C019D">
            <w:pPr>
              <w:pStyle w:val="TableNText"/>
              <w:rPr>
                <w:lang w:eastAsia="en-AU"/>
              </w:rPr>
            </w:pPr>
            <w:r w:rsidRPr="00390D6E">
              <w:rPr>
                <w:lang w:eastAsia="en-AU"/>
              </w:rPr>
              <w:t>Native title does not exist</w:t>
            </w:r>
          </w:p>
        </w:tc>
        <w:tc>
          <w:tcPr>
            <w:tcW w:w="1011" w:type="pct"/>
          </w:tcPr>
          <w:p w14:paraId="7FAFA793" w14:textId="12B9568A" w:rsidR="00390D6E" w:rsidRPr="00390D6E" w:rsidRDefault="00390D6E" w:rsidP="001C019D">
            <w:pPr>
              <w:pStyle w:val="TableNText"/>
              <w:rPr>
                <w:lang w:eastAsia="en-AU"/>
              </w:rPr>
            </w:pPr>
            <w:r w:rsidRPr="00390D6E">
              <w:rPr>
                <w:lang w:eastAsia="en-AU"/>
              </w:rPr>
              <w:t xml:space="preserve">The claim was determined by consent and covers an area of 0.0907 square kilometres of land and waters in the vicinity of Wyndham. The </w:t>
            </w:r>
            <w:r w:rsidR="000107CD">
              <w:rPr>
                <w:lang w:eastAsia="en-AU"/>
              </w:rPr>
              <w:t>determination</w:t>
            </w:r>
            <w:r w:rsidRPr="00390D6E">
              <w:rPr>
                <w:lang w:eastAsia="en-AU"/>
              </w:rPr>
              <w:t xml:space="preserve"> occurred two months after an ILUA settlement resulting in the extinguishment of native title</w:t>
            </w:r>
            <w:r w:rsidR="00DE0CA0">
              <w:rPr>
                <w:lang w:eastAsia="en-AU"/>
              </w:rPr>
              <w:t>.</w:t>
            </w:r>
            <w:r w:rsidRPr="00390D6E">
              <w:rPr>
                <w:lang w:eastAsia="en-AU"/>
              </w:rPr>
              <w:t xml:space="preserve"> </w:t>
            </w:r>
          </w:p>
        </w:tc>
      </w:tr>
      <w:tr w:rsidR="00AA122E" w:rsidRPr="00390D6E" w14:paraId="752D61E4" w14:textId="77777777" w:rsidTr="001C019D">
        <w:trPr>
          <w:cnfStyle w:val="000000010000" w:firstRow="0" w:lastRow="0" w:firstColumn="0" w:lastColumn="0" w:oddVBand="0" w:evenVBand="0" w:oddHBand="0" w:evenHBand="1" w:firstRowFirstColumn="0" w:firstRowLastColumn="0" w:lastRowFirstColumn="0" w:lastRowLastColumn="0"/>
          <w:trHeight w:val="580"/>
        </w:trPr>
        <w:tc>
          <w:tcPr>
            <w:tcW w:w="879" w:type="pct"/>
            <w:hideMark/>
          </w:tcPr>
          <w:p w14:paraId="33C622EB" w14:textId="77777777" w:rsidR="00390D6E" w:rsidRPr="00390D6E" w:rsidRDefault="00390D6E" w:rsidP="001C019D">
            <w:pPr>
              <w:pStyle w:val="TableNText"/>
              <w:rPr>
                <w:lang w:eastAsia="en-AU"/>
              </w:rPr>
            </w:pPr>
            <w:r w:rsidRPr="00390D6E">
              <w:rPr>
                <w:lang w:eastAsia="en-AU"/>
              </w:rPr>
              <w:t>Yanunijarra Aboriginal Corporation RNTBC</w:t>
            </w:r>
          </w:p>
        </w:tc>
        <w:tc>
          <w:tcPr>
            <w:tcW w:w="608" w:type="pct"/>
            <w:hideMark/>
          </w:tcPr>
          <w:p w14:paraId="53364F43" w14:textId="77777777" w:rsidR="00390D6E" w:rsidRPr="00390D6E" w:rsidRDefault="00390D6E" w:rsidP="001C019D">
            <w:pPr>
              <w:pStyle w:val="TableNText"/>
              <w:rPr>
                <w:lang w:eastAsia="en-AU"/>
              </w:rPr>
            </w:pPr>
            <w:r w:rsidRPr="00390D6E">
              <w:rPr>
                <w:lang w:eastAsia="en-AU"/>
              </w:rPr>
              <w:t xml:space="preserve">Ngurrara D2 </w:t>
            </w:r>
          </w:p>
        </w:tc>
        <w:tc>
          <w:tcPr>
            <w:tcW w:w="543" w:type="pct"/>
            <w:hideMark/>
          </w:tcPr>
          <w:p w14:paraId="658B9887" w14:textId="77777777" w:rsidR="00390D6E" w:rsidRPr="00390D6E" w:rsidRDefault="00390D6E" w:rsidP="001C019D">
            <w:pPr>
              <w:pStyle w:val="TableNText"/>
              <w:rPr>
                <w:lang w:eastAsia="en-AU"/>
              </w:rPr>
            </w:pPr>
            <w:r w:rsidRPr="00390D6E">
              <w:rPr>
                <w:lang w:eastAsia="en-AU"/>
              </w:rPr>
              <w:t>6/08/2019</w:t>
            </w:r>
          </w:p>
        </w:tc>
        <w:tc>
          <w:tcPr>
            <w:tcW w:w="675" w:type="pct"/>
            <w:hideMark/>
          </w:tcPr>
          <w:p w14:paraId="37674F0E" w14:textId="77777777" w:rsidR="00390D6E" w:rsidRPr="00390D6E" w:rsidRDefault="00390D6E" w:rsidP="001C019D">
            <w:pPr>
              <w:pStyle w:val="TableNText"/>
              <w:rPr>
                <w:lang w:eastAsia="en-AU"/>
              </w:rPr>
            </w:pPr>
            <w:r w:rsidRPr="00390D6E">
              <w:rPr>
                <w:lang w:eastAsia="en-AU"/>
              </w:rPr>
              <w:t>11/05/2020</w:t>
            </w:r>
          </w:p>
        </w:tc>
        <w:tc>
          <w:tcPr>
            <w:tcW w:w="676" w:type="pct"/>
          </w:tcPr>
          <w:p w14:paraId="63E9B261" w14:textId="58AFFE4E" w:rsidR="007235F3" w:rsidRDefault="007235F3" w:rsidP="001C019D">
            <w:pPr>
              <w:pStyle w:val="TableNText"/>
              <w:rPr>
                <w:lang w:eastAsia="en-AU"/>
              </w:rPr>
            </w:pPr>
            <w:r>
              <w:rPr>
                <w:lang w:eastAsia="en-AU"/>
              </w:rPr>
              <w:t>KLC</w:t>
            </w:r>
          </w:p>
        </w:tc>
        <w:tc>
          <w:tcPr>
            <w:tcW w:w="608" w:type="pct"/>
            <w:hideMark/>
          </w:tcPr>
          <w:p w14:paraId="1150A807" w14:textId="785B5C1D" w:rsidR="00390D6E" w:rsidRPr="00390D6E" w:rsidRDefault="00390D6E" w:rsidP="001C019D">
            <w:pPr>
              <w:pStyle w:val="TableNText"/>
              <w:rPr>
                <w:lang w:eastAsia="en-AU"/>
              </w:rPr>
            </w:pPr>
            <w:r w:rsidRPr="00390D6E">
              <w:rPr>
                <w:lang w:eastAsia="en-AU"/>
              </w:rPr>
              <w:t>Native title exists in the entire determination area</w:t>
            </w:r>
            <w:r w:rsidR="00A54B76">
              <w:rPr>
                <w:lang w:eastAsia="en-AU"/>
              </w:rPr>
              <w:t>.</w:t>
            </w:r>
          </w:p>
        </w:tc>
        <w:tc>
          <w:tcPr>
            <w:tcW w:w="1011" w:type="pct"/>
          </w:tcPr>
          <w:p w14:paraId="5E4AC326" w14:textId="03726AC6" w:rsidR="00390D6E" w:rsidRPr="00390D6E" w:rsidRDefault="00390D6E" w:rsidP="001C019D">
            <w:pPr>
              <w:pStyle w:val="TableNText"/>
              <w:rPr>
                <w:lang w:eastAsia="en-AU"/>
              </w:rPr>
            </w:pPr>
            <w:r w:rsidRPr="00390D6E">
              <w:rPr>
                <w:lang w:eastAsia="en-AU"/>
              </w:rPr>
              <w:t xml:space="preserve">The claim was determined by consent and covers an area of 34.7217 square kilometres of land and waters in the vicinity of </w:t>
            </w:r>
            <w:r w:rsidR="00917794">
              <w:rPr>
                <w:lang w:eastAsia="en-AU"/>
              </w:rPr>
              <w:t>the Great Sandy Desert</w:t>
            </w:r>
            <w:r w:rsidRPr="00390D6E">
              <w:rPr>
                <w:lang w:eastAsia="en-AU"/>
              </w:rPr>
              <w:t>.</w:t>
            </w:r>
          </w:p>
        </w:tc>
      </w:tr>
      <w:tr w:rsidR="00AA122E" w:rsidRPr="00390D6E" w14:paraId="3743D89A" w14:textId="77777777" w:rsidTr="001C019D">
        <w:trPr>
          <w:cnfStyle w:val="000000100000" w:firstRow="0" w:lastRow="0" w:firstColumn="0" w:lastColumn="0" w:oddVBand="0" w:evenVBand="0" w:oddHBand="1" w:evenHBand="0" w:firstRowFirstColumn="0" w:firstRowLastColumn="0" w:lastRowFirstColumn="0" w:lastRowLastColumn="0"/>
          <w:trHeight w:val="290"/>
        </w:trPr>
        <w:tc>
          <w:tcPr>
            <w:tcW w:w="879" w:type="pct"/>
            <w:hideMark/>
          </w:tcPr>
          <w:p w14:paraId="691166E8" w14:textId="4AD0539E" w:rsidR="00390D6E" w:rsidRPr="00390D6E" w:rsidRDefault="00390D6E" w:rsidP="001C019D">
            <w:pPr>
              <w:pStyle w:val="TableNText"/>
              <w:rPr>
                <w:lang w:eastAsia="en-AU"/>
              </w:rPr>
            </w:pPr>
            <w:r w:rsidRPr="00390D6E">
              <w:rPr>
                <w:lang w:eastAsia="en-AU"/>
              </w:rPr>
              <w:t>Ngarrawanji Aboriginal Corporation</w:t>
            </w:r>
            <w:r w:rsidR="0003288E">
              <w:rPr>
                <w:lang w:eastAsia="en-AU"/>
              </w:rPr>
              <w:t xml:space="preserve"> RNTBC</w:t>
            </w:r>
          </w:p>
        </w:tc>
        <w:tc>
          <w:tcPr>
            <w:tcW w:w="608" w:type="pct"/>
            <w:hideMark/>
          </w:tcPr>
          <w:p w14:paraId="5BA5AE84" w14:textId="77777777" w:rsidR="00390D6E" w:rsidRPr="00390D6E" w:rsidRDefault="00390D6E" w:rsidP="001C019D">
            <w:pPr>
              <w:pStyle w:val="TableNText"/>
              <w:rPr>
                <w:lang w:eastAsia="en-AU"/>
              </w:rPr>
            </w:pPr>
            <w:r w:rsidRPr="00390D6E">
              <w:rPr>
                <w:lang w:eastAsia="en-AU"/>
              </w:rPr>
              <w:t>Ngarrawanji Part B</w:t>
            </w:r>
          </w:p>
        </w:tc>
        <w:tc>
          <w:tcPr>
            <w:tcW w:w="543" w:type="pct"/>
            <w:hideMark/>
          </w:tcPr>
          <w:p w14:paraId="7E24EECB" w14:textId="77777777" w:rsidR="00390D6E" w:rsidRPr="00390D6E" w:rsidRDefault="00390D6E" w:rsidP="001C019D">
            <w:pPr>
              <w:pStyle w:val="TableNText"/>
              <w:rPr>
                <w:lang w:eastAsia="en-AU"/>
              </w:rPr>
            </w:pPr>
            <w:r w:rsidRPr="00390D6E">
              <w:rPr>
                <w:lang w:eastAsia="en-AU"/>
              </w:rPr>
              <w:t>29/10/2019</w:t>
            </w:r>
          </w:p>
        </w:tc>
        <w:tc>
          <w:tcPr>
            <w:tcW w:w="675" w:type="pct"/>
            <w:hideMark/>
          </w:tcPr>
          <w:p w14:paraId="69E9D0B6" w14:textId="77777777" w:rsidR="00390D6E" w:rsidRPr="00390D6E" w:rsidRDefault="00390D6E" w:rsidP="001C019D">
            <w:pPr>
              <w:pStyle w:val="TableNText"/>
              <w:rPr>
                <w:lang w:eastAsia="en-AU"/>
              </w:rPr>
            </w:pPr>
            <w:r w:rsidRPr="00390D6E">
              <w:rPr>
                <w:lang w:eastAsia="en-AU"/>
              </w:rPr>
              <w:t>8/07/2020</w:t>
            </w:r>
          </w:p>
        </w:tc>
        <w:tc>
          <w:tcPr>
            <w:tcW w:w="676" w:type="pct"/>
          </w:tcPr>
          <w:p w14:paraId="1D207B01" w14:textId="7A884445" w:rsidR="00883994" w:rsidRDefault="00883994" w:rsidP="001C019D">
            <w:pPr>
              <w:pStyle w:val="TableNText"/>
              <w:rPr>
                <w:lang w:eastAsia="en-AU"/>
              </w:rPr>
            </w:pPr>
            <w:r>
              <w:rPr>
                <w:lang w:eastAsia="en-AU"/>
              </w:rPr>
              <w:t>KLC</w:t>
            </w:r>
          </w:p>
        </w:tc>
        <w:tc>
          <w:tcPr>
            <w:tcW w:w="608" w:type="pct"/>
            <w:hideMark/>
          </w:tcPr>
          <w:p w14:paraId="49F8D6C5" w14:textId="23BCCD66" w:rsidR="00390D6E" w:rsidRPr="00390D6E" w:rsidRDefault="00390D6E" w:rsidP="001C019D">
            <w:pPr>
              <w:pStyle w:val="TableNText"/>
              <w:rPr>
                <w:lang w:eastAsia="en-AU"/>
              </w:rPr>
            </w:pPr>
            <w:r w:rsidRPr="00390D6E">
              <w:rPr>
                <w:lang w:eastAsia="en-AU"/>
              </w:rPr>
              <w:t xml:space="preserve">Native title exists in the entire </w:t>
            </w:r>
            <w:r w:rsidRPr="00390D6E">
              <w:rPr>
                <w:lang w:eastAsia="en-AU"/>
              </w:rPr>
              <w:lastRenderedPageBreak/>
              <w:t>determination area</w:t>
            </w:r>
            <w:r w:rsidR="00A54B76">
              <w:rPr>
                <w:lang w:eastAsia="en-AU"/>
              </w:rPr>
              <w:t>.</w:t>
            </w:r>
          </w:p>
        </w:tc>
        <w:tc>
          <w:tcPr>
            <w:tcW w:w="1011" w:type="pct"/>
          </w:tcPr>
          <w:p w14:paraId="6A5418AF" w14:textId="77777777" w:rsidR="00390D6E" w:rsidRPr="00390D6E" w:rsidRDefault="00390D6E" w:rsidP="001C019D">
            <w:pPr>
              <w:pStyle w:val="TableNText"/>
              <w:rPr>
                <w:lang w:eastAsia="en-AU"/>
              </w:rPr>
            </w:pPr>
            <w:r w:rsidRPr="00390D6E">
              <w:rPr>
                <w:lang w:eastAsia="en-AU"/>
              </w:rPr>
              <w:lastRenderedPageBreak/>
              <w:t xml:space="preserve">The claim was determined by consent and covers an area of 80.0983 square kilometres of land and </w:t>
            </w:r>
            <w:r w:rsidRPr="00390D6E">
              <w:rPr>
                <w:lang w:eastAsia="en-AU"/>
              </w:rPr>
              <w:lastRenderedPageBreak/>
              <w:t>waters in the vicinity of Halls Creek.</w:t>
            </w:r>
          </w:p>
        </w:tc>
      </w:tr>
      <w:tr w:rsidR="00AA122E" w:rsidRPr="00390D6E" w14:paraId="180C7592" w14:textId="77777777" w:rsidTr="001C019D">
        <w:trPr>
          <w:cnfStyle w:val="000000010000" w:firstRow="0" w:lastRow="0" w:firstColumn="0" w:lastColumn="0" w:oddVBand="0" w:evenVBand="0" w:oddHBand="0" w:evenHBand="1" w:firstRowFirstColumn="0" w:firstRowLastColumn="0" w:lastRowFirstColumn="0" w:lastRowLastColumn="0"/>
          <w:trHeight w:val="290"/>
        </w:trPr>
        <w:tc>
          <w:tcPr>
            <w:tcW w:w="879" w:type="pct"/>
            <w:hideMark/>
          </w:tcPr>
          <w:p w14:paraId="40D95C6B" w14:textId="654DD7E5" w:rsidR="00390D6E" w:rsidRPr="00390D6E" w:rsidRDefault="00390D6E" w:rsidP="001C019D">
            <w:pPr>
              <w:pStyle w:val="TableNText"/>
              <w:rPr>
                <w:lang w:eastAsia="en-AU"/>
              </w:rPr>
            </w:pPr>
            <w:r w:rsidRPr="00390D6E">
              <w:rPr>
                <w:lang w:eastAsia="en-AU"/>
              </w:rPr>
              <w:lastRenderedPageBreak/>
              <w:t>Malarngowem Aboriginal Corporation</w:t>
            </w:r>
            <w:r w:rsidR="0003288E">
              <w:rPr>
                <w:lang w:eastAsia="en-AU"/>
              </w:rPr>
              <w:t xml:space="preserve"> RNTBC</w:t>
            </w:r>
          </w:p>
        </w:tc>
        <w:tc>
          <w:tcPr>
            <w:tcW w:w="608" w:type="pct"/>
            <w:hideMark/>
          </w:tcPr>
          <w:p w14:paraId="6DBB51DB" w14:textId="77777777" w:rsidR="00390D6E" w:rsidRPr="00390D6E" w:rsidRDefault="00390D6E" w:rsidP="001C019D">
            <w:pPr>
              <w:pStyle w:val="TableNText"/>
              <w:rPr>
                <w:lang w:eastAsia="en-AU"/>
              </w:rPr>
            </w:pPr>
            <w:r w:rsidRPr="00390D6E">
              <w:rPr>
                <w:lang w:eastAsia="en-AU"/>
              </w:rPr>
              <w:t>Malarngowem Part B</w:t>
            </w:r>
          </w:p>
        </w:tc>
        <w:tc>
          <w:tcPr>
            <w:tcW w:w="543" w:type="pct"/>
            <w:hideMark/>
          </w:tcPr>
          <w:p w14:paraId="4640285B" w14:textId="77777777" w:rsidR="00390D6E" w:rsidRPr="00390D6E" w:rsidRDefault="00390D6E" w:rsidP="001C019D">
            <w:pPr>
              <w:pStyle w:val="TableNText"/>
              <w:rPr>
                <w:lang w:eastAsia="en-AU"/>
              </w:rPr>
            </w:pPr>
            <w:r w:rsidRPr="00390D6E">
              <w:rPr>
                <w:lang w:eastAsia="en-AU"/>
              </w:rPr>
              <w:t>29/10/2019</w:t>
            </w:r>
          </w:p>
        </w:tc>
        <w:tc>
          <w:tcPr>
            <w:tcW w:w="675" w:type="pct"/>
            <w:hideMark/>
          </w:tcPr>
          <w:p w14:paraId="2659172F" w14:textId="77777777" w:rsidR="00390D6E" w:rsidRPr="00390D6E" w:rsidRDefault="00390D6E" w:rsidP="001C019D">
            <w:pPr>
              <w:pStyle w:val="TableNText"/>
              <w:rPr>
                <w:lang w:eastAsia="en-AU"/>
              </w:rPr>
            </w:pPr>
            <w:r w:rsidRPr="00390D6E">
              <w:rPr>
                <w:lang w:eastAsia="en-AU"/>
              </w:rPr>
              <w:t>11/08/2020</w:t>
            </w:r>
          </w:p>
        </w:tc>
        <w:tc>
          <w:tcPr>
            <w:tcW w:w="676" w:type="pct"/>
          </w:tcPr>
          <w:p w14:paraId="0FFB7BAC" w14:textId="2A11737D" w:rsidR="00883994" w:rsidRDefault="00883994" w:rsidP="001C019D">
            <w:pPr>
              <w:pStyle w:val="TableNText"/>
              <w:rPr>
                <w:lang w:eastAsia="en-AU"/>
              </w:rPr>
            </w:pPr>
            <w:r>
              <w:rPr>
                <w:lang w:eastAsia="en-AU"/>
              </w:rPr>
              <w:t>KLC</w:t>
            </w:r>
          </w:p>
        </w:tc>
        <w:tc>
          <w:tcPr>
            <w:tcW w:w="608" w:type="pct"/>
            <w:hideMark/>
          </w:tcPr>
          <w:p w14:paraId="42DB1DAC" w14:textId="737CA60F" w:rsidR="00390D6E" w:rsidRPr="00390D6E" w:rsidRDefault="00390D6E" w:rsidP="001C019D">
            <w:pPr>
              <w:pStyle w:val="TableNText"/>
              <w:rPr>
                <w:lang w:eastAsia="en-AU"/>
              </w:rPr>
            </w:pPr>
            <w:r w:rsidRPr="00390D6E">
              <w:rPr>
                <w:lang w:eastAsia="en-AU"/>
              </w:rPr>
              <w:t>Native title exists in the entire determination area</w:t>
            </w:r>
            <w:r w:rsidR="00A54B76">
              <w:rPr>
                <w:lang w:eastAsia="en-AU"/>
              </w:rPr>
              <w:t>.</w:t>
            </w:r>
          </w:p>
        </w:tc>
        <w:tc>
          <w:tcPr>
            <w:tcW w:w="1011" w:type="pct"/>
          </w:tcPr>
          <w:p w14:paraId="6B0E20C7" w14:textId="77777777" w:rsidR="00390D6E" w:rsidRPr="00390D6E" w:rsidRDefault="00390D6E" w:rsidP="001C019D">
            <w:pPr>
              <w:pStyle w:val="TableNText"/>
              <w:rPr>
                <w:lang w:eastAsia="en-AU"/>
              </w:rPr>
            </w:pPr>
            <w:r w:rsidRPr="00390D6E">
              <w:rPr>
                <w:lang w:eastAsia="en-AU"/>
              </w:rPr>
              <w:t xml:space="preserve">The claim was determined by consent and covers an area of </w:t>
            </w:r>
            <w:r w:rsidRPr="00390D6E">
              <w:t>4.5024</w:t>
            </w:r>
            <w:r w:rsidRPr="00390D6E">
              <w:rPr>
                <w:lang w:eastAsia="en-AU"/>
              </w:rPr>
              <w:t xml:space="preserve"> square kilometres of land and waters in the vicinity of Halls Creek.</w:t>
            </w:r>
          </w:p>
        </w:tc>
      </w:tr>
      <w:tr w:rsidR="00AA122E" w:rsidRPr="00390D6E" w14:paraId="4999C4F3" w14:textId="77777777" w:rsidTr="001C019D">
        <w:trPr>
          <w:cnfStyle w:val="000000100000" w:firstRow="0" w:lastRow="0" w:firstColumn="0" w:lastColumn="0" w:oddVBand="0" w:evenVBand="0" w:oddHBand="1" w:evenHBand="0" w:firstRowFirstColumn="0" w:firstRowLastColumn="0" w:lastRowFirstColumn="0" w:lastRowLastColumn="0"/>
          <w:trHeight w:val="580"/>
        </w:trPr>
        <w:tc>
          <w:tcPr>
            <w:tcW w:w="879" w:type="pct"/>
            <w:hideMark/>
          </w:tcPr>
          <w:p w14:paraId="31071E82" w14:textId="1DFA5F15" w:rsidR="00390D6E" w:rsidRPr="00390D6E" w:rsidRDefault="002C3FEA" w:rsidP="001C019D">
            <w:pPr>
              <w:pStyle w:val="TableNText"/>
              <w:rPr>
                <w:lang w:eastAsia="en-AU"/>
              </w:rPr>
            </w:pPr>
            <w:r>
              <w:t xml:space="preserve">Madanaa Nada </w:t>
            </w:r>
            <w:r w:rsidR="00390D6E">
              <w:t>Aboriginal Corporation</w:t>
            </w:r>
            <w:r w:rsidR="0003288E">
              <w:t xml:space="preserve"> RNTBC</w:t>
            </w:r>
          </w:p>
        </w:tc>
        <w:tc>
          <w:tcPr>
            <w:tcW w:w="608" w:type="pct"/>
            <w:hideMark/>
          </w:tcPr>
          <w:p w14:paraId="792A2B1A" w14:textId="77777777" w:rsidR="00390D6E" w:rsidRPr="00390D6E" w:rsidRDefault="00390D6E" w:rsidP="001C019D">
            <w:pPr>
              <w:pStyle w:val="TableNText"/>
              <w:rPr>
                <w:lang w:eastAsia="en-AU"/>
              </w:rPr>
            </w:pPr>
            <w:r w:rsidRPr="00390D6E">
              <w:rPr>
                <w:lang w:eastAsia="en-AU"/>
              </w:rPr>
              <w:t>Warrwa Mawadjala Gadjidgar</w:t>
            </w:r>
          </w:p>
        </w:tc>
        <w:tc>
          <w:tcPr>
            <w:tcW w:w="543" w:type="pct"/>
            <w:hideMark/>
          </w:tcPr>
          <w:p w14:paraId="61C48864" w14:textId="77777777" w:rsidR="00390D6E" w:rsidRPr="00390D6E" w:rsidRDefault="00390D6E" w:rsidP="001C019D">
            <w:pPr>
              <w:pStyle w:val="TableNText"/>
              <w:rPr>
                <w:lang w:eastAsia="en-AU"/>
              </w:rPr>
            </w:pPr>
            <w:r w:rsidRPr="00390D6E">
              <w:rPr>
                <w:lang w:eastAsia="en-AU"/>
              </w:rPr>
              <w:t>7/04/2011</w:t>
            </w:r>
          </w:p>
        </w:tc>
        <w:tc>
          <w:tcPr>
            <w:tcW w:w="675" w:type="pct"/>
            <w:hideMark/>
          </w:tcPr>
          <w:p w14:paraId="4BB15F96" w14:textId="77777777" w:rsidR="00390D6E" w:rsidRPr="00390D6E" w:rsidRDefault="00390D6E" w:rsidP="001C019D">
            <w:pPr>
              <w:pStyle w:val="TableNText"/>
              <w:rPr>
                <w:lang w:eastAsia="en-AU"/>
              </w:rPr>
            </w:pPr>
            <w:r w:rsidRPr="00390D6E">
              <w:rPr>
                <w:lang w:eastAsia="en-AU"/>
              </w:rPr>
              <w:t>1/12/2020</w:t>
            </w:r>
          </w:p>
        </w:tc>
        <w:tc>
          <w:tcPr>
            <w:tcW w:w="676" w:type="pct"/>
          </w:tcPr>
          <w:p w14:paraId="5F938CAE" w14:textId="730BE307" w:rsidR="00883994" w:rsidRDefault="00883994" w:rsidP="001C019D">
            <w:pPr>
              <w:pStyle w:val="TableNText"/>
              <w:rPr>
                <w:lang w:eastAsia="en-AU"/>
              </w:rPr>
            </w:pPr>
            <w:r>
              <w:rPr>
                <w:lang w:eastAsia="en-AU"/>
              </w:rPr>
              <w:t>KLC</w:t>
            </w:r>
          </w:p>
        </w:tc>
        <w:tc>
          <w:tcPr>
            <w:tcW w:w="608" w:type="pct"/>
            <w:hideMark/>
          </w:tcPr>
          <w:p w14:paraId="6EACCF9C" w14:textId="1821B117" w:rsidR="00390D6E" w:rsidRPr="00390D6E" w:rsidRDefault="00390D6E" w:rsidP="001C019D">
            <w:pPr>
              <w:pStyle w:val="TableNText"/>
              <w:rPr>
                <w:lang w:eastAsia="en-AU"/>
              </w:rPr>
            </w:pPr>
            <w:r w:rsidRPr="00390D6E">
              <w:rPr>
                <w:lang w:eastAsia="en-AU"/>
              </w:rPr>
              <w:t>Native title exists in parts of the determination area</w:t>
            </w:r>
            <w:r w:rsidR="00A54B76">
              <w:rPr>
                <w:lang w:eastAsia="en-AU"/>
              </w:rPr>
              <w:t>.</w:t>
            </w:r>
          </w:p>
        </w:tc>
        <w:tc>
          <w:tcPr>
            <w:tcW w:w="1011" w:type="pct"/>
          </w:tcPr>
          <w:p w14:paraId="76A596DE" w14:textId="742CC449" w:rsidR="00390D6E" w:rsidRPr="00390D6E" w:rsidRDefault="00390D6E" w:rsidP="001C019D">
            <w:pPr>
              <w:pStyle w:val="TableNText"/>
              <w:rPr>
                <w:lang w:eastAsia="en-AU"/>
              </w:rPr>
            </w:pPr>
            <w:r w:rsidRPr="00390D6E">
              <w:rPr>
                <w:lang w:eastAsia="en-AU"/>
              </w:rPr>
              <w:t xml:space="preserve">The claim was determined by consent and covers an area of </w:t>
            </w:r>
            <w:r w:rsidRPr="00390D6E">
              <w:t>1</w:t>
            </w:r>
            <w:r w:rsidR="001A1039">
              <w:t>,</w:t>
            </w:r>
            <w:r w:rsidRPr="00390D6E">
              <w:t>244.48</w:t>
            </w:r>
            <w:r w:rsidRPr="00390D6E">
              <w:rPr>
                <w:lang w:eastAsia="en-AU"/>
              </w:rPr>
              <w:t xml:space="preserve"> square kilometres of land and waters in the vicinity of Derby.</w:t>
            </w:r>
          </w:p>
        </w:tc>
      </w:tr>
      <w:tr w:rsidR="00AA122E" w:rsidRPr="00390D6E" w14:paraId="61EC359C" w14:textId="77777777" w:rsidTr="001C019D">
        <w:trPr>
          <w:cnfStyle w:val="000000010000" w:firstRow="0" w:lastRow="0" w:firstColumn="0" w:lastColumn="0" w:oddVBand="0" w:evenVBand="0" w:oddHBand="0" w:evenHBand="1" w:firstRowFirstColumn="0" w:firstRowLastColumn="0" w:lastRowFirstColumn="0" w:lastRowLastColumn="0"/>
          <w:trHeight w:val="580"/>
        </w:trPr>
        <w:tc>
          <w:tcPr>
            <w:tcW w:w="879" w:type="pct"/>
            <w:hideMark/>
          </w:tcPr>
          <w:p w14:paraId="2B257353" w14:textId="56BC9DAC" w:rsidR="00390D6E" w:rsidRPr="00390D6E" w:rsidRDefault="002C3FEA" w:rsidP="001C019D">
            <w:pPr>
              <w:pStyle w:val="TableNText"/>
              <w:rPr>
                <w:lang w:eastAsia="en-AU"/>
              </w:rPr>
            </w:pPr>
            <w:r>
              <w:t xml:space="preserve">Madanaa Nada </w:t>
            </w:r>
            <w:r w:rsidR="00390D6E">
              <w:t>Aboriginal Corporation</w:t>
            </w:r>
            <w:r w:rsidR="00917794">
              <w:t xml:space="preserve"> RNTBC</w:t>
            </w:r>
          </w:p>
        </w:tc>
        <w:tc>
          <w:tcPr>
            <w:tcW w:w="608" w:type="pct"/>
            <w:hideMark/>
          </w:tcPr>
          <w:p w14:paraId="56C5F0D9" w14:textId="77777777" w:rsidR="00390D6E" w:rsidRPr="00390D6E" w:rsidRDefault="00390D6E" w:rsidP="001C019D">
            <w:pPr>
              <w:pStyle w:val="TableNText"/>
              <w:rPr>
                <w:lang w:eastAsia="en-AU"/>
              </w:rPr>
            </w:pPr>
            <w:r w:rsidRPr="00390D6E">
              <w:rPr>
                <w:lang w:eastAsia="en-AU"/>
              </w:rPr>
              <w:t>Warrwa Combined Part A</w:t>
            </w:r>
          </w:p>
        </w:tc>
        <w:tc>
          <w:tcPr>
            <w:tcW w:w="543" w:type="pct"/>
            <w:hideMark/>
          </w:tcPr>
          <w:p w14:paraId="02B5896E" w14:textId="77777777" w:rsidR="00390D6E" w:rsidRPr="00390D6E" w:rsidRDefault="00390D6E" w:rsidP="001C019D">
            <w:pPr>
              <w:pStyle w:val="TableNText"/>
              <w:rPr>
                <w:lang w:eastAsia="en-AU"/>
              </w:rPr>
            </w:pPr>
            <w:r w:rsidRPr="00390D6E">
              <w:rPr>
                <w:lang w:eastAsia="en-AU"/>
              </w:rPr>
              <w:t>4/07/2014</w:t>
            </w:r>
          </w:p>
        </w:tc>
        <w:tc>
          <w:tcPr>
            <w:tcW w:w="675" w:type="pct"/>
            <w:hideMark/>
          </w:tcPr>
          <w:p w14:paraId="0965F736" w14:textId="77777777" w:rsidR="00390D6E" w:rsidRPr="00390D6E" w:rsidRDefault="00390D6E" w:rsidP="001C019D">
            <w:pPr>
              <w:pStyle w:val="TableNText"/>
              <w:rPr>
                <w:lang w:eastAsia="en-AU"/>
              </w:rPr>
            </w:pPr>
            <w:r w:rsidRPr="00390D6E">
              <w:rPr>
                <w:lang w:eastAsia="en-AU"/>
              </w:rPr>
              <w:t>1/12/2020</w:t>
            </w:r>
          </w:p>
        </w:tc>
        <w:tc>
          <w:tcPr>
            <w:tcW w:w="676" w:type="pct"/>
          </w:tcPr>
          <w:p w14:paraId="26CAFFE6" w14:textId="03627414" w:rsidR="00883994" w:rsidRDefault="00883994" w:rsidP="001C019D">
            <w:pPr>
              <w:pStyle w:val="TableNText"/>
              <w:rPr>
                <w:lang w:eastAsia="en-AU"/>
              </w:rPr>
            </w:pPr>
            <w:r>
              <w:rPr>
                <w:lang w:eastAsia="en-AU"/>
              </w:rPr>
              <w:t>KLC</w:t>
            </w:r>
          </w:p>
        </w:tc>
        <w:tc>
          <w:tcPr>
            <w:tcW w:w="608" w:type="pct"/>
            <w:hideMark/>
          </w:tcPr>
          <w:p w14:paraId="27C99994" w14:textId="792BF7B6" w:rsidR="00390D6E" w:rsidRPr="00390D6E" w:rsidRDefault="00390D6E" w:rsidP="001C019D">
            <w:pPr>
              <w:pStyle w:val="TableNText"/>
              <w:rPr>
                <w:lang w:eastAsia="en-AU"/>
              </w:rPr>
            </w:pPr>
            <w:r w:rsidRPr="00390D6E">
              <w:rPr>
                <w:lang w:eastAsia="en-AU"/>
              </w:rPr>
              <w:t>Native title exists in parts of the determination area</w:t>
            </w:r>
            <w:r w:rsidR="00A54B76">
              <w:rPr>
                <w:lang w:eastAsia="en-AU"/>
              </w:rPr>
              <w:t>.</w:t>
            </w:r>
          </w:p>
        </w:tc>
        <w:tc>
          <w:tcPr>
            <w:tcW w:w="1011" w:type="pct"/>
          </w:tcPr>
          <w:p w14:paraId="7C158DC2" w14:textId="74731E20" w:rsidR="00390D6E" w:rsidRPr="00390D6E" w:rsidRDefault="00390D6E" w:rsidP="001C019D">
            <w:pPr>
              <w:pStyle w:val="TableNText"/>
              <w:rPr>
                <w:lang w:eastAsia="en-AU"/>
              </w:rPr>
            </w:pPr>
            <w:r w:rsidRPr="00390D6E">
              <w:rPr>
                <w:lang w:eastAsia="en-AU"/>
              </w:rPr>
              <w:t xml:space="preserve">The claim was determined by consent and covers an area of </w:t>
            </w:r>
            <w:r w:rsidRPr="00390D6E">
              <w:t>1</w:t>
            </w:r>
            <w:r w:rsidR="001A1039">
              <w:t>,</w:t>
            </w:r>
            <w:r w:rsidRPr="00390D6E">
              <w:t>006.6405</w:t>
            </w:r>
            <w:r w:rsidRPr="00390D6E">
              <w:rPr>
                <w:lang w:eastAsia="en-AU"/>
              </w:rPr>
              <w:t xml:space="preserve"> square kilometres of land and waters in the vicinity of Derby.</w:t>
            </w:r>
          </w:p>
        </w:tc>
      </w:tr>
      <w:tr w:rsidR="00AA122E" w:rsidRPr="00390D6E" w14:paraId="21C3C736" w14:textId="77777777" w:rsidTr="001C019D">
        <w:trPr>
          <w:cnfStyle w:val="000000100000" w:firstRow="0" w:lastRow="0" w:firstColumn="0" w:lastColumn="0" w:oddVBand="0" w:evenVBand="0" w:oddHBand="1" w:evenHBand="0" w:firstRowFirstColumn="0" w:firstRowLastColumn="0" w:lastRowFirstColumn="0" w:lastRowLastColumn="0"/>
          <w:trHeight w:val="580"/>
        </w:trPr>
        <w:tc>
          <w:tcPr>
            <w:tcW w:w="879" w:type="pct"/>
            <w:hideMark/>
          </w:tcPr>
          <w:p w14:paraId="3DD19A15" w14:textId="1401204B" w:rsidR="00390D6E" w:rsidRPr="00390D6E" w:rsidRDefault="00390D6E" w:rsidP="001C019D">
            <w:pPr>
              <w:pStyle w:val="TableNText"/>
              <w:rPr>
                <w:lang w:eastAsia="en-AU"/>
              </w:rPr>
            </w:pPr>
            <w:r w:rsidRPr="00390D6E">
              <w:rPr>
                <w:lang w:eastAsia="en-AU"/>
              </w:rPr>
              <w:t xml:space="preserve">Joombarn-buru Aboriginal </w:t>
            </w:r>
            <w:r w:rsidR="00A45EC1" w:rsidRPr="00390D6E">
              <w:rPr>
                <w:lang w:eastAsia="en-AU"/>
              </w:rPr>
              <w:t>Corporation</w:t>
            </w:r>
            <w:r w:rsidR="00A45EC1">
              <w:rPr>
                <w:lang w:eastAsia="en-AU"/>
              </w:rPr>
              <w:t xml:space="preserve"> RNTBC</w:t>
            </w:r>
          </w:p>
        </w:tc>
        <w:tc>
          <w:tcPr>
            <w:tcW w:w="608" w:type="pct"/>
            <w:hideMark/>
          </w:tcPr>
          <w:p w14:paraId="2D10ED80" w14:textId="77777777" w:rsidR="00390D6E" w:rsidRPr="00390D6E" w:rsidRDefault="00390D6E" w:rsidP="001C019D">
            <w:pPr>
              <w:pStyle w:val="TableNText"/>
              <w:rPr>
                <w:lang w:eastAsia="en-AU"/>
              </w:rPr>
            </w:pPr>
            <w:r w:rsidRPr="00390D6E">
              <w:rPr>
                <w:lang w:eastAsia="en-AU"/>
              </w:rPr>
              <w:t>Joombarn-Buru</w:t>
            </w:r>
          </w:p>
        </w:tc>
        <w:tc>
          <w:tcPr>
            <w:tcW w:w="543" w:type="pct"/>
            <w:noWrap/>
            <w:hideMark/>
          </w:tcPr>
          <w:p w14:paraId="7D74011E" w14:textId="77777777" w:rsidR="00390D6E" w:rsidRPr="00390D6E" w:rsidRDefault="00390D6E" w:rsidP="001C019D">
            <w:pPr>
              <w:pStyle w:val="TableNText"/>
              <w:rPr>
                <w:lang w:eastAsia="en-AU"/>
              </w:rPr>
            </w:pPr>
            <w:r w:rsidRPr="00390D6E">
              <w:rPr>
                <w:lang w:eastAsia="en-AU"/>
              </w:rPr>
              <w:t>3/03/2020</w:t>
            </w:r>
          </w:p>
        </w:tc>
        <w:tc>
          <w:tcPr>
            <w:tcW w:w="675" w:type="pct"/>
            <w:hideMark/>
          </w:tcPr>
          <w:p w14:paraId="665BCFE3" w14:textId="77777777" w:rsidR="00390D6E" w:rsidRPr="00390D6E" w:rsidRDefault="00390D6E" w:rsidP="001C019D">
            <w:pPr>
              <w:pStyle w:val="TableNText"/>
              <w:rPr>
                <w:lang w:eastAsia="en-AU"/>
              </w:rPr>
            </w:pPr>
            <w:r w:rsidRPr="00390D6E">
              <w:rPr>
                <w:lang w:eastAsia="en-AU"/>
              </w:rPr>
              <w:t>13/10/2021</w:t>
            </w:r>
          </w:p>
        </w:tc>
        <w:tc>
          <w:tcPr>
            <w:tcW w:w="676" w:type="pct"/>
          </w:tcPr>
          <w:p w14:paraId="7EE864A1" w14:textId="7C347466" w:rsidR="00883994" w:rsidRDefault="00883994" w:rsidP="001C019D">
            <w:pPr>
              <w:pStyle w:val="TableNText"/>
              <w:rPr>
                <w:lang w:eastAsia="en-AU"/>
              </w:rPr>
            </w:pPr>
            <w:r>
              <w:rPr>
                <w:lang w:eastAsia="en-AU"/>
              </w:rPr>
              <w:t>KLC</w:t>
            </w:r>
          </w:p>
        </w:tc>
        <w:tc>
          <w:tcPr>
            <w:tcW w:w="608" w:type="pct"/>
            <w:hideMark/>
          </w:tcPr>
          <w:p w14:paraId="6B431832" w14:textId="61185E59" w:rsidR="00390D6E" w:rsidRPr="00390D6E" w:rsidRDefault="00390D6E" w:rsidP="001C019D">
            <w:pPr>
              <w:pStyle w:val="TableNText"/>
              <w:rPr>
                <w:lang w:eastAsia="en-AU"/>
              </w:rPr>
            </w:pPr>
            <w:r w:rsidRPr="00390D6E">
              <w:rPr>
                <w:lang w:eastAsia="en-AU"/>
              </w:rPr>
              <w:t>Native title exists in parts of the determination area</w:t>
            </w:r>
            <w:r w:rsidR="00A54B76">
              <w:rPr>
                <w:lang w:eastAsia="en-AU"/>
              </w:rPr>
              <w:t>.</w:t>
            </w:r>
          </w:p>
        </w:tc>
        <w:tc>
          <w:tcPr>
            <w:tcW w:w="1011" w:type="pct"/>
          </w:tcPr>
          <w:p w14:paraId="0804231D" w14:textId="77777777" w:rsidR="00390D6E" w:rsidRPr="00390D6E" w:rsidRDefault="00390D6E" w:rsidP="001C019D">
            <w:pPr>
              <w:pStyle w:val="TableNText"/>
              <w:rPr>
                <w:lang w:eastAsia="en-AU"/>
              </w:rPr>
            </w:pPr>
            <w:r w:rsidRPr="00390D6E">
              <w:rPr>
                <w:lang w:eastAsia="en-AU"/>
              </w:rPr>
              <w:t xml:space="preserve">The claim was determined by consent and covers an area of </w:t>
            </w:r>
            <w:r w:rsidRPr="00390D6E">
              <w:t>940.2256</w:t>
            </w:r>
            <w:r w:rsidRPr="00390D6E">
              <w:rPr>
                <w:lang w:eastAsia="en-AU"/>
              </w:rPr>
              <w:t xml:space="preserve"> square kilometres of land and waters in the vicinity of Broome.</w:t>
            </w:r>
          </w:p>
        </w:tc>
      </w:tr>
      <w:tr w:rsidR="00AA122E" w:rsidRPr="00390D6E" w14:paraId="51A06A0E" w14:textId="77777777" w:rsidTr="001C019D">
        <w:trPr>
          <w:cnfStyle w:val="000000010000" w:firstRow="0" w:lastRow="0" w:firstColumn="0" w:lastColumn="0" w:oddVBand="0" w:evenVBand="0" w:oddHBand="0" w:evenHBand="1" w:firstRowFirstColumn="0" w:firstRowLastColumn="0" w:lastRowFirstColumn="0" w:lastRowLastColumn="0"/>
          <w:trHeight w:val="580"/>
        </w:trPr>
        <w:tc>
          <w:tcPr>
            <w:tcW w:w="879" w:type="pct"/>
          </w:tcPr>
          <w:p w14:paraId="22DD8A02" w14:textId="3BFF50C5" w:rsidR="005D1329" w:rsidRPr="00390D6E" w:rsidRDefault="00882C9F" w:rsidP="001C019D">
            <w:pPr>
              <w:pStyle w:val="TableNText"/>
              <w:rPr>
                <w:lang w:eastAsia="en-AU"/>
              </w:rPr>
            </w:pPr>
            <w:r w:rsidRPr="00882C9F">
              <w:rPr>
                <w:lang w:eastAsia="en-AU"/>
              </w:rPr>
              <w:t>Walalakoo Aboriginal Corporation RNTBC</w:t>
            </w:r>
          </w:p>
        </w:tc>
        <w:tc>
          <w:tcPr>
            <w:tcW w:w="608" w:type="pct"/>
          </w:tcPr>
          <w:p w14:paraId="28042760" w14:textId="26238C84" w:rsidR="005D1329" w:rsidRPr="00390D6E" w:rsidRDefault="002A061D" w:rsidP="001C019D">
            <w:pPr>
              <w:pStyle w:val="TableNText"/>
              <w:rPr>
                <w:lang w:eastAsia="en-AU"/>
              </w:rPr>
            </w:pPr>
            <w:r w:rsidRPr="002A061D">
              <w:rPr>
                <w:lang w:eastAsia="en-AU"/>
              </w:rPr>
              <w:t>Boorroola Moorrool Moorrool Part A</w:t>
            </w:r>
          </w:p>
        </w:tc>
        <w:tc>
          <w:tcPr>
            <w:tcW w:w="543" w:type="pct"/>
            <w:noWrap/>
          </w:tcPr>
          <w:p w14:paraId="42674DA4" w14:textId="476DA777" w:rsidR="005D1329" w:rsidRPr="00390D6E" w:rsidRDefault="00B44D67" w:rsidP="001C019D">
            <w:pPr>
              <w:pStyle w:val="TableNText"/>
              <w:rPr>
                <w:lang w:eastAsia="en-AU"/>
              </w:rPr>
            </w:pPr>
            <w:r w:rsidRPr="00B44D67">
              <w:rPr>
                <w:lang w:eastAsia="en-AU"/>
              </w:rPr>
              <w:t>23/12/2016</w:t>
            </w:r>
          </w:p>
        </w:tc>
        <w:tc>
          <w:tcPr>
            <w:tcW w:w="675" w:type="pct"/>
          </w:tcPr>
          <w:p w14:paraId="101A5629" w14:textId="60416286" w:rsidR="005D1329" w:rsidRPr="00390D6E" w:rsidRDefault="00B44D67" w:rsidP="001C019D">
            <w:pPr>
              <w:pStyle w:val="TableNText"/>
              <w:rPr>
                <w:lang w:eastAsia="en-AU"/>
              </w:rPr>
            </w:pPr>
            <w:r w:rsidRPr="00B44D67">
              <w:rPr>
                <w:lang w:eastAsia="en-AU"/>
              </w:rPr>
              <w:t>30/11/2020</w:t>
            </w:r>
          </w:p>
        </w:tc>
        <w:tc>
          <w:tcPr>
            <w:tcW w:w="676" w:type="pct"/>
          </w:tcPr>
          <w:p w14:paraId="5D68249B" w14:textId="4289E69B" w:rsidR="005D1329" w:rsidRDefault="005D1329" w:rsidP="001C019D">
            <w:pPr>
              <w:pStyle w:val="TableNText"/>
              <w:rPr>
                <w:lang w:eastAsia="en-AU"/>
              </w:rPr>
            </w:pPr>
            <w:r>
              <w:rPr>
                <w:lang w:eastAsia="en-AU"/>
              </w:rPr>
              <w:t>Arma Legal (funded by KLC)</w:t>
            </w:r>
          </w:p>
        </w:tc>
        <w:tc>
          <w:tcPr>
            <w:tcW w:w="608" w:type="pct"/>
          </w:tcPr>
          <w:p w14:paraId="7F51339C" w14:textId="609DA767" w:rsidR="005D1329" w:rsidRPr="00390D6E" w:rsidRDefault="006F5AD7" w:rsidP="001C019D">
            <w:pPr>
              <w:pStyle w:val="TableNText"/>
              <w:rPr>
                <w:lang w:eastAsia="en-AU"/>
              </w:rPr>
            </w:pPr>
            <w:r w:rsidRPr="006F5AD7">
              <w:rPr>
                <w:lang w:eastAsia="en-AU"/>
              </w:rPr>
              <w:t>Native title exists in parts of the determination area</w:t>
            </w:r>
          </w:p>
        </w:tc>
        <w:tc>
          <w:tcPr>
            <w:tcW w:w="1011" w:type="pct"/>
          </w:tcPr>
          <w:p w14:paraId="6935D7B0" w14:textId="774178FB" w:rsidR="005D1329" w:rsidRPr="00390D6E" w:rsidRDefault="00135BFB" w:rsidP="001C019D">
            <w:pPr>
              <w:pStyle w:val="TableNText"/>
              <w:rPr>
                <w:lang w:eastAsia="en-AU"/>
              </w:rPr>
            </w:pPr>
            <w:r>
              <w:rPr>
                <w:lang w:eastAsia="en-AU"/>
              </w:rPr>
              <w:t xml:space="preserve">The claim was determined by consent and covers an area of </w:t>
            </w:r>
            <w:r w:rsidR="00186926" w:rsidRPr="00186926">
              <w:rPr>
                <w:lang w:eastAsia="en-AU"/>
              </w:rPr>
              <w:t>1</w:t>
            </w:r>
            <w:r w:rsidR="008B04D8">
              <w:rPr>
                <w:lang w:eastAsia="en-AU"/>
              </w:rPr>
              <w:t>,</w:t>
            </w:r>
            <w:r w:rsidR="00186926" w:rsidRPr="00186926">
              <w:rPr>
                <w:lang w:eastAsia="en-AU"/>
              </w:rPr>
              <w:t xml:space="preserve">032.13 square </w:t>
            </w:r>
            <w:r w:rsidR="00D172D0" w:rsidRPr="00186926">
              <w:rPr>
                <w:lang w:eastAsia="en-AU"/>
              </w:rPr>
              <w:t>kilometres</w:t>
            </w:r>
            <w:r w:rsidR="00186926" w:rsidRPr="00186926">
              <w:rPr>
                <w:lang w:eastAsia="en-AU"/>
              </w:rPr>
              <w:t xml:space="preserve"> of land and waters in the north-west of the Kimberley region</w:t>
            </w:r>
            <w:r w:rsidR="00186926">
              <w:rPr>
                <w:lang w:eastAsia="en-AU"/>
              </w:rPr>
              <w:t>.</w:t>
            </w:r>
          </w:p>
        </w:tc>
      </w:tr>
    </w:tbl>
    <w:p w14:paraId="59DDF80E" w14:textId="77777777" w:rsidR="000E7C25" w:rsidRDefault="000E7C25" w:rsidP="000E7C25">
      <w:pPr>
        <w:rPr>
          <w:lang w:eastAsia="en-AU"/>
        </w:rPr>
      </w:pPr>
    </w:p>
    <w:p w14:paraId="0D260B1C" w14:textId="654B4632" w:rsidR="00390D6E" w:rsidRPr="00390D6E" w:rsidRDefault="00390D6E" w:rsidP="00390D6E">
      <w:pPr>
        <w:keepNext/>
        <w:numPr>
          <w:ilvl w:val="4"/>
          <w:numId w:val="2"/>
        </w:numPr>
        <w:spacing w:before="240"/>
        <w:outlineLvl w:val="4"/>
        <w:rPr>
          <w:rFonts w:eastAsia="Times New Roman" w:cs="Times New Roman"/>
          <w:b/>
          <w:color w:val="000000" w:themeColor="text1"/>
          <w:sz w:val="20"/>
          <w:szCs w:val="24"/>
          <w:lang w:eastAsia="en-AU"/>
        </w:rPr>
      </w:pPr>
      <w:r w:rsidRPr="00390D6E">
        <w:rPr>
          <w:rFonts w:eastAsia="Times New Roman" w:cs="Times New Roman"/>
          <w:b/>
          <w:color w:val="000000" w:themeColor="text1"/>
          <w:sz w:val="20"/>
          <w:szCs w:val="24"/>
          <w:lang w:eastAsia="en-AU"/>
        </w:rPr>
        <w:t xml:space="preserve">As of 30 June 2022, the KLC </w:t>
      </w:r>
      <w:r w:rsidR="00930D43">
        <w:rPr>
          <w:rFonts w:eastAsia="Times New Roman" w:cs="Times New Roman"/>
          <w:b/>
          <w:color w:val="000000" w:themeColor="text1"/>
          <w:sz w:val="20"/>
          <w:szCs w:val="24"/>
          <w:lang w:eastAsia="en-AU"/>
        </w:rPr>
        <w:t xml:space="preserve">had a case load of </w:t>
      </w:r>
      <w:r w:rsidR="009B26F0">
        <w:rPr>
          <w:rFonts w:eastAsia="Times New Roman" w:cs="Times New Roman"/>
          <w:b/>
          <w:color w:val="000000" w:themeColor="text1"/>
          <w:sz w:val="20"/>
          <w:szCs w:val="24"/>
          <w:lang w:eastAsia="en-AU"/>
        </w:rPr>
        <w:t>five</w:t>
      </w:r>
      <w:r w:rsidR="00152383">
        <w:rPr>
          <w:rFonts w:eastAsia="Times New Roman" w:cs="Times New Roman"/>
          <w:b/>
          <w:color w:val="000000" w:themeColor="text1"/>
          <w:sz w:val="20"/>
          <w:szCs w:val="24"/>
          <w:lang w:eastAsia="en-AU"/>
        </w:rPr>
        <w:t xml:space="preserve"> </w:t>
      </w:r>
      <w:r w:rsidR="00F14EA9">
        <w:rPr>
          <w:rFonts w:eastAsia="Times New Roman" w:cs="Times New Roman"/>
          <w:b/>
          <w:color w:val="000000" w:themeColor="text1"/>
          <w:sz w:val="20"/>
          <w:szCs w:val="24"/>
          <w:lang w:eastAsia="en-AU"/>
        </w:rPr>
        <w:t>active claims</w:t>
      </w:r>
      <w:r w:rsidR="00A469BC">
        <w:rPr>
          <w:rFonts w:eastAsia="Times New Roman" w:cs="Times New Roman"/>
          <w:b/>
          <w:color w:val="000000" w:themeColor="text1"/>
          <w:sz w:val="20"/>
          <w:szCs w:val="24"/>
          <w:lang w:eastAsia="en-AU"/>
        </w:rPr>
        <w:t>,</w:t>
      </w:r>
      <w:r w:rsidR="00793757">
        <w:rPr>
          <w:rFonts w:eastAsia="Times New Roman" w:cs="Times New Roman"/>
          <w:b/>
          <w:color w:val="000000" w:themeColor="text1"/>
          <w:sz w:val="20"/>
          <w:szCs w:val="24"/>
          <w:lang w:eastAsia="en-AU"/>
        </w:rPr>
        <w:t xml:space="preserve"> one compensation </w:t>
      </w:r>
      <w:r w:rsidR="00A469BC">
        <w:rPr>
          <w:rFonts w:eastAsia="Times New Roman" w:cs="Times New Roman"/>
          <w:b/>
          <w:color w:val="000000" w:themeColor="text1"/>
          <w:sz w:val="20"/>
          <w:szCs w:val="24"/>
          <w:lang w:eastAsia="en-AU"/>
        </w:rPr>
        <w:t xml:space="preserve">claim and </w:t>
      </w:r>
      <w:r w:rsidR="00072249">
        <w:rPr>
          <w:rFonts w:eastAsia="Times New Roman" w:cs="Times New Roman"/>
          <w:b/>
          <w:color w:val="000000" w:themeColor="text1"/>
          <w:sz w:val="20"/>
          <w:szCs w:val="24"/>
          <w:lang w:eastAsia="en-AU"/>
        </w:rPr>
        <w:t xml:space="preserve">provided financial assistance to </w:t>
      </w:r>
      <w:r w:rsidR="00BE457F">
        <w:rPr>
          <w:rFonts w:eastAsia="Times New Roman" w:cs="Times New Roman"/>
          <w:b/>
          <w:color w:val="000000" w:themeColor="text1"/>
          <w:sz w:val="20"/>
          <w:szCs w:val="24"/>
          <w:lang w:eastAsia="en-AU"/>
        </w:rPr>
        <w:t xml:space="preserve">five </w:t>
      </w:r>
      <w:r w:rsidR="00B03F37">
        <w:rPr>
          <w:rFonts w:eastAsia="Times New Roman" w:cs="Times New Roman"/>
          <w:b/>
          <w:color w:val="000000" w:themeColor="text1"/>
          <w:sz w:val="20"/>
          <w:szCs w:val="24"/>
          <w:lang w:eastAsia="en-AU"/>
        </w:rPr>
        <w:t xml:space="preserve">claims </w:t>
      </w:r>
      <w:r w:rsidR="007639A4">
        <w:rPr>
          <w:rFonts w:eastAsia="Times New Roman" w:cs="Times New Roman"/>
          <w:b/>
          <w:color w:val="000000" w:themeColor="text1"/>
          <w:sz w:val="20"/>
          <w:szCs w:val="24"/>
          <w:lang w:eastAsia="en-AU"/>
        </w:rPr>
        <w:t>represented by external legal teams</w:t>
      </w:r>
    </w:p>
    <w:p w14:paraId="0784EE18" w14:textId="4A4A7D61" w:rsidR="00390D6E" w:rsidRPr="00390D6E" w:rsidRDefault="00390D6E" w:rsidP="00390D6E">
      <w:r w:rsidRPr="00390D6E">
        <w:t xml:space="preserve">The </w:t>
      </w:r>
      <w:r w:rsidR="00AF02EA">
        <w:t>si</w:t>
      </w:r>
      <w:r w:rsidR="007640A6">
        <w:t>x</w:t>
      </w:r>
      <w:r w:rsidRPr="00390D6E">
        <w:t xml:space="preserve"> active native title claims </w:t>
      </w:r>
      <w:r w:rsidR="005A74FD">
        <w:t xml:space="preserve">that </w:t>
      </w:r>
      <w:r w:rsidRPr="00390D6E">
        <w:t>KLC</w:t>
      </w:r>
      <w:r w:rsidR="005A74FD">
        <w:t xml:space="preserve"> </w:t>
      </w:r>
      <w:r w:rsidR="00AF3DCC">
        <w:t xml:space="preserve">was </w:t>
      </w:r>
      <w:r w:rsidR="00030818">
        <w:t>providing</w:t>
      </w:r>
      <w:r w:rsidR="00AD4CA4">
        <w:t xml:space="preserve"> legal representation for</w:t>
      </w:r>
      <w:r w:rsidRPr="00390D6E">
        <w:t xml:space="preserve"> as of 30 June 2022 </w:t>
      </w:r>
      <w:r w:rsidR="00664045">
        <w:t>consisted of</w:t>
      </w:r>
      <w:r w:rsidR="005924E6">
        <w:t xml:space="preserve"> </w:t>
      </w:r>
      <w:r w:rsidR="00CF4D18">
        <w:t xml:space="preserve">five </w:t>
      </w:r>
      <w:r w:rsidRPr="00390D6E">
        <w:t xml:space="preserve">claimant applications and one compensation application. </w:t>
      </w:r>
      <w:r w:rsidR="001A1039">
        <w:fldChar w:fldCharType="begin"/>
      </w:r>
      <w:r w:rsidR="001A1039">
        <w:instrText xml:space="preserve"> REF _Ref154044195 \h </w:instrText>
      </w:r>
      <w:r w:rsidR="001A1039">
        <w:fldChar w:fldCharType="separate"/>
      </w:r>
      <w:r w:rsidR="00291532">
        <w:t xml:space="preserve">Table </w:t>
      </w:r>
      <w:r w:rsidR="00291532">
        <w:rPr>
          <w:noProof/>
        </w:rPr>
        <w:t>2</w:t>
      </w:r>
      <w:r w:rsidR="001A1039">
        <w:fldChar w:fldCharType="end"/>
      </w:r>
      <w:r w:rsidRPr="00390D6E">
        <w:t xml:space="preserve"> details these active claims, </w:t>
      </w:r>
      <w:r w:rsidR="003B1029">
        <w:t>the last three</w:t>
      </w:r>
      <w:r w:rsidR="003B1029" w:rsidRPr="00390D6E">
        <w:t xml:space="preserve"> </w:t>
      </w:r>
      <w:r w:rsidRPr="00390D6E">
        <w:t>of which ha</w:t>
      </w:r>
      <w:r w:rsidR="003B1029">
        <w:t>d</w:t>
      </w:r>
      <w:r w:rsidRPr="00390D6E">
        <w:t xml:space="preserve"> been determined </w:t>
      </w:r>
      <w:r w:rsidR="003B1029">
        <w:t>by</w:t>
      </w:r>
      <w:r w:rsidR="003B1029" w:rsidRPr="00390D6E">
        <w:t xml:space="preserve"> </w:t>
      </w:r>
      <w:r w:rsidRPr="00390D6E">
        <w:t xml:space="preserve">the time of writing in </w:t>
      </w:r>
      <w:r w:rsidR="000B644D">
        <w:t xml:space="preserve">November </w:t>
      </w:r>
      <w:r w:rsidRPr="00390D6E">
        <w:t>2023</w:t>
      </w:r>
      <w:r w:rsidR="003B1029">
        <w:t xml:space="preserve">. </w:t>
      </w:r>
    </w:p>
    <w:p w14:paraId="377D99C1" w14:textId="6576FDEB" w:rsidR="001A1039" w:rsidRDefault="001A1039" w:rsidP="001A1039">
      <w:pPr>
        <w:pStyle w:val="Caption"/>
      </w:pPr>
      <w:bookmarkStart w:id="21" w:name="_Ref154044195"/>
      <w:r>
        <w:lastRenderedPageBreak/>
        <w:t xml:space="preserve">Table </w:t>
      </w:r>
      <w:r>
        <w:fldChar w:fldCharType="begin"/>
      </w:r>
      <w:r>
        <w:instrText xml:space="preserve"> SEQ Table \* ARABIC </w:instrText>
      </w:r>
      <w:r>
        <w:fldChar w:fldCharType="separate"/>
      </w:r>
      <w:r w:rsidR="00291532">
        <w:rPr>
          <w:noProof/>
        </w:rPr>
        <w:t>2</w:t>
      </w:r>
      <w:r>
        <w:fldChar w:fldCharType="end"/>
      </w:r>
      <w:bookmarkEnd w:id="21"/>
      <w:r>
        <w:t xml:space="preserve"> | </w:t>
      </w:r>
      <w:r w:rsidRPr="00811BFE">
        <w:t xml:space="preserve">Active claims </w:t>
      </w:r>
      <w:r w:rsidR="00C46CD8">
        <w:t>legally represented</w:t>
      </w:r>
      <w:r w:rsidRPr="00811BFE">
        <w:t xml:space="preserve"> by the KLC as of 30 June 2022</w:t>
      </w:r>
    </w:p>
    <w:tbl>
      <w:tblPr>
        <w:tblStyle w:val="AEMO5"/>
        <w:tblW w:w="5000" w:type="pct"/>
        <w:tblLook w:val="04A0" w:firstRow="1" w:lastRow="0" w:firstColumn="1" w:lastColumn="0" w:noHBand="0" w:noVBand="1"/>
      </w:tblPr>
      <w:tblGrid>
        <w:gridCol w:w="2029"/>
        <w:gridCol w:w="1623"/>
        <w:gridCol w:w="1352"/>
        <w:gridCol w:w="3926"/>
      </w:tblGrid>
      <w:tr w:rsidR="00D97380" w:rsidRPr="00390D6E" w14:paraId="526FA2BE" w14:textId="77777777" w:rsidTr="00934266">
        <w:trPr>
          <w:cnfStyle w:val="100000000000" w:firstRow="1" w:lastRow="0" w:firstColumn="0" w:lastColumn="0" w:oddVBand="0" w:evenVBand="0" w:oddHBand="0" w:evenHBand="0" w:firstRowFirstColumn="0" w:firstRowLastColumn="0" w:lastRowFirstColumn="0" w:lastRowLastColumn="0"/>
        </w:trPr>
        <w:tc>
          <w:tcPr>
            <w:tcW w:w="1136" w:type="pct"/>
            <w:vAlign w:val="top"/>
          </w:tcPr>
          <w:p w14:paraId="6495A3D9" w14:textId="77777777" w:rsidR="00390D6E" w:rsidRPr="00390D6E" w:rsidRDefault="00390D6E" w:rsidP="001A1039">
            <w:pPr>
              <w:pStyle w:val="TableNheader"/>
              <w:rPr>
                <w:szCs w:val="19"/>
              </w:rPr>
            </w:pPr>
            <w:r w:rsidRPr="00390D6E">
              <w:t>Claim</w:t>
            </w:r>
          </w:p>
        </w:tc>
        <w:tc>
          <w:tcPr>
            <w:tcW w:w="909" w:type="pct"/>
          </w:tcPr>
          <w:p w14:paraId="5BBBA57B" w14:textId="77777777" w:rsidR="00390D6E" w:rsidRPr="00390D6E" w:rsidRDefault="00390D6E" w:rsidP="001A1039">
            <w:pPr>
              <w:pStyle w:val="TableNheader"/>
              <w:rPr>
                <w:szCs w:val="19"/>
              </w:rPr>
            </w:pPr>
            <w:r w:rsidRPr="00390D6E">
              <w:t>Application type</w:t>
            </w:r>
          </w:p>
        </w:tc>
        <w:tc>
          <w:tcPr>
            <w:tcW w:w="757" w:type="pct"/>
            <w:vAlign w:val="top"/>
          </w:tcPr>
          <w:p w14:paraId="48C83DDE" w14:textId="77777777" w:rsidR="00390D6E" w:rsidRPr="00390D6E" w:rsidRDefault="00390D6E" w:rsidP="001A1039">
            <w:pPr>
              <w:pStyle w:val="TableNheader"/>
              <w:rPr>
                <w:szCs w:val="19"/>
              </w:rPr>
            </w:pPr>
            <w:r w:rsidRPr="00390D6E">
              <w:t>Date filed</w:t>
            </w:r>
          </w:p>
        </w:tc>
        <w:tc>
          <w:tcPr>
            <w:tcW w:w="2198" w:type="pct"/>
          </w:tcPr>
          <w:p w14:paraId="44FA53DA" w14:textId="66AA6218" w:rsidR="00390D6E" w:rsidRPr="00390D6E" w:rsidRDefault="00390D6E" w:rsidP="001A1039">
            <w:pPr>
              <w:pStyle w:val="TableNheader"/>
            </w:pPr>
            <w:r w:rsidRPr="00390D6E">
              <w:t>Status</w:t>
            </w:r>
          </w:p>
        </w:tc>
      </w:tr>
      <w:tr w:rsidR="00390D6E" w:rsidRPr="00390D6E" w14:paraId="56AA6CF0" w14:textId="77777777" w:rsidTr="00934266">
        <w:trPr>
          <w:cnfStyle w:val="000000100000" w:firstRow="0" w:lastRow="0" w:firstColumn="0" w:lastColumn="0" w:oddVBand="0" w:evenVBand="0" w:oddHBand="1" w:evenHBand="0" w:firstRowFirstColumn="0" w:firstRowLastColumn="0" w:lastRowFirstColumn="0" w:lastRowLastColumn="0"/>
        </w:trPr>
        <w:tc>
          <w:tcPr>
            <w:tcW w:w="1136" w:type="pct"/>
          </w:tcPr>
          <w:p w14:paraId="1FC336FB" w14:textId="77777777" w:rsidR="00390D6E" w:rsidRPr="001A1039" w:rsidRDefault="00390D6E" w:rsidP="00934266">
            <w:pPr>
              <w:pStyle w:val="TableNText"/>
            </w:pPr>
            <w:r w:rsidRPr="001A1039">
              <w:t>Warrwa Combined</w:t>
            </w:r>
          </w:p>
        </w:tc>
        <w:tc>
          <w:tcPr>
            <w:tcW w:w="909" w:type="pct"/>
          </w:tcPr>
          <w:p w14:paraId="1F20FA80" w14:textId="77777777" w:rsidR="00390D6E" w:rsidRPr="001A1039" w:rsidRDefault="00390D6E" w:rsidP="00934266">
            <w:pPr>
              <w:pStyle w:val="TableNText"/>
            </w:pPr>
            <w:r w:rsidRPr="001A1039">
              <w:t>Claimant</w:t>
            </w:r>
          </w:p>
        </w:tc>
        <w:tc>
          <w:tcPr>
            <w:tcW w:w="757" w:type="pct"/>
          </w:tcPr>
          <w:p w14:paraId="4F36C6A2" w14:textId="77777777" w:rsidR="00390D6E" w:rsidRPr="001A1039" w:rsidRDefault="00390D6E" w:rsidP="00934266">
            <w:pPr>
              <w:pStyle w:val="TableNText"/>
            </w:pPr>
            <w:r w:rsidRPr="001A1039">
              <w:t>16/09/2010</w:t>
            </w:r>
          </w:p>
        </w:tc>
        <w:tc>
          <w:tcPr>
            <w:tcW w:w="2198" w:type="pct"/>
          </w:tcPr>
          <w:p w14:paraId="036F0F4B" w14:textId="39A850A6" w:rsidR="00390D6E" w:rsidRPr="001A1039" w:rsidRDefault="00390D6E" w:rsidP="00934266">
            <w:pPr>
              <w:pStyle w:val="TableNText"/>
            </w:pPr>
            <w:r w:rsidRPr="001A1039">
              <w:t>Accepted for registration</w:t>
            </w:r>
            <w:r w:rsidR="00DD13E7" w:rsidRPr="001A1039">
              <w:t>.</w:t>
            </w:r>
          </w:p>
        </w:tc>
      </w:tr>
      <w:tr w:rsidR="00390D6E" w:rsidRPr="00390D6E" w14:paraId="443648C4" w14:textId="77777777" w:rsidTr="00934266">
        <w:trPr>
          <w:cnfStyle w:val="000000010000" w:firstRow="0" w:lastRow="0" w:firstColumn="0" w:lastColumn="0" w:oddVBand="0" w:evenVBand="0" w:oddHBand="0" w:evenHBand="1" w:firstRowFirstColumn="0" w:firstRowLastColumn="0" w:lastRowFirstColumn="0" w:lastRowLastColumn="0"/>
        </w:trPr>
        <w:tc>
          <w:tcPr>
            <w:tcW w:w="1136" w:type="pct"/>
          </w:tcPr>
          <w:p w14:paraId="632211F8" w14:textId="77777777" w:rsidR="00390D6E" w:rsidRPr="001A1039" w:rsidRDefault="00390D6E" w:rsidP="00934266">
            <w:pPr>
              <w:pStyle w:val="TableNText"/>
            </w:pPr>
            <w:r w:rsidRPr="001A1039">
              <w:t>Malarngowem Aboriginal Corporation RNTBC</w:t>
            </w:r>
          </w:p>
        </w:tc>
        <w:tc>
          <w:tcPr>
            <w:tcW w:w="909" w:type="pct"/>
          </w:tcPr>
          <w:p w14:paraId="2D184EAE" w14:textId="77777777" w:rsidR="00390D6E" w:rsidRPr="001A1039" w:rsidRDefault="00390D6E" w:rsidP="00934266">
            <w:pPr>
              <w:pStyle w:val="TableNText"/>
            </w:pPr>
            <w:r w:rsidRPr="001A1039">
              <w:t>Compensation</w:t>
            </w:r>
          </w:p>
        </w:tc>
        <w:tc>
          <w:tcPr>
            <w:tcW w:w="757" w:type="pct"/>
          </w:tcPr>
          <w:p w14:paraId="188F3F28" w14:textId="77777777" w:rsidR="00390D6E" w:rsidRPr="001A1039" w:rsidRDefault="00390D6E" w:rsidP="00934266">
            <w:pPr>
              <w:pStyle w:val="TableNText"/>
            </w:pPr>
            <w:r w:rsidRPr="001A1039">
              <w:t>02/09/2021</w:t>
            </w:r>
          </w:p>
        </w:tc>
        <w:tc>
          <w:tcPr>
            <w:tcW w:w="2198" w:type="pct"/>
          </w:tcPr>
          <w:p w14:paraId="4A76A21E" w14:textId="092AB23F" w:rsidR="00390D6E" w:rsidRPr="001A1039" w:rsidRDefault="00390D6E" w:rsidP="00934266">
            <w:pPr>
              <w:pStyle w:val="TableNText"/>
            </w:pPr>
            <w:r w:rsidRPr="001A1039">
              <w:t>No registration decision</w:t>
            </w:r>
            <w:r w:rsidR="00DD13E7" w:rsidRPr="001A1039">
              <w:t>.</w:t>
            </w:r>
          </w:p>
        </w:tc>
      </w:tr>
      <w:tr w:rsidR="00390D6E" w:rsidRPr="00390D6E" w14:paraId="5DF8FA83" w14:textId="77777777" w:rsidTr="00934266">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F2F2F2" w:themeFill="background1" w:themeFillShade="F2"/>
          </w:tcPr>
          <w:p w14:paraId="7192684F" w14:textId="77777777" w:rsidR="00390D6E" w:rsidRPr="001A1039" w:rsidRDefault="00390D6E" w:rsidP="00934266">
            <w:pPr>
              <w:pStyle w:val="TableNText"/>
            </w:pPr>
            <w:r w:rsidRPr="001A1039">
              <w:t>Jaru People #2</w:t>
            </w:r>
          </w:p>
        </w:tc>
        <w:tc>
          <w:tcPr>
            <w:tcW w:w="909" w:type="pct"/>
            <w:shd w:val="clear" w:color="auto" w:fill="F2F2F2" w:themeFill="background1" w:themeFillShade="F2"/>
          </w:tcPr>
          <w:p w14:paraId="18B88820" w14:textId="77777777" w:rsidR="00390D6E" w:rsidRPr="001A1039" w:rsidRDefault="00390D6E" w:rsidP="00934266">
            <w:pPr>
              <w:pStyle w:val="TableNText"/>
            </w:pPr>
            <w:r w:rsidRPr="001A1039">
              <w:t>Claimant</w:t>
            </w:r>
          </w:p>
        </w:tc>
        <w:tc>
          <w:tcPr>
            <w:tcW w:w="757" w:type="pct"/>
            <w:shd w:val="clear" w:color="auto" w:fill="F2F2F2" w:themeFill="background1" w:themeFillShade="F2"/>
          </w:tcPr>
          <w:p w14:paraId="7A4AFCFA" w14:textId="469FA54D" w:rsidR="00390D6E" w:rsidRPr="001A1039" w:rsidRDefault="00D841A8" w:rsidP="00934266">
            <w:pPr>
              <w:pStyle w:val="TableNText"/>
            </w:pPr>
            <w:r w:rsidRPr="001A1039">
              <w:t>17</w:t>
            </w:r>
            <w:r w:rsidR="00390D6E" w:rsidRPr="001A1039">
              <w:t>/</w:t>
            </w:r>
            <w:r w:rsidRPr="001A1039">
              <w:t>1</w:t>
            </w:r>
            <w:r w:rsidR="00390D6E" w:rsidRPr="001A1039">
              <w:t>2/20</w:t>
            </w:r>
            <w:r w:rsidRPr="001A1039">
              <w:t>21</w:t>
            </w:r>
          </w:p>
        </w:tc>
        <w:tc>
          <w:tcPr>
            <w:tcW w:w="2198" w:type="pct"/>
            <w:shd w:val="clear" w:color="auto" w:fill="F2F2F2" w:themeFill="background1" w:themeFillShade="F2"/>
          </w:tcPr>
          <w:p w14:paraId="29D7FC5B" w14:textId="7596251D" w:rsidR="00390D6E" w:rsidRPr="001A1039" w:rsidRDefault="00390D6E" w:rsidP="00934266">
            <w:pPr>
              <w:pStyle w:val="TableNText"/>
            </w:pPr>
            <w:r w:rsidRPr="001A1039">
              <w:t xml:space="preserve">Native title </w:t>
            </w:r>
            <w:r w:rsidR="00DB149E">
              <w:t>determined</w:t>
            </w:r>
            <w:r w:rsidR="00DB149E" w:rsidRPr="001A1039">
              <w:t xml:space="preserve"> </w:t>
            </w:r>
            <w:r w:rsidRPr="001A1039">
              <w:t>to exist in the entire determination area as of 15/12/2022.</w:t>
            </w:r>
          </w:p>
        </w:tc>
      </w:tr>
      <w:tr w:rsidR="00390D6E" w:rsidRPr="00390D6E" w14:paraId="6513EBE5" w14:textId="77777777" w:rsidTr="00934266">
        <w:trPr>
          <w:cnfStyle w:val="000000010000" w:firstRow="0" w:lastRow="0" w:firstColumn="0" w:lastColumn="0" w:oddVBand="0" w:evenVBand="0" w:oddHBand="0" w:evenHBand="1" w:firstRowFirstColumn="0" w:firstRowLastColumn="0" w:lastRowFirstColumn="0" w:lastRowLastColumn="0"/>
        </w:trPr>
        <w:tc>
          <w:tcPr>
            <w:tcW w:w="1136" w:type="pct"/>
            <w:shd w:val="clear" w:color="auto" w:fill="F2F2F2" w:themeFill="background1" w:themeFillShade="F2"/>
          </w:tcPr>
          <w:p w14:paraId="33AF4A0F" w14:textId="77777777" w:rsidR="00390D6E" w:rsidRPr="001A1039" w:rsidRDefault="00390D6E" w:rsidP="00934266">
            <w:pPr>
              <w:pStyle w:val="TableNText"/>
            </w:pPr>
            <w:r w:rsidRPr="001A1039">
              <w:t>Purnululu</w:t>
            </w:r>
          </w:p>
        </w:tc>
        <w:tc>
          <w:tcPr>
            <w:tcW w:w="909" w:type="pct"/>
            <w:shd w:val="clear" w:color="auto" w:fill="F2F2F2" w:themeFill="background1" w:themeFillShade="F2"/>
          </w:tcPr>
          <w:p w14:paraId="66B8EC73" w14:textId="77777777" w:rsidR="00390D6E" w:rsidRPr="001A1039" w:rsidRDefault="00390D6E" w:rsidP="00934266">
            <w:pPr>
              <w:pStyle w:val="TableNText"/>
            </w:pPr>
            <w:r w:rsidRPr="001A1039">
              <w:t>Claimant</w:t>
            </w:r>
          </w:p>
        </w:tc>
        <w:tc>
          <w:tcPr>
            <w:tcW w:w="757" w:type="pct"/>
            <w:shd w:val="clear" w:color="auto" w:fill="F2F2F2" w:themeFill="background1" w:themeFillShade="F2"/>
          </w:tcPr>
          <w:p w14:paraId="5F53F129" w14:textId="77777777" w:rsidR="00390D6E" w:rsidRPr="001A1039" w:rsidRDefault="00390D6E" w:rsidP="00934266">
            <w:pPr>
              <w:pStyle w:val="TableNText"/>
            </w:pPr>
            <w:r w:rsidRPr="001A1039">
              <w:t>21/12/1994</w:t>
            </w:r>
          </w:p>
        </w:tc>
        <w:tc>
          <w:tcPr>
            <w:tcW w:w="2198" w:type="pct"/>
            <w:shd w:val="clear" w:color="auto" w:fill="F2F2F2" w:themeFill="background1" w:themeFillShade="F2"/>
          </w:tcPr>
          <w:p w14:paraId="325795A0" w14:textId="6E1F443F" w:rsidR="00390D6E" w:rsidRPr="001A1039" w:rsidRDefault="00390D6E" w:rsidP="00934266">
            <w:pPr>
              <w:pStyle w:val="TableNText"/>
            </w:pPr>
            <w:r w:rsidRPr="001A1039">
              <w:t xml:space="preserve">Native title </w:t>
            </w:r>
            <w:r w:rsidR="00DB149E">
              <w:t>determined</w:t>
            </w:r>
            <w:r w:rsidR="00DB149E" w:rsidRPr="001A1039" w:rsidDel="00DB149E">
              <w:t xml:space="preserve"> </w:t>
            </w:r>
            <w:r w:rsidRPr="001A1039">
              <w:t>to exist in parts of the determination</w:t>
            </w:r>
            <w:r w:rsidR="00FC6261" w:rsidRPr="001A1039">
              <w:t xml:space="preserve"> area</w:t>
            </w:r>
            <w:r w:rsidRPr="001A1039">
              <w:t xml:space="preserve"> as of 19/12/2022.</w:t>
            </w:r>
          </w:p>
        </w:tc>
      </w:tr>
      <w:tr w:rsidR="00390D6E" w:rsidRPr="00390D6E" w14:paraId="174781FF" w14:textId="77777777" w:rsidTr="00934266">
        <w:trPr>
          <w:cnfStyle w:val="000000100000" w:firstRow="0" w:lastRow="0" w:firstColumn="0" w:lastColumn="0" w:oddVBand="0" w:evenVBand="0" w:oddHBand="1" w:evenHBand="0" w:firstRowFirstColumn="0" w:firstRowLastColumn="0" w:lastRowFirstColumn="0" w:lastRowLastColumn="0"/>
        </w:trPr>
        <w:tc>
          <w:tcPr>
            <w:tcW w:w="1136" w:type="pct"/>
            <w:shd w:val="clear" w:color="auto" w:fill="F2F2F2" w:themeFill="background1" w:themeFillShade="F2"/>
          </w:tcPr>
          <w:p w14:paraId="484DA90D" w14:textId="77777777" w:rsidR="00390D6E" w:rsidRPr="001A1039" w:rsidRDefault="00390D6E" w:rsidP="00934266">
            <w:pPr>
              <w:pStyle w:val="TableNText"/>
            </w:pPr>
            <w:r w:rsidRPr="001A1039">
              <w:t>Purnululu #2</w:t>
            </w:r>
          </w:p>
        </w:tc>
        <w:tc>
          <w:tcPr>
            <w:tcW w:w="909" w:type="pct"/>
            <w:shd w:val="clear" w:color="auto" w:fill="F2F2F2" w:themeFill="background1" w:themeFillShade="F2"/>
          </w:tcPr>
          <w:p w14:paraId="665B3109" w14:textId="77777777" w:rsidR="00390D6E" w:rsidRPr="001A1039" w:rsidRDefault="00390D6E" w:rsidP="00934266">
            <w:pPr>
              <w:pStyle w:val="TableNText"/>
            </w:pPr>
            <w:r w:rsidRPr="001A1039">
              <w:t>Claimant</w:t>
            </w:r>
          </w:p>
        </w:tc>
        <w:tc>
          <w:tcPr>
            <w:tcW w:w="757" w:type="pct"/>
            <w:shd w:val="clear" w:color="auto" w:fill="F2F2F2" w:themeFill="background1" w:themeFillShade="F2"/>
          </w:tcPr>
          <w:p w14:paraId="537513E4" w14:textId="77777777" w:rsidR="00390D6E" w:rsidRPr="001A1039" w:rsidRDefault="00390D6E" w:rsidP="00934266">
            <w:pPr>
              <w:pStyle w:val="TableNText"/>
            </w:pPr>
            <w:r w:rsidRPr="001A1039">
              <w:t>06/09/2018</w:t>
            </w:r>
          </w:p>
        </w:tc>
        <w:tc>
          <w:tcPr>
            <w:tcW w:w="2198" w:type="pct"/>
            <w:shd w:val="clear" w:color="auto" w:fill="F2F2F2" w:themeFill="background1" w:themeFillShade="F2"/>
          </w:tcPr>
          <w:p w14:paraId="4D88E1B4" w14:textId="6B498D99" w:rsidR="00390D6E" w:rsidRPr="001A1039" w:rsidRDefault="00390D6E" w:rsidP="00934266">
            <w:pPr>
              <w:pStyle w:val="TableNText"/>
            </w:pPr>
            <w:r w:rsidRPr="001A1039">
              <w:t xml:space="preserve">Native title </w:t>
            </w:r>
            <w:r w:rsidR="00DB149E">
              <w:t>determined</w:t>
            </w:r>
            <w:r w:rsidR="00DB149E" w:rsidRPr="001A1039" w:rsidDel="00DB149E">
              <w:t xml:space="preserve"> </w:t>
            </w:r>
            <w:r w:rsidRPr="001A1039">
              <w:t>to exist in parts of the determination</w:t>
            </w:r>
            <w:r w:rsidR="00FC6261" w:rsidRPr="001A1039">
              <w:t xml:space="preserve"> area</w:t>
            </w:r>
            <w:r w:rsidRPr="001A1039">
              <w:t xml:space="preserve"> as of 19/12/2022.</w:t>
            </w:r>
          </w:p>
        </w:tc>
      </w:tr>
    </w:tbl>
    <w:p w14:paraId="54997260" w14:textId="570841D1" w:rsidR="004312C0" w:rsidRDefault="00D9014C">
      <w:r>
        <w:br/>
      </w:r>
      <w:r w:rsidR="004312C0" w:rsidRPr="00390D6E">
        <w:t xml:space="preserve">The KLC also undertook further preparations for </w:t>
      </w:r>
      <w:r w:rsidR="002A3993">
        <w:t xml:space="preserve">potential future claims and </w:t>
      </w:r>
      <w:r w:rsidR="00F561F4">
        <w:t xml:space="preserve">a </w:t>
      </w:r>
      <w:r w:rsidR="004312C0" w:rsidRPr="00390D6E">
        <w:t xml:space="preserve">native title application that </w:t>
      </w:r>
      <w:r w:rsidR="002A3993" w:rsidRPr="00390D6E">
        <w:t>w</w:t>
      </w:r>
      <w:r w:rsidR="002A3993">
        <w:t xml:space="preserve">as </w:t>
      </w:r>
      <w:r w:rsidR="004312C0" w:rsidRPr="00390D6E">
        <w:t xml:space="preserve">not registered during the Review period. This </w:t>
      </w:r>
      <w:r w:rsidR="002A3993" w:rsidRPr="00390D6E">
        <w:t>include</w:t>
      </w:r>
      <w:r w:rsidR="002A3993">
        <w:t>d</w:t>
      </w:r>
      <w:r w:rsidR="002A3993" w:rsidRPr="00390D6E">
        <w:t xml:space="preserve"> </w:t>
      </w:r>
      <w:r w:rsidR="004312C0" w:rsidRPr="00390D6E">
        <w:t xml:space="preserve">preservation work for </w:t>
      </w:r>
      <w:r w:rsidR="002A3993">
        <w:t>potential future</w:t>
      </w:r>
      <w:r w:rsidR="004312C0" w:rsidRPr="00390D6E">
        <w:t xml:space="preserve"> compensation claim applications </w:t>
      </w:r>
      <w:r w:rsidR="00653473">
        <w:t xml:space="preserve">and </w:t>
      </w:r>
      <w:r w:rsidR="004312C0" w:rsidRPr="00390D6E">
        <w:t>the registration of a revised native title claimant application (on behalf of the Walalakoo Aboriginal Corporation RNTBC) in the post-Review period.</w:t>
      </w:r>
      <w:r w:rsidR="0098344C" w:rsidRPr="0098344C">
        <w:t xml:space="preserve"> </w:t>
      </w:r>
      <w:r w:rsidR="004D6A68">
        <w:t xml:space="preserve">The </w:t>
      </w:r>
      <w:r w:rsidR="0098344C">
        <w:t>KLC advised that the</w:t>
      </w:r>
      <w:r w:rsidR="0098344C" w:rsidRPr="0098344C">
        <w:t xml:space="preserve"> revised Nyikina Mangala native title determination came about because of omitted apical</w:t>
      </w:r>
      <w:r w:rsidR="00B24E1A">
        <w:t xml:space="preserve"> ancestor</w:t>
      </w:r>
      <w:r w:rsidR="0098344C" w:rsidRPr="0098344C">
        <w:t>s</w:t>
      </w:r>
      <w:r w:rsidR="003F54C6">
        <w:rPr>
          <w:rStyle w:val="FootnoteReference"/>
        </w:rPr>
        <w:footnoteReference w:id="3"/>
      </w:r>
      <w:r w:rsidR="0098344C">
        <w:t>.</w:t>
      </w:r>
    </w:p>
    <w:p w14:paraId="16F78862" w14:textId="7AD52906" w:rsidR="00032E4B" w:rsidRDefault="00032E4B">
      <w:r>
        <w:t xml:space="preserve">In addition, at the end of the </w:t>
      </w:r>
      <w:r w:rsidR="004D6A68">
        <w:t xml:space="preserve">Review </w:t>
      </w:r>
      <w:r>
        <w:t>perio</w:t>
      </w:r>
      <w:r w:rsidR="00446830">
        <w:t>d</w:t>
      </w:r>
      <w:r w:rsidR="004D6A68">
        <w:t>,</w:t>
      </w:r>
      <w:r w:rsidR="00290D11">
        <w:t xml:space="preserve"> the KLC was providing financial assistance to</w:t>
      </w:r>
      <w:r w:rsidR="00775987">
        <w:t xml:space="preserve"> external leg</w:t>
      </w:r>
      <w:r w:rsidR="00446830">
        <w:t xml:space="preserve">al teams in relation to </w:t>
      </w:r>
      <w:r w:rsidR="00775987">
        <w:t>the following active claims:</w:t>
      </w:r>
    </w:p>
    <w:p w14:paraId="6F5A33FE" w14:textId="39FABBCB" w:rsidR="00775987" w:rsidRDefault="00775987" w:rsidP="00F222EA">
      <w:pPr>
        <w:pStyle w:val="Bullet"/>
        <w:rPr>
          <w:rFonts w:ascii="Arial" w:hAnsi="Arial" w:cs="Arial"/>
          <w:sz w:val="20"/>
          <w:szCs w:val="20"/>
        </w:rPr>
      </w:pPr>
      <w:r>
        <w:t>Koongie-Elvire</w:t>
      </w:r>
    </w:p>
    <w:p w14:paraId="72897B86" w14:textId="77777777" w:rsidR="00775987" w:rsidRDefault="00775987" w:rsidP="00F222EA">
      <w:pPr>
        <w:pStyle w:val="Bullet"/>
        <w:rPr>
          <w:rFonts w:ascii="Arial" w:hAnsi="Arial" w:cs="Arial"/>
          <w:sz w:val="20"/>
          <w:szCs w:val="20"/>
        </w:rPr>
      </w:pPr>
      <w:r>
        <w:t>Gajangana Jaru</w:t>
      </w:r>
    </w:p>
    <w:p w14:paraId="1F54C562" w14:textId="27C2209E" w:rsidR="00775987" w:rsidRDefault="00775987" w:rsidP="00F222EA">
      <w:pPr>
        <w:pStyle w:val="Bullet"/>
        <w:rPr>
          <w:rFonts w:ascii="Arial" w:hAnsi="Arial" w:cs="Arial"/>
          <w:sz w:val="20"/>
          <w:szCs w:val="20"/>
        </w:rPr>
      </w:pPr>
      <w:r>
        <w:t>Boorroola Moorrool Moorrool</w:t>
      </w:r>
    </w:p>
    <w:p w14:paraId="12250444" w14:textId="6745C9F3" w:rsidR="00775987" w:rsidRPr="004156D8" w:rsidRDefault="00775987" w:rsidP="00F222EA">
      <w:pPr>
        <w:pStyle w:val="Bullet"/>
        <w:rPr>
          <w:rFonts w:ascii="Arial" w:hAnsi="Arial" w:cs="Arial"/>
          <w:sz w:val="20"/>
          <w:szCs w:val="20"/>
        </w:rPr>
      </w:pPr>
      <w:r>
        <w:t>Warlangurru</w:t>
      </w:r>
      <w:r w:rsidR="00F222EA">
        <w:t>.</w:t>
      </w:r>
    </w:p>
    <w:p w14:paraId="42C25975" w14:textId="1826B86B" w:rsidR="004156D8" w:rsidRDefault="004156D8" w:rsidP="004156D8">
      <w:r w:rsidRPr="004156D8">
        <w:t xml:space="preserve">Funding </w:t>
      </w:r>
      <w:r>
        <w:t xml:space="preserve">had also been secured from NIAA </w:t>
      </w:r>
      <w:r w:rsidRPr="004156D8">
        <w:t xml:space="preserve">for the Ngarrawanji #3 (Yarlil) </w:t>
      </w:r>
      <w:r w:rsidR="00E6193A" w:rsidRPr="004156D8">
        <w:t>claim but</w:t>
      </w:r>
      <w:r w:rsidR="008911CD" w:rsidRPr="004156D8">
        <w:t xml:space="preserve"> </w:t>
      </w:r>
      <w:r w:rsidR="008911CD">
        <w:t xml:space="preserve">had not been </w:t>
      </w:r>
      <w:r w:rsidR="008911CD" w:rsidRPr="004156D8">
        <w:t xml:space="preserve">drawn on </w:t>
      </w:r>
      <w:r w:rsidR="00E6193A">
        <w:t xml:space="preserve">during </w:t>
      </w:r>
      <w:r w:rsidR="008911CD" w:rsidRPr="004156D8">
        <w:t xml:space="preserve">the </w:t>
      </w:r>
      <w:r w:rsidR="00E6193A">
        <w:t>R</w:t>
      </w:r>
      <w:r w:rsidR="00E6193A" w:rsidRPr="004156D8">
        <w:t xml:space="preserve">eview </w:t>
      </w:r>
      <w:r w:rsidR="008911CD" w:rsidRPr="004156D8">
        <w:t>period</w:t>
      </w:r>
      <w:r w:rsidR="0066778C">
        <w:t>.</w:t>
      </w:r>
    </w:p>
    <w:p w14:paraId="2E901E2A" w14:textId="30FF231C" w:rsidR="00A829D0" w:rsidRPr="00390D6E" w:rsidRDefault="00A829D0" w:rsidP="00A829D0">
      <w:pPr>
        <w:keepNext/>
        <w:numPr>
          <w:ilvl w:val="4"/>
          <w:numId w:val="2"/>
        </w:numPr>
        <w:spacing w:before="240"/>
        <w:outlineLvl w:val="4"/>
        <w:rPr>
          <w:rFonts w:eastAsia="Times New Roman" w:cs="Times New Roman"/>
          <w:color w:val="000000" w:themeColor="text1"/>
          <w:sz w:val="20"/>
          <w:szCs w:val="24"/>
          <w:lang w:eastAsia="en-AU"/>
        </w:rPr>
      </w:pPr>
      <w:r w:rsidRPr="00390D6E">
        <w:rPr>
          <w:rFonts w:eastAsia="Times New Roman" w:cs="Times New Roman"/>
          <w:b/>
          <w:color w:val="000000" w:themeColor="text1"/>
          <w:sz w:val="20"/>
          <w:szCs w:val="24"/>
          <w:lang w:eastAsia="en-AU"/>
        </w:rPr>
        <w:t xml:space="preserve">The Review received positive feedback about </w:t>
      </w:r>
      <w:r w:rsidR="00E6193A">
        <w:rPr>
          <w:rFonts w:eastAsia="Times New Roman" w:cs="Times New Roman"/>
          <w:b/>
          <w:color w:val="000000" w:themeColor="text1"/>
          <w:sz w:val="20"/>
          <w:szCs w:val="24"/>
          <w:lang w:eastAsia="en-AU"/>
        </w:rPr>
        <w:t xml:space="preserve">the </w:t>
      </w:r>
      <w:r w:rsidRPr="00390D6E">
        <w:rPr>
          <w:rFonts w:eastAsia="Times New Roman" w:cs="Times New Roman"/>
          <w:b/>
          <w:color w:val="000000" w:themeColor="text1"/>
          <w:sz w:val="20"/>
          <w:szCs w:val="24"/>
          <w:lang w:eastAsia="en-AU"/>
        </w:rPr>
        <w:t>KLC’s legal performance</w:t>
      </w:r>
      <w:r w:rsidR="00015DC6">
        <w:rPr>
          <w:rFonts w:eastAsia="Times New Roman" w:cs="Times New Roman"/>
          <w:b/>
          <w:color w:val="000000" w:themeColor="text1"/>
          <w:sz w:val="20"/>
          <w:szCs w:val="24"/>
          <w:lang w:eastAsia="en-AU"/>
        </w:rPr>
        <w:t xml:space="preserve"> despite the challenges of recruitment and retention</w:t>
      </w:r>
    </w:p>
    <w:p w14:paraId="69E20AA5" w14:textId="4418C1D7" w:rsidR="00A829D0" w:rsidRDefault="00A829D0" w:rsidP="00A829D0">
      <w:r w:rsidRPr="00390D6E">
        <w:t>Legal stakeholders</w:t>
      </w:r>
      <w:r>
        <w:t xml:space="preserve"> generally</w:t>
      </w:r>
      <w:r w:rsidRPr="00390D6E">
        <w:t xml:space="preserve"> commented </w:t>
      </w:r>
      <w:r>
        <w:t xml:space="preserve">very positively </w:t>
      </w:r>
      <w:r w:rsidRPr="00390D6E">
        <w:t xml:space="preserve">on the quality of </w:t>
      </w:r>
      <w:r w:rsidR="00E6193A">
        <w:t xml:space="preserve">the </w:t>
      </w:r>
      <w:r w:rsidRPr="00390D6E">
        <w:t xml:space="preserve">KLC’s legal </w:t>
      </w:r>
      <w:r>
        <w:t xml:space="preserve">process and </w:t>
      </w:r>
      <w:r w:rsidRPr="00390D6E" w:rsidDel="00D3632D">
        <w:t>representations</w:t>
      </w:r>
      <w:r w:rsidRPr="00390D6E">
        <w:t xml:space="preserve">. </w:t>
      </w:r>
      <w:r w:rsidR="00B00F68">
        <w:t>The</w:t>
      </w:r>
      <w:r w:rsidR="00422CD9">
        <w:t xml:space="preserve"> KLC</w:t>
      </w:r>
      <w:r w:rsidR="00B00F68">
        <w:t xml:space="preserve"> legal team was relatively stable through the Review period, with the PLO highly experienced and in the role since </w:t>
      </w:r>
      <w:r w:rsidR="007D08DD" w:rsidRPr="007D08DD">
        <w:t>201</w:t>
      </w:r>
      <w:r w:rsidR="004E701E">
        <w:t>8</w:t>
      </w:r>
      <w:r w:rsidR="00205795">
        <w:t>.</w:t>
      </w:r>
      <w:r w:rsidR="00B00F68">
        <w:t xml:space="preserve"> </w:t>
      </w:r>
      <w:r w:rsidR="00314D55">
        <w:t xml:space="preserve">The legal staff were seen </w:t>
      </w:r>
      <w:r w:rsidR="006945D3">
        <w:t>to have a proactive and positive</w:t>
      </w:r>
      <w:r w:rsidR="00970876">
        <w:t xml:space="preserve"> </w:t>
      </w:r>
      <w:r w:rsidR="006945D3">
        <w:t xml:space="preserve">interaction with the </w:t>
      </w:r>
      <w:r w:rsidR="00970876">
        <w:t xml:space="preserve">Federal Court. </w:t>
      </w:r>
      <w:r w:rsidR="00753AE6">
        <w:t xml:space="preserve">The willingness of </w:t>
      </w:r>
      <w:r w:rsidR="00422CD9">
        <w:t xml:space="preserve">KLC </w:t>
      </w:r>
      <w:r w:rsidR="00753AE6">
        <w:t>staff</w:t>
      </w:r>
      <w:r w:rsidR="00613322">
        <w:t xml:space="preserve"> to facilitate </w:t>
      </w:r>
      <w:r w:rsidR="00BB199C">
        <w:t xml:space="preserve">alternative </w:t>
      </w:r>
      <w:r w:rsidR="00613322">
        <w:t>legal representat</w:t>
      </w:r>
      <w:r w:rsidR="00501343">
        <w:t>ion where conflicts</w:t>
      </w:r>
      <w:r w:rsidR="00613322">
        <w:t xml:space="preserve"> </w:t>
      </w:r>
      <w:r w:rsidR="00501343">
        <w:t xml:space="preserve">arose was </w:t>
      </w:r>
      <w:r w:rsidR="007E387E">
        <w:t>highlighted by some stakeholders</w:t>
      </w:r>
      <w:r w:rsidR="00BB199C">
        <w:t xml:space="preserve"> as a strong positive</w:t>
      </w:r>
      <w:r w:rsidR="000330CA">
        <w:t>.</w:t>
      </w:r>
    </w:p>
    <w:p w14:paraId="7F6C7026" w14:textId="61D8D665" w:rsidR="00010BA1" w:rsidRDefault="00C05735" w:rsidP="00015DC6">
      <w:r>
        <w:t xml:space="preserve">Like other NTRB-SPs, the KLC had challenges </w:t>
      </w:r>
      <w:r w:rsidR="005A6192" w:rsidRPr="00390D6E">
        <w:t xml:space="preserve">recruiting and retaining legal </w:t>
      </w:r>
      <w:r w:rsidR="00473A84">
        <w:t>(</w:t>
      </w:r>
      <w:r w:rsidR="005A6192" w:rsidRPr="00390D6E">
        <w:t>and anthropological</w:t>
      </w:r>
      <w:r w:rsidR="00DB1CA2">
        <w:t>)</w:t>
      </w:r>
      <w:r w:rsidR="005A6192" w:rsidRPr="00390D6E">
        <w:t xml:space="preserve"> staff </w:t>
      </w:r>
      <w:r>
        <w:t xml:space="preserve">during the </w:t>
      </w:r>
      <w:r w:rsidR="00015DC6" w:rsidRPr="00EB7AEA">
        <w:t>Review period</w:t>
      </w:r>
      <w:r>
        <w:t>.</w:t>
      </w:r>
      <w:r w:rsidR="008D67CB">
        <w:t xml:space="preserve"> </w:t>
      </w:r>
      <w:r w:rsidR="00541D7D">
        <w:t xml:space="preserve">The KLC </w:t>
      </w:r>
      <w:r w:rsidR="005C1278">
        <w:t>adopted effective strateg</w:t>
      </w:r>
      <w:r w:rsidR="00172850">
        <w:t>ies</w:t>
      </w:r>
      <w:r w:rsidR="005C1278">
        <w:t xml:space="preserve"> to ensure that r</w:t>
      </w:r>
      <w:r w:rsidR="00015DC6" w:rsidRPr="00EB7AEA">
        <w:t xml:space="preserve">ecruitment and retention of legal staff </w:t>
      </w:r>
      <w:r w:rsidR="00172850">
        <w:t>did not</w:t>
      </w:r>
      <w:r w:rsidR="00015DC6">
        <w:t xml:space="preserve"> delay claim proceedings.</w:t>
      </w:r>
      <w:r w:rsidR="008D67CB">
        <w:t xml:space="preserve"> </w:t>
      </w:r>
      <w:r w:rsidR="001F6761">
        <w:t>KLC s</w:t>
      </w:r>
      <w:r w:rsidR="0009076F">
        <w:t xml:space="preserve">taff reported that </w:t>
      </w:r>
      <w:r w:rsidR="00BE32C6">
        <w:t xml:space="preserve">due to the intense competition for senior lawyers, </w:t>
      </w:r>
      <w:r w:rsidR="0009076F">
        <w:t xml:space="preserve">the KLC had not been able to recruit an external </w:t>
      </w:r>
      <w:r w:rsidR="005924E6">
        <w:t xml:space="preserve">senior </w:t>
      </w:r>
      <w:r w:rsidR="0009076F">
        <w:t xml:space="preserve">lawyer </w:t>
      </w:r>
      <w:r w:rsidR="00B1065F">
        <w:t xml:space="preserve">to the organisation since 2018. </w:t>
      </w:r>
      <w:r w:rsidR="00715380">
        <w:t>Rather than having c</w:t>
      </w:r>
      <w:r w:rsidR="00C378AB" w:rsidRPr="00C378AB">
        <w:t>onstant recruiting campaigns</w:t>
      </w:r>
      <w:r w:rsidR="00DB3CB6">
        <w:t>,</w:t>
      </w:r>
      <w:r w:rsidR="00715380">
        <w:t xml:space="preserve"> the </w:t>
      </w:r>
      <w:r w:rsidR="00172850">
        <w:t>le</w:t>
      </w:r>
      <w:r w:rsidR="009A3D58">
        <w:t xml:space="preserve">gal </w:t>
      </w:r>
      <w:r w:rsidR="00223443">
        <w:t xml:space="preserve">team’s strategy </w:t>
      </w:r>
      <w:r w:rsidR="00BE32C6">
        <w:t>was</w:t>
      </w:r>
      <w:r w:rsidR="00223443">
        <w:t xml:space="preserve"> to promote from within</w:t>
      </w:r>
      <w:r w:rsidR="00312A8E">
        <w:t xml:space="preserve"> the organisation. </w:t>
      </w:r>
      <w:r w:rsidR="009A3D58">
        <w:t>While</w:t>
      </w:r>
      <w:r w:rsidR="00302374">
        <w:t xml:space="preserve"> hiring </w:t>
      </w:r>
      <w:r w:rsidR="00AA5BFB">
        <w:t>internally</w:t>
      </w:r>
      <w:r w:rsidR="007A0801">
        <w:t xml:space="preserve"> provided </w:t>
      </w:r>
      <w:r w:rsidR="00816E05">
        <w:t xml:space="preserve">an effective means of </w:t>
      </w:r>
      <w:r w:rsidR="0042150C">
        <w:t>meeting claim deadlines</w:t>
      </w:r>
      <w:r w:rsidR="00AA5BFB">
        <w:t xml:space="preserve">, </w:t>
      </w:r>
      <w:r w:rsidR="001F6761">
        <w:lastRenderedPageBreak/>
        <w:t xml:space="preserve">KLC </w:t>
      </w:r>
      <w:r w:rsidR="0042150C">
        <w:t xml:space="preserve">staff reported that </w:t>
      </w:r>
      <w:r w:rsidR="00BA2E57">
        <w:t xml:space="preserve">this approach </w:t>
      </w:r>
      <w:r w:rsidR="006C7158">
        <w:t xml:space="preserve">constrained </w:t>
      </w:r>
      <w:r w:rsidR="0042150C">
        <w:t>the</w:t>
      </w:r>
      <w:r w:rsidR="00AA5BFB">
        <w:t xml:space="preserve"> overall </w:t>
      </w:r>
      <w:r w:rsidR="00937FBE">
        <w:t>professional legal</w:t>
      </w:r>
      <w:r w:rsidR="00AA5BFB">
        <w:t xml:space="preserve"> experience </w:t>
      </w:r>
      <w:r w:rsidR="00937FBE">
        <w:t>level</w:t>
      </w:r>
      <w:r w:rsidR="00AA5BFB">
        <w:t xml:space="preserve"> of the team</w:t>
      </w:r>
      <w:r w:rsidR="006C7158">
        <w:t>.</w:t>
      </w:r>
      <w:r w:rsidR="003376A0">
        <w:t xml:space="preserve"> </w:t>
      </w:r>
    </w:p>
    <w:p w14:paraId="656FAF1E" w14:textId="4DA40AD1" w:rsidR="00057121" w:rsidRPr="00EB7AEA" w:rsidRDefault="0042150C" w:rsidP="00015DC6">
      <w:r>
        <w:t>During the Review period the</w:t>
      </w:r>
      <w:r w:rsidR="0014785E">
        <w:t xml:space="preserve"> </w:t>
      </w:r>
      <w:r w:rsidR="002B192F">
        <w:t>lega</w:t>
      </w:r>
      <w:r w:rsidR="00BC4F24">
        <w:t>l team comprised</w:t>
      </w:r>
      <w:r w:rsidR="009E3461">
        <w:t xml:space="preserve"> </w:t>
      </w:r>
      <w:r w:rsidR="001F6761">
        <w:t xml:space="preserve">on average </w:t>
      </w:r>
      <w:r w:rsidR="009E3461">
        <w:t>11 people, with a</w:t>
      </w:r>
      <w:r w:rsidR="0083700E">
        <w:t xml:space="preserve"> team of </w:t>
      </w:r>
      <w:r w:rsidR="00E3252A">
        <w:t xml:space="preserve">four senior legal officers </w:t>
      </w:r>
      <w:r w:rsidR="00ED6347">
        <w:t>and the PLO</w:t>
      </w:r>
      <w:r w:rsidR="004A2E6B">
        <w:t>,</w:t>
      </w:r>
      <w:r w:rsidR="00ED6347">
        <w:t xml:space="preserve"> supported by </w:t>
      </w:r>
      <w:r w:rsidR="00E13712">
        <w:t xml:space="preserve">paralegals. </w:t>
      </w:r>
      <w:r w:rsidR="00B742D2">
        <w:t xml:space="preserve">They worked closely with the anthropology </w:t>
      </w:r>
      <w:r w:rsidR="00534307">
        <w:t>team, wh</w:t>
      </w:r>
      <w:r w:rsidR="00A57A56">
        <w:t xml:space="preserve">ich comprised </w:t>
      </w:r>
      <w:r w:rsidR="00C011E9">
        <w:t>about 4.6</w:t>
      </w:r>
      <w:r w:rsidR="00C04087">
        <w:t xml:space="preserve"> full time equivalent (</w:t>
      </w:r>
      <w:r w:rsidR="00C011E9">
        <w:t>FTE</w:t>
      </w:r>
      <w:r w:rsidR="00C04087">
        <w:t>)</w:t>
      </w:r>
      <w:r w:rsidR="00C011E9">
        <w:t xml:space="preserve"> anthropologists. </w:t>
      </w:r>
      <w:r w:rsidR="00FA48A9">
        <w:t>While the anthropology</w:t>
      </w:r>
      <w:r w:rsidR="00CC1259">
        <w:t xml:space="preserve"> team</w:t>
      </w:r>
      <w:r w:rsidR="00534307">
        <w:t xml:space="preserve"> </w:t>
      </w:r>
      <w:r w:rsidR="00E84E11">
        <w:t>reported to the PLO</w:t>
      </w:r>
      <w:r w:rsidR="00CC1259">
        <w:t>,</w:t>
      </w:r>
      <w:r w:rsidR="00E84E11">
        <w:t xml:space="preserve"> </w:t>
      </w:r>
      <w:r w:rsidR="00CC1259">
        <w:t>in</w:t>
      </w:r>
      <w:r w:rsidR="001F6761">
        <w:t>-</w:t>
      </w:r>
      <w:r w:rsidR="00CC1259">
        <w:t>practice</w:t>
      </w:r>
      <w:r w:rsidR="00FA48A9">
        <w:t xml:space="preserve"> </w:t>
      </w:r>
      <w:r w:rsidR="00CC1259">
        <w:t xml:space="preserve">staff reported that they </w:t>
      </w:r>
      <w:r w:rsidR="00FA48A9">
        <w:t>operated as</w:t>
      </w:r>
      <w:r w:rsidR="00E84E11">
        <w:t xml:space="preserve"> a sub-unit</w:t>
      </w:r>
      <w:r w:rsidR="00A84801">
        <w:t xml:space="preserve">. </w:t>
      </w:r>
    </w:p>
    <w:p w14:paraId="3F73EC3B" w14:textId="77777777" w:rsidR="00642538" w:rsidRPr="00201FB3" w:rsidRDefault="00642538" w:rsidP="00642538">
      <w:pPr>
        <w:pStyle w:val="Heading5"/>
      </w:pPr>
      <w:r w:rsidRPr="75CE137A">
        <w:t>The satisfaction of Traditional Owners with the role of the KLC tended to depend on the success or otherwise of their particular claim</w:t>
      </w:r>
    </w:p>
    <w:p w14:paraId="5D3A5EBC" w14:textId="293FCCF1" w:rsidR="00642538" w:rsidRDefault="00642538" w:rsidP="00642538">
      <w:pPr>
        <w:suppressAutoHyphens/>
        <w:spacing w:before="60" w:after="60"/>
        <w:rPr>
          <w:rFonts w:eastAsia="Times New Roman" w:cs="Times New Roman"/>
          <w:szCs w:val="19"/>
          <w:lang w:eastAsia="en-AU"/>
        </w:rPr>
      </w:pPr>
      <w:r>
        <w:rPr>
          <w:rFonts w:eastAsia="Times New Roman" w:cs="Times New Roman"/>
          <w:szCs w:val="19"/>
          <w:lang w:eastAsia="en-AU"/>
        </w:rPr>
        <w:t xml:space="preserve">Understandably, the majority of clients or potential clients who contacted the Review were those who were dissatisfied with the composition or other outcome of their claim. Many approached the Review in the hope that the process of </w:t>
      </w:r>
      <w:r w:rsidR="001F6761">
        <w:rPr>
          <w:rFonts w:eastAsia="Times New Roman" w:cs="Times New Roman"/>
          <w:szCs w:val="19"/>
          <w:lang w:eastAsia="en-AU"/>
        </w:rPr>
        <w:t xml:space="preserve">the Review </w:t>
      </w:r>
      <w:r>
        <w:rPr>
          <w:rFonts w:eastAsia="Times New Roman" w:cs="Times New Roman"/>
          <w:szCs w:val="19"/>
          <w:lang w:eastAsia="en-AU"/>
        </w:rPr>
        <w:t>might address their specific concerns. As noted elsewhere, it</w:t>
      </w:r>
      <w:r w:rsidDel="00010E99">
        <w:rPr>
          <w:rFonts w:eastAsia="Times New Roman" w:cs="Times New Roman"/>
          <w:szCs w:val="19"/>
          <w:lang w:eastAsia="en-AU"/>
        </w:rPr>
        <w:t xml:space="preserve"> </w:t>
      </w:r>
      <w:r w:rsidR="00010E99">
        <w:rPr>
          <w:rFonts w:eastAsia="Times New Roman" w:cs="Times New Roman"/>
          <w:szCs w:val="19"/>
          <w:lang w:eastAsia="en-AU"/>
        </w:rPr>
        <w:t xml:space="preserve">was </w:t>
      </w:r>
      <w:r>
        <w:rPr>
          <w:rFonts w:eastAsia="Times New Roman" w:cs="Times New Roman"/>
          <w:szCs w:val="19"/>
          <w:lang w:eastAsia="en-AU"/>
        </w:rPr>
        <w:t xml:space="preserve">not the role of the Review to investigate complaints. </w:t>
      </w:r>
    </w:p>
    <w:p w14:paraId="23514131" w14:textId="700C42F7" w:rsidR="00642538" w:rsidRDefault="00642538" w:rsidP="00642538">
      <w:pPr>
        <w:suppressAutoHyphens/>
        <w:spacing w:before="60" w:after="60"/>
        <w:rPr>
          <w:rFonts w:eastAsia="Times New Roman" w:cs="Times New Roman"/>
          <w:szCs w:val="19"/>
          <w:lang w:eastAsia="en-AU"/>
        </w:rPr>
      </w:pPr>
      <w:r w:rsidRPr="00390D6E">
        <w:rPr>
          <w:rFonts w:eastAsia="Times New Roman" w:cs="Times New Roman"/>
          <w:szCs w:val="19"/>
          <w:lang w:eastAsia="en-AU"/>
        </w:rPr>
        <w:t xml:space="preserve">Clients who expressed satisfaction with the outcome of their native title application largely focussed on a general appreciation for having native title determined for their </w:t>
      </w:r>
      <w:r w:rsidR="00010E99">
        <w:rPr>
          <w:rFonts w:eastAsia="Times New Roman" w:cs="Times New Roman"/>
          <w:szCs w:val="19"/>
          <w:lang w:eastAsia="en-AU"/>
        </w:rPr>
        <w:t>C</w:t>
      </w:r>
      <w:r w:rsidR="00010E99" w:rsidRPr="00390D6E">
        <w:rPr>
          <w:rFonts w:eastAsia="Times New Roman" w:cs="Times New Roman"/>
          <w:szCs w:val="19"/>
          <w:lang w:eastAsia="en-AU"/>
        </w:rPr>
        <w:t>ountry</w:t>
      </w:r>
      <w:r w:rsidR="00010E99">
        <w:rPr>
          <w:rFonts w:eastAsia="Times New Roman" w:cs="Times New Roman"/>
          <w:szCs w:val="19"/>
          <w:lang w:eastAsia="en-AU"/>
        </w:rPr>
        <w:t xml:space="preserve"> </w:t>
      </w:r>
      <w:r>
        <w:rPr>
          <w:rFonts w:eastAsia="Times New Roman" w:cs="Times New Roman"/>
          <w:szCs w:val="19"/>
          <w:lang w:eastAsia="en-AU"/>
        </w:rPr>
        <w:t>and the helpfulness of KLC staff</w:t>
      </w:r>
      <w:r w:rsidRPr="00390D6E">
        <w:rPr>
          <w:rFonts w:eastAsia="Times New Roman" w:cs="Times New Roman"/>
          <w:szCs w:val="19"/>
          <w:lang w:eastAsia="en-AU"/>
        </w:rPr>
        <w:t>. Satisfied clients routinely mentioned the potential to uplift those in their community through the opportunities that native title determinations provide</w:t>
      </w:r>
      <w:r w:rsidR="00010E99">
        <w:rPr>
          <w:rFonts w:eastAsia="Times New Roman" w:cs="Times New Roman"/>
          <w:szCs w:val="19"/>
          <w:lang w:eastAsia="en-AU"/>
        </w:rPr>
        <w:t>d</w:t>
      </w:r>
      <w:r w:rsidRPr="00390D6E">
        <w:rPr>
          <w:rFonts w:eastAsia="Times New Roman" w:cs="Times New Roman"/>
          <w:szCs w:val="19"/>
          <w:lang w:eastAsia="en-AU"/>
        </w:rPr>
        <w:t xml:space="preserve">. </w:t>
      </w:r>
    </w:p>
    <w:p w14:paraId="7F3EC80B" w14:textId="3F8C91B6" w:rsidR="00642538" w:rsidRDefault="00642538" w:rsidP="00642538">
      <w:pPr>
        <w:suppressAutoHyphens/>
        <w:spacing w:before="60" w:after="60"/>
        <w:rPr>
          <w:rFonts w:eastAsia="Times New Roman" w:cs="Times New Roman"/>
          <w:szCs w:val="19"/>
          <w:lang w:eastAsia="en-AU"/>
        </w:rPr>
      </w:pPr>
      <w:r>
        <w:rPr>
          <w:rFonts w:eastAsia="Times New Roman" w:cs="Times New Roman"/>
          <w:szCs w:val="19"/>
          <w:lang w:eastAsia="en-AU"/>
        </w:rPr>
        <w:t xml:space="preserve">The majority of clients who contacted the Review were distressed that the evidence gathered by </w:t>
      </w:r>
      <w:r w:rsidR="00010E99">
        <w:rPr>
          <w:rFonts w:eastAsia="Times New Roman" w:cs="Times New Roman"/>
          <w:szCs w:val="19"/>
          <w:lang w:eastAsia="en-AU"/>
        </w:rPr>
        <w:t xml:space="preserve">the </w:t>
      </w:r>
      <w:r>
        <w:rPr>
          <w:rFonts w:eastAsia="Times New Roman" w:cs="Times New Roman"/>
          <w:szCs w:val="19"/>
          <w:lang w:eastAsia="en-AU"/>
        </w:rPr>
        <w:t>KLC and the associated claim strategy presented for the claim group’s consideration did not support their own understanding of their history.</w:t>
      </w:r>
    </w:p>
    <w:p w14:paraId="268D46A2" w14:textId="1B52C5C1" w:rsidR="00642538" w:rsidRPr="00C84C6D" w:rsidRDefault="00642538" w:rsidP="00642538">
      <w:pPr>
        <w:pStyle w:val="Heading5"/>
      </w:pPr>
      <w:r w:rsidRPr="75CE137A">
        <w:t xml:space="preserve">Feedback from </w:t>
      </w:r>
      <w:r w:rsidR="00043F82">
        <w:t xml:space="preserve">some </w:t>
      </w:r>
      <w:r w:rsidRPr="75CE137A">
        <w:t xml:space="preserve">Traditional Owners indicated significant unhappiness with the composition of claim groups and internal </w:t>
      </w:r>
      <w:r>
        <w:t>claim delineations</w:t>
      </w:r>
    </w:p>
    <w:p w14:paraId="14DB796A" w14:textId="7C4B6C9B" w:rsidR="00642538" w:rsidRDefault="00642538" w:rsidP="231D041B">
      <w:pPr>
        <w:suppressAutoHyphens/>
        <w:spacing w:before="60" w:after="60"/>
        <w:rPr>
          <w:rFonts w:eastAsia="Times New Roman" w:cs="Times New Roman"/>
          <w:lang w:eastAsia="en-AU"/>
        </w:rPr>
      </w:pPr>
      <w:r w:rsidRPr="231D041B">
        <w:rPr>
          <w:rFonts w:eastAsia="Times New Roman" w:cs="Times New Roman"/>
          <w:lang w:eastAsia="en-AU"/>
        </w:rPr>
        <w:t xml:space="preserve">Dissatisfied clients were primarily unhappy with the perceived inaccuracy of their claim group description </w:t>
      </w:r>
      <w:r w:rsidR="00E65FAC">
        <w:rPr>
          <w:rFonts w:eastAsia="Times New Roman" w:cs="Times New Roman"/>
          <w:lang w:eastAsia="en-AU"/>
        </w:rPr>
        <w:t xml:space="preserve">and </w:t>
      </w:r>
      <w:r w:rsidRPr="231D041B">
        <w:rPr>
          <w:rFonts w:eastAsia="Times New Roman" w:cs="Times New Roman"/>
          <w:lang w:eastAsia="en-AU"/>
        </w:rPr>
        <w:t xml:space="preserve">their ability to exercise their rights over particular areas of the claim. Traditional Owners reported distress at their </w:t>
      </w:r>
      <w:r w:rsidR="00FE7DF6">
        <w:t>inclusion in</w:t>
      </w:r>
      <w:r>
        <w:t xml:space="preserve"> claim groups they felt they did not belong to or being forced to accept others who they felt did not belong</w:t>
      </w:r>
      <w:r w:rsidR="00786CEE">
        <w:t xml:space="preserve">. Traditional Owners </w:t>
      </w:r>
      <w:r>
        <w:t xml:space="preserve">indicated </w:t>
      </w:r>
      <w:r w:rsidR="00786CEE">
        <w:t xml:space="preserve">this </w:t>
      </w:r>
      <w:r>
        <w:t xml:space="preserve">resulted in feelings of a severed connection to their </w:t>
      </w:r>
      <w:r w:rsidR="00477652">
        <w:t>Country</w:t>
      </w:r>
      <w:r>
        <w:t>.</w:t>
      </w:r>
      <w:r w:rsidRPr="231D041B">
        <w:rPr>
          <w:rFonts w:eastAsia="Times New Roman" w:cs="Times New Roman"/>
          <w:lang w:eastAsia="en-AU"/>
        </w:rPr>
        <w:t xml:space="preserve"> Many of the Traditional Owners who spoke to the Review team described the process as very divisive and creat</w:t>
      </w:r>
      <w:r w:rsidR="00B65414">
        <w:rPr>
          <w:rFonts w:eastAsia="Times New Roman" w:cs="Times New Roman"/>
          <w:lang w:eastAsia="en-AU"/>
        </w:rPr>
        <w:t>ed</w:t>
      </w:r>
      <w:r w:rsidRPr="231D041B">
        <w:rPr>
          <w:rFonts w:eastAsia="Times New Roman" w:cs="Times New Roman"/>
          <w:lang w:eastAsia="en-AU"/>
        </w:rPr>
        <w:t xml:space="preserve"> a </w:t>
      </w:r>
      <w:r w:rsidR="00B65414">
        <w:rPr>
          <w:rFonts w:eastAsia="Times New Roman" w:cs="Times New Roman"/>
          <w:lang w:eastAsia="en-AU"/>
        </w:rPr>
        <w:t xml:space="preserve">feeling of </w:t>
      </w:r>
      <w:r w:rsidRPr="231D041B">
        <w:rPr>
          <w:rFonts w:eastAsia="Times New Roman" w:cs="Times New Roman"/>
          <w:lang w:eastAsia="en-AU"/>
        </w:rPr>
        <w:t xml:space="preserve">second dispossession. </w:t>
      </w:r>
    </w:p>
    <w:p w14:paraId="42CD92B4" w14:textId="5E62B263" w:rsidR="00642538" w:rsidRDefault="00642538" w:rsidP="00642538">
      <w:r w:rsidRPr="00390D6E">
        <w:rPr>
          <w:rFonts w:eastAsia="Times New Roman" w:cs="Times New Roman"/>
          <w:szCs w:val="19"/>
          <w:lang w:eastAsia="en-AU"/>
        </w:rPr>
        <w:t xml:space="preserve">The Review understands that the composition of claim groups </w:t>
      </w:r>
      <w:r w:rsidR="00B65414">
        <w:rPr>
          <w:rFonts w:eastAsia="Times New Roman" w:cs="Times New Roman"/>
          <w:szCs w:val="19"/>
          <w:lang w:eastAsia="en-AU"/>
        </w:rPr>
        <w:t>was</w:t>
      </w:r>
      <w:r w:rsidR="00B65414" w:rsidRPr="00390D6E">
        <w:rPr>
          <w:rFonts w:eastAsia="Times New Roman" w:cs="Times New Roman"/>
          <w:szCs w:val="19"/>
          <w:lang w:eastAsia="en-AU"/>
        </w:rPr>
        <w:t xml:space="preserve"> </w:t>
      </w:r>
      <w:r w:rsidRPr="00390D6E">
        <w:rPr>
          <w:rFonts w:eastAsia="Times New Roman" w:cs="Times New Roman"/>
          <w:szCs w:val="19"/>
          <w:lang w:eastAsia="en-AU"/>
        </w:rPr>
        <w:t xml:space="preserve">a </w:t>
      </w:r>
      <w:r>
        <w:rPr>
          <w:rFonts w:eastAsia="Times New Roman" w:cs="Times New Roman"/>
          <w:szCs w:val="19"/>
          <w:lang w:eastAsia="en-AU"/>
        </w:rPr>
        <w:t>highly sensitive and potentially divisive</w:t>
      </w:r>
      <w:r w:rsidRPr="00390D6E">
        <w:rPr>
          <w:rFonts w:eastAsia="Times New Roman" w:cs="Times New Roman"/>
          <w:szCs w:val="19"/>
          <w:lang w:eastAsia="en-AU"/>
        </w:rPr>
        <w:t xml:space="preserve"> issue that </w:t>
      </w:r>
      <w:r w:rsidR="00B65414">
        <w:rPr>
          <w:rFonts w:eastAsia="Times New Roman" w:cs="Times New Roman"/>
          <w:szCs w:val="19"/>
          <w:lang w:eastAsia="en-AU"/>
        </w:rPr>
        <w:t>could</w:t>
      </w:r>
      <w:r w:rsidR="00B65414" w:rsidRPr="00390D6E">
        <w:rPr>
          <w:rFonts w:eastAsia="Times New Roman" w:cs="Times New Roman"/>
          <w:szCs w:val="19"/>
          <w:lang w:eastAsia="en-AU"/>
        </w:rPr>
        <w:t xml:space="preserve"> </w:t>
      </w:r>
      <w:r w:rsidRPr="00390D6E">
        <w:rPr>
          <w:rFonts w:eastAsia="Times New Roman" w:cs="Times New Roman"/>
          <w:szCs w:val="19"/>
          <w:lang w:eastAsia="en-AU"/>
        </w:rPr>
        <w:t xml:space="preserve">cause enormous </w:t>
      </w:r>
      <w:r w:rsidRPr="00985FDB">
        <w:t>distress for the parties</w:t>
      </w:r>
      <w:r w:rsidR="00B65414">
        <w:t>.</w:t>
      </w:r>
      <w:r w:rsidRPr="00985FDB">
        <w:t xml:space="preserve"> </w:t>
      </w:r>
      <w:r>
        <w:t>The KLC</w:t>
      </w:r>
      <w:r w:rsidRPr="00985FDB">
        <w:t xml:space="preserve"> acknowledged that the unwavering views of parties involved in disputes </w:t>
      </w:r>
      <w:r w:rsidR="00B65414">
        <w:t>was</w:t>
      </w:r>
      <w:r w:rsidR="00B65414" w:rsidRPr="00985FDB">
        <w:t xml:space="preserve"> </w:t>
      </w:r>
      <w:r w:rsidRPr="00985FDB">
        <w:t xml:space="preserve">challenging and </w:t>
      </w:r>
      <w:r w:rsidR="00B65414">
        <w:t>could</w:t>
      </w:r>
      <w:r w:rsidR="00B65414" w:rsidRPr="00985FDB">
        <w:t xml:space="preserve"> </w:t>
      </w:r>
      <w:r w:rsidRPr="00985FDB">
        <w:t xml:space="preserve">complicate mediation processes, adding to the difficulty of achieving acceptable outcomes for all claimants. </w:t>
      </w:r>
      <w:r w:rsidR="008E1C21">
        <w:t xml:space="preserve">However, </w:t>
      </w:r>
      <w:r w:rsidR="008E1C21">
        <w:rPr>
          <w:lang w:eastAsia="en-AU"/>
        </w:rPr>
        <w:t>t</w:t>
      </w:r>
      <w:r>
        <w:rPr>
          <w:lang w:eastAsia="en-AU"/>
        </w:rPr>
        <w:t xml:space="preserve">he KLC noted that claims (including claim group composition) </w:t>
      </w:r>
      <w:r w:rsidR="008E1C21">
        <w:rPr>
          <w:lang w:eastAsia="en-AU"/>
        </w:rPr>
        <w:t xml:space="preserve">were </w:t>
      </w:r>
      <w:r>
        <w:rPr>
          <w:lang w:eastAsia="en-AU"/>
        </w:rPr>
        <w:t xml:space="preserve">authorised by claim groups (not the KLC) and determined by the Federal Court following rigorous testing of evidence, with KLC staff indicating that “we can only do what the evidence tells us”. </w:t>
      </w:r>
      <w:r w:rsidRPr="00985FDB">
        <w:t>The Review additionally acknowledges that structural issues arising from the impacts of colonisation and the nature of the native title system</w:t>
      </w:r>
      <w:r>
        <w:t>, including the requirements for proving native title,</w:t>
      </w:r>
      <w:r w:rsidRPr="00985FDB">
        <w:t xml:space="preserve"> </w:t>
      </w:r>
      <w:r w:rsidR="00633D33">
        <w:t>were</w:t>
      </w:r>
      <w:r w:rsidR="00633D33" w:rsidRPr="00985FDB">
        <w:t xml:space="preserve"> </w:t>
      </w:r>
      <w:r w:rsidRPr="00985FDB">
        <w:t xml:space="preserve">still being felt in Kimberley communities, and for the most part </w:t>
      </w:r>
      <w:r w:rsidR="00633D33">
        <w:t>were</w:t>
      </w:r>
      <w:r w:rsidR="00633D33" w:rsidRPr="00985FDB">
        <w:t xml:space="preserve"> </w:t>
      </w:r>
      <w:r w:rsidRPr="00985FDB">
        <w:t>not attributable to the way the KLC perform</w:t>
      </w:r>
      <w:r w:rsidR="00633D33">
        <w:t>ed</w:t>
      </w:r>
      <w:r w:rsidRPr="00985FDB">
        <w:t xml:space="preserve"> its functions</w:t>
      </w:r>
      <w:r>
        <w:t xml:space="preserve"> under the NTA</w:t>
      </w:r>
      <w:r w:rsidRPr="00985FDB">
        <w:t>.</w:t>
      </w:r>
    </w:p>
    <w:p w14:paraId="6381C9E5" w14:textId="77777777" w:rsidR="00642538" w:rsidRDefault="00642538" w:rsidP="00642538">
      <w:pPr>
        <w:suppressAutoHyphens/>
        <w:spacing w:before="60" w:after="60"/>
        <w:rPr>
          <w:rFonts w:eastAsia="Times New Roman" w:cs="Times New Roman"/>
          <w:szCs w:val="19"/>
          <w:lang w:eastAsia="en-AU"/>
        </w:rPr>
      </w:pPr>
      <w:r>
        <w:rPr>
          <w:rFonts w:eastAsia="Times New Roman" w:cs="Times New Roman"/>
          <w:szCs w:val="19"/>
          <w:lang w:eastAsia="en-AU"/>
        </w:rPr>
        <w:t xml:space="preserve">In response to the concerns of Traditional Owners, </w:t>
      </w:r>
      <w:r w:rsidRPr="000F1951">
        <w:rPr>
          <w:rFonts w:eastAsia="Times New Roman" w:cs="Times New Roman"/>
          <w:szCs w:val="19"/>
          <w:lang w:eastAsia="en-AU"/>
        </w:rPr>
        <w:t xml:space="preserve">the KLC </w:t>
      </w:r>
      <w:r>
        <w:rPr>
          <w:rFonts w:eastAsia="Times New Roman" w:cs="Times New Roman"/>
          <w:szCs w:val="19"/>
          <w:lang w:eastAsia="en-AU"/>
        </w:rPr>
        <w:t xml:space="preserve">has provided the following statement: </w:t>
      </w:r>
    </w:p>
    <w:p w14:paraId="052B537A" w14:textId="65573E24" w:rsidR="00642538" w:rsidRPr="002B2961" w:rsidRDefault="00642538" w:rsidP="00642538">
      <w:pPr>
        <w:suppressAutoHyphens/>
        <w:spacing w:before="60" w:after="60"/>
        <w:ind w:left="720"/>
        <w:rPr>
          <w:rFonts w:eastAsia="Times New Roman" w:cs="Times New Roman"/>
          <w:i/>
          <w:szCs w:val="19"/>
          <w:lang w:eastAsia="en-AU"/>
        </w:rPr>
      </w:pPr>
      <w:r w:rsidRPr="002B2961">
        <w:rPr>
          <w:rFonts w:eastAsia="Times New Roman" w:cs="Times New Roman"/>
          <w:i/>
          <w:szCs w:val="19"/>
          <w:lang w:eastAsia="en-AU"/>
        </w:rPr>
        <w:t>The KLC goes to great lengths to engage with claimants regarding how research is gathered for a native title claim</w:t>
      </w:r>
      <w:r w:rsidR="00633D33">
        <w:rPr>
          <w:rFonts w:eastAsia="Times New Roman" w:cs="Times New Roman"/>
          <w:i/>
          <w:szCs w:val="19"/>
          <w:lang w:eastAsia="en-AU"/>
        </w:rPr>
        <w:t>.</w:t>
      </w:r>
      <w:r w:rsidRPr="002B2961">
        <w:rPr>
          <w:rFonts w:eastAsia="Times New Roman" w:cs="Times New Roman"/>
          <w:i/>
          <w:szCs w:val="19"/>
          <w:lang w:eastAsia="en-AU"/>
        </w:rPr>
        <w:t xml:space="preserve"> </w:t>
      </w:r>
      <w:r w:rsidR="00633D33">
        <w:rPr>
          <w:rFonts w:eastAsia="Times New Roman" w:cs="Times New Roman"/>
          <w:i/>
          <w:szCs w:val="19"/>
          <w:lang w:eastAsia="en-AU"/>
        </w:rPr>
        <w:t>C</w:t>
      </w:r>
      <w:r w:rsidRPr="002B2961">
        <w:rPr>
          <w:rFonts w:eastAsia="Times New Roman" w:cs="Times New Roman"/>
          <w:i/>
          <w:szCs w:val="19"/>
          <w:lang w:eastAsia="en-AU"/>
        </w:rPr>
        <w:t>laimant groups are given many opportunities to contribute to the research. The KLC also goes to great efforts to explain how evidence is gathered for a particular purpose. There can be diverging interests and points of view on how evidence is presented to the</w:t>
      </w:r>
      <w:r w:rsidR="00633D33">
        <w:rPr>
          <w:rFonts w:eastAsia="Times New Roman" w:cs="Times New Roman"/>
          <w:i/>
          <w:szCs w:val="19"/>
          <w:lang w:eastAsia="en-AU"/>
        </w:rPr>
        <w:t xml:space="preserve"> [Federal]</w:t>
      </w:r>
      <w:r w:rsidRPr="002B2961">
        <w:rPr>
          <w:rFonts w:eastAsia="Times New Roman" w:cs="Times New Roman"/>
          <w:i/>
          <w:szCs w:val="19"/>
          <w:lang w:eastAsia="en-AU"/>
        </w:rPr>
        <w:t xml:space="preserve"> </w:t>
      </w:r>
      <w:r w:rsidR="00633D33">
        <w:rPr>
          <w:rFonts w:eastAsia="Times New Roman" w:cs="Times New Roman"/>
          <w:i/>
          <w:szCs w:val="19"/>
          <w:lang w:eastAsia="en-AU"/>
        </w:rPr>
        <w:t>C</w:t>
      </w:r>
      <w:r w:rsidRPr="002B2961">
        <w:rPr>
          <w:rFonts w:eastAsia="Times New Roman" w:cs="Times New Roman"/>
          <w:i/>
          <w:szCs w:val="19"/>
          <w:lang w:eastAsia="en-AU"/>
        </w:rPr>
        <w:t>ourt by an expert anthropologist and/or by expert witnesses. As well as the potential of a differing understanding and awareness by an individual particularly where an individual might not have been actively involved in all aspects of the claim process. Additionally, the KLC work</w:t>
      </w:r>
      <w:r w:rsidR="002E1C5E">
        <w:rPr>
          <w:rFonts w:eastAsia="Times New Roman" w:cs="Times New Roman"/>
          <w:i/>
          <w:szCs w:val="19"/>
          <w:lang w:eastAsia="en-AU"/>
        </w:rPr>
        <w:t>s</w:t>
      </w:r>
      <w:r w:rsidRPr="002B2961">
        <w:rPr>
          <w:rFonts w:eastAsia="Times New Roman" w:cs="Times New Roman"/>
          <w:i/>
          <w:szCs w:val="19"/>
          <w:lang w:eastAsia="en-AU"/>
        </w:rPr>
        <w:t xml:space="preserve"> with the group, </w:t>
      </w:r>
      <w:r w:rsidRPr="002B2961">
        <w:rPr>
          <w:rFonts w:eastAsia="Times New Roman" w:cs="Times New Roman"/>
          <w:i/>
          <w:szCs w:val="19"/>
          <w:lang w:eastAsia="en-AU"/>
        </w:rPr>
        <w:lastRenderedPageBreak/>
        <w:t>and in particular the senior knowledge holders of the group</w:t>
      </w:r>
      <w:r w:rsidR="002E1C5E">
        <w:rPr>
          <w:rFonts w:eastAsia="Times New Roman" w:cs="Times New Roman"/>
          <w:i/>
          <w:szCs w:val="19"/>
          <w:lang w:eastAsia="en-AU"/>
        </w:rPr>
        <w:t>,</w:t>
      </w:r>
      <w:r w:rsidRPr="002B2961">
        <w:rPr>
          <w:rFonts w:eastAsia="Times New Roman" w:cs="Times New Roman"/>
          <w:i/>
          <w:szCs w:val="19"/>
          <w:lang w:eastAsia="en-AU"/>
        </w:rPr>
        <w:t xml:space="preserve"> to identify those individuals that might give witness evidence</w:t>
      </w:r>
      <w:r w:rsidR="00633D33">
        <w:rPr>
          <w:rFonts w:eastAsia="Times New Roman" w:cs="Times New Roman"/>
          <w:i/>
          <w:szCs w:val="19"/>
          <w:lang w:eastAsia="en-AU"/>
        </w:rPr>
        <w:t>;</w:t>
      </w:r>
      <w:r w:rsidRPr="002B2961">
        <w:rPr>
          <w:rFonts w:eastAsia="Times New Roman" w:cs="Times New Roman"/>
          <w:i/>
          <w:szCs w:val="19"/>
          <w:lang w:eastAsia="en-AU"/>
        </w:rPr>
        <w:t xml:space="preserve"> these tend to be senior and knowledgeable individuals. There may be many further stories and understandings of a group’s history, this might be</w:t>
      </w:r>
      <w:r w:rsidR="008D731D">
        <w:rPr>
          <w:rFonts w:eastAsia="Times New Roman" w:cs="Times New Roman"/>
          <w:i/>
          <w:szCs w:val="19"/>
          <w:lang w:eastAsia="en-AU"/>
        </w:rPr>
        <w:t xml:space="preserve"> in</w:t>
      </w:r>
      <w:r w:rsidRPr="002B2961">
        <w:rPr>
          <w:rFonts w:eastAsia="Times New Roman" w:cs="Times New Roman"/>
          <w:i/>
          <w:szCs w:val="19"/>
          <w:lang w:eastAsia="en-AU"/>
        </w:rPr>
        <w:t xml:space="preserve"> conflict or in contradiction to an individual’s own understanding of their history. It may be that the evidence gathered has not necessarily expressed all points of view but has presented the strongest evidence to support the claim. Particularly robust evidence which can stand up to the rigor and often harsh examination from the </w:t>
      </w:r>
      <w:r w:rsidR="00633D33">
        <w:rPr>
          <w:rFonts w:eastAsia="Times New Roman" w:cs="Times New Roman"/>
          <w:i/>
          <w:szCs w:val="19"/>
          <w:lang w:eastAsia="en-AU"/>
        </w:rPr>
        <w:t>s</w:t>
      </w:r>
      <w:r w:rsidRPr="002B2961">
        <w:rPr>
          <w:rFonts w:eastAsia="Times New Roman" w:cs="Times New Roman"/>
          <w:i/>
          <w:szCs w:val="19"/>
          <w:lang w:eastAsia="en-AU"/>
        </w:rPr>
        <w:t>tate, the Commonwealth and a litany of respondent interests who assert native title does not exist</w:t>
      </w:r>
      <w:r w:rsidRPr="002B2961">
        <w:rPr>
          <w:rFonts w:eastAsia="Times New Roman" w:cs="Times New Roman"/>
          <w:i/>
          <w:iCs/>
          <w:szCs w:val="19"/>
          <w:lang w:eastAsia="en-AU"/>
        </w:rPr>
        <w:t>.</w:t>
      </w:r>
    </w:p>
    <w:p w14:paraId="6A2E1768" w14:textId="77777777" w:rsidR="00642538" w:rsidRDefault="00642538" w:rsidP="00642538">
      <w:pPr>
        <w:pStyle w:val="Heading5"/>
      </w:pPr>
      <w:r w:rsidRPr="009E261E">
        <w:t>Traditional Owners were particularly concerned by the impact of claim group composition on the resultant governance of PBCs</w:t>
      </w:r>
    </w:p>
    <w:p w14:paraId="0544D171" w14:textId="70B79A48" w:rsidR="00642538" w:rsidRDefault="00642538" w:rsidP="00642538">
      <w:r>
        <w:t xml:space="preserve">A substantial proportion of the Traditional Owners who participated in interviews for the Review considered that they were disadvantaged because of the composition of their claim and thus their PBC. Typically, their claim included several family groups, each speaking for different areas of </w:t>
      </w:r>
      <w:r w:rsidR="00633D33">
        <w:t>C</w:t>
      </w:r>
      <w:r>
        <w:t>ountry within the claim boundary. Grievances arose when one family group was much larger and was seen as taking control of PBC functioning through having more members. This then disenfranchised the smaller group, making it difficult to resist perceived attempts by the larger group to speak for the smaller group’s Country. This caused a great deal of distress.</w:t>
      </w:r>
    </w:p>
    <w:p w14:paraId="3C239BAA" w14:textId="77777777" w:rsidR="00642538" w:rsidRDefault="00642538" w:rsidP="00642538">
      <w:r>
        <w:t>Another dynamic that was creating distress was the range of day-to-day involvement with Country within a given claim group. Some claimants live on Country, have extensive knowledge of story and regularly participate in ceremony. Others may be from the Stolen Generation and have not lived on Country, others may be connected through their relationship to an apical ancestor, but not live on or visit Country. These diverse claimants all have equivalent rights through the PBC structure. Some people with strong knowledge of law and custom do not hold senior roles in the PBC.</w:t>
      </w:r>
    </w:p>
    <w:p w14:paraId="3D17AAC4" w14:textId="38974026" w:rsidR="00642538" w:rsidRDefault="00642538" w:rsidP="00642538">
      <w:r>
        <w:t xml:space="preserve">Traditional Owners tended to put the blame for these circumstances on the KLC and the original claim composition. The Review acknowledges that </w:t>
      </w:r>
      <w:r w:rsidRPr="002373DE">
        <w:t xml:space="preserve">the KLC </w:t>
      </w:r>
      <w:r w:rsidR="00CE419C">
        <w:t>was</w:t>
      </w:r>
      <w:r w:rsidR="00CE419C" w:rsidRPr="002373DE">
        <w:t xml:space="preserve"> </w:t>
      </w:r>
      <w:r w:rsidRPr="002373DE">
        <w:t xml:space="preserve">not responsible for the structural injustices of the native title system and the tendency to blame the KLC for these matters </w:t>
      </w:r>
      <w:r w:rsidR="00CE419C">
        <w:t>did</w:t>
      </w:r>
      <w:r w:rsidR="00CE419C" w:rsidRPr="002373DE">
        <w:t xml:space="preserve"> </w:t>
      </w:r>
      <w:r w:rsidRPr="002373DE">
        <w:t>not</w:t>
      </w:r>
      <w:r>
        <w:t xml:space="preserve"> necessarily</w:t>
      </w:r>
      <w:r w:rsidRPr="002373DE">
        <w:t xml:space="preserve"> </w:t>
      </w:r>
      <w:r>
        <w:t>indicate a failure to p</w:t>
      </w:r>
      <w:r w:rsidRPr="002373DE">
        <w:t>erform its functions</w:t>
      </w:r>
      <w:r>
        <w:t xml:space="preserve"> under the NTA</w:t>
      </w:r>
      <w:r w:rsidRPr="002373DE">
        <w:t>.</w:t>
      </w:r>
      <w:r>
        <w:t xml:space="preserve"> The Review additionally recognises that the claim group architecture </w:t>
      </w:r>
      <w:r w:rsidR="0060648C">
        <w:t xml:space="preserve">was </w:t>
      </w:r>
      <w:r>
        <w:t xml:space="preserve">only part of the picture, as the rules governing PBCs </w:t>
      </w:r>
      <w:r w:rsidR="0060648C">
        <w:t xml:space="preserve">were </w:t>
      </w:r>
      <w:r>
        <w:t>also a key driver of PBC functioning. Issues relating to PBCs are discussed in more detail under TOR 6.</w:t>
      </w:r>
    </w:p>
    <w:p w14:paraId="4FFEEB28" w14:textId="56128968" w:rsidR="00642538" w:rsidRPr="003C2512" w:rsidRDefault="00642538" w:rsidP="00642538">
      <w:r>
        <w:t xml:space="preserve">The Review acknowledges that within claim boundaries, many further delineations </w:t>
      </w:r>
      <w:r w:rsidR="00DA0108">
        <w:t xml:space="preserve">were </w:t>
      </w:r>
      <w:r>
        <w:t xml:space="preserve">possible depending on the perspectives of relevant stakeholders. </w:t>
      </w:r>
      <w:r w:rsidR="00DA0108">
        <w:t xml:space="preserve">The </w:t>
      </w:r>
      <w:r>
        <w:t>KLC pointed to</w:t>
      </w:r>
      <w:r w:rsidRPr="00390D6E">
        <w:t xml:space="preserve"> </w:t>
      </w:r>
      <w:r>
        <w:t xml:space="preserve">the highly contested nature of native title claims as a result of the disconnect between Indigenous and non-Indigenous concepts of </w:t>
      </w:r>
      <w:r w:rsidR="00DA0108">
        <w:t>C</w:t>
      </w:r>
      <w:r>
        <w:t xml:space="preserve">ountry, where hard line boundaries (as required under the NTA) may </w:t>
      </w:r>
      <w:r w:rsidR="00DA0108">
        <w:t xml:space="preserve">have </w:t>
      </w:r>
      <w:r>
        <w:t xml:space="preserve">led to </w:t>
      </w:r>
      <w:r w:rsidRPr="003C2512">
        <w:t xml:space="preserve">dissatisfaction. </w:t>
      </w:r>
    </w:p>
    <w:p w14:paraId="01904217" w14:textId="77777777" w:rsidR="00642538" w:rsidRDefault="00642538" w:rsidP="00642538">
      <w:r w:rsidRPr="00390D6E">
        <w:t xml:space="preserve">Observations on the KLC’s communication and engagement regarding anthropological research, such as those relating to transparency and the return of cultural materials, is provided </w:t>
      </w:r>
      <w:r>
        <w:t xml:space="preserve">under </w:t>
      </w:r>
      <w:r w:rsidRPr="00390D6E">
        <w:t>TOR 3</w:t>
      </w:r>
      <w:r>
        <w:t>.</w:t>
      </w:r>
    </w:p>
    <w:p w14:paraId="164416B1" w14:textId="780EB33E" w:rsidR="00642538" w:rsidRPr="004442D5" w:rsidRDefault="00642538" w:rsidP="00642538">
      <w:pPr>
        <w:keepNext/>
        <w:spacing w:before="240"/>
        <w:outlineLvl w:val="4"/>
        <w:rPr>
          <w:rFonts w:eastAsia="Times New Roman" w:cs="Times New Roman"/>
          <w:b/>
          <w:bCs/>
          <w:color w:val="000000" w:themeColor="text1"/>
          <w:sz w:val="20"/>
          <w:szCs w:val="20"/>
          <w:lang w:eastAsia="en-AU"/>
        </w:rPr>
      </w:pPr>
      <w:r w:rsidRPr="0181F3A3">
        <w:rPr>
          <w:rFonts w:eastAsia="Times New Roman" w:cs="Times New Roman"/>
          <w:b/>
          <w:bCs/>
          <w:color w:val="000000" w:themeColor="text1"/>
          <w:sz w:val="20"/>
          <w:szCs w:val="20"/>
          <w:lang w:eastAsia="en-AU"/>
        </w:rPr>
        <w:t xml:space="preserve">The complexity and length of some claims </w:t>
      </w:r>
      <w:r>
        <w:rPr>
          <w:rFonts w:eastAsia="Times New Roman" w:cs="Times New Roman"/>
          <w:b/>
          <w:bCs/>
          <w:color w:val="000000" w:themeColor="text1"/>
          <w:sz w:val="20"/>
          <w:szCs w:val="20"/>
          <w:lang w:eastAsia="en-AU"/>
        </w:rPr>
        <w:t xml:space="preserve">was recognised by </w:t>
      </w:r>
      <w:r w:rsidR="00DA0108">
        <w:rPr>
          <w:rFonts w:eastAsia="Times New Roman" w:cs="Times New Roman"/>
          <w:b/>
          <w:bCs/>
          <w:color w:val="000000" w:themeColor="text1"/>
          <w:sz w:val="20"/>
          <w:szCs w:val="20"/>
          <w:lang w:eastAsia="en-AU"/>
        </w:rPr>
        <w:t xml:space="preserve">the </w:t>
      </w:r>
      <w:r>
        <w:rPr>
          <w:rFonts w:eastAsia="Times New Roman" w:cs="Times New Roman"/>
          <w:b/>
          <w:bCs/>
          <w:color w:val="000000" w:themeColor="text1"/>
          <w:sz w:val="20"/>
          <w:szCs w:val="20"/>
          <w:lang w:eastAsia="en-AU"/>
        </w:rPr>
        <w:t xml:space="preserve">KLC and the </w:t>
      </w:r>
      <w:r w:rsidR="00DA0108">
        <w:rPr>
          <w:rFonts w:eastAsia="Times New Roman" w:cs="Times New Roman"/>
          <w:b/>
          <w:bCs/>
          <w:color w:val="000000" w:themeColor="text1"/>
          <w:sz w:val="20"/>
          <w:szCs w:val="20"/>
          <w:lang w:eastAsia="en-AU"/>
        </w:rPr>
        <w:t xml:space="preserve">Federal </w:t>
      </w:r>
      <w:r>
        <w:rPr>
          <w:rFonts w:eastAsia="Times New Roman" w:cs="Times New Roman"/>
          <w:b/>
          <w:bCs/>
          <w:color w:val="000000" w:themeColor="text1"/>
          <w:sz w:val="20"/>
          <w:szCs w:val="20"/>
          <w:lang w:eastAsia="en-AU"/>
        </w:rPr>
        <w:t xml:space="preserve">Court as contributing to less-than-optimal outcomes </w:t>
      </w:r>
    </w:p>
    <w:p w14:paraId="4D274FD4" w14:textId="675328EE" w:rsidR="00642538" w:rsidRDefault="00642538" w:rsidP="00642538">
      <w:pPr>
        <w:rPr>
          <w:lang w:eastAsia="en-AU"/>
        </w:rPr>
      </w:pPr>
      <w:r w:rsidRPr="00031218">
        <w:rPr>
          <w:lang w:eastAsia="en-AU"/>
        </w:rPr>
        <w:t xml:space="preserve">KLC staff </w:t>
      </w:r>
      <w:r>
        <w:rPr>
          <w:lang w:eastAsia="en-AU"/>
        </w:rPr>
        <w:t xml:space="preserve">and the Federal Court both </w:t>
      </w:r>
      <w:r w:rsidRPr="00031218">
        <w:rPr>
          <w:lang w:eastAsia="en-AU"/>
        </w:rPr>
        <w:t xml:space="preserve">recognised that judgements in line with relevant native title legislation in complex cases </w:t>
      </w:r>
      <w:r>
        <w:rPr>
          <w:lang w:eastAsia="en-AU"/>
        </w:rPr>
        <w:t>did not satisfy all</w:t>
      </w:r>
      <w:r w:rsidRPr="00031218">
        <w:rPr>
          <w:lang w:eastAsia="en-AU"/>
        </w:rPr>
        <w:t xml:space="preserve"> claimants. This</w:t>
      </w:r>
      <w:r w:rsidRPr="00031218" w:rsidDel="00DA0108">
        <w:rPr>
          <w:lang w:eastAsia="en-AU"/>
        </w:rPr>
        <w:t xml:space="preserve"> </w:t>
      </w:r>
      <w:r w:rsidR="00DA0108">
        <w:rPr>
          <w:lang w:eastAsia="en-AU"/>
        </w:rPr>
        <w:t>was</w:t>
      </w:r>
      <w:r w:rsidR="00DA0108" w:rsidRPr="00031218">
        <w:rPr>
          <w:lang w:eastAsia="en-AU"/>
        </w:rPr>
        <w:t xml:space="preserve"> </w:t>
      </w:r>
      <w:r w:rsidRPr="00031218">
        <w:rPr>
          <w:lang w:eastAsia="en-AU"/>
        </w:rPr>
        <w:t xml:space="preserve">especially true for determinations where </w:t>
      </w:r>
      <w:r>
        <w:rPr>
          <w:lang w:eastAsia="en-AU"/>
        </w:rPr>
        <w:t>a lengthy</w:t>
      </w:r>
      <w:r w:rsidRPr="00031218">
        <w:rPr>
          <w:lang w:eastAsia="en-AU"/>
        </w:rPr>
        <w:t xml:space="preserve"> claim</w:t>
      </w:r>
      <w:r>
        <w:rPr>
          <w:lang w:eastAsia="en-AU"/>
        </w:rPr>
        <w:t xml:space="preserve"> process</w:t>
      </w:r>
      <w:r w:rsidRPr="00031218">
        <w:rPr>
          <w:lang w:eastAsia="en-AU"/>
        </w:rPr>
        <w:t xml:space="preserve"> </w:t>
      </w:r>
      <w:r w:rsidR="00DA0108">
        <w:rPr>
          <w:lang w:eastAsia="en-AU"/>
        </w:rPr>
        <w:t xml:space="preserve">saw </w:t>
      </w:r>
      <w:r w:rsidRPr="00031218">
        <w:rPr>
          <w:lang w:eastAsia="en-AU"/>
        </w:rPr>
        <w:t xml:space="preserve">changes in membership </w:t>
      </w:r>
      <w:r>
        <w:rPr>
          <w:lang w:eastAsia="en-AU"/>
        </w:rPr>
        <w:t>due to</w:t>
      </w:r>
      <w:r w:rsidRPr="00031218">
        <w:rPr>
          <w:lang w:eastAsia="en-AU"/>
        </w:rPr>
        <w:t xml:space="preserve"> the passing of claimants since the initial filing of the application, consequently affecting evidentiary completeness. </w:t>
      </w:r>
    </w:p>
    <w:p w14:paraId="782E60F3" w14:textId="104767ED" w:rsidR="00642538" w:rsidRPr="00031218" w:rsidRDefault="00642538" w:rsidP="00642538">
      <w:pPr>
        <w:rPr>
          <w:lang w:eastAsia="en-AU"/>
        </w:rPr>
      </w:pPr>
      <w:r w:rsidRPr="00031218">
        <w:rPr>
          <w:lang w:eastAsia="en-AU"/>
        </w:rPr>
        <w:t>A clear example of this</w:t>
      </w:r>
      <w:r w:rsidDel="00DA0108">
        <w:rPr>
          <w:lang w:eastAsia="en-AU"/>
        </w:rPr>
        <w:t xml:space="preserve"> </w:t>
      </w:r>
      <w:r w:rsidR="00DA0108">
        <w:rPr>
          <w:lang w:eastAsia="en-AU"/>
        </w:rPr>
        <w:t xml:space="preserve">was </w:t>
      </w:r>
      <w:r>
        <w:rPr>
          <w:lang w:eastAsia="en-AU"/>
        </w:rPr>
        <w:t xml:space="preserve">demonstrated in </w:t>
      </w:r>
      <w:r w:rsidRPr="00031218">
        <w:rPr>
          <w:lang w:eastAsia="en-AU"/>
        </w:rPr>
        <w:t>the Purnululu and Gajangana Jaru determination</w:t>
      </w:r>
      <w:r>
        <w:rPr>
          <w:lang w:eastAsia="en-AU"/>
        </w:rPr>
        <w:t xml:space="preserve">, in </w:t>
      </w:r>
      <w:r w:rsidRPr="00031218">
        <w:rPr>
          <w:lang w:eastAsia="en-AU"/>
        </w:rPr>
        <w:t xml:space="preserve">which </w:t>
      </w:r>
      <w:r>
        <w:rPr>
          <w:lang w:eastAsia="en-AU"/>
        </w:rPr>
        <w:t xml:space="preserve">KLC lawyers represented </w:t>
      </w:r>
      <w:r w:rsidRPr="00830216">
        <w:rPr>
          <w:lang w:eastAsia="en-AU"/>
        </w:rPr>
        <w:t xml:space="preserve">the Purnululu Applicant </w:t>
      </w:r>
      <w:r>
        <w:rPr>
          <w:lang w:eastAsia="en-AU"/>
        </w:rPr>
        <w:t>and the KLC funded</w:t>
      </w:r>
      <w:r w:rsidRPr="00830216">
        <w:rPr>
          <w:lang w:eastAsia="en-AU"/>
        </w:rPr>
        <w:t xml:space="preserve"> external legal representation for the Gajangana Jaru Applicant.</w:t>
      </w:r>
      <w:r>
        <w:rPr>
          <w:lang w:eastAsia="en-AU"/>
        </w:rPr>
        <w:t xml:space="preserve"> T</w:t>
      </w:r>
      <w:r w:rsidRPr="00031218">
        <w:rPr>
          <w:lang w:eastAsia="en-AU"/>
        </w:rPr>
        <w:t xml:space="preserve">he first of </w:t>
      </w:r>
      <w:r>
        <w:rPr>
          <w:lang w:eastAsia="en-AU"/>
        </w:rPr>
        <w:t>these</w:t>
      </w:r>
      <w:r w:rsidRPr="00031218">
        <w:rPr>
          <w:lang w:eastAsia="en-AU"/>
        </w:rPr>
        <w:t xml:space="preserve"> </w:t>
      </w:r>
      <w:r>
        <w:rPr>
          <w:lang w:eastAsia="en-AU"/>
        </w:rPr>
        <w:t xml:space="preserve">applications </w:t>
      </w:r>
      <w:r w:rsidRPr="00031218">
        <w:rPr>
          <w:lang w:eastAsia="en-AU"/>
        </w:rPr>
        <w:t xml:space="preserve">was filed in 1994, with boundary disputes </w:t>
      </w:r>
      <w:r w:rsidRPr="00031218">
        <w:rPr>
          <w:lang w:eastAsia="en-AU"/>
        </w:rPr>
        <w:lastRenderedPageBreak/>
        <w:t xml:space="preserve">identified as having occurred as early as 1992. </w:t>
      </w:r>
      <w:r>
        <w:rPr>
          <w:lang w:eastAsia="en-AU"/>
        </w:rPr>
        <w:t>The Federal Court decision in this case was very unpopular with many Traditional Owners.</w:t>
      </w:r>
    </w:p>
    <w:p w14:paraId="264A4636" w14:textId="55E20BFB" w:rsidR="00642538" w:rsidRPr="0007422D" w:rsidRDefault="00642538" w:rsidP="00DA0108">
      <w:pPr>
        <w:ind w:left="720"/>
        <w:rPr>
          <w:i/>
          <w:iCs/>
          <w:lang w:eastAsia="en-AU"/>
        </w:rPr>
      </w:pPr>
      <w:r w:rsidRPr="0007422D">
        <w:rPr>
          <w:i/>
          <w:iCs/>
          <w:lang w:eastAsia="en-AU"/>
        </w:rPr>
        <w:t xml:space="preserve">In this separate question proceeding, the Court has been required to make findings about people’s families, about their family relationships and histories, and about matters central to their lived experience and their sense of who they are: that is, their connection to </w:t>
      </w:r>
      <w:r w:rsidR="00DA0108" w:rsidRPr="0007422D">
        <w:rPr>
          <w:i/>
          <w:iCs/>
          <w:lang w:eastAsia="en-AU"/>
        </w:rPr>
        <w:t>C</w:t>
      </w:r>
      <w:r w:rsidRPr="002B2961">
        <w:rPr>
          <w:i/>
          <w:lang w:eastAsia="en-AU"/>
        </w:rPr>
        <w:t>ountry.</w:t>
      </w:r>
      <w:r w:rsidRPr="0007422D">
        <w:rPr>
          <w:i/>
          <w:iCs/>
          <w:lang w:eastAsia="en-AU"/>
        </w:rPr>
        <w:t xml:space="preserve"> Some might see this as the negative side of the native title system. It is certainly an invidious task for a Court.</w:t>
      </w:r>
    </w:p>
    <w:p w14:paraId="6FEC5BBF" w14:textId="77777777" w:rsidR="00DA0108" w:rsidRPr="0007422D" w:rsidRDefault="00642538" w:rsidP="0007422D">
      <w:pPr>
        <w:ind w:left="720"/>
        <w:rPr>
          <w:i/>
          <w:iCs/>
          <w:lang w:eastAsia="en-AU"/>
        </w:rPr>
      </w:pPr>
      <w:r w:rsidRPr="0007422D">
        <w:rPr>
          <w:i/>
          <w:iCs/>
          <w:lang w:eastAsia="en-AU"/>
        </w:rPr>
        <w:t>Due to the passage of more than 25 years since the Native Title Act’s processes were first engaged about the [Purnululu Disputed Area], parties and their legal representatives have had to prepare their cases without the presence of many senior people who had the most complete and direct knowledge of these matters. The evidentiary record is therefore less complete than it should have been. There can be nothing but regret it has taken this long. Despite the difficulties, the claimants, their witnesses and their legal representatives, the officers of the State and its legal representatives, and the KLC, have invested a tremendous amount of effort, resources and dedication into this separate question proceeding. The Court is grateful for all the assistance it has received.</w:t>
      </w:r>
    </w:p>
    <w:p w14:paraId="0A7449E1" w14:textId="7C0913BE" w:rsidR="00642538" w:rsidRPr="00AE348F" w:rsidRDefault="00DA0108" w:rsidP="0007422D">
      <w:pPr>
        <w:ind w:left="1440" w:hanging="720"/>
        <w:jc w:val="right"/>
        <w:rPr>
          <w:lang w:eastAsia="en-AU"/>
        </w:rPr>
      </w:pPr>
      <w:r>
        <w:rPr>
          <w:lang w:eastAsia="en-AU"/>
        </w:rPr>
        <w:t>T</w:t>
      </w:r>
      <w:r w:rsidR="00642538" w:rsidRPr="00AE348F">
        <w:rPr>
          <w:lang w:eastAsia="en-AU"/>
        </w:rPr>
        <w:t>hen</w:t>
      </w:r>
      <w:r w:rsidR="00642538">
        <w:rPr>
          <w:lang w:eastAsia="en-AU"/>
        </w:rPr>
        <w:t xml:space="preserve"> </w:t>
      </w:r>
      <w:r w:rsidR="00642538" w:rsidRPr="00AE348F">
        <w:rPr>
          <w:lang w:eastAsia="en-AU"/>
        </w:rPr>
        <w:t>Justice Mortimer J, proceedings for the Purnululu and Gajangana Jaru determination (22 October 2020)</w:t>
      </w:r>
      <w:r w:rsidR="00642538" w:rsidRPr="00AE348F">
        <w:rPr>
          <w:rStyle w:val="FootnoteReference"/>
          <w:rFonts w:ascii="Segoe UI Semilight" w:hAnsi="Segoe UI Semilight"/>
          <w:kern w:val="24"/>
          <w:sz w:val="22"/>
          <w:lang w:eastAsia="en-AU"/>
        </w:rPr>
        <w:footnoteReference w:id="4"/>
      </w:r>
    </w:p>
    <w:p w14:paraId="22AD2A56" w14:textId="77777777" w:rsidR="00757EAC" w:rsidRPr="00390D6E" w:rsidRDefault="00757EAC" w:rsidP="00757EAC">
      <w:pPr>
        <w:keepNext/>
        <w:spacing w:before="240" w:after="60"/>
        <w:outlineLvl w:val="3"/>
        <w:rPr>
          <w:rFonts w:ascii="Segoe UI Semibold" w:eastAsia="Times New Roman" w:hAnsi="Segoe UI Semibold" w:cs="Times New Roman"/>
          <w:color w:val="00264D"/>
          <w:sz w:val="26"/>
          <w:szCs w:val="19"/>
          <w:lang w:eastAsia="en-AU"/>
        </w:rPr>
      </w:pPr>
      <w:r w:rsidRPr="00390D6E">
        <w:rPr>
          <w:rFonts w:ascii="Segoe UI Semibold" w:eastAsia="Times New Roman" w:hAnsi="Segoe UI Semibold" w:cs="Times New Roman"/>
          <w:color w:val="00264D" w:themeColor="background2"/>
          <w:sz w:val="22"/>
          <w:szCs w:val="19"/>
          <w:lang w:eastAsia="en-AU"/>
        </w:rPr>
        <w:t>Anthropological research</w:t>
      </w:r>
    </w:p>
    <w:p w14:paraId="683DEE38" w14:textId="2B074455" w:rsidR="00757EAC" w:rsidRPr="00390D6E" w:rsidRDefault="00DA0108" w:rsidP="00757EAC">
      <w:pPr>
        <w:keepNext/>
        <w:numPr>
          <w:ilvl w:val="4"/>
          <w:numId w:val="2"/>
        </w:numPr>
        <w:spacing w:before="240"/>
        <w:outlineLvl w:val="4"/>
        <w:rPr>
          <w:rFonts w:eastAsia="Times New Roman" w:cs="Times New Roman"/>
          <w:color w:val="000000" w:themeColor="text1"/>
          <w:sz w:val="20"/>
          <w:szCs w:val="24"/>
          <w:lang w:eastAsia="en-AU"/>
        </w:rPr>
      </w:pPr>
      <w:r>
        <w:rPr>
          <w:rFonts w:eastAsia="Times New Roman" w:cs="Times New Roman"/>
          <w:b/>
          <w:color w:val="000000" w:themeColor="text1"/>
          <w:sz w:val="20"/>
          <w:szCs w:val="24"/>
          <w:lang w:eastAsia="en-AU"/>
        </w:rPr>
        <w:t xml:space="preserve">The </w:t>
      </w:r>
      <w:r w:rsidR="00757EAC" w:rsidRPr="00390D6E">
        <w:rPr>
          <w:rFonts w:eastAsia="Times New Roman" w:cs="Times New Roman"/>
          <w:b/>
          <w:color w:val="000000" w:themeColor="text1"/>
          <w:sz w:val="20"/>
          <w:szCs w:val="24"/>
          <w:lang w:eastAsia="en-AU"/>
        </w:rPr>
        <w:t>KLC’s anthropological research model incorporate</w:t>
      </w:r>
      <w:r w:rsidR="00BD2041">
        <w:rPr>
          <w:rFonts w:eastAsia="Times New Roman" w:cs="Times New Roman"/>
          <w:b/>
          <w:color w:val="000000" w:themeColor="text1"/>
          <w:sz w:val="20"/>
          <w:szCs w:val="24"/>
          <w:lang w:eastAsia="en-AU"/>
        </w:rPr>
        <w:t>d</w:t>
      </w:r>
      <w:r w:rsidR="00757EAC" w:rsidRPr="00390D6E">
        <w:rPr>
          <w:rFonts w:eastAsia="Times New Roman" w:cs="Times New Roman"/>
          <w:b/>
          <w:color w:val="000000" w:themeColor="text1"/>
          <w:sz w:val="20"/>
          <w:szCs w:val="24"/>
          <w:lang w:eastAsia="en-AU"/>
        </w:rPr>
        <w:t xml:space="preserve"> a mix of internal and external capability, </w:t>
      </w:r>
      <w:r w:rsidR="00377079">
        <w:rPr>
          <w:rFonts w:eastAsia="Times New Roman" w:cs="Times New Roman"/>
          <w:b/>
          <w:color w:val="000000" w:themeColor="text1"/>
          <w:sz w:val="20"/>
          <w:szCs w:val="24"/>
          <w:lang w:eastAsia="en-AU"/>
        </w:rPr>
        <w:t>with overall</w:t>
      </w:r>
      <w:r w:rsidR="00272073">
        <w:rPr>
          <w:rFonts w:eastAsia="Times New Roman" w:cs="Times New Roman"/>
          <w:b/>
          <w:color w:val="000000" w:themeColor="text1"/>
          <w:sz w:val="20"/>
          <w:szCs w:val="24"/>
          <w:lang w:eastAsia="en-AU"/>
        </w:rPr>
        <w:t xml:space="preserve"> direction from </w:t>
      </w:r>
      <w:r w:rsidR="00757EAC" w:rsidRPr="00390D6E">
        <w:rPr>
          <w:rFonts w:eastAsia="Times New Roman" w:cs="Times New Roman"/>
          <w:b/>
          <w:color w:val="000000" w:themeColor="text1"/>
          <w:sz w:val="20"/>
          <w:szCs w:val="24"/>
          <w:lang w:eastAsia="en-AU"/>
        </w:rPr>
        <w:t xml:space="preserve">the </w:t>
      </w:r>
      <w:r w:rsidR="00377079">
        <w:rPr>
          <w:rFonts w:eastAsia="Times New Roman" w:cs="Times New Roman"/>
          <w:b/>
          <w:color w:val="000000" w:themeColor="text1"/>
          <w:sz w:val="20"/>
          <w:szCs w:val="24"/>
          <w:lang w:eastAsia="en-AU"/>
        </w:rPr>
        <w:t>PLO</w:t>
      </w:r>
    </w:p>
    <w:p w14:paraId="2AE8D767" w14:textId="22569124" w:rsidR="00757EAC" w:rsidRPr="00390D6E" w:rsidRDefault="00DA0108" w:rsidP="00757EAC">
      <w:r>
        <w:t xml:space="preserve">The </w:t>
      </w:r>
      <w:r w:rsidR="00757EAC" w:rsidRPr="00390D6E">
        <w:t xml:space="preserve">KLC’s </w:t>
      </w:r>
      <w:r w:rsidR="006211BB">
        <w:t>i</w:t>
      </w:r>
      <w:r w:rsidR="006211BB" w:rsidRPr="00390D6E">
        <w:t xml:space="preserve">nternal anthropology staff </w:t>
      </w:r>
      <w:r w:rsidR="00BD2041">
        <w:t>were</w:t>
      </w:r>
      <w:r w:rsidR="006211BB" w:rsidRPr="00390D6E">
        <w:t xml:space="preserve"> part of the Legal Unit and </w:t>
      </w:r>
      <w:r w:rsidR="00BD2041">
        <w:t>were</w:t>
      </w:r>
      <w:r w:rsidR="006211BB" w:rsidRPr="00390D6E">
        <w:t xml:space="preserve"> allocated by the PLO to a region of the Kimberley.</w:t>
      </w:r>
      <w:r w:rsidR="006211BB">
        <w:t xml:space="preserve"> </w:t>
      </w:r>
      <w:r w:rsidR="00BD2041">
        <w:t>Although a</w:t>
      </w:r>
      <w:r w:rsidR="00BD2041" w:rsidRPr="00390D6E">
        <w:t xml:space="preserve">nthropological research </w:t>
      </w:r>
      <w:r w:rsidR="00DD3705">
        <w:t>was</w:t>
      </w:r>
      <w:r w:rsidR="00BD2041" w:rsidRPr="00390D6E">
        <w:t xml:space="preserve"> directed by the PLO, a </w:t>
      </w:r>
      <w:r w:rsidR="00550859">
        <w:t xml:space="preserve">Senior </w:t>
      </w:r>
      <w:r w:rsidR="00BD2041" w:rsidRPr="00390D6E">
        <w:t xml:space="preserve">Anthropologist </w:t>
      </w:r>
      <w:r w:rsidR="00BD2041">
        <w:t>position</w:t>
      </w:r>
      <w:r w:rsidR="000B12BC">
        <w:t xml:space="preserve"> support</w:t>
      </w:r>
      <w:r w:rsidR="00DD3705">
        <w:t>ed</w:t>
      </w:r>
      <w:r w:rsidR="000B12BC">
        <w:t xml:space="preserve"> the research staff and report</w:t>
      </w:r>
      <w:r w:rsidR="00DD3705">
        <w:t>ed</w:t>
      </w:r>
      <w:r w:rsidR="000B12BC">
        <w:t xml:space="preserve"> to the PLO. </w:t>
      </w:r>
      <w:r w:rsidR="00436B5B">
        <w:t xml:space="preserve">Throughout </w:t>
      </w:r>
      <w:r w:rsidR="00812ADC">
        <w:t xml:space="preserve">most of </w:t>
      </w:r>
      <w:r w:rsidR="00436B5B">
        <w:t xml:space="preserve">the Review period there was </w:t>
      </w:r>
      <w:r w:rsidR="00436B5B" w:rsidRPr="00390D6E">
        <w:t xml:space="preserve">a team of one Senior </w:t>
      </w:r>
      <w:r w:rsidR="00550859" w:rsidRPr="00390D6E">
        <w:t xml:space="preserve">Anthropologists </w:t>
      </w:r>
      <w:r w:rsidR="00436B5B" w:rsidRPr="00390D6E">
        <w:t xml:space="preserve">and three </w:t>
      </w:r>
      <w:r w:rsidR="00D3632D">
        <w:t>a</w:t>
      </w:r>
      <w:r w:rsidR="00436B5B" w:rsidRPr="00390D6E">
        <w:t>nthropologists</w:t>
      </w:r>
      <w:r w:rsidR="008117A1">
        <w:t xml:space="preserve">, providing relative stability </w:t>
      </w:r>
      <w:r w:rsidR="00F8768F">
        <w:t xml:space="preserve">and good corporate knowledge </w:t>
      </w:r>
      <w:r w:rsidR="008117A1">
        <w:t xml:space="preserve">against the </w:t>
      </w:r>
      <w:r w:rsidR="00F8768F">
        <w:t>greater churn of legal staff.</w:t>
      </w:r>
      <w:r w:rsidR="00436B5B">
        <w:t xml:space="preserve"> </w:t>
      </w:r>
      <w:r w:rsidR="00BD2041">
        <w:t>A</w:t>
      </w:r>
      <w:r w:rsidR="00757EAC" w:rsidRPr="00390D6E">
        <w:t>nthropology staff primarily conduct</w:t>
      </w:r>
      <w:r w:rsidR="00436B5B">
        <w:t>ed</w:t>
      </w:r>
      <w:r w:rsidR="00757EAC" w:rsidRPr="00390D6E">
        <w:t xml:space="preserve"> research for native title claimant applications, although some research </w:t>
      </w:r>
      <w:r w:rsidR="00436B5B">
        <w:t>was</w:t>
      </w:r>
      <w:r w:rsidR="00757EAC" w:rsidRPr="00390D6E">
        <w:t xml:space="preserve"> also undertaken for ILUAs and </w:t>
      </w:r>
      <w:r w:rsidR="00C04087">
        <w:t>later</w:t>
      </w:r>
      <w:r w:rsidR="00757EAC" w:rsidRPr="00390D6E">
        <w:t>, compensation applications.</w:t>
      </w:r>
    </w:p>
    <w:p w14:paraId="22E82164" w14:textId="1C18777E" w:rsidR="00757EAC" w:rsidRPr="00390D6E" w:rsidRDefault="00757EAC" w:rsidP="00757EAC">
      <w:r w:rsidRPr="00390D6E">
        <w:t xml:space="preserve">External consultants </w:t>
      </w:r>
      <w:r w:rsidR="00F8768F">
        <w:t>were</w:t>
      </w:r>
      <w:r w:rsidRPr="00390D6E">
        <w:t xml:space="preserve"> contracted for the preparation of connection reports for the majority of the KLC’s native title claims, collaborating with and receiving support from internal anthropolo</w:t>
      </w:r>
      <w:r>
        <w:t>gists</w:t>
      </w:r>
      <w:r w:rsidRPr="00390D6E">
        <w:t xml:space="preserve">. In addition to providing third-party independence </w:t>
      </w:r>
      <w:r w:rsidR="001A55AB">
        <w:t>in</w:t>
      </w:r>
      <w:r w:rsidRPr="00390D6E">
        <w:t xml:space="preserve"> research, </w:t>
      </w:r>
      <w:r w:rsidR="00A44023">
        <w:t>the use of</w:t>
      </w:r>
      <w:r w:rsidRPr="00390D6E">
        <w:t xml:space="preserve"> external anthropologists assist</w:t>
      </w:r>
      <w:r w:rsidR="00E04253">
        <w:t>ed</w:t>
      </w:r>
      <w:r w:rsidRPr="00390D6E">
        <w:t xml:space="preserve"> with challenges in recruiting experienced anthropological staff, as observed across the native title sector.</w:t>
      </w:r>
    </w:p>
    <w:p w14:paraId="3E55B7D2" w14:textId="70B4A9BE" w:rsidR="00757EAC" w:rsidRPr="00390D6E" w:rsidRDefault="00757EAC" w:rsidP="0181F3A3">
      <w:pPr>
        <w:keepNext/>
        <w:spacing w:before="240"/>
        <w:outlineLvl w:val="4"/>
        <w:rPr>
          <w:rFonts w:eastAsia="Times New Roman" w:cs="Times New Roman"/>
          <w:b/>
          <w:bCs/>
          <w:color w:val="000000" w:themeColor="text1"/>
          <w:sz w:val="20"/>
          <w:szCs w:val="20"/>
          <w:lang w:eastAsia="en-AU"/>
        </w:rPr>
      </w:pPr>
      <w:r w:rsidRPr="0181F3A3">
        <w:rPr>
          <w:rFonts w:eastAsia="Times New Roman" w:cs="Times New Roman"/>
          <w:b/>
          <w:bCs/>
          <w:color w:val="000000" w:themeColor="text1"/>
          <w:sz w:val="20"/>
          <w:szCs w:val="20"/>
          <w:lang w:eastAsia="en-AU"/>
        </w:rPr>
        <w:t>Anthropolog</w:t>
      </w:r>
      <w:r w:rsidR="00FA1586" w:rsidRPr="0181F3A3">
        <w:rPr>
          <w:rFonts w:eastAsia="Times New Roman" w:cs="Times New Roman"/>
          <w:b/>
          <w:bCs/>
          <w:color w:val="000000" w:themeColor="text1"/>
          <w:sz w:val="20"/>
          <w:szCs w:val="20"/>
          <w:lang w:eastAsia="en-AU"/>
        </w:rPr>
        <w:t>ical</w:t>
      </w:r>
      <w:r w:rsidRPr="0181F3A3">
        <w:rPr>
          <w:rFonts w:eastAsia="Times New Roman" w:cs="Times New Roman"/>
          <w:b/>
          <w:bCs/>
          <w:color w:val="000000" w:themeColor="text1"/>
          <w:sz w:val="20"/>
          <w:szCs w:val="20"/>
          <w:lang w:eastAsia="en-AU"/>
        </w:rPr>
        <w:t xml:space="preserve"> research for recent and remaining claims </w:t>
      </w:r>
      <w:r w:rsidR="00782163" w:rsidRPr="0181F3A3">
        <w:rPr>
          <w:rFonts w:eastAsia="Times New Roman" w:cs="Times New Roman"/>
          <w:b/>
          <w:bCs/>
          <w:color w:val="000000" w:themeColor="text1"/>
          <w:sz w:val="20"/>
          <w:szCs w:val="20"/>
          <w:lang w:eastAsia="en-AU"/>
        </w:rPr>
        <w:t>is</w:t>
      </w:r>
      <w:r w:rsidRPr="0181F3A3">
        <w:rPr>
          <w:rFonts w:eastAsia="Times New Roman" w:cs="Times New Roman"/>
          <w:b/>
          <w:bCs/>
          <w:color w:val="000000" w:themeColor="text1"/>
          <w:sz w:val="20"/>
          <w:szCs w:val="20"/>
          <w:lang w:eastAsia="en-AU"/>
        </w:rPr>
        <w:t xml:space="preserve"> challenging, </w:t>
      </w:r>
      <w:r w:rsidR="00D35BD0">
        <w:rPr>
          <w:rFonts w:eastAsia="Times New Roman" w:cs="Times New Roman"/>
          <w:b/>
          <w:bCs/>
          <w:color w:val="000000" w:themeColor="text1"/>
          <w:sz w:val="20"/>
          <w:szCs w:val="20"/>
          <w:lang w:eastAsia="en-AU"/>
        </w:rPr>
        <w:t>primarily</w:t>
      </w:r>
      <w:r w:rsidRPr="0181F3A3">
        <w:rPr>
          <w:rFonts w:eastAsia="Times New Roman" w:cs="Times New Roman"/>
          <w:b/>
          <w:bCs/>
          <w:color w:val="000000" w:themeColor="text1"/>
          <w:sz w:val="20"/>
          <w:szCs w:val="20"/>
          <w:lang w:eastAsia="en-AU"/>
        </w:rPr>
        <w:t xml:space="preserve"> as a result of </w:t>
      </w:r>
      <w:r w:rsidR="005A3ABD">
        <w:rPr>
          <w:rFonts w:eastAsia="Times New Roman" w:cs="Times New Roman"/>
          <w:b/>
          <w:bCs/>
          <w:color w:val="000000" w:themeColor="text1"/>
          <w:sz w:val="20"/>
          <w:szCs w:val="20"/>
          <w:lang w:eastAsia="en-AU"/>
        </w:rPr>
        <w:t>border disputes</w:t>
      </w:r>
    </w:p>
    <w:p w14:paraId="7979B97E" w14:textId="7E3243A2" w:rsidR="00757EAC" w:rsidRPr="00390D6E" w:rsidRDefault="00757EAC" w:rsidP="00757EAC">
      <w:r>
        <w:t xml:space="preserve">With less than three percent of the Kimberley yet to be subject to a determination, </w:t>
      </w:r>
      <w:r w:rsidR="00875926">
        <w:t>ongoing</w:t>
      </w:r>
      <w:r>
        <w:t xml:space="preserve"> and remaining native title claims are regarded by KLC staff, the Federal Court and Traditional Owners from the Kimberley as highly complex. This complexity is primarily the result of these claims sharing borders with areas previously or soon-to-be determined and related intra-Indigenous disagreements. </w:t>
      </w:r>
      <w:r w:rsidR="002A5BA9">
        <w:t>KLC s</w:t>
      </w:r>
      <w:r w:rsidR="00AB46F1">
        <w:t xml:space="preserve">taff </w:t>
      </w:r>
      <w:r w:rsidR="00D47DB8">
        <w:t xml:space="preserve">also </w:t>
      </w:r>
      <w:r w:rsidR="00AB46F1">
        <w:t xml:space="preserve">commented to the Review on the </w:t>
      </w:r>
      <w:r w:rsidR="00363D41">
        <w:t xml:space="preserve">complexity of some of the claim groups, with up to five </w:t>
      </w:r>
      <w:r w:rsidR="0039475F">
        <w:t>different</w:t>
      </w:r>
      <w:r w:rsidR="00363D41">
        <w:t xml:space="preserve"> groups involved</w:t>
      </w:r>
      <w:r w:rsidR="00C17A63">
        <w:t>.</w:t>
      </w:r>
      <w:r w:rsidR="00303633">
        <w:t xml:space="preserve"> </w:t>
      </w:r>
    </w:p>
    <w:p w14:paraId="5BFA34B5" w14:textId="77777777" w:rsidR="00FA7DF9" w:rsidRPr="00390D6E" w:rsidRDefault="00FA7DF9" w:rsidP="00FA7DF9">
      <w:pPr>
        <w:keepNext/>
        <w:spacing w:before="240" w:after="60"/>
        <w:outlineLvl w:val="3"/>
        <w:rPr>
          <w:rFonts w:ascii="Segoe UI Semibold" w:eastAsia="Times New Roman" w:hAnsi="Segoe UI Semibold" w:cs="Times New Roman"/>
          <w:color w:val="00264D" w:themeColor="background2"/>
          <w:sz w:val="22"/>
          <w:szCs w:val="19"/>
          <w:lang w:eastAsia="en-AU"/>
        </w:rPr>
      </w:pPr>
      <w:r w:rsidRPr="00390D6E">
        <w:rPr>
          <w:rFonts w:ascii="Segoe UI Semibold" w:eastAsia="Times New Roman" w:hAnsi="Segoe UI Semibold" w:cs="Times New Roman"/>
          <w:color w:val="00264D" w:themeColor="background2"/>
          <w:sz w:val="22"/>
          <w:szCs w:val="19"/>
          <w:lang w:eastAsia="en-AU"/>
        </w:rPr>
        <w:lastRenderedPageBreak/>
        <w:t>Future Acts and ILUAs</w:t>
      </w:r>
    </w:p>
    <w:p w14:paraId="28C4E862" w14:textId="77777777" w:rsidR="00FA7DF9" w:rsidRPr="00390D6E" w:rsidRDefault="00FA7DF9" w:rsidP="00FA7DF9">
      <w:pPr>
        <w:keepNext/>
        <w:spacing w:before="240"/>
        <w:outlineLvl w:val="4"/>
        <w:rPr>
          <w:rFonts w:eastAsia="Times New Roman" w:cs="Times New Roman"/>
          <w:b/>
          <w:color w:val="000000" w:themeColor="text1"/>
          <w:sz w:val="20"/>
          <w:szCs w:val="24"/>
          <w:lang w:eastAsia="en-AU"/>
        </w:rPr>
      </w:pPr>
      <w:r w:rsidRPr="00390D6E">
        <w:rPr>
          <w:rFonts w:eastAsia="Times New Roman" w:cs="Times New Roman"/>
          <w:b/>
          <w:color w:val="000000" w:themeColor="text1"/>
          <w:sz w:val="20"/>
          <w:szCs w:val="24"/>
          <w:lang w:eastAsia="en-AU"/>
        </w:rPr>
        <w:t xml:space="preserve">The KLC conducted its Future Acts and ILUA </w:t>
      </w:r>
      <w:r>
        <w:rPr>
          <w:rFonts w:eastAsia="Times New Roman" w:cs="Times New Roman"/>
          <w:b/>
          <w:color w:val="000000" w:themeColor="text1"/>
          <w:sz w:val="20"/>
          <w:szCs w:val="24"/>
          <w:lang w:eastAsia="en-AU"/>
        </w:rPr>
        <w:t xml:space="preserve">functions </w:t>
      </w:r>
      <w:r w:rsidRPr="00390D6E">
        <w:rPr>
          <w:rFonts w:eastAsia="Times New Roman" w:cs="Times New Roman"/>
          <w:b/>
          <w:color w:val="000000" w:themeColor="text1"/>
          <w:sz w:val="20"/>
          <w:szCs w:val="24"/>
          <w:lang w:eastAsia="en-AU"/>
        </w:rPr>
        <w:t>well during the Review period</w:t>
      </w:r>
    </w:p>
    <w:p w14:paraId="2513CF45" w14:textId="2DD8EE8B" w:rsidR="00FA7DF9" w:rsidRPr="00390D6E" w:rsidRDefault="00FA7DF9" w:rsidP="00FA7DF9">
      <w:pPr>
        <w:rPr>
          <w:lang w:eastAsia="en-AU"/>
        </w:rPr>
      </w:pPr>
      <w:r w:rsidRPr="00390D6E">
        <w:rPr>
          <w:lang w:eastAsia="en-AU"/>
        </w:rPr>
        <w:t>Under the</w:t>
      </w:r>
      <w:r w:rsidRPr="005A77E2">
        <w:rPr>
          <w:lang w:eastAsia="en-AU"/>
        </w:rPr>
        <w:t xml:space="preserve"> NTA</w:t>
      </w:r>
      <w:r w:rsidRPr="00390D6E">
        <w:rPr>
          <w:lang w:eastAsia="en-AU"/>
        </w:rPr>
        <w:t>, the KLC is required to carry out functions related to notification (section 203BG) and agreement-making (section 203BH), which include notification of Future Act matters and the negotiation of ILUAs.</w:t>
      </w:r>
      <w:r>
        <w:rPr>
          <w:lang w:eastAsia="en-AU"/>
        </w:rPr>
        <w:t xml:space="preserve"> </w:t>
      </w:r>
      <w:r w:rsidR="00CA33BC">
        <w:rPr>
          <w:lang w:eastAsia="en-AU"/>
        </w:rPr>
        <w:t>During</w:t>
      </w:r>
      <w:r w:rsidR="00CA33BC" w:rsidRPr="00390D6E">
        <w:rPr>
          <w:lang w:eastAsia="en-AU"/>
        </w:rPr>
        <w:t xml:space="preserve"> </w:t>
      </w:r>
      <w:r w:rsidRPr="00390D6E">
        <w:rPr>
          <w:lang w:eastAsia="en-AU"/>
        </w:rPr>
        <w:t xml:space="preserve">the Review period the </w:t>
      </w:r>
      <w:r>
        <w:rPr>
          <w:lang w:eastAsia="en-AU"/>
        </w:rPr>
        <w:t xml:space="preserve">average </w:t>
      </w:r>
      <w:r w:rsidRPr="00390D6E">
        <w:rPr>
          <w:lang w:eastAsia="en-AU"/>
        </w:rPr>
        <w:t xml:space="preserve">number of FANs received </w:t>
      </w:r>
      <w:r>
        <w:rPr>
          <w:lang w:eastAsia="en-AU"/>
        </w:rPr>
        <w:t xml:space="preserve">was </w:t>
      </w:r>
      <w:r w:rsidRPr="00390D6E">
        <w:rPr>
          <w:lang w:eastAsia="en-AU"/>
        </w:rPr>
        <w:t>1</w:t>
      </w:r>
      <w:r w:rsidR="007F28EF">
        <w:rPr>
          <w:lang w:eastAsia="en-AU"/>
        </w:rPr>
        <w:t>8</w:t>
      </w:r>
      <w:r>
        <w:rPr>
          <w:lang w:eastAsia="en-AU"/>
        </w:rPr>
        <w:t xml:space="preserve">3 </w:t>
      </w:r>
      <w:r w:rsidRPr="00390D6E">
        <w:rPr>
          <w:lang w:eastAsia="en-AU"/>
        </w:rPr>
        <w:t xml:space="preserve">per year, as </w:t>
      </w:r>
      <w:r>
        <w:rPr>
          <w:lang w:eastAsia="en-AU"/>
        </w:rPr>
        <w:t xml:space="preserve">presented </w:t>
      </w:r>
      <w:r w:rsidRPr="00390D6E">
        <w:rPr>
          <w:lang w:eastAsia="en-AU"/>
        </w:rPr>
        <w:t xml:space="preserve">in </w:t>
      </w:r>
      <w:r>
        <w:rPr>
          <w:lang w:eastAsia="en-AU"/>
        </w:rPr>
        <w:fldChar w:fldCharType="begin"/>
      </w:r>
      <w:r>
        <w:rPr>
          <w:lang w:eastAsia="en-AU"/>
        </w:rPr>
        <w:instrText xml:space="preserve"> REF _Ref153826131 \h </w:instrText>
      </w:r>
      <w:r>
        <w:rPr>
          <w:lang w:eastAsia="en-AU"/>
        </w:rPr>
      </w:r>
      <w:r>
        <w:rPr>
          <w:lang w:eastAsia="en-AU"/>
        </w:rPr>
        <w:fldChar w:fldCharType="separate"/>
      </w:r>
      <w:r w:rsidR="00291532">
        <w:t xml:space="preserve">Table </w:t>
      </w:r>
      <w:r w:rsidR="00291532">
        <w:rPr>
          <w:noProof/>
        </w:rPr>
        <w:t>3</w:t>
      </w:r>
      <w:r>
        <w:rPr>
          <w:lang w:eastAsia="en-AU"/>
        </w:rPr>
        <w:fldChar w:fldCharType="end"/>
      </w:r>
      <w:r w:rsidRPr="00390D6E">
        <w:rPr>
          <w:lang w:eastAsia="en-AU"/>
        </w:rPr>
        <w:t xml:space="preserve">. </w:t>
      </w:r>
    </w:p>
    <w:p w14:paraId="0403517A" w14:textId="0FFA1ACF" w:rsidR="00FA7DF9" w:rsidRPr="00390D6E" w:rsidRDefault="00FA7DF9" w:rsidP="00FA7DF9">
      <w:pPr>
        <w:pStyle w:val="Caption"/>
        <w:rPr>
          <w:bCs w:val="0"/>
        </w:rPr>
      </w:pPr>
      <w:bookmarkStart w:id="22" w:name="_Ref153826131"/>
      <w:r>
        <w:t xml:space="preserve">Table </w:t>
      </w:r>
      <w:r>
        <w:fldChar w:fldCharType="begin"/>
      </w:r>
      <w:r>
        <w:instrText xml:space="preserve"> SEQ Table \* ARABIC </w:instrText>
      </w:r>
      <w:r>
        <w:fldChar w:fldCharType="separate"/>
      </w:r>
      <w:r w:rsidR="00291532">
        <w:rPr>
          <w:noProof/>
        </w:rPr>
        <w:t>3</w:t>
      </w:r>
      <w:r>
        <w:fldChar w:fldCharType="end"/>
      </w:r>
      <w:bookmarkEnd w:id="22"/>
      <w:r>
        <w:t xml:space="preserve"> | </w:t>
      </w:r>
      <w:r w:rsidRPr="00390D6E">
        <w:t>Number and types of FANs received the N</w:t>
      </w:r>
      <w:r w:rsidR="00CA33BC">
        <w:t xml:space="preserve">ational </w:t>
      </w:r>
      <w:r w:rsidRPr="00390D6E">
        <w:t>N</w:t>
      </w:r>
      <w:r w:rsidR="00CA33BC">
        <w:t xml:space="preserve">ative </w:t>
      </w:r>
      <w:r w:rsidRPr="00390D6E">
        <w:t>T</w:t>
      </w:r>
      <w:r w:rsidR="00CA33BC">
        <w:t xml:space="preserve">itle </w:t>
      </w:r>
      <w:r w:rsidRPr="00390D6E">
        <w:t>T</w:t>
      </w:r>
      <w:r w:rsidR="00CA33BC">
        <w:t>ribunal (NNTT)</w:t>
      </w:r>
      <w:r w:rsidRPr="00390D6E">
        <w:rPr>
          <w:vertAlign w:val="superscript"/>
        </w:rPr>
        <w:footnoteReference w:id="5"/>
      </w:r>
    </w:p>
    <w:tbl>
      <w:tblPr>
        <w:tblStyle w:val="AEMO5"/>
        <w:tblW w:w="5000" w:type="pct"/>
        <w:tblLook w:val="04A0" w:firstRow="1" w:lastRow="0" w:firstColumn="1" w:lastColumn="0" w:noHBand="0" w:noVBand="1"/>
      </w:tblPr>
      <w:tblGrid>
        <w:gridCol w:w="1784"/>
        <w:gridCol w:w="1786"/>
        <w:gridCol w:w="1788"/>
        <w:gridCol w:w="1786"/>
        <w:gridCol w:w="1786"/>
      </w:tblGrid>
      <w:tr w:rsidR="00FA7DF9" w:rsidRPr="00390D6E" w14:paraId="1D2E5D41" w14:textId="77777777" w:rsidTr="0007422D">
        <w:trPr>
          <w:cnfStyle w:val="100000000000" w:firstRow="1" w:lastRow="0" w:firstColumn="0" w:lastColumn="0" w:oddVBand="0" w:evenVBand="0" w:oddHBand="0" w:evenHBand="0" w:firstRowFirstColumn="0" w:firstRowLastColumn="0" w:lastRowFirstColumn="0" w:lastRowLastColumn="0"/>
        </w:trPr>
        <w:tc>
          <w:tcPr>
            <w:tcW w:w="999" w:type="pct"/>
            <w:vMerge w:val="restart"/>
          </w:tcPr>
          <w:p w14:paraId="0E596CC5" w14:textId="77777777" w:rsidR="00FA7DF9" w:rsidRPr="00390D6E" w:rsidRDefault="00FA7DF9">
            <w:pPr>
              <w:pStyle w:val="TableNheader"/>
            </w:pPr>
            <w:r w:rsidRPr="00390D6E">
              <w:t xml:space="preserve">Financial </w:t>
            </w:r>
            <w:r>
              <w:t>y</w:t>
            </w:r>
            <w:r w:rsidRPr="00390D6E">
              <w:t>ear</w:t>
            </w:r>
          </w:p>
        </w:tc>
        <w:tc>
          <w:tcPr>
            <w:tcW w:w="4001" w:type="pct"/>
            <w:gridSpan w:val="4"/>
          </w:tcPr>
          <w:p w14:paraId="17AE84EE" w14:textId="77777777" w:rsidR="00FA7DF9" w:rsidRPr="00390D6E" w:rsidRDefault="00FA7DF9">
            <w:pPr>
              <w:pStyle w:val="TableNheader"/>
              <w:jc w:val="center"/>
            </w:pPr>
            <w:r w:rsidRPr="00390D6E">
              <w:t>FANs</w:t>
            </w:r>
          </w:p>
        </w:tc>
      </w:tr>
      <w:tr w:rsidR="00D953B4" w:rsidRPr="00390D6E" w14:paraId="12D96002" w14:textId="77777777" w:rsidTr="001C019D">
        <w:trPr>
          <w:cnfStyle w:val="000000100000" w:firstRow="0" w:lastRow="0" w:firstColumn="0" w:lastColumn="0" w:oddVBand="0" w:evenVBand="0" w:oddHBand="1" w:evenHBand="0" w:firstRowFirstColumn="0" w:firstRowLastColumn="0" w:lastRowFirstColumn="0" w:lastRowLastColumn="0"/>
        </w:trPr>
        <w:tc>
          <w:tcPr>
            <w:tcW w:w="999" w:type="pct"/>
            <w:vMerge/>
          </w:tcPr>
          <w:p w14:paraId="16BC4255" w14:textId="77777777" w:rsidR="00FA7DF9" w:rsidRPr="00390D6E" w:rsidRDefault="00FA7DF9">
            <w:pPr>
              <w:pStyle w:val="TableNheader"/>
            </w:pPr>
          </w:p>
        </w:tc>
        <w:tc>
          <w:tcPr>
            <w:tcW w:w="1000" w:type="pct"/>
            <w:shd w:val="clear" w:color="auto" w:fill="E6E6E1" w:themeFill="accent5"/>
          </w:tcPr>
          <w:p w14:paraId="4F4987CD" w14:textId="77777777" w:rsidR="00FA7DF9" w:rsidRPr="00CA6E3E" w:rsidRDefault="00FA7DF9" w:rsidP="001C019D">
            <w:pPr>
              <w:pStyle w:val="TableNheader"/>
            </w:pPr>
            <w:r w:rsidRPr="00CA6E3E">
              <w:t>All notifications</w:t>
            </w:r>
          </w:p>
        </w:tc>
        <w:tc>
          <w:tcPr>
            <w:tcW w:w="1001" w:type="pct"/>
            <w:shd w:val="clear" w:color="auto" w:fill="E6E6E1" w:themeFill="accent5"/>
          </w:tcPr>
          <w:p w14:paraId="52EBA3E8" w14:textId="77777777" w:rsidR="00FA7DF9" w:rsidRPr="00CA6E3E" w:rsidRDefault="00FA7DF9" w:rsidP="001C019D">
            <w:pPr>
              <w:pStyle w:val="TableNheader"/>
            </w:pPr>
            <w:r w:rsidRPr="00CA6E3E">
              <w:t>Section 29 notifications (expedited)</w:t>
            </w:r>
          </w:p>
        </w:tc>
        <w:tc>
          <w:tcPr>
            <w:tcW w:w="1000" w:type="pct"/>
            <w:shd w:val="clear" w:color="auto" w:fill="E6E6E1" w:themeFill="accent5"/>
          </w:tcPr>
          <w:p w14:paraId="34FBCC5B" w14:textId="0C211D17" w:rsidR="00FA7DF9" w:rsidRPr="00CA6E3E" w:rsidRDefault="00FA7DF9" w:rsidP="001C019D">
            <w:pPr>
              <w:pStyle w:val="TableNheader"/>
            </w:pPr>
            <w:r w:rsidRPr="00CA6E3E">
              <w:t>Section 29 notifications (not expedited procedure)</w:t>
            </w:r>
            <w:r w:rsidR="00FC299C" w:rsidRPr="00CA6E3E">
              <w:rPr>
                <w:rStyle w:val="FootnoteReference"/>
                <w:rFonts w:asciiTheme="majorHAnsi" w:hAnsiTheme="majorHAnsi" w:cstheme="majorHAnsi"/>
              </w:rPr>
              <w:footnoteReference w:id="6"/>
            </w:r>
          </w:p>
        </w:tc>
        <w:tc>
          <w:tcPr>
            <w:tcW w:w="1001" w:type="pct"/>
            <w:shd w:val="clear" w:color="auto" w:fill="E6E6E1" w:themeFill="accent5"/>
          </w:tcPr>
          <w:p w14:paraId="3ADB8711" w14:textId="77777777" w:rsidR="00FA7DF9" w:rsidRPr="00CA6E3E" w:rsidRDefault="00FA7DF9" w:rsidP="001C019D">
            <w:pPr>
              <w:pStyle w:val="TableNheader"/>
            </w:pPr>
            <w:r w:rsidRPr="00CA6E3E">
              <w:t>Other FANs (including right to comment)</w:t>
            </w:r>
          </w:p>
        </w:tc>
      </w:tr>
      <w:tr w:rsidR="00FA7DF9" w:rsidRPr="00390D6E" w14:paraId="728FEE92" w14:textId="77777777" w:rsidTr="0007422D">
        <w:trPr>
          <w:cnfStyle w:val="000000010000" w:firstRow="0" w:lastRow="0" w:firstColumn="0" w:lastColumn="0" w:oddVBand="0" w:evenVBand="0" w:oddHBand="0" w:evenHBand="1" w:firstRowFirstColumn="0" w:firstRowLastColumn="0" w:lastRowFirstColumn="0" w:lastRowLastColumn="0"/>
        </w:trPr>
        <w:tc>
          <w:tcPr>
            <w:tcW w:w="999" w:type="pct"/>
          </w:tcPr>
          <w:p w14:paraId="3844F57C" w14:textId="77777777" w:rsidR="00FA7DF9" w:rsidRPr="00E4466C" w:rsidRDefault="00FA7DF9">
            <w:pPr>
              <w:pStyle w:val="TableNText"/>
            </w:pPr>
            <w:r w:rsidRPr="00E4466C">
              <w:t>2019-20</w:t>
            </w:r>
          </w:p>
        </w:tc>
        <w:tc>
          <w:tcPr>
            <w:tcW w:w="1000" w:type="pct"/>
          </w:tcPr>
          <w:p w14:paraId="488A57D5" w14:textId="65E3A3B9" w:rsidR="00FA7DF9" w:rsidRPr="00E4466C" w:rsidRDefault="007F5733">
            <w:pPr>
              <w:pStyle w:val="TableNText"/>
            </w:pPr>
            <w:r>
              <w:t>145</w:t>
            </w:r>
          </w:p>
        </w:tc>
        <w:tc>
          <w:tcPr>
            <w:tcW w:w="1001" w:type="pct"/>
          </w:tcPr>
          <w:p w14:paraId="7E5872A6" w14:textId="690CD0CA" w:rsidR="00FA7DF9" w:rsidRPr="00E4466C" w:rsidRDefault="007F28EF">
            <w:pPr>
              <w:pStyle w:val="TableNText"/>
            </w:pPr>
            <w:r>
              <w:t>113</w:t>
            </w:r>
          </w:p>
        </w:tc>
        <w:tc>
          <w:tcPr>
            <w:tcW w:w="1000" w:type="pct"/>
          </w:tcPr>
          <w:p w14:paraId="22333634" w14:textId="2BB2B465" w:rsidR="00FA7DF9" w:rsidRPr="00E4466C" w:rsidRDefault="007F28EF">
            <w:pPr>
              <w:pStyle w:val="TableNText"/>
            </w:pPr>
            <w:r>
              <w:t>16</w:t>
            </w:r>
          </w:p>
        </w:tc>
        <w:tc>
          <w:tcPr>
            <w:tcW w:w="1001" w:type="pct"/>
          </w:tcPr>
          <w:p w14:paraId="21B331F3" w14:textId="01BF4676" w:rsidR="00FA7DF9" w:rsidRPr="00E4466C" w:rsidRDefault="00FA7DF9">
            <w:pPr>
              <w:pStyle w:val="TableNText"/>
            </w:pPr>
            <w:r w:rsidRPr="00E4466C">
              <w:t>1</w:t>
            </w:r>
            <w:r w:rsidR="007F28EF">
              <w:t>6</w:t>
            </w:r>
          </w:p>
        </w:tc>
      </w:tr>
      <w:tr w:rsidR="00FA7DF9" w:rsidRPr="00390D6E" w14:paraId="18A5E458" w14:textId="77777777" w:rsidTr="0007422D">
        <w:trPr>
          <w:cnfStyle w:val="000000100000" w:firstRow="0" w:lastRow="0" w:firstColumn="0" w:lastColumn="0" w:oddVBand="0" w:evenVBand="0" w:oddHBand="1" w:evenHBand="0" w:firstRowFirstColumn="0" w:firstRowLastColumn="0" w:lastRowFirstColumn="0" w:lastRowLastColumn="0"/>
        </w:trPr>
        <w:tc>
          <w:tcPr>
            <w:tcW w:w="999" w:type="pct"/>
          </w:tcPr>
          <w:p w14:paraId="16C05931" w14:textId="77777777" w:rsidR="00FA7DF9" w:rsidRPr="00E4466C" w:rsidRDefault="00FA7DF9">
            <w:pPr>
              <w:pStyle w:val="TableNText"/>
            </w:pPr>
            <w:r w:rsidRPr="00E4466C">
              <w:t>2020-21</w:t>
            </w:r>
          </w:p>
        </w:tc>
        <w:tc>
          <w:tcPr>
            <w:tcW w:w="1000" w:type="pct"/>
          </w:tcPr>
          <w:p w14:paraId="6C2A73E8" w14:textId="21FEC016" w:rsidR="00FA7DF9" w:rsidRPr="00E4466C" w:rsidRDefault="007F28EF">
            <w:pPr>
              <w:pStyle w:val="TableNText"/>
            </w:pPr>
            <w:r>
              <w:t>175</w:t>
            </w:r>
          </w:p>
        </w:tc>
        <w:tc>
          <w:tcPr>
            <w:tcW w:w="1001" w:type="pct"/>
          </w:tcPr>
          <w:p w14:paraId="33AD7395" w14:textId="451BCDB5" w:rsidR="00FA7DF9" w:rsidRPr="00E4466C" w:rsidRDefault="006B1EB4">
            <w:pPr>
              <w:pStyle w:val="TableNText"/>
            </w:pPr>
            <w:r>
              <w:t>133</w:t>
            </w:r>
          </w:p>
        </w:tc>
        <w:tc>
          <w:tcPr>
            <w:tcW w:w="1000" w:type="pct"/>
          </w:tcPr>
          <w:p w14:paraId="2037EEFA" w14:textId="56AF6EB2" w:rsidR="00FA7DF9" w:rsidRPr="00E4466C" w:rsidRDefault="007F28EF">
            <w:pPr>
              <w:pStyle w:val="TableNText"/>
            </w:pPr>
            <w:r>
              <w:t>5</w:t>
            </w:r>
          </w:p>
        </w:tc>
        <w:tc>
          <w:tcPr>
            <w:tcW w:w="1001" w:type="pct"/>
          </w:tcPr>
          <w:p w14:paraId="1CD7AA1D" w14:textId="2336899E" w:rsidR="00FA7DF9" w:rsidRPr="00E4466C" w:rsidRDefault="00FA7DF9">
            <w:pPr>
              <w:pStyle w:val="TableNText"/>
            </w:pPr>
            <w:r w:rsidRPr="00E4466C">
              <w:t>3</w:t>
            </w:r>
            <w:r w:rsidR="007F28EF">
              <w:t>7</w:t>
            </w:r>
          </w:p>
        </w:tc>
      </w:tr>
      <w:tr w:rsidR="00FA7DF9" w:rsidRPr="00390D6E" w14:paraId="7D1D4490" w14:textId="77777777" w:rsidTr="0007422D">
        <w:trPr>
          <w:cnfStyle w:val="000000010000" w:firstRow="0" w:lastRow="0" w:firstColumn="0" w:lastColumn="0" w:oddVBand="0" w:evenVBand="0" w:oddHBand="0" w:evenHBand="1" w:firstRowFirstColumn="0" w:firstRowLastColumn="0" w:lastRowFirstColumn="0" w:lastRowLastColumn="0"/>
        </w:trPr>
        <w:tc>
          <w:tcPr>
            <w:tcW w:w="999" w:type="pct"/>
          </w:tcPr>
          <w:p w14:paraId="2F35B439" w14:textId="77777777" w:rsidR="00FA7DF9" w:rsidRPr="00E4466C" w:rsidRDefault="00FA7DF9">
            <w:pPr>
              <w:pStyle w:val="TableNText"/>
            </w:pPr>
            <w:r w:rsidRPr="00E4466C">
              <w:t>2021-22</w:t>
            </w:r>
          </w:p>
        </w:tc>
        <w:tc>
          <w:tcPr>
            <w:tcW w:w="1000" w:type="pct"/>
          </w:tcPr>
          <w:p w14:paraId="3A4FC7A6" w14:textId="0300459C" w:rsidR="00FA7DF9" w:rsidRPr="00E4466C" w:rsidRDefault="007F28EF">
            <w:pPr>
              <w:pStyle w:val="TableNText"/>
            </w:pPr>
            <w:r>
              <w:t>229</w:t>
            </w:r>
          </w:p>
        </w:tc>
        <w:tc>
          <w:tcPr>
            <w:tcW w:w="1001" w:type="pct"/>
          </w:tcPr>
          <w:p w14:paraId="21AAF616" w14:textId="3C7B1497" w:rsidR="00FA7DF9" w:rsidRPr="00E4466C" w:rsidRDefault="00FA7DF9">
            <w:pPr>
              <w:pStyle w:val="TableNText"/>
            </w:pPr>
            <w:r w:rsidRPr="00E4466C">
              <w:t>21</w:t>
            </w:r>
            <w:r w:rsidR="007F28EF">
              <w:t>7</w:t>
            </w:r>
          </w:p>
        </w:tc>
        <w:tc>
          <w:tcPr>
            <w:tcW w:w="1000" w:type="pct"/>
          </w:tcPr>
          <w:p w14:paraId="36AF681C" w14:textId="58D1BC8E" w:rsidR="00FA7DF9" w:rsidRPr="00E4466C" w:rsidRDefault="006B1EB4">
            <w:pPr>
              <w:pStyle w:val="TableNText"/>
            </w:pPr>
            <w:r>
              <w:t>1</w:t>
            </w:r>
          </w:p>
        </w:tc>
        <w:tc>
          <w:tcPr>
            <w:tcW w:w="1001" w:type="pct"/>
          </w:tcPr>
          <w:p w14:paraId="0239C3E8" w14:textId="013B810F" w:rsidR="00FA7DF9" w:rsidRPr="00E4466C" w:rsidRDefault="007F28EF">
            <w:pPr>
              <w:pStyle w:val="TableNText"/>
            </w:pPr>
            <w:r>
              <w:t>11</w:t>
            </w:r>
          </w:p>
        </w:tc>
      </w:tr>
    </w:tbl>
    <w:p w14:paraId="66DC4BBD" w14:textId="2ECB445A" w:rsidR="00FA7DF9" w:rsidRPr="00390D6E" w:rsidRDefault="00FA7DF9" w:rsidP="00FA7DF9">
      <w:pPr>
        <w:rPr>
          <w:lang w:eastAsia="en-AU"/>
        </w:rPr>
      </w:pPr>
      <w:r>
        <w:rPr>
          <w:lang w:eastAsia="en-AU"/>
        </w:rPr>
        <w:br/>
      </w:r>
      <w:r w:rsidRPr="00390D6E">
        <w:rPr>
          <w:lang w:eastAsia="en-AU"/>
        </w:rPr>
        <w:t xml:space="preserve">The KLC filed objections to </w:t>
      </w:r>
      <w:r>
        <w:rPr>
          <w:lang w:eastAsia="en-AU"/>
        </w:rPr>
        <w:t xml:space="preserve">all </w:t>
      </w:r>
      <w:r w:rsidRPr="00390D6E">
        <w:rPr>
          <w:lang w:eastAsia="en-AU"/>
        </w:rPr>
        <w:t>s</w:t>
      </w:r>
      <w:r>
        <w:rPr>
          <w:lang w:eastAsia="en-AU"/>
        </w:rPr>
        <w:t xml:space="preserve">ection </w:t>
      </w:r>
      <w:r w:rsidRPr="00390D6E">
        <w:rPr>
          <w:lang w:eastAsia="en-AU"/>
        </w:rPr>
        <w:t xml:space="preserve">29 expedited FANs </w:t>
      </w:r>
      <w:r>
        <w:rPr>
          <w:lang w:eastAsia="en-AU"/>
        </w:rPr>
        <w:t xml:space="preserve">throughout the Review period, except where </w:t>
      </w:r>
      <w:r w:rsidRPr="00387102">
        <w:rPr>
          <w:lang w:eastAsia="en-AU"/>
        </w:rPr>
        <w:t>the proponent ha</w:t>
      </w:r>
      <w:r>
        <w:rPr>
          <w:lang w:eastAsia="en-AU"/>
        </w:rPr>
        <w:t>d</w:t>
      </w:r>
      <w:r w:rsidRPr="00387102">
        <w:rPr>
          <w:lang w:eastAsia="en-AU"/>
        </w:rPr>
        <w:t xml:space="preserve"> already agreed to a heritage protection agreement or the KLC </w:t>
      </w:r>
      <w:r>
        <w:rPr>
          <w:lang w:eastAsia="en-AU"/>
        </w:rPr>
        <w:t>was</w:t>
      </w:r>
      <w:r w:rsidRPr="00387102">
        <w:rPr>
          <w:lang w:eastAsia="en-AU"/>
        </w:rPr>
        <w:t xml:space="preserve"> not instructed to act for the relevant native title party</w:t>
      </w:r>
      <w:r w:rsidRPr="00390D6E">
        <w:rPr>
          <w:lang w:eastAsia="en-AU"/>
        </w:rPr>
        <w:t xml:space="preserve">. </w:t>
      </w:r>
      <w:r w:rsidR="00CA33BC">
        <w:rPr>
          <w:lang w:eastAsia="en-AU"/>
        </w:rPr>
        <w:t>KLC s</w:t>
      </w:r>
      <w:r>
        <w:rPr>
          <w:lang w:eastAsia="en-AU"/>
        </w:rPr>
        <w:t>taff explained</w:t>
      </w:r>
      <w:r w:rsidRPr="00390D6E">
        <w:rPr>
          <w:lang w:eastAsia="en-AU"/>
        </w:rPr>
        <w:t xml:space="preserve"> that the reason for </w:t>
      </w:r>
      <w:r>
        <w:rPr>
          <w:lang w:eastAsia="en-AU"/>
        </w:rPr>
        <w:t xml:space="preserve">this </w:t>
      </w:r>
      <w:r w:rsidRPr="00390D6E">
        <w:rPr>
          <w:lang w:eastAsia="en-AU"/>
        </w:rPr>
        <w:t xml:space="preserve">was </w:t>
      </w:r>
      <w:r>
        <w:rPr>
          <w:lang w:eastAsia="en-AU"/>
        </w:rPr>
        <w:t xml:space="preserve">the </w:t>
      </w:r>
      <w:r w:rsidRPr="00390D6E">
        <w:rPr>
          <w:lang w:eastAsia="en-AU"/>
        </w:rPr>
        <w:t>W</w:t>
      </w:r>
      <w:r>
        <w:rPr>
          <w:lang w:eastAsia="en-AU"/>
        </w:rPr>
        <w:t>estern Australian</w:t>
      </w:r>
      <w:r w:rsidRPr="00390D6E">
        <w:rPr>
          <w:lang w:eastAsia="en-AU"/>
        </w:rPr>
        <w:t xml:space="preserve"> Government’s practice of applying the “expedited procedure statement” to all exploration licences</w:t>
      </w:r>
      <w:r>
        <w:rPr>
          <w:lang w:eastAsia="en-AU"/>
        </w:rPr>
        <w:t>. This</w:t>
      </w:r>
      <w:r w:rsidDel="00CA33BC">
        <w:rPr>
          <w:lang w:eastAsia="en-AU"/>
        </w:rPr>
        <w:t xml:space="preserve"> </w:t>
      </w:r>
      <w:r w:rsidR="00CA33BC">
        <w:rPr>
          <w:lang w:eastAsia="en-AU"/>
        </w:rPr>
        <w:t xml:space="preserve">was </w:t>
      </w:r>
      <w:r>
        <w:rPr>
          <w:lang w:eastAsia="en-AU"/>
        </w:rPr>
        <w:t xml:space="preserve">done regardless of the status of the land covered. For example, </w:t>
      </w:r>
      <w:r w:rsidRPr="00390D6E">
        <w:rPr>
          <w:lang w:eastAsia="en-AU"/>
        </w:rPr>
        <w:t xml:space="preserve">the NNTT </w:t>
      </w:r>
      <w:r>
        <w:rPr>
          <w:lang w:eastAsia="en-AU"/>
        </w:rPr>
        <w:t>may have</w:t>
      </w:r>
      <w:r w:rsidRPr="00390D6E">
        <w:rPr>
          <w:lang w:eastAsia="en-AU"/>
        </w:rPr>
        <w:t xml:space="preserve"> previously found that it </w:t>
      </w:r>
      <w:r w:rsidR="00CA33BC">
        <w:rPr>
          <w:lang w:eastAsia="en-AU"/>
        </w:rPr>
        <w:t>did</w:t>
      </w:r>
      <w:r w:rsidR="00CA33BC" w:rsidRPr="00390D6E">
        <w:rPr>
          <w:lang w:eastAsia="en-AU"/>
        </w:rPr>
        <w:t xml:space="preserve"> </w:t>
      </w:r>
      <w:r w:rsidRPr="00390D6E">
        <w:rPr>
          <w:lang w:eastAsia="en-AU"/>
        </w:rPr>
        <w:t>not apply in the area of the notice, the notice cover</w:t>
      </w:r>
      <w:r w:rsidR="00762D6A">
        <w:rPr>
          <w:lang w:eastAsia="en-AU"/>
        </w:rPr>
        <w:t>ed</w:t>
      </w:r>
      <w:r w:rsidRPr="00390D6E">
        <w:rPr>
          <w:lang w:eastAsia="en-AU"/>
        </w:rPr>
        <w:t xml:space="preserve"> registered sites, or the activities proposed </w:t>
      </w:r>
      <w:r w:rsidR="00762D6A">
        <w:rPr>
          <w:lang w:eastAsia="en-AU"/>
        </w:rPr>
        <w:t>would</w:t>
      </w:r>
      <w:r w:rsidRPr="00390D6E">
        <w:rPr>
          <w:lang w:eastAsia="en-AU"/>
        </w:rPr>
        <w:t xml:space="preserve"> have an obvious significant impact.</w:t>
      </w:r>
      <w:r w:rsidRPr="00390D6E">
        <w:rPr>
          <w:vertAlign w:val="superscript"/>
          <w:lang w:eastAsia="en-AU"/>
        </w:rPr>
        <w:footnoteReference w:id="7"/>
      </w:r>
      <w:r w:rsidRPr="00390D6E">
        <w:rPr>
          <w:lang w:eastAsia="en-AU"/>
        </w:rPr>
        <w:t xml:space="preserve"> </w:t>
      </w:r>
    </w:p>
    <w:p w14:paraId="2C527325" w14:textId="42972EBF" w:rsidR="00FA7DF9" w:rsidRPr="00390D6E" w:rsidRDefault="00FA7DF9" w:rsidP="00FA7DF9">
      <w:pPr>
        <w:rPr>
          <w:lang w:eastAsia="en-AU"/>
        </w:rPr>
      </w:pPr>
      <w:r w:rsidRPr="00390D6E">
        <w:rPr>
          <w:lang w:eastAsia="en-AU"/>
        </w:rPr>
        <w:t xml:space="preserve">For native title and Future Act matters that </w:t>
      </w:r>
      <w:r w:rsidR="00762D6A">
        <w:rPr>
          <w:lang w:eastAsia="en-AU"/>
        </w:rPr>
        <w:t>were</w:t>
      </w:r>
      <w:r w:rsidR="00762D6A" w:rsidRPr="00390D6E">
        <w:rPr>
          <w:lang w:eastAsia="en-AU"/>
        </w:rPr>
        <w:t xml:space="preserve"> </w:t>
      </w:r>
      <w:r w:rsidRPr="00390D6E">
        <w:rPr>
          <w:lang w:eastAsia="en-AU"/>
        </w:rPr>
        <w:t xml:space="preserve">not objected to and </w:t>
      </w:r>
      <w:r w:rsidR="00762D6A">
        <w:rPr>
          <w:lang w:eastAsia="en-AU"/>
        </w:rPr>
        <w:t>were</w:t>
      </w:r>
      <w:r w:rsidR="00762D6A" w:rsidRPr="00390D6E">
        <w:rPr>
          <w:lang w:eastAsia="en-AU"/>
        </w:rPr>
        <w:t xml:space="preserve"> </w:t>
      </w:r>
      <w:r w:rsidRPr="00390D6E">
        <w:rPr>
          <w:lang w:eastAsia="en-AU"/>
        </w:rPr>
        <w:t>negotiated, ILUAs and other agreements (</w:t>
      </w:r>
      <w:r>
        <w:rPr>
          <w:lang w:eastAsia="en-AU"/>
        </w:rPr>
        <w:t>for example</w:t>
      </w:r>
      <w:r w:rsidRPr="00390D6E">
        <w:rPr>
          <w:lang w:eastAsia="en-AU"/>
        </w:rPr>
        <w:t xml:space="preserve">, Cultural Heritage Protection Agreements) </w:t>
      </w:r>
      <w:r w:rsidR="00762D6A">
        <w:rPr>
          <w:lang w:eastAsia="en-AU"/>
        </w:rPr>
        <w:t>were</w:t>
      </w:r>
      <w:r w:rsidR="00762D6A" w:rsidRPr="00390D6E">
        <w:rPr>
          <w:lang w:eastAsia="en-AU"/>
        </w:rPr>
        <w:t xml:space="preserve"> </w:t>
      </w:r>
      <w:r w:rsidRPr="00390D6E">
        <w:rPr>
          <w:lang w:eastAsia="en-AU"/>
        </w:rPr>
        <w:t xml:space="preserve">used by the KLC to achieve benefits for their clients. </w:t>
      </w:r>
      <w:r>
        <w:rPr>
          <w:lang w:eastAsia="en-AU"/>
        </w:rPr>
        <w:t>The KLC performed</w:t>
      </w:r>
      <w:r w:rsidDel="00762D6A">
        <w:rPr>
          <w:lang w:eastAsia="en-AU"/>
        </w:rPr>
        <w:t xml:space="preserve"> </w:t>
      </w:r>
      <w:r>
        <w:rPr>
          <w:lang w:eastAsia="en-AU"/>
        </w:rPr>
        <w:t>certification functions and, where requested by the native title party, facilitation and assistance functions for nine</w:t>
      </w:r>
      <w:r w:rsidRPr="00390D6E">
        <w:rPr>
          <w:lang w:eastAsia="en-AU"/>
        </w:rPr>
        <w:t xml:space="preserve"> ILUAs </w:t>
      </w:r>
      <w:r>
        <w:rPr>
          <w:lang w:eastAsia="en-AU"/>
        </w:rPr>
        <w:t xml:space="preserve">during the Review period, </w:t>
      </w:r>
      <w:r w:rsidRPr="00390D6E">
        <w:rPr>
          <w:lang w:eastAsia="en-AU"/>
        </w:rPr>
        <w:t xml:space="preserve">as indicated in </w:t>
      </w:r>
      <w:r>
        <w:rPr>
          <w:lang w:eastAsia="en-AU"/>
        </w:rPr>
        <w:fldChar w:fldCharType="begin"/>
      </w:r>
      <w:r>
        <w:rPr>
          <w:lang w:eastAsia="en-AU"/>
        </w:rPr>
        <w:instrText xml:space="preserve"> REF _Ref154045524 \h </w:instrText>
      </w:r>
      <w:r>
        <w:rPr>
          <w:lang w:eastAsia="en-AU"/>
        </w:rPr>
      </w:r>
      <w:r>
        <w:rPr>
          <w:lang w:eastAsia="en-AU"/>
        </w:rPr>
        <w:fldChar w:fldCharType="separate"/>
      </w:r>
      <w:r w:rsidR="00291532">
        <w:t xml:space="preserve">Table </w:t>
      </w:r>
      <w:r w:rsidR="00291532">
        <w:rPr>
          <w:noProof/>
        </w:rPr>
        <w:t>4</w:t>
      </w:r>
      <w:r>
        <w:rPr>
          <w:lang w:eastAsia="en-AU"/>
        </w:rPr>
        <w:fldChar w:fldCharType="end"/>
      </w:r>
      <w:r>
        <w:rPr>
          <w:lang w:eastAsia="en-AU"/>
        </w:rPr>
        <w:t>.</w:t>
      </w:r>
      <w:r w:rsidRPr="00390D6E">
        <w:rPr>
          <w:lang w:eastAsia="en-AU"/>
        </w:rPr>
        <w:t xml:space="preserve"> </w:t>
      </w:r>
      <w:r>
        <w:rPr>
          <w:lang w:eastAsia="en-AU"/>
        </w:rPr>
        <w:t>O</w:t>
      </w:r>
      <w:r w:rsidRPr="00390D6E">
        <w:rPr>
          <w:lang w:eastAsia="en-AU"/>
        </w:rPr>
        <w:t>ne ILUA settlement result</w:t>
      </w:r>
      <w:r>
        <w:rPr>
          <w:lang w:eastAsia="en-AU"/>
        </w:rPr>
        <w:t>ed</w:t>
      </w:r>
      <w:r w:rsidRPr="00390D6E">
        <w:rPr>
          <w:lang w:eastAsia="en-AU"/>
        </w:rPr>
        <w:t xml:space="preserve"> in the extinguishment of native title.</w:t>
      </w:r>
    </w:p>
    <w:p w14:paraId="721811FA" w14:textId="1E8DCA30" w:rsidR="00FA7DF9" w:rsidRDefault="00FA7DF9" w:rsidP="00FA7DF9">
      <w:pPr>
        <w:pStyle w:val="Caption"/>
      </w:pPr>
      <w:bookmarkStart w:id="23" w:name="_Ref154045524"/>
      <w:r>
        <w:t xml:space="preserve">Table </w:t>
      </w:r>
      <w:r>
        <w:fldChar w:fldCharType="begin"/>
      </w:r>
      <w:r>
        <w:instrText xml:space="preserve"> SEQ Table \* ARABIC </w:instrText>
      </w:r>
      <w:r>
        <w:fldChar w:fldCharType="separate"/>
      </w:r>
      <w:r w:rsidR="00291532">
        <w:rPr>
          <w:noProof/>
        </w:rPr>
        <w:t>4</w:t>
      </w:r>
      <w:r>
        <w:fldChar w:fldCharType="end"/>
      </w:r>
      <w:bookmarkEnd w:id="23"/>
      <w:r>
        <w:t xml:space="preserve"> | </w:t>
      </w:r>
      <w:r w:rsidRPr="00E8133C">
        <w:t>ILUAs registered with the NNTT during the Review period</w:t>
      </w:r>
    </w:p>
    <w:tbl>
      <w:tblPr>
        <w:tblStyle w:val="AEMO5"/>
        <w:tblW w:w="5000" w:type="pct"/>
        <w:tblLayout w:type="fixed"/>
        <w:tblLook w:val="04A0" w:firstRow="1" w:lastRow="0" w:firstColumn="1" w:lastColumn="0" w:noHBand="0" w:noVBand="1"/>
      </w:tblPr>
      <w:tblGrid>
        <w:gridCol w:w="1786"/>
        <w:gridCol w:w="1786"/>
        <w:gridCol w:w="1786"/>
        <w:gridCol w:w="1786"/>
        <w:gridCol w:w="1786"/>
      </w:tblGrid>
      <w:tr w:rsidR="00FA7DF9" w:rsidRPr="00390D6E" w14:paraId="1E31B4BB" w14:textId="77777777" w:rsidTr="0007422D">
        <w:trPr>
          <w:cnfStyle w:val="100000000000" w:firstRow="1" w:lastRow="0" w:firstColumn="0" w:lastColumn="0" w:oddVBand="0" w:evenVBand="0" w:oddHBand="0" w:evenHBand="0" w:firstRowFirstColumn="0" w:firstRowLastColumn="0" w:lastRowFirstColumn="0" w:lastRowLastColumn="0"/>
          <w:trHeight w:val="318"/>
        </w:trPr>
        <w:tc>
          <w:tcPr>
            <w:tcW w:w="1000" w:type="pct"/>
            <w:hideMark/>
          </w:tcPr>
          <w:p w14:paraId="2076A539" w14:textId="77777777" w:rsidR="00FA7DF9" w:rsidRPr="00390D6E" w:rsidRDefault="00FA7DF9">
            <w:pPr>
              <w:pStyle w:val="TableNheader"/>
              <w:rPr>
                <w:lang w:eastAsia="en-AU"/>
              </w:rPr>
            </w:pPr>
            <w:r w:rsidRPr="00390D6E">
              <w:rPr>
                <w:lang w:eastAsia="en-AU"/>
              </w:rPr>
              <w:t>ILUA name</w:t>
            </w:r>
          </w:p>
        </w:tc>
        <w:tc>
          <w:tcPr>
            <w:tcW w:w="1000" w:type="pct"/>
            <w:noWrap/>
            <w:hideMark/>
          </w:tcPr>
          <w:p w14:paraId="02AD49DC" w14:textId="77777777" w:rsidR="00FA7DF9" w:rsidRPr="00390D6E" w:rsidRDefault="00FA7DF9">
            <w:pPr>
              <w:pStyle w:val="TableNheader"/>
              <w:rPr>
                <w:lang w:eastAsia="en-AU"/>
              </w:rPr>
            </w:pPr>
            <w:r w:rsidRPr="00390D6E">
              <w:rPr>
                <w:lang w:eastAsia="en-AU"/>
              </w:rPr>
              <w:t>Date registered</w:t>
            </w:r>
          </w:p>
        </w:tc>
        <w:tc>
          <w:tcPr>
            <w:tcW w:w="1000" w:type="pct"/>
            <w:noWrap/>
            <w:hideMark/>
          </w:tcPr>
          <w:p w14:paraId="4CF741B5" w14:textId="77777777" w:rsidR="00FA7DF9" w:rsidRPr="00390D6E" w:rsidRDefault="00FA7DF9">
            <w:pPr>
              <w:pStyle w:val="TableNheader"/>
              <w:rPr>
                <w:lang w:eastAsia="en-AU"/>
              </w:rPr>
            </w:pPr>
            <w:r w:rsidRPr="00390D6E">
              <w:rPr>
                <w:lang w:eastAsia="en-AU"/>
              </w:rPr>
              <w:t>ILUA type</w:t>
            </w:r>
          </w:p>
        </w:tc>
        <w:tc>
          <w:tcPr>
            <w:tcW w:w="1000" w:type="pct"/>
            <w:noWrap/>
            <w:hideMark/>
          </w:tcPr>
          <w:p w14:paraId="44A08CDB" w14:textId="77777777" w:rsidR="00FA7DF9" w:rsidRPr="00390D6E" w:rsidRDefault="00FA7DF9">
            <w:pPr>
              <w:pStyle w:val="TableNheader"/>
              <w:rPr>
                <w:lang w:eastAsia="en-AU"/>
              </w:rPr>
            </w:pPr>
            <w:r w:rsidRPr="00390D6E">
              <w:rPr>
                <w:lang w:eastAsia="en-AU"/>
              </w:rPr>
              <w:t>Primary subject matter</w:t>
            </w:r>
          </w:p>
        </w:tc>
        <w:tc>
          <w:tcPr>
            <w:tcW w:w="1000" w:type="pct"/>
            <w:hideMark/>
          </w:tcPr>
          <w:p w14:paraId="5E487EB4" w14:textId="77777777" w:rsidR="00FA7DF9" w:rsidRPr="00390D6E" w:rsidRDefault="00FA7DF9">
            <w:pPr>
              <w:pStyle w:val="TableNheader"/>
              <w:rPr>
                <w:lang w:eastAsia="en-AU"/>
              </w:rPr>
            </w:pPr>
            <w:r w:rsidRPr="00390D6E">
              <w:rPr>
                <w:lang w:eastAsia="en-AU"/>
              </w:rPr>
              <w:t>Other subject matter(s)</w:t>
            </w:r>
          </w:p>
        </w:tc>
      </w:tr>
      <w:tr w:rsidR="00FA7DF9" w:rsidRPr="00390D6E" w14:paraId="7D97276E" w14:textId="77777777" w:rsidTr="0007422D">
        <w:trPr>
          <w:cnfStyle w:val="000000100000" w:firstRow="0" w:lastRow="0" w:firstColumn="0" w:lastColumn="0" w:oddVBand="0" w:evenVBand="0" w:oddHBand="1" w:evenHBand="0" w:firstRowFirstColumn="0" w:firstRowLastColumn="0" w:lastRowFirstColumn="0" w:lastRowLastColumn="0"/>
          <w:trHeight w:val="17"/>
        </w:trPr>
        <w:tc>
          <w:tcPr>
            <w:tcW w:w="1000" w:type="pct"/>
            <w:hideMark/>
          </w:tcPr>
          <w:p w14:paraId="73EF2EA4" w14:textId="77777777" w:rsidR="00FA7DF9" w:rsidRPr="001E1F41" w:rsidRDefault="00FA7DF9">
            <w:pPr>
              <w:pStyle w:val="TableNText"/>
            </w:pPr>
            <w:r w:rsidRPr="001E1F41">
              <w:t>Balanggarra #3 Indigenous Land Use Agreement</w:t>
            </w:r>
          </w:p>
        </w:tc>
        <w:tc>
          <w:tcPr>
            <w:tcW w:w="1000" w:type="pct"/>
            <w:noWrap/>
            <w:hideMark/>
          </w:tcPr>
          <w:p w14:paraId="39DD3912" w14:textId="77777777" w:rsidR="00FA7DF9" w:rsidRPr="001E1F41" w:rsidRDefault="00FA7DF9">
            <w:pPr>
              <w:pStyle w:val="TableNText"/>
            </w:pPr>
            <w:r w:rsidRPr="001E1F41">
              <w:t>14/02/2020</w:t>
            </w:r>
          </w:p>
        </w:tc>
        <w:tc>
          <w:tcPr>
            <w:tcW w:w="1000" w:type="pct"/>
            <w:noWrap/>
            <w:hideMark/>
          </w:tcPr>
          <w:p w14:paraId="76E34C2A" w14:textId="77777777" w:rsidR="00FA7DF9" w:rsidRPr="001E1F41" w:rsidRDefault="00FA7DF9">
            <w:pPr>
              <w:pStyle w:val="TableNText"/>
            </w:pPr>
            <w:r w:rsidRPr="001E1F41">
              <w:t>Area Agreement</w:t>
            </w:r>
          </w:p>
        </w:tc>
        <w:tc>
          <w:tcPr>
            <w:tcW w:w="1000" w:type="pct"/>
            <w:noWrap/>
            <w:hideMark/>
          </w:tcPr>
          <w:p w14:paraId="08EDE54A" w14:textId="77777777" w:rsidR="00FA7DF9" w:rsidRPr="001E1F41" w:rsidRDefault="00FA7DF9">
            <w:pPr>
              <w:pStyle w:val="TableNText"/>
            </w:pPr>
            <w:r w:rsidRPr="001E1F41">
              <w:t>Surrender</w:t>
            </w:r>
          </w:p>
        </w:tc>
        <w:tc>
          <w:tcPr>
            <w:tcW w:w="1000" w:type="pct"/>
            <w:hideMark/>
          </w:tcPr>
          <w:p w14:paraId="29820F71" w14:textId="77777777" w:rsidR="00FA7DF9" w:rsidRPr="001E1F41" w:rsidRDefault="00FA7DF9">
            <w:pPr>
              <w:pStyle w:val="TableNText"/>
            </w:pPr>
            <w:r w:rsidRPr="001E1F41">
              <w:t>Government, Native Title Settlement, Tenure resolution</w:t>
            </w:r>
          </w:p>
        </w:tc>
      </w:tr>
      <w:tr w:rsidR="00FA7DF9" w:rsidRPr="00390D6E" w14:paraId="6337EE95" w14:textId="77777777" w:rsidTr="0007422D">
        <w:trPr>
          <w:cnfStyle w:val="000000010000" w:firstRow="0" w:lastRow="0" w:firstColumn="0" w:lastColumn="0" w:oddVBand="0" w:evenVBand="0" w:oddHBand="0" w:evenHBand="1" w:firstRowFirstColumn="0" w:firstRowLastColumn="0" w:lastRowFirstColumn="0" w:lastRowLastColumn="0"/>
          <w:trHeight w:val="114"/>
        </w:trPr>
        <w:tc>
          <w:tcPr>
            <w:tcW w:w="1000" w:type="pct"/>
            <w:hideMark/>
          </w:tcPr>
          <w:p w14:paraId="2AD0AECF" w14:textId="77777777" w:rsidR="00FA7DF9" w:rsidRPr="001E1F41" w:rsidRDefault="00FA7DF9">
            <w:pPr>
              <w:pStyle w:val="TableNText"/>
            </w:pPr>
            <w:r w:rsidRPr="001E1F41">
              <w:t xml:space="preserve">Yi-Martuwarra Ngurrara Larrawa </w:t>
            </w:r>
            <w:r w:rsidRPr="001E1F41">
              <w:lastRenderedPageBreak/>
              <w:t xml:space="preserve">Pastoral Access Agreement </w:t>
            </w:r>
          </w:p>
        </w:tc>
        <w:tc>
          <w:tcPr>
            <w:tcW w:w="1000" w:type="pct"/>
            <w:noWrap/>
            <w:hideMark/>
          </w:tcPr>
          <w:p w14:paraId="22CEFAD1" w14:textId="77777777" w:rsidR="00FA7DF9" w:rsidRPr="001E1F41" w:rsidRDefault="00FA7DF9">
            <w:pPr>
              <w:pStyle w:val="TableNText"/>
            </w:pPr>
            <w:r w:rsidRPr="001E1F41">
              <w:lastRenderedPageBreak/>
              <w:t>25/08/2020</w:t>
            </w:r>
          </w:p>
        </w:tc>
        <w:tc>
          <w:tcPr>
            <w:tcW w:w="1000" w:type="pct"/>
            <w:noWrap/>
            <w:hideMark/>
          </w:tcPr>
          <w:p w14:paraId="7978DF91" w14:textId="77777777" w:rsidR="00FA7DF9" w:rsidRPr="001E1F41" w:rsidRDefault="00FA7DF9">
            <w:pPr>
              <w:pStyle w:val="TableNText"/>
            </w:pPr>
            <w:r w:rsidRPr="001E1F41">
              <w:t>Body Corporate</w:t>
            </w:r>
          </w:p>
        </w:tc>
        <w:tc>
          <w:tcPr>
            <w:tcW w:w="1000" w:type="pct"/>
            <w:noWrap/>
            <w:hideMark/>
          </w:tcPr>
          <w:p w14:paraId="2D25ADFF" w14:textId="77777777" w:rsidR="00FA7DF9" w:rsidRPr="001E1F41" w:rsidRDefault="00FA7DF9">
            <w:pPr>
              <w:pStyle w:val="TableNText"/>
            </w:pPr>
            <w:r w:rsidRPr="001E1F41">
              <w:t>Pastoral</w:t>
            </w:r>
          </w:p>
        </w:tc>
        <w:tc>
          <w:tcPr>
            <w:tcW w:w="1000" w:type="pct"/>
            <w:hideMark/>
          </w:tcPr>
          <w:p w14:paraId="1990CDE8" w14:textId="77777777" w:rsidR="00FA7DF9" w:rsidRPr="001E1F41" w:rsidRDefault="00FA7DF9">
            <w:pPr>
              <w:pStyle w:val="TableNText"/>
            </w:pPr>
            <w:r w:rsidRPr="001E1F41">
              <w:t>Access</w:t>
            </w:r>
          </w:p>
        </w:tc>
      </w:tr>
      <w:tr w:rsidR="00FA7DF9" w:rsidRPr="00390D6E" w14:paraId="799DD099" w14:textId="77777777" w:rsidTr="0007422D">
        <w:trPr>
          <w:cnfStyle w:val="000000100000" w:firstRow="0" w:lastRow="0" w:firstColumn="0" w:lastColumn="0" w:oddVBand="0" w:evenVBand="0" w:oddHBand="1" w:evenHBand="0" w:firstRowFirstColumn="0" w:firstRowLastColumn="0" w:lastRowFirstColumn="0" w:lastRowLastColumn="0"/>
          <w:trHeight w:val="17"/>
        </w:trPr>
        <w:tc>
          <w:tcPr>
            <w:tcW w:w="1000" w:type="pct"/>
            <w:hideMark/>
          </w:tcPr>
          <w:p w14:paraId="73C8B7E5" w14:textId="77777777" w:rsidR="00FA7DF9" w:rsidRPr="001E1F41" w:rsidRDefault="00FA7DF9">
            <w:pPr>
              <w:pStyle w:val="TableNText"/>
            </w:pPr>
            <w:r w:rsidRPr="001E1F41">
              <w:t>Great Sandy Desert Project ILUA – Exploration and Production</w:t>
            </w:r>
          </w:p>
        </w:tc>
        <w:tc>
          <w:tcPr>
            <w:tcW w:w="1000" w:type="pct"/>
            <w:noWrap/>
            <w:hideMark/>
          </w:tcPr>
          <w:p w14:paraId="7643D05D" w14:textId="77777777" w:rsidR="00FA7DF9" w:rsidRPr="001E1F41" w:rsidRDefault="00FA7DF9">
            <w:pPr>
              <w:pStyle w:val="TableNText"/>
            </w:pPr>
            <w:r w:rsidRPr="001E1F41">
              <w:t>23/11/2020</w:t>
            </w:r>
          </w:p>
        </w:tc>
        <w:tc>
          <w:tcPr>
            <w:tcW w:w="1000" w:type="pct"/>
            <w:noWrap/>
            <w:hideMark/>
          </w:tcPr>
          <w:p w14:paraId="229D6983" w14:textId="77777777" w:rsidR="00FA7DF9" w:rsidRPr="001E1F41" w:rsidRDefault="00FA7DF9">
            <w:pPr>
              <w:pStyle w:val="TableNText"/>
            </w:pPr>
            <w:r w:rsidRPr="001E1F41">
              <w:t>Body Corporate</w:t>
            </w:r>
          </w:p>
        </w:tc>
        <w:tc>
          <w:tcPr>
            <w:tcW w:w="1000" w:type="pct"/>
            <w:noWrap/>
            <w:hideMark/>
          </w:tcPr>
          <w:p w14:paraId="0BE58575" w14:textId="77777777" w:rsidR="00FA7DF9" w:rsidRPr="001E1F41" w:rsidRDefault="00FA7DF9">
            <w:pPr>
              <w:pStyle w:val="TableNText"/>
            </w:pPr>
            <w:r w:rsidRPr="001E1F41">
              <w:t>Mining</w:t>
            </w:r>
          </w:p>
        </w:tc>
        <w:tc>
          <w:tcPr>
            <w:tcW w:w="1000" w:type="pct"/>
            <w:hideMark/>
          </w:tcPr>
          <w:p w14:paraId="7F3D9C30" w14:textId="77777777" w:rsidR="00FA7DF9" w:rsidRPr="001E1F41" w:rsidRDefault="00FA7DF9">
            <w:pPr>
              <w:pStyle w:val="TableNText"/>
            </w:pPr>
            <w:r w:rsidRPr="001E1F41">
              <w:t>Access, Exploration</w:t>
            </w:r>
          </w:p>
        </w:tc>
      </w:tr>
      <w:tr w:rsidR="00FA7DF9" w:rsidRPr="00390D6E" w14:paraId="4D736CA9" w14:textId="77777777" w:rsidTr="0007422D">
        <w:trPr>
          <w:cnfStyle w:val="000000010000" w:firstRow="0" w:lastRow="0" w:firstColumn="0" w:lastColumn="0" w:oddVBand="0" w:evenVBand="0" w:oddHBand="0" w:evenHBand="1" w:firstRowFirstColumn="0" w:firstRowLastColumn="0" w:lastRowFirstColumn="0" w:lastRowLastColumn="0"/>
          <w:trHeight w:val="17"/>
        </w:trPr>
        <w:tc>
          <w:tcPr>
            <w:tcW w:w="1000" w:type="pct"/>
            <w:hideMark/>
          </w:tcPr>
          <w:p w14:paraId="365884D4" w14:textId="77777777" w:rsidR="00FA7DF9" w:rsidRPr="001E1F41" w:rsidRDefault="00FA7DF9">
            <w:pPr>
              <w:pStyle w:val="TableNText"/>
            </w:pPr>
            <w:r w:rsidRPr="001E1F41">
              <w:t>Great Sandy Desert Project ILUA – Infrastructure</w:t>
            </w:r>
          </w:p>
        </w:tc>
        <w:tc>
          <w:tcPr>
            <w:tcW w:w="1000" w:type="pct"/>
            <w:noWrap/>
            <w:hideMark/>
          </w:tcPr>
          <w:p w14:paraId="7CEC8D9B" w14:textId="77777777" w:rsidR="00FA7DF9" w:rsidRPr="001E1F41" w:rsidRDefault="00FA7DF9">
            <w:pPr>
              <w:pStyle w:val="TableNText"/>
            </w:pPr>
            <w:r w:rsidRPr="001E1F41">
              <w:t>23/11/2020</w:t>
            </w:r>
          </w:p>
        </w:tc>
        <w:tc>
          <w:tcPr>
            <w:tcW w:w="1000" w:type="pct"/>
            <w:noWrap/>
            <w:hideMark/>
          </w:tcPr>
          <w:p w14:paraId="1A017649" w14:textId="77777777" w:rsidR="00FA7DF9" w:rsidRPr="001E1F41" w:rsidRDefault="00FA7DF9">
            <w:pPr>
              <w:pStyle w:val="TableNText"/>
            </w:pPr>
            <w:r w:rsidRPr="001E1F41">
              <w:t>Body Corporate</w:t>
            </w:r>
          </w:p>
        </w:tc>
        <w:tc>
          <w:tcPr>
            <w:tcW w:w="1000" w:type="pct"/>
            <w:noWrap/>
            <w:hideMark/>
          </w:tcPr>
          <w:p w14:paraId="4523957A" w14:textId="77777777" w:rsidR="00FA7DF9" w:rsidRPr="001E1F41" w:rsidRDefault="00FA7DF9">
            <w:pPr>
              <w:pStyle w:val="TableNText"/>
            </w:pPr>
            <w:r w:rsidRPr="001E1F41">
              <w:t>Infrastructure</w:t>
            </w:r>
          </w:p>
        </w:tc>
        <w:tc>
          <w:tcPr>
            <w:tcW w:w="1000" w:type="pct"/>
            <w:hideMark/>
          </w:tcPr>
          <w:p w14:paraId="012A43B0" w14:textId="77777777" w:rsidR="00FA7DF9" w:rsidRPr="001E1F41" w:rsidRDefault="00FA7DF9">
            <w:pPr>
              <w:pStyle w:val="TableNText"/>
            </w:pPr>
            <w:r w:rsidRPr="001E1F41">
              <w:t>Access, Exploration, Mining</w:t>
            </w:r>
          </w:p>
        </w:tc>
      </w:tr>
      <w:tr w:rsidR="00FA7DF9" w:rsidRPr="00390D6E" w14:paraId="262FC8C4" w14:textId="77777777" w:rsidTr="0007422D">
        <w:trPr>
          <w:cnfStyle w:val="000000100000" w:firstRow="0" w:lastRow="0" w:firstColumn="0" w:lastColumn="0" w:oddVBand="0" w:evenVBand="0" w:oddHBand="1" w:evenHBand="0" w:firstRowFirstColumn="0" w:firstRowLastColumn="0" w:lastRowFirstColumn="0" w:lastRowLastColumn="0"/>
          <w:trHeight w:val="17"/>
        </w:trPr>
        <w:tc>
          <w:tcPr>
            <w:tcW w:w="1000" w:type="pct"/>
            <w:hideMark/>
          </w:tcPr>
          <w:p w14:paraId="601C724D" w14:textId="77777777" w:rsidR="00FA7DF9" w:rsidRPr="001E1F41" w:rsidRDefault="00FA7DF9">
            <w:pPr>
              <w:pStyle w:val="TableNText"/>
            </w:pPr>
            <w:r w:rsidRPr="001E1F41">
              <w:t>Gooniyandi Warlibirri Parks ILUA</w:t>
            </w:r>
          </w:p>
        </w:tc>
        <w:tc>
          <w:tcPr>
            <w:tcW w:w="1000" w:type="pct"/>
            <w:noWrap/>
            <w:hideMark/>
          </w:tcPr>
          <w:p w14:paraId="3E59D049" w14:textId="77777777" w:rsidR="00FA7DF9" w:rsidRPr="001E1F41" w:rsidRDefault="00FA7DF9">
            <w:pPr>
              <w:pStyle w:val="TableNText"/>
            </w:pPr>
            <w:r w:rsidRPr="001E1F41">
              <w:t>15/06/2021</w:t>
            </w:r>
          </w:p>
        </w:tc>
        <w:tc>
          <w:tcPr>
            <w:tcW w:w="1000" w:type="pct"/>
            <w:noWrap/>
            <w:hideMark/>
          </w:tcPr>
          <w:p w14:paraId="169851F8" w14:textId="77777777" w:rsidR="00FA7DF9" w:rsidRPr="001E1F41" w:rsidRDefault="00FA7DF9">
            <w:pPr>
              <w:pStyle w:val="TableNText"/>
            </w:pPr>
            <w:r w:rsidRPr="001E1F41">
              <w:t>Body Corporate</w:t>
            </w:r>
          </w:p>
        </w:tc>
        <w:tc>
          <w:tcPr>
            <w:tcW w:w="1000" w:type="pct"/>
            <w:noWrap/>
            <w:hideMark/>
          </w:tcPr>
          <w:p w14:paraId="6C8D5B93" w14:textId="77777777" w:rsidR="00FA7DF9" w:rsidRPr="001E1F41" w:rsidRDefault="00FA7DF9">
            <w:pPr>
              <w:pStyle w:val="TableNText"/>
            </w:pPr>
            <w:r w:rsidRPr="001E1F41">
              <w:t>Government</w:t>
            </w:r>
          </w:p>
        </w:tc>
        <w:tc>
          <w:tcPr>
            <w:tcW w:w="1000" w:type="pct"/>
            <w:hideMark/>
          </w:tcPr>
          <w:p w14:paraId="05FF175C" w14:textId="77777777" w:rsidR="00FA7DF9" w:rsidRPr="001E1F41" w:rsidRDefault="00FA7DF9">
            <w:pPr>
              <w:pStyle w:val="TableNText"/>
            </w:pPr>
            <w:r w:rsidRPr="001E1F41">
              <w:t>Co-management, Tenure resolution</w:t>
            </w:r>
          </w:p>
        </w:tc>
      </w:tr>
      <w:tr w:rsidR="00FA7DF9" w:rsidRPr="00390D6E" w14:paraId="1A085E82" w14:textId="77777777" w:rsidTr="0007422D">
        <w:trPr>
          <w:cnfStyle w:val="000000010000" w:firstRow="0" w:lastRow="0" w:firstColumn="0" w:lastColumn="0" w:oddVBand="0" w:evenVBand="0" w:oddHBand="0" w:evenHBand="1" w:firstRowFirstColumn="0" w:firstRowLastColumn="0" w:lastRowFirstColumn="0" w:lastRowLastColumn="0"/>
          <w:trHeight w:val="17"/>
        </w:trPr>
        <w:tc>
          <w:tcPr>
            <w:tcW w:w="1000" w:type="pct"/>
            <w:hideMark/>
          </w:tcPr>
          <w:p w14:paraId="1235BE5A" w14:textId="77777777" w:rsidR="00FA7DF9" w:rsidRPr="001E1F41" w:rsidRDefault="00FA7DF9">
            <w:pPr>
              <w:pStyle w:val="TableNText"/>
            </w:pPr>
            <w:r w:rsidRPr="001E1F41">
              <w:t>Bardi Jawi Conservation Estate Indigenous Land Use Agreement</w:t>
            </w:r>
          </w:p>
        </w:tc>
        <w:tc>
          <w:tcPr>
            <w:tcW w:w="1000" w:type="pct"/>
            <w:noWrap/>
            <w:hideMark/>
          </w:tcPr>
          <w:p w14:paraId="32D4508C" w14:textId="77777777" w:rsidR="00FA7DF9" w:rsidRPr="001E1F41" w:rsidRDefault="00FA7DF9">
            <w:pPr>
              <w:pStyle w:val="TableNText"/>
            </w:pPr>
            <w:r w:rsidRPr="001E1F41">
              <w:t>9/06/2021</w:t>
            </w:r>
          </w:p>
        </w:tc>
        <w:tc>
          <w:tcPr>
            <w:tcW w:w="1000" w:type="pct"/>
            <w:noWrap/>
            <w:hideMark/>
          </w:tcPr>
          <w:p w14:paraId="1622DA23" w14:textId="77777777" w:rsidR="00FA7DF9" w:rsidRPr="001E1F41" w:rsidRDefault="00FA7DF9">
            <w:pPr>
              <w:pStyle w:val="TableNText"/>
            </w:pPr>
            <w:r w:rsidRPr="001E1F41">
              <w:t>Body Corporate</w:t>
            </w:r>
          </w:p>
        </w:tc>
        <w:tc>
          <w:tcPr>
            <w:tcW w:w="1000" w:type="pct"/>
            <w:noWrap/>
            <w:hideMark/>
          </w:tcPr>
          <w:p w14:paraId="52172AEF" w14:textId="77777777" w:rsidR="00FA7DF9" w:rsidRPr="001E1F41" w:rsidRDefault="00FA7DF9">
            <w:pPr>
              <w:pStyle w:val="TableNText"/>
            </w:pPr>
            <w:r w:rsidRPr="001E1F41">
              <w:t>Co-management</w:t>
            </w:r>
          </w:p>
        </w:tc>
        <w:tc>
          <w:tcPr>
            <w:tcW w:w="1000" w:type="pct"/>
            <w:hideMark/>
          </w:tcPr>
          <w:p w14:paraId="5DD6F1D5" w14:textId="77777777" w:rsidR="00FA7DF9" w:rsidRPr="001E1F41" w:rsidRDefault="00FA7DF9">
            <w:pPr>
              <w:pStyle w:val="TableNText"/>
            </w:pPr>
            <w:r w:rsidRPr="001E1F41">
              <w:t>Access, Government</w:t>
            </w:r>
          </w:p>
        </w:tc>
      </w:tr>
      <w:tr w:rsidR="00FA7DF9" w:rsidRPr="00390D6E" w14:paraId="29D3A90C" w14:textId="77777777" w:rsidTr="0007422D">
        <w:trPr>
          <w:cnfStyle w:val="000000100000" w:firstRow="0" w:lastRow="0" w:firstColumn="0" w:lastColumn="0" w:oddVBand="0" w:evenVBand="0" w:oddHBand="1" w:evenHBand="0" w:firstRowFirstColumn="0" w:firstRowLastColumn="0" w:lastRowFirstColumn="0" w:lastRowLastColumn="0"/>
          <w:trHeight w:val="17"/>
        </w:trPr>
        <w:tc>
          <w:tcPr>
            <w:tcW w:w="1000" w:type="pct"/>
            <w:hideMark/>
          </w:tcPr>
          <w:p w14:paraId="4E1E6ACE" w14:textId="77777777" w:rsidR="00FA7DF9" w:rsidRPr="001E1F41" w:rsidRDefault="00FA7DF9">
            <w:pPr>
              <w:pStyle w:val="TableNText"/>
            </w:pPr>
            <w:r w:rsidRPr="001E1F41">
              <w:t>Dambimangari Country Marine Park Indigenous Land Use Agreement</w:t>
            </w:r>
          </w:p>
        </w:tc>
        <w:tc>
          <w:tcPr>
            <w:tcW w:w="1000" w:type="pct"/>
            <w:noWrap/>
            <w:hideMark/>
          </w:tcPr>
          <w:p w14:paraId="7FF448E8" w14:textId="77777777" w:rsidR="00FA7DF9" w:rsidRPr="001E1F41" w:rsidRDefault="00FA7DF9">
            <w:pPr>
              <w:pStyle w:val="TableNText"/>
            </w:pPr>
            <w:r w:rsidRPr="001E1F41">
              <w:t>9/06/2021</w:t>
            </w:r>
          </w:p>
        </w:tc>
        <w:tc>
          <w:tcPr>
            <w:tcW w:w="1000" w:type="pct"/>
            <w:noWrap/>
            <w:hideMark/>
          </w:tcPr>
          <w:p w14:paraId="599DF7F2" w14:textId="77777777" w:rsidR="00FA7DF9" w:rsidRPr="001E1F41" w:rsidRDefault="00FA7DF9">
            <w:pPr>
              <w:pStyle w:val="TableNText"/>
            </w:pPr>
            <w:r w:rsidRPr="001E1F41">
              <w:t>Body Corporate</w:t>
            </w:r>
          </w:p>
        </w:tc>
        <w:tc>
          <w:tcPr>
            <w:tcW w:w="1000" w:type="pct"/>
            <w:noWrap/>
            <w:hideMark/>
          </w:tcPr>
          <w:p w14:paraId="1C3DEEEF" w14:textId="77777777" w:rsidR="00FA7DF9" w:rsidRPr="001E1F41" w:rsidRDefault="00FA7DF9">
            <w:pPr>
              <w:pStyle w:val="TableNText"/>
            </w:pPr>
            <w:r w:rsidRPr="001E1F41">
              <w:t>Co-management</w:t>
            </w:r>
          </w:p>
        </w:tc>
        <w:tc>
          <w:tcPr>
            <w:tcW w:w="1000" w:type="pct"/>
            <w:hideMark/>
          </w:tcPr>
          <w:p w14:paraId="0F040F82" w14:textId="77777777" w:rsidR="00FA7DF9" w:rsidRPr="001E1F41" w:rsidRDefault="00FA7DF9">
            <w:pPr>
              <w:pStyle w:val="TableNText"/>
            </w:pPr>
            <w:r w:rsidRPr="001E1F41">
              <w:t>Access, Government</w:t>
            </w:r>
          </w:p>
        </w:tc>
      </w:tr>
      <w:tr w:rsidR="00FA7DF9" w:rsidRPr="00390D6E" w14:paraId="455881D5" w14:textId="77777777" w:rsidTr="0007422D">
        <w:trPr>
          <w:cnfStyle w:val="000000010000" w:firstRow="0" w:lastRow="0" w:firstColumn="0" w:lastColumn="0" w:oddVBand="0" w:evenVBand="0" w:oddHBand="0" w:evenHBand="1" w:firstRowFirstColumn="0" w:firstRowLastColumn="0" w:lastRowFirstColumn="0" w:lastRowLastColumn="0"/>
          <w:trHeight w:val="17"/>
        </w:trPr>
        <w:tc>
          <w:tcPr>
            <w:tcW w:w="1000" w:type="pct"/>
            <w:hideMark/>
          </w:tcPr>
          <w:p w14:paraId="3808FB64" w14:textId="77777777" w:rsidR="00FA7DF9" w:rsidRPr="001E1F41" w:rsidRDefault="00FA7DF9">
            <w:pPr>
              <w:pStyle w:val="TableNText"/>
            </w:pPr>
            <w:r w:rsidRPr="001E1F41">
              <w:t>Mayala Country Marine Park Indigenous Land Use Agreement</w:t>
            </w:r>
          </w:p>
        </w:tc>
        <w:tc>
          <w:tcPr>
            <w:tcW w:w="1000" w:type="pct"/>
            <w:noWrap/>
            <w:hideMark/>
          </w:tcPr>
          <w:p w14:paraId="4BA0F07D" w14:textId="77777777" w:rsidR="00FA7DF9" w:rsidRPr="001E1F41" w:rsidRDefault="00FA7DF9">
            <w:pPr>
              <w:pStyle w:val="TableNText"/>
            </w:pPr>
            <w:r w:rsidRPr="001E1F41">
              <w:t>9/06/2021</w:t>
            </w:r>
          </w:p>
        </w:tc>
        <w:tc>
          <w:tcPr>
            <w:tcW w:w="1000" w:type="pct"/>
            <w:noWrap/>
            <w:hideMark/>
          </w:tcPr>
          <w:p w14:paraId="7836B7FC" w14:textId="77777777" w:rsidR="00FA7DF9" w:rsidRPr="001E1F41" w:rsidRDefault="00FA7DF9">
            <w:pPr>
              <w:pStyle w:val="TableNText"/>
            </w:pPr>
            <w:r w:rsidRPr="001E1F41">
              <w:t>Body Corporate</w:t>
            </w:r>
          </w:p>
        </w:tc>
        <w:tc>
          <w:tcPr>
            <w:tcW w:w="1000" w:type="pct"/>
            <w:noWrap/>
            <w:hideMark/>
          </w:tcPr>
          <w:p w14:paraId="663D30CF" w14:textId="77777777" w:rsidR="00FA7DF9" w:rsidRPr="001E1F41" w:rsidRDefault="00FA7DF9">
            <w:pPr>
              <w:pStyle w:val="TableNText"/>
            </w:pPr>
            <w:r w:rsidRPr="001E1F41">
              <w:t>Co-management</w:t>
            </w:r>
          </w:p>
        </w:tc>
        <w:tc>
          <w:tcPr>
            <w:tcW w:w="1000" w:type="pct"/>
            <w:hideMark/>
          </w:tcPr>
          <w:p w14:paraId="5486758D" w14:textId="77777777" w:rsidR="00FA7DF9" w:rsidRPr="001E1F41" w:rsidRDefault="00FA7DF9">
            <w:pPr>
              <w:pStyle w:val="TableNText"/>
            </w:pPr>
            <w:r w:rsidRPr="001E1F41">
              <w:t>Access, Government</w:t>
            </w:r>
          </w:p>
        </w:tc>
      </w:tr>
      <w:tr w:rsidR="00FA7DF9" w:rsidRPr="00390D6E" w14:paraId="166A921C" w14:textId="77777777" w:rsidTr="0007422D">
        <w:trPr>
          <w:cnfStyle w:val="000000100000" w:firstRow="0" w:lastRow="0" w:firstColumn="0" w:lastColumn="0" w:oddVBand="0" w:evenVBand="0" w:oddHBand="1" w:evenHBand="0" w:firstRowFirstColumn="0" w:firstRowLastColumn="0" w:lastRowFirstColumn="0" w:lastRowLastColumn="0"/>
          <w:trHeight w:val="17"/>
        </w:trPr>
        <w:tc>
          <w:tcPr>
            <w:tcW w:w="1000" w:type="pct"/>
            <w:hideMark/>
          </w:tcPr>
          <w:p w14:paraId="6F799986" w14:textId="77777777" w:rsidR="00FA7DF9" w:rsidRPr="001E1F41" w:rsidRDefault="00FA7DF9">
            <w:pPr>
              <w:pStyle w:val="TableNText"/>
            </w:pPr>
            <w:r w:rsidRPr="001E1F41">
              <w:t>Wanggil ILUA</w:t>
            </w:r>
          </w:p>
        </w:tc>
        <w:tc>
          <w:tcPr>
            <w:tcW w:w="1000" w:type="pct"/>
            <w:noWrap/>
            <w:hideMark/>
          </w:tcPr>
          <w:p w14:paraId="27039F05" w14:textId="77777777" w:rsidR="00FA7DF9" w:rsidRPr="001E1F41" w:rsidRDefault="00FA7DF9">
            <w:pPr>
              <w:pStyle w:val="TableNText"/>
            </w:pPr>
            <w:r w:rsidRPr="001E1F41">
              <w:t>14/01/2022</w:t>
            </w:r>
          </w:p>
        </w:tc>
        <w:tc>
          <w:tcPr>
            <w:tcW w:w="1000" w:type="pct"/>
            <w:noWrap/>
            <w:hideMark/>
          </w:tcPr>
          <w:p w14:paraId="50F847AD" w14:textId="77777777" w:rsidR="00FA7DF9" w:rsidRPr="001E1F41" w:rsidRDefault="00FA7DF9">
            <w:pPr>
              <w:pStyle w:val="TableNText"/>
            </w:pPr>
            <w:r w:rsidRPr="001E1F41">
              <w:t>Area Agreement</w:t>
            </w:r>
          </w:p>
        </w:tc>
        <w:tc>
          <w:tcPr>
            <w:tcW w:w="1000" w:type="pct"/>
            <w:noWrap/>
            <w:hideMark/>
          </w:tcPr>
          <w:p w14:paraId="5FE28EEA" w14:textId="77777777" w:rsidR="00FA7DF9" w:rsidRPr="001E1F41" w:rsidRDefault="00FA7DF9">
            <w:pPr>
              <w:pStyle w:val="TableNText"/>
            </w:pPr>
            <w:r w:rsidRPr="001E1F41">
              <w:t>Government</w:t>
            </w:r>
          </w:p>
        </w:tc>
        <w:tc>
          <w:tcPr>
            <w:tcW w:w="1000" w:type="pct"/>
            <w:hideMark/>
          </w:tcPr>
          <w:p w14:paraId="11918366" w14:textId="77777777" w:rsidR="00FA7DF9" w:rsidRPr="001E1F41" w:rsidRDefault="00FA7DF9">
            <w:pPr>
              <w:pStyle w:val="TableNText"/>
            </w:pPr>
            <w:r w:rsidRPr="001E1F41">
              <w:t>Mining</w:t>
            </w:r>
          </w:p>
        </w:tc>
      </w:tr>
    </w:tbl>
    <w:p w14:paraId="1173FC8A" w14:textId="77777777" w:rsidR="00FA7DF9" w:rsidRDefault="00FA7DF9" w:rsidP="00FA7DF9">
      <w:pPr>
        <w:rPr>
          <w:lang w:eastAsia="en-AU"/>
        </w:rPr>
      </w:pPr>
      <w:r>
        <w:rPr>
          <w:lang w:eastAsia="en-AU"/>
        </w:rPr>
        <w:br/>
      </w:r>
      <w:r w:rsidRPr="00390D6E">
        <w:rPr>
          <w:lang w:eastAsia="en-AU"/>
        </w:rPr>
        <w:t xml:space="preserve">Overall, the Review believes the outcomes support the KLC’s own view, noted in their FY2020-21 Annual Report, that they were </w:t>
      </w:r>
      <w:r>
        <w:rPr>
          <w:lang w:eastAsia="en-AU"/>
        </w:rPr>
        <w:t>“</w:t>
      </w:r>
      <w:r w:rsidRPr="00390D6E">
        <w:rPr>
          <w:lang w:eastAsia="en-AU"/>
        </w:rPr>
        <w:t>extremely successful at negotiating positive agreements on behalf of Traditional Owners.</w:t>
      </w:r>
      <w:r>
        <w:rPr>
          <w:lang w:eastAsia="en-AU"/>
        </w:rPr>
        <w:t>”</w:t>
      </w:r>
      <w:r w:rsidRPr="00390D6E">
        <w:rPr>
          <w:vertAlign w:val="superscript"/>
          <w:lang w:eastAsia="en-AU"/>
        </w:rPr>
        <w:footnoteReference w:id="8"/>
      </w:r>
      <w:r w:rsidRPr="00390D6E">
        <w:rPr>
          <w:lang w:eastAsia="en-AU"/>
        </w:rPr>
        <w:t xml:space="preserve"> </w:t>
      </w:r>
    </w:p>
    <w:p w14:paraId="29ABEEBC" w14:textId="71E09D63" w:rsidR="00FA7DF9" w:rsidRPr="00390D6E" w:rsidRDefault="00FA7DF9" w:rsidP="00FA7DF9">
      <w:pPr>
        <w:rPr>
          <w:lang w:eastAsia="en-AU"/>
        </w:rPr>
      </w:pPr>
      <w:r>
        <w:rPr>
          <w:lang w:eastAsia="en-AU"/>
        </w:rPr>
        <w:t xml:space="preserve">With only a few exceptions, </w:t>
      </w:r>
      <w:r w:rsidRPr="00390D6E">
        <w:rPr>
          <w:lang w:eastAsia="en-AU"/>
        </w:rPr>
        <w:t xml:space="preserve">Traditional Owners who were </w:t>
      </w:r>
      <w:r>
        <w:rPr>
          <w:lang w:eastAsia="en-AU"/>
        </w:rPr>
        <w:t>consulted</w:t>
      </w:r>
      <w:r w:rsidRPr="00390D6E">
        <w:rPr>
          <w:lang w:eastAsia="en-AU"/>
        </w:rPr>
        <w:t xml:space="preserve"> generally indicated that the KLC </w:t>
      </w:r>
      <w:r w:rsidR="00D953B4">
        <w:rPr>
          <w:lang w:eastAsia="en-AU"/>
        </w:rPr>
        <w:t>was</w:t>
      </w:r>
      <w:r w:rsidR="00D953B4" w:rsidRPr="00390D6E">
        <w:rPr>
          <w:lang w:eastAsia="en-AU"/>
        </w:rPr>
        <w:t xml:space="preserve"> </w:t>
      </w:r>
      <w:r w:rsidRPr="00390D6E">
        <w:rPr>
          <w:lang w:eastAsia="en-AU"/>
        </w:rPr>
        <w:t xml:space="preserve">effective regarding Future Act matters and associated agreement-making. </w:t>
      </w:r>
      <w:r>
        <w:rPr>
          <w:lang w:eastAsia="en-AU"/>
        </w:rPr>
        <w:t xml:space="preserve">Concerns that were raised with the Review by </w:t>
      </w:r>
      <w:r w:rsidRPr="00390D6E">
        <w:rPr>
          <w:lang w:eastAsia="en-AU"/>
        </w:rPr>
        <w:t>some Traditional Owners</w:t>
      </w:r>
      <w:r>
        <w:rPr>
          <w:lang w:eastAsia="en-AU"/>
        </w:rPr>
        <w:t xml:space="preserve"> demonstrated low awareness of the </w:t>
      </w:r>
      <w:r w:rsidR="00D953B4">
        <w:rPr>
          <w:lang w:eastAsia="en-AU"/>
        </w:rPr>
        <w:t>F</w:t>
      </w:r>
      <w:r>
        <w:rPr>
          <w:lang w:eastAsia="en-AU"/>
        </w:rPr>
        <w:t xml:space="preserve">uture </w:t>
      </w:r>
      <w:r w:rsidR="00D953B4">
        <w:rPr>
          <w:lang w:eastAsia="en-AU"/>
        </w:rPr>
        <w:t xml:space="preserve">Act </w:t>
      </w:r>
      <w:r>
        <w:rPr>
          <w:lang w:eastAsia="en-AU"/>
        </w:rPr>
        <w:t xml:space="preserve">system and notification processes. The KLC responded that there </w:t>
      </w:r>
      <w:r w:rsidR="00D953B4">
        <w:rPr>
          <w:lang w:eastAsia="en-AU"/>
        </w:rPr>
        <w:t xml:space="preserve">was </w:t>
      </w:r>
      <w:r>
        <w:rPr>
          <w:lang w:eastAsia="en-AU"/>
        </w:rPr>
        <w:t xml:space="preserve">“a </w:t>
      </w:r>
      <w:r w:rsidRPr="00D85FAF">
        <w:rPr>
          <w:lang w:eastAsia="en-AU"/>
        </w:rPr>
        <w:t xml:space="preserve">very high level of awareness of the </w:t>
      </w:r>
      <w:r w:rsidR="00D953B4">
        <w:rPr>
          <w:lang w:eastAsia="en-AU"/>
        </w:rPr>
        <w:t>F</w:t>
      </w:r>
      <w:r w:rsidRPr="00D85FAF">
        <w:rPr>
          <w:lang w:eastAsia="en-AU"/>
        </w:rPr>
        <w:t xml:space="preserve">uture </w:t>
      </w:r>
      <w:r w:rsidR="00D953B4">
        <w:rPr>
          <w:lang w:eastAsia="en-AU"/>
        </w:rPr>
        <w:t>A</w:t>
      </w:r>
      <w:r w:rsidR="00D953B4" w:rsidRPr="00D85FAF">
        <w:rPr>
          <w:lang w:eastAsia="en-AU"/>
        </w:rPr>
        <w:t xml:space="preserve">ct </w:t>
      </w:r>
      <w:r w:rsidRPr="00D85FAF">
        <w:rPr>
          <w:lang w:eastAsia="en-AU"/>
        </w:rPr>
        <w:t>system, in particular the expedited procedure and heritage agreements, amongst native title holders generally and PBC directors in particular in the Kimberley region</w:t>
      </w:r>
      <w:r>
        <w:rPr>
          <w:lang w:eastAsia="en-AU"/>
        </w:rPr>
        <w:t>”</w:t>
      </w:r>
      <w:r w:rsidRPr="00D85FAF">
        <w:rPr>
          <w:lang w:eastAsia="en-AU"/>
        </w:rPr>
        <w:t>.</w:t>
      </w:r>
    </w:p>
    <w:p w14:paraId="0A228FB0" w14:textId="77777777" w:rsidR="00123771" w:rsidRPr="00390D6E" w:rsidRDefault="00123771" w:rsidP="00123771">
      <w:pPr>
        <w:keepNext/>
        <w:spacing w:before="240" w:after="60"/>
        <w:outlineLvl w:val="3"/>
        <w:rPr>
          <w:rFonts w:ascii="Segoe UI Semibold" w:eastAsia="Times New Roman" w:hAnsi="Segoe UI Semibold" w:cs="Times New Roman"/>
          <w:color w:val="00264D" w:themeColor="background2"/>
          <w:sz w:val="22"/>
          <w:szCs w:val="19"/>
          <w:lang w:eastAsia="en-AU"/>
        </w:rPr>
      </w:pPr>
      <w:r w:rsidRPr="00390D6E">
        <w:rPr>
          <w:rFonts w:ascii="Segoe UI Semibold" w:eastAsia="Times New Roman" w:hAnsi="Segoe UI Semibold" w:cs="Times New Roman"/>
          <w:color w:val="00264D" w:themeColor="background2"/>
          <w:sz w:val="22"/>
          <w:szCs w:val="19"/>
          <w:lang w:eastAsia="en-AU"/>
        </w:rPr>
        <w:t>Number of claims resulting in a determination of native title or ILUA settlement as a proportion of total filed claims</w:t>
      </w:r>
    </w:p>
    <w:p w14:paraId="6AEF02F7" w14:textId="4FC93A85" w:rsidR="00123771" w:rsidRPr="008A6ADF" w:rsidRDefault="00123771" w:rsidP="00123771">
      <w:pPr>
        <w:keepNext/>
        <w:numPr>
          <w:ilvl w:val="4"/>
          <w:numId w:val="2"/>
        </w:numPr>
        <w:spacing w:before="240"/>
        <w:outlineLvl w:val="4"/>
        <w:rPr>
          <w:rFonts w:eastAsia="Times New Roman" w:cs="Times New Roman"/>
          <w:color w:val="000000" w:themeColor="text1"/>
          <w:sz w:val="20"/>
          <w:szCs w:val="24"/>
          <w:lang w:eastAsia="en-AU"/>
        </w:rPr>
      </w:pPr>
      <w:r>
        <w:rPr>
          <w:rFonts w:eastAsia="Times New Roman" w:cs="Times New Roman"/>
          <w:b/>
          <w:color w:val="000000" w:themeColor="text1"/>
          <w:sz w:val="20"/>
          <w:szCs w:val="24"/>
          <w:lang w:eastAsia="en-AU"/>
        </w:rPr>
        <w:t>The KLC supported 15 determinations in the RATSIB area during the Review period</w:t>
      </w:r>
    </w:p>
    <w:p w14:paraId="6E51A820" w14:textId="4DECDDCA" w:rsidR="00123771" w:rsidRPr="0082242D" w:rsidDel="00E56D09" w:rsidRDefault="00123771" w:rsidP="00123771">
      <w:r>
        <w:t>As noted earlier, the KLC supported 1</w:t>
      </w:r>
      <w:r w:rsidR="000970D5">
        <w:t>5</w:t>
      </w:r>
      <w:r>
        <w:t xml:space="preserve"> determinations (13 as the representative and </w:t>
      </w:r>
      <w:r w:rsidR="000970D5">
        <w:t xml:space="preserve">two </w:t>
      </w:r>
      <w:r>
        <w:t>through providing funding for external legal representation) during the Review period.</w:t>
      </w:r>
      <w:r w:rsidRPr="00357A0F">
        <w:t xml:space="preserve"> </w:t>
      </w:r>
      <w:r>
        <w:t xml:space="preserve">As shown in </w:t>
      </w:r>
      <w:r>
        <w:fldChar w:fldCharType="begin"/>
      </w:r>
      <w:r>
        <w:instrText xml:space="preserve"> REF _Ref154046365 \h </w:instrText>
      </w:r>
      <w:r>
        <w:fldChar w:fldCharType="separate"/>
      </w:r>
      <w:r w:rsidR="00291532">
        <w:t xml:space="preserve">Table </w:t>
      </w:r>
      <w:r w:rsidR="00291532">
        <w:rPr>
          <w:noProof/>
        </w:rPr>
        <w:t>5</w:t>
      </w:r>
      <w:r>
        <w:fldChar w:fldCharType="end"/>
      </w:r>
      <w:r>
        <w:t xml:space="preserve">, </w:t>
      </w:r>
      <w:r w:rsidRPr="00357A0F">
        <w:t xml:space="preserve">the </w:t>
      </w:r>
      <w:r w:rsidRPr="00357A0F">
        <w:lastRenderedPageBreak/>
        <w:t>KLC filed seven new claims</w:t>
      </w:r>
      <w:r>
        <w:t>, supported</w:t>
      </w:r>
      <w:r w:rsidRPr="00357A0F">
        <w:t xml:space="preserve"> </w:t>
      </w:r>
      <w:r>
        <w:t>nine</w:t>
      </w:r>
      <w:r w:rsidRPr="00357A0F">
        <w:t xml:space="preserve"> ILUA</w:t>
      </w:r>
      <w:r>
        <w:t>s, with one ILUA settlement resulting</w:t>
      </w:r>
      <w:r w:rsidRPr="00B84002">
        <w:t xml:space="preserve"> in the extinguishment of native title</w:t>
      </w:r>
      <w:r>
        <w:t xml:space="preserve"> in return for other benefits</w:t>
      </w:r>
      <w:r w:rsidRPr="00357A0F">
        <w:t xml:space="preserve">. </w:t>
      </w:r>
    </w:p>
    <w:p w14:paraId="4DABD121" w14:textId="69EA2DFE" w:rsidR="00123771" w:rsidRDefault="00123771" w:rsidP="00123771">
      <w:pPr>
        <w:pStyle w:val="Caption"/>
      </w:pPr>
      <w:bookmarkStart w:id="24" w:name="_Ref154046365"/>
      <w:r>
        <w:t xml:space="preserve">Table </w:t>
      </w:r>
      <w:r>
        <w:fldChar w:fldCharType="begin"/>
      </w:r>
      <w:r>
        <w:instrText xml:space="preserve"> SEQ Table \* ARABIC </w:instrText>
      </w:r>
      <w:r>
        <w:fldChar w:fldCharType="separate"/>
      </w:r>
      <w:r w:rsidR="00291532">
        <w:rPr>
          <w:noProof/>
        </w:rPr>
        <w:t>5</w:t>
      </w:r>
      <w:r>
        <w:fldChar w:fldCharType="end"/>
      </w:r>
      <w:bookmarkEnd w:id="24"/>
      <w:r>
        <w:t xml:space="preserve"> | </w:t>
      </w:r>
      <w:r w:rsidRPr="000F0162">
        <w:t>Number of claims resulting in determination of native title or ILUA settlement for the KLC</w:t>
      </w:r>
      <w:r w:rsidR="00C06CEC">
        <w:t xml:space="preserve"> during the Review period</w:t>
      </w:r>
      <w:r>
        <w:rPr>
          <w:rStyle w:val="FootnoteReference"/>
        </w:rPr>
        <w:footnoteReference w:id="9"/>
      </w:r>
    </w:p>
    <w:tbl>
      <w:tblPr>
        <w:tblStyle w:val="TableGrid"/>
        <w:tblW w:w="5000" w:type="pct"/>
        <w:tblLook w:val="04A0" w:firstRow="1" w:lastRow="0" w:firstColumn="1" w:lastColumn="0" w:noHBand="0" w:noVBand="1"/>
      </w:tblPr>
      <w:tblGrid>
        <w:gridCol w:w="2976"/>
        <w:gridCol w:w="2977"/>
        <w:gridCol w:w="2977"/>
      </w:tblGrid>
      <w:tr w:rsidR="00C06CEC" w14:paraId="1B562F03" w14:textId="77777777" w:rsidTr="0007422D">
        <w:trPr>
          <w:cnfStyle w:val="100000000000" w:firstRow="1" w:lastRow="0" w:firstColumn="0" w:lastColumn="0" w:oddVBand="0" w:evenVBand="0" w:oddHBand="0" w:evenHBand="0" w:firstRowFirstColumn="0" w:firstRowLastColumn="0" w:lastRowFirstColumn="0" w:lastRowLastColumn="0"/>
        </w:trPr>
        <w:tc>
          <w:tcPr>
            <w:tcW w:w="1666" w:type="pct"/>
          </w:tcPr>
          <w:p w14:paraId="5A695E22" w14:textId="77777777" w:rsidR="00C06CEC" w:rsidRDefault="00C06CEC">
            <w:pPr>
              <w:pStyle w:val="TableNheader"/>
            </w:pPr>
            <w:r>
              <w:t>Total number of claims filed-</w:t>
            </w:r>
          </w:p>
        </w:tc>
        <w:tc>
          <w:tcPr>
            <w:tcW w:w="1667" w:type="pct"/>
          </w:tcPr>
          <w:p w14:paraId="174D2156" w14:textId="77777777" w:rsidR="00C06CEC" w:rsidRDefault="00C06CEC">
            <w:pPr>
              <w:pStyle w:val="TableNheader"/>
            </w:pPr>
            <w:r>
              <w:t>Number of ILUAs resulting in extinguishment of native title or settlement</w:t>
            </w:r>
          </w:p>
        </w:tc>
        <w:tc>
          <w:tcPr>
            <w:tcW w:w="1667" w:type="pct"/>
          </w:tcPr>
          <w:p w14:paraId="050491B3" w14:textId="77777777" w:rsidR="00C06CEC" w:rsidRDefault="00C06CEC">
            <w:pPr>
              <w:pStyle w:val="TableNheader"/>
            </w:pPr>
            <w:r>
              <w:t>Number of determinations of native title</w:t>
            </w:r>
          </w:p>
        </w:tc>
      </w:tr>
      <w:tr w:rsidR="00C06CEC" w14:paraId="44B2B11E" w14:textId="77777777" w:rsidTr="0007422D">
        <w:trPr>
          <w:cnfStyle w:val="000000100000" w:firstRow="0" w:lastRow="0" w:firstColumn="0" w:lastColumn="0" w:oddVBand="0" w:evenVBand="0" w:oddHBand="1" w:evenHBand="0" w:firstRowFirstColumn="0" w:firstRowLastColumn="0" w:lastRowFirstColumn="0" w:lastRowLastColumn="0"/>
        </w:trPr>
        <w:tc>
          <w:tcPr>
            <w:tcW w:w="1666" w:type="pct"/>
          </w:tcPr>
          <w:p w14:paraId="0A4768B9" w14:textId="77777777" w:rsidR="00C06CEC" w:rsidRDefault="00C06CEC">
            <w:pPr>
              <w:pStyle w:val="TableNText"/>
            </w:pPr>
            <w:r>
              <w:t>7</w:t>
            </w:r>
          </w:p>
        </w:tc>
        <w:tc>
          <w:tcPr>
            <w:tcW w:w="1667" w:type="pct"/>
          </w:tcPr>
          <w:p w14:paraId="708938F3" w14:textId="77777777" w:rsidR="00C06CEC" w:rsidRDefault="00C06CEC">
            <w:pPr>
              <w:pStyle w:val="TableNText"/>
            </w:pPr>
            <w:r>
              <w:t>1</w:t>
            </w:r>
          </w:p>
        </w:tc>
        <w:tc>
          <w:tcPr>
            <w:tcW w:w="1667" w:type="pct"/>
          </w:tcPr>
          <w:p w14:paraId="5B5AC7E0" w14:textId="57649EA6" w:rsidR="00C06CEC" w:rsidRDefault="00C06CEC">
            <w:pPr>
              <w:pStyle w:val="TableNText"/>
            </w:pPr>
            <w:r>
              <w:t>15</w:t>
            </w:r>
          </w:p>
        </w:tc>
      </w:tr>
    </w:tbl>
    <w:p w14:paraId="67601419" w14:textId="77777777" w:rsidR="00722B90" w:rsidRPr="00390D6E" w:rsidRDefault="00722B90" w:rsidP="00722B90">
      <w:pPr>
        <w:pStyle w:val="Heading4"/>
      </w:pPr>
      <w:r w:rsidRPr="00390D6E">
        <w:t xml:space="preserve">Number of claim groups the NTRB-SP has acted for or assisted via brief out arrangements in a native title determination application </w:t>
      </w:r>
      <w:r>
        <w:t>during the Review period</w:t>
      </w:r>
    </w:p>
    <w:p w14:paraId="6BEFF4D2" w14:textId="77777777" w:rsidR="00722B90" w:rsidRPr="00735405" w:rsidRDefault="00722B90" w:rsidP="00722B90">
      <w:pPr>
        <w:keepNext/>
        <w:numPr>
          <w:ilvl w:val="4"/>
          <w:numId w:val="2"/>
        </w:numPr>
        <w:spacing w:before="240"/>
        <w:outlineLvl w:val="4"/>
        <w:rPr>
          <w:rFonts w:eastAsia="Times New Roman" w:cs="Times New Roman"/>
          <w:color w:val="000000" w:themeColor="text1"/>
          <w:sz w:val="20"/>
          <w:szCs w:val="24"/>
          <w:lang w:eastAsia="en-AU"/>
        </w:rPr>
      </w:pPr>
      <w:r w:rsidRPr="00735405">
        <w:rPr>
          <w:rFonts w:eastAsia="Times New Roman" w:cs="Times New Roman"/>
          <w:b/>
          <w:color w:val="000000" w:themeColor="text1"/>
          <w:sz w:val="20"/>
          <w:szCs w:val="24"/>
          <w:lang w:eastAsia="en-AU"/>
        </w:rPr>
        <w:t>The KLC referred applicants for assistance to external legal counsel in six instances during the Review period</w:t>
      </w:r>
    </w:p>
    <w:p w14:paraId="6F901226" w14:textId="5FA50D8B" w:rsidR="00722B90" w:rsidRDefault="00722B90" w:rsidP="00722B90">
      <w:r>
        <w:t>T</w:t>
      </w:r>
      <w:r w:rsidRPr="002D5D8F">
        <w:t>he KLC provide</w:t>
      </w:r>
      <w:r>
        <w:t xml:space="preserve">d funding for a </w:t>
      </w:r>
      <w:r w:rsidRPr="002D5D8F">
        <w:t>native title party</w:t>
      </w:r>
      <w:r>
        <w:t xml:space="preserve"> to receive external legal representation in six cases during the </w:t>
      </w:r>
      <w:r w:rsidR="00C06CEC">
        <w:t xml:space="preserve">Review </w:t>
      </w:r>
      <w:r>
        <w:t>period. KLC staff advised that the use of the brief</w:t>
      </w:r>
      <w:r w:rsidR="00C06CEC">
        <w:t xml:space="preserve"> </w:t>
      </w:r>
      <w:r>
        <w:t xml:space="preserve">out support was due to </w:t>
      </w:r>
      <w:r w:rsidR="00C06CEC">
        <w:t xml:space="preserve">the </w:t>
      </w:r>
      <w:r>
        <w:t xml:space="preserve">KLC representing another party in the same proceedings. </w:t>
      </w:r>
    </w:p>
    <w:p w14:paraId="0515315F" w14:textId="7A653AED" w:rsidR="00722B90" w:rsidRPr="000B66BE" w:rsidRDefault="00722B90" w:rsidP="00722B90">
      <w:pPr>
        <w:pStyle w:val="Heading5"/>
      </w:pPr>
      <w:r w:rsidRPr="000B66BE">
        <w:t xml:space="preserve">The KLC </w:t>
      </w:r>
      <w:r>
        <w:t>had processes in place to</w:t>
      </w:r>
      <w:r w:rsidRPr="000B66BE">
        <w:t xml:space="preserve"> ensure the legal firms </w:t>
      </w:r>
      <w:r>
        <w:t>it</w:t>
      </w:r>
      <w:r w:rsidRPr="000B66BE">
        <w:t xml:space="preserve"> </w:t>
      </w:r>
      <w:r>
        <w:t>funded</w:t>
      </w:r>
      <w:r w:rsidR="00382E5B">
        <w:t xml:space="preserve"> had relevant expertise</w:t>
      </w:r>
    </w:p>
    <w:p w14:paraId="1913BCD7" w14:textId="463DB820" w:rsidR="00722B90" w:rsidRPr="00735405" w:rsidRDefault="00722B90" w:rsidP="00722B90">
      <w:r>
        <w:t xml:space="preserve">The KLC ensured that the external legal firms it funded to represent native title parties had </w:t>
      </w:r>
      <w:r w:rsidRPr="006A47E2">
        <w:t>relevant expertise in native title litigation</w:t>
      </w:r>
      <w:r>
        <w:t xml:space="preserve">. This was assisted by a tender process that established a panel of legal firms whose </w:t>
      </w:r>
      <w:r w:rsidRPr="006A47E2">
        <w:t xml:space="preserve">expertise </w:t>
      </w:r>
      <w:r>
        <w:t xml:space="preserve">in native title matters was </w:t>
      </w:r>
      <w:r w:rsidRPr="006A47E2">
        <w:t>confirmed through an independent process</w:t>
      </w:r>
      <w:r>
        <w:t>.</w:t>
      </w:r>
      <w:r w:rsidRPr="006A47E2">
        <w:t xml:space="preserve"> </w:t>
      </w:r>
      <w:r>
        <w:t>KLC staff advised that a</w:t>
      </w:r>
      <w:r w:rsidRPr="006A47E2">
        <w:t xml:space="preserve"> funded party could appoint a lawyer who </w:t>
      </w:r>
      <w:r w:rsidR="00C06CEC">
        <w:t>was</w:t>
      </w:r>
      <w:r w:rsidR="00C06CEC" w:rsidRPr="006A47E2">
        <w:t xml:space="preserve"> </w:t>
      </w:r>
      <w:r w:rsidRPr="006A47E2">
        <w:t xml:space="preserve">not on the panel, however funding </w:t>
      </w:r>
      <w:r w:rsidR="00C06CEC">
        <w:t>would</w:t>
      </w:r>
      <w:r w:rsidR="00C06CEC" w:rsidRPr="006A47E2">
        <w:t xml:space="preserve"> </w:t>
      </w:r>
      <w:r w:rsidRPr="006A47E2">
        <w:t>not be provided by the KLC until the PLO confirm</w:t>
      </w:r>
      <w:r w:rsidR="00C06CEC">
        <w:t>ed</w:t>
      </w:r>
      <w:r w:rsidRPr="006A47E2">
        <w:t xml:space="preserve"> that the lawyer </w:t>
      </w:r>
      <w:r w:rsidR="00C06CEC">
        <w:t>had</w:t>
      </w:r>
      <w:r w:rsidR="00C06CEC" w:rsidRPr="006A47E2">
        <w:t xml:space="preserve"> </w:t>
      </w:r>
      <w:r w:rsidRPr="006A47E2">
        <w:t>the requisite expertise.</w:t>
      </w:r>
      <w:r w:rsidRPr="00735405">
        <w:t xml:space="preserve"> </w:t>
      </w:r>
    </w:p>
    <w:p w14:paraId="0DA3557A" w14:textId="77777777" w:rsidR="001D49CD" w:rsidRPr="00390D6E" w:rsidRDefault="001D49CD" w:rsidP="001D49CD">
      <w:pPr>
        <w:pStyle w:val="Heading4"/>
      </w:pPr>
      <w:r w:rsidRPr="00390D6E">
        <w:t>Proportion of claimable land within the RATSIB area not subject to a registered claim or a determination</w:t>
      </w:r>
    </w:p>
    <w:p w14:paraId="4E12EC15" w14:textId="77777777" w:rsidR="001D49CD" w:rsidRPr="007822EA" w:rsidRDefault="001D49CD" w:rsidP="001D49CD">
      <w:pPr>
        <w:keepNext/>
        <w:numPr>
          <w:ilvl w:val="4"/>
          <w:numId w:val="2"/>
        </w:numPr>
        <w:spacing w:before="240"/>
        <w:outlineLvl w:val="4"/>
        <w:rPr>
          <w:rFonts w:eastAsia="Times New Roman" w:cs="Times New Roman"/>
          <w:color w:val="000000" w:themeColor="text1"/>
          <w:sz w:val="20"/>
          <w:szCs w:val="24"/>
          <w:lang w:eastAsia="en-AU"/>
        </w:rPr>
      </w:pPr>
      <w:r w:rsidRPr="00BB5908">
        <w:rPr>
          <w:rFonts w:eastAsia="Times New Roman" w:cs="Times New Roman"/>
          <w:b/>
          <w:color w:val="000000" w:themeColor="text1"/>
          <w:sz w:val="20"/>
          <w:szCs w:val="24"/>
          <w:lang w:eastAsia="en-AU"/>
        </w:rPr>
        <w:t xml:space="preserve">Approximately </w:t>
      </w:r>
      <w:r>
        <w:rPr>
          <w:rFonts w:eastAsia="Times New Roman" w:cs="Times New Roman"/>
          <w:b/>
          <w:color w:val="000000" w:themeColor="text1"/>
          <w:sz w:val="20"/>
          <w:szCs w:val="24"/>
          <w:lang w:eastAsia="en-AU"/>
        </w:rPr>
        <w:t xml:space="preserve">three </w:t>
      </w:r>
      <w:r w:rsidRPr="00BB5908">
        <w:rPr>
          <w:rFonts w:eastAsia="Times New Roman" w:cs="Times New Roman"/>
          <w:b/>
          <w:color w:val="000000" w:themeColor="text1"/>
          <w:sz w:val="20"/>
          <w:szCs w:val="24"/>
          <w:lang w:eastAsia="en-AU"/>
        </w:rPr>
        <w:t>per cent</w:t>
      </w:r>
      <w:r>
        <w:rPr>
          <w:rFonts w:eastAsia="Times New Roman" w:cs="Times New Roman"/>
          <w:b/>
          <w:color w:val="000000" w:themeColor="text1"/>
          <w:sz w:val="20"/>
          <w:szCs w:val="24"/>
          <w:lang w:eastAsia="en-AU"/>
        </w:rPr>
        <w:t xml:space="preserve"> </w:t>
      </w:r>
      <w:r w:rsidRPr="00BB5908">
        <w:rPr>
          <w:rFonts w:eastAsia="Times New Roman" w:cs="Times New Roman"/>
          <w:b/>
          <w:color w:val="000000" w:themeColor="text1"/>
          <w:sz w:val="20"/>
          <w:szCs w:val="24"/>
          <w:lang w:eastAsia="en-AU"/>
        </w:rPr>
        <w:t xml:space="preserve">of the </w:t>
      </w:r>
      <w:r>
        <w:rPr>
          <w:rFonts w:eastAsia="Times New Roman" w:cs="Times New Roman"/>
          <w:b/>
          <w:color w:val="000000" w:themeColor="text1"/>
          <w:sz w:val="20"/>
          <w:szCs w:val="24"/>
          <w:lang w:eastAsia="en-AU"/>
        </w:rPr>
        <w:t>claimable land within the RATSIB area was not subject to registered claim or determination</w:t>
      </w:r>
    </w:p>
    <w:p w14:paraId="46F7B566" w14:textId="77777777" w:rsidR="001D49CD" w:rsidRPr="004C4F85" w:rsidRDefault="001D49CD" w:rsidP="001D49CD">
      <w:pPr>
        <w:rPr>
          <w:lang w:eastAsia="en-AU"/>
        </w:rPr>
      </w:pPr>
      <w:r>
        <w:rPr>
          <w:lang w:eastAsia="en-AU"/>
        </w:rPr>
        <w:t xml:space="preserve">The Kimberley RATSIB area is approximately </w:t>
      </w:r>
      <w:r w:rsidRPr="00EC42DD">
        <w:rPr>
          <w:lang w:eastAsia="en-AU"/>
        </w:rPr>
        <w:t>423,517 square kilometres of land and waters</w:t>
      </w:r>
      <w:r>
        <w:rPr>
          <w:lang w:eastAsia="en-AU"/>
        </w:rPr>
        <w:t>.</w:t>
      </w:r>
      <w:r w:rsidRPr="00EC42DD">
        <w:rPr>
          <w:lang w:eastAsia="en-AU"/>
        </w:rPr>
        <w:t xml:space="preserve"> </w:t>
      </w:r>
      <w:r>
        <w:rPr>
          <w:lang w:eastAsia="en-AU"/>
        </w:rPr>
        <w:t>KLC staff advised the Review team at the time of consultation (August 2023) that three percent, or approximately 12,706 square kilometres, was not at that time subject to a registered claim or determination (although</w:t>
      </w:r>
      <w:r w:rsidRPr="00B1031C">
        <w:t xml:space="preserve"> </w:t>
      </w:r>
      <w:r>
        <w:rPr>
          <w:lang w:eastAsia="en-AU"/>
        </w:rPr>
        <w:t>KLC staff advised that some</w:t>
      </w:r>
      <w:r w:rsidRPr="00B1031C">
        <w:rPr>
          <w:lang w:eastAsia="en-AU"/>
        </w:rPr>
        <w:t xml:space="preserve"> of these areas have been the subject of a registered claim in the past</w:t>
      </w:r>
      <w:r>
        <w:rPr>
          <w:lang w:eastAsia="en-AU"/>
        </w:rPr>
        <w:t>). T</w:t>
      </w:r>
      <w:r w:rsidRPr="00AA60CF">
        <w:rPr>
          <w:szCs w:val="19"/>
          <w:lang w:eastAsia="en-AU"/>
        </w:rPr>
        <w:t>his reflects the maturity of native title in the Kimberley region and the extent to which the KLC works in the post-determination space.</w:t>
      </w:r>
    </w:p>
    <w:p w14:paraId="12904F80" w14:textId="77777777" w:rsidR="00366B88" w:rsidRPr="00BB5908" w:rsidRDefault="00366B88" w:rsidP="00366B88">
      <w:pPr>
        <w:keepNext/>
        <w:spacing w:before="240" w:after="60"/>
        <w:outlineLvl w:val="3"/>
        <w:rPr>
          <w:rFonts w:ascii="Segoe UI Semibold" w:eastAsia="Times New Roman" w:hAnsi="Segoe UI Semibold" w:cs="Times New Roman"/>
          <w:color w:val="00264D" w:themeColor="background2"/>
          <w:sz w:val="22"/>
          <w:szCs w:val="19"/>
          <w:lang w:eastAsia="en-AU"/>
        </w:rPr>
      </w:pPr>
      <w:r w:rsidRPr="00BB5908">
        <w:rPr>
          <w:rFonts w:ascii="Segoe UI Semibold" w:eastAsia="Times New Roman" w:hAnsi="Segoe UI Semibold" w:cs="Times New Roman"/>
          <w:color w:val="00264D" w:themeColor="background2"/>
          <w:sz w:val="22"/>
          <w:szCs w:val="19"/>
          <w:lang w:eastAsia="en-AU"/>
        </w:rPr>
        <w:lastRenderedPageBreak/>
        <w:t>Average time between filing an application for a determination of native title to the date a determination is made</w:t>
      </w:r>
    </w:p>
    <w:p w14:paraId="45469547" w14:textId="20BD5E8D" w:rsidR="00366B88" w:rsidRPr="00BB5908" w:rsidRDefault="00366B88" w:rsidP="00366B88">
      <w:pPr>
        <w:keepNext/>
        <w:numPr>
          <w:ilvl w:val="4"/>
          <w:numId w:val="2"/>
        </w:numPr>
        <w:spacing w:before="240"/>
        <w:outlineLvl w:val="4"/>
        <w:rPr>
          <w:rFonts w:eastAsia="Times New Roman" w:cs="Times New Roman"/>
          <w:color w:val="000000" w:themeColor="text1"/>
          <w:sz w:val="20"/>
          <w:szCs w:val="24"/>
          <w:lang w:eastAsia="en-AU"/>
        </w:rPr>
      </w:pPr>
      <w:r w:rsidRPr="00BB5908">
        <w:rPr>
          <w:rFonts w:eastAsia="Times New Roman" w:cs="Times New Roman"/>
          <w:b/>
          <w:color w:val="000000" w:themeColor="text1"/>
          <w:sz w:val="20"/>
          <w:szCs w:val="24"/>
          <w:lang w:eastAsia="en-AU"/>
        </w:rPr>
        <w:t xml:space="preserve">The KLC’s average time between filing an application for determination of native title </w:t>
      </w:r>
      <w:r>
        <w:rPr>
          <w:rFonts w:eastAsia="Times New Roman" w:cs="Times New Roman"/>
          <w:b/>
          <w:color w:val="000000" w:themeColor="text1"/>
          <w:sz w:val="20"/>
          <w:szCs w:val="24"/>
          <w:lang w:eastAsia="en-AU"/>
        </w:rPr>
        <w:t xml:space="preserve">was </w:t>
      </w:r>
      <w:r w:rsidRPr="00BB5908">
        <w:rPr>
          <w:rFonts w:eastAsia="Times New Roman" w:cs="Times New Roman"/>
          <w:b/>
          <w:color w:val="000000" w:themeColor="text1"/>
          <w:sz w:val="20"/>
          <w:szCs w:val="24"/>
          <w:lang w:eastAsia="en-AU"/>
        </w:rPr>
        <w:t xml:space="preserve">generally </w:t>
      </w:r>
      <w:r>
        <w:rPr>
          <w:rFonts w:eastAsia="Times New Roman" w:cs="Times New Roman"/>
          <w:b/>
          <w:color w:val="000000" w:themeColor="text1"/>
          <w:sz w:val="20"/>
          <w:szCs w:val="24"/>
          <w:lang w:eastAsia="en-AU"/>
        </w:rPr>
        <w:t>favourable against</w:t>
      </w:r>
      <w:r w:rsidR="00C06CEC">
        <w:rPr>
          <w:rFonts w:eastAsia="Times New Roman" w:cs="Times New Roman"/>
          <w:b/>
          <w:color w:val="000000" w:themeColor="text1"/>
          <w:sz w:val="20"/>
          <w:szCs w:val="24"/>
          <w:lang w:eastAsia="en-AU"/>
        </w:rPr>
        <w:t xml:space="preserve"> Federal</w:t>
      </w:r>
      <w:r w:rsidRPr="00BB5908">
        <w:rPr>
          <w:rFonts w:eastAsia="Times New Roman" w:cs="Times New Roman"/>
          <w:b/>
          <w:color w:val="000000" w:themeColor="text1"/>
          <w:sz w:val="20"/>
          <w:szCs w:val="24"/>
          <w:lang w:eastAsia="en-AU"/>
        </w:rPr>
        <w:t xml:space="preserve"> Court benchmarks</w:t>
      </w:r>
    </w:p>
    <w:p w14:paraId="3FD98BFA" w14:textId="77777777" w:rsidR="00366B88" w:rsidRPr="00982287" w:rsidRDefault="00366B88" w:rsidP="00366B88">
      <w:pPr>
        <w:rPr>
          <w:b/>
          <w:szCs w:val="19"/>
        </w:rPr>
      </w:pPr>
      <w:r w:rsidRPr="00982287">
        <w:t xml:space="preserve">The Federal Court has </w:t>
      </w:r>
      <w:r>
        <w:rPr>
          <w:szCs w:val="19"/>
        </w:rPr>
        <w:t>set</w:t>
      </w:r>
      <w:r w:rsidRPr="00982287">
        <w:rPr>
          <w:szCs w:val="19"/>
        </w:rPr>
        <w:t xml:space="preserve"> a claim resolution target of five years for all claims lodged since 2011. For claims lodged before 2011, the target was ten years. </w:t>
      </w:r>
    </w:p>
    <w:p w14:paraId="17DBBEBA" w14:textId="77777777" w:rsidR="00366B88" w:rsidRPr="00CA4FE4" w:rsidRDefault="00366B88" w:rsidP="00366B88">
      <w:pPr>
        <w:rPr>
          <w:szCs w:val="19"/>
        </w:rPr>
      </w:pPr>
      <w:r>
        <w:t>A total of 12 of the 13</w:t>
      </w:r>
      <w:r w:rsidRPr="00982287">
        <w:t xml:space="preserve"> applications determined within the Review period were lodged post-2011</w:t>
      </w:r>
      <w:r>
        <w:rPr>
          <w:szCs w:val="19"/>
        </w:rPr>
        <w:t xml:space="preserve"> and </w:t>
      </w:r>
      <w:r w:rsidRPr="00982287">
        <w:rPr>
          <w:szCs w:val="19"/>
        </w:rPr>
        <w:t>the average time between the KLC filing the application and the determination being made was 3.18 years. This is considerably less than the target of five years set by the Federal Court.</w:t>
      </w:r>
      <w:r>
        <w:rPr>
          <w:szCs w:val="19"/>
        </w:rPr>
        <w:t xml:space="preserve"> T</w:t>
      </w:r>
      <w:r w:rsidRPr="00982287">
        <w:rPr>
          <w:szCs w:val="19"/>
        </w:rPr>
        <w:t xml:space="preserve">he one application determined within the Review period that was lodged prior to 2011 took 19.81 years from filing to determination, almost double the </w:t>
      </w:r>
      <w:r>
        <w:rPr>
          <w:szCs w:val="19"/>
        </w:rPr>
        <w:t xml:space="preserve">applicable </w:t>
      </w:r>
      <w:r w:rsidRPr="00982287">
        <w:rPr>
          <w:szCs w:val="19"/>
        </w:rPr>
        <w:t xml:space="preserve">benchmark. </w:t>
      </w:r>
      <w:r>
        <w:rPr>
          <w:szCs w:val="19"/>
        </w:rPr>
        <w:t>KLC staff and legal stakeholders noted that this extended timeframe reflects</w:t>
      </w:r>
      <w:r w:rsidRPr="00982287">
        <w:rPr>
          <w:szCs w:val="19"/>
        </w:rPr>
        <w:t xml:space="preserve"> the complex nature of this particular claim</w:t>
      </w:r>
      <w:r>
        <w:rPr>
          <w:szCs w:val="19"/>
        </w:rPr>
        <w:t>,</w:t>
      </w:r>
      <w:r w:rsidRPr="00982287">
        <w:rPr>
          <w:szCs w:val="19"/>
        </w:rPr>
        <w:t xml:space="preserve"> Balanggarra #3 Part B</w:t>
      </w:r>
      <w:r>
        <w:rPr>
          <w:szCs w:val="19"/>
        </w:rPr>
        <w:t xml:space="preserve">. </w:t>
      </w:r>
    </w:p>
    <w:p w14:paraId="6430B54B" w14:textId="40FE821D" w:rsidR="00366B88" w:rsidRPr="008A6ADF" w:rsidRDefault="00366B88" w:rsidP="00366B88">
      <w:pPr>
        <w:rPr>
          <w:b/>
          <w:szCs w:val="19"/>
        </w:rPr>
      </w:pPr>
      <w:r w:rsidRPr="008A6ADF">
        <w:t xml:space="preserve">The ages of the KLC’s four active claimant applications and one compensation application </w:t>
      </w:r>
      <w:r w:rsidRPr="008A6ADF">
        <w:rPr>
          <w:szCs w:val="19"/>
        </w:rPr>
        <w:t xml:space="preserve">at 30 June 2022 </w:t>
      </w:r>
      <w:r>
        <w:rPr>
          <w:szCs w:val="19"/>
        </w:rPr>
        <w:t>are</w:t>
      </w:r>
      <w:r w:rsidRPr="008A6ADF">
        <w:rPr>
          <w:szCs w:val="19"/>
        </w:rPr>
        <w:t xml:space="preserve"> shown in </w:t>
      </w:r>
      <w:r>
        <w:rPr>
          <w:szCs w:val="19"/>
        </w:rPr>
        <w:fldChar w:fldCharType="begin"/>
      </w:r>
      <w:r>
        <w:rPr>
          <w:szCs w:val="19"/>
        </w:rPr>
        <w:instrText xml:space="preserve"> REF _Ref154046692 \h </w:instrText>
      </w:r>
      <w:r>
        <w:rPr>
          <w:szCs w:val="19"/>
        </w:rPr>
      </w:r>
      <w:r>
        <w:rPr>
          <w:szCs w:val="19"/>
        </w:rPr>
        <w:fldChar w:fldCharType="separate"/>
      </w:r>
      <w:r w:rsidR="00291532">
        <w:t xml:space="preserve">Table </w:t>
      </w:r>
      <w:r w:rsidR="00291532">
        <w:rPr>
          <w:noProof/>
        </w:rPr>
        <w:t>6</w:t>
      </w:r>
      <w:r>
        <w:rPr>
          <w:szCs w:val="19"/>
        </w:rPr>
        <w:fldChar w:fldCharType="end"/>
      </w:r>
      <w:r w:rsidRPr="008A6ADF">
        <w:rPr>
          <w:szCs w:val="19"/>
        </w:rPr>
        <w:t>.</w:t>
      </w:r>
    </w:p>
    <w:p w14:paraId="3BA7E247" w14:textId="079F3314" w:rsidR="00366B88" w:rsidRDefault="00366B88" w:rsidP="00366B88">
      <w:pPr>
        <w:pStyle w:val="Caption"/>
      </w:pPr>
      <w:bookmarkStart w:id="25" w:name="_Ref154046692"/>
      <w:r>
        <w:t xml:space="preserve">Table </w:t>
      </w:r>
      <w:r>
        <w:fldChar w:fldCharType="begin"/>
      </w:r>
      <w:r>
        <w:instrText xml:space="preserve"> SEQ Table \* ARABIC </w:instrText>
      </w:r>
      <w:r>
        <w:fldChar w:fldCharType="separate"/>
      </w:r>
      <w:r w:rsidR="00291532">
        <w:rPr>
          <w:noProof/>
        </w:rPr>
        <w:t>6</w:t>
      </w:r>
      <w:r>
        <w:fldChar w:fldCharType="end"/>
      </w:r>
      <w:bookmarkEnd w:id="25"/>
      <w:r>
        <w:t xml:space="preserve"> | </w:t>
      </w:r>
      <w:r w:rsidRPr="004D66B8">
        <w:t>Age of active claims supported by the KLC as of 30 June 2022</w:t>
      </w:r>
      <w:r w:rsidRPr="00390D6E">
        <w:rPr>
          <w:vertAlign w:val="superscript"/>
        </w:rPr>
        <w:footnoteReference w:id="10"/>
      </w:r>
    </w:p>
    <w:tbl>
      <w:tblPr>
        <w:tblStyle w:val="NOUSSideHeader11"/>
        <w:tblW w:w="0" w:type="auto"/>
        <w:tblLook w:val="04A0" w:firstRow="1" w:lastRow="0" w:firstColumn="1" w:lastColumn="0" w:noHBand="0" w:noVBand="1"/>
      </w:tblPr>
      <w:tblGrid>
        <w:gridCol w:w="1786"/>
        <w:gridCol w:w="1786"/>
        <w:gridCol w:w="1786"/>
        <w:gridCol w:w="1786"/>
        <w:gridCol w:w="1786"/>
      </w:tblGrid>
      <w:tr w:rsidR="00366B88" w:rsidRPr="00390D6E" w14:paraId="0D3D178E" w14:textId="77777777">
        <w:trPr>
          <w:cnfStyle w:val="100000000000" w:firstRow="1" w:lastRow="0" w:firstColumn="0" w:lastColumn="0" w:oddVBand="0" w:evenVBand="0" w:oddHBand="0" w:evenHBand="0" w:firstRowFirstColumn="0" w:firstRowLastColumn="0" w:lastRowFirstColumn="0" w:lastRowLastColumn="0"/>
        </w:trPr>
        <w:tc>
          <w:tcPr>
            <w:tcW w:w="1786" w:type="dxa"/>
          </w:tcPr>
          <w:p w14:paraId="32A08414" w14:textId="61DBE8A4" w:rsidR="00366B88" w:rsidRPr="00390D6E" w:rsidRDefault="00366B88" w:rsidP="00CA6E3E">
            <w:pPr>
              <w:pStyle w:val="TableNheader"/>
              <w:rPr>
                <w:szCs w:val="19"/>
              </w:rPr>
            </w:pPr>
            <w:r>
              <w:t xml:space="preserve">Less than </w:t>
            </w:r>
            <w:r w:rsidRPr="00390D6E">
              <w:t>1</w:t>
            </w:r>
            <w:r w:rsidR="00A66C4C">
              <w:t xml:space="preserve"> year</w:t>
            </w:r>
          </w:p>
        </w:tc>
        <w:tc>
          <w:tcPr>
            <w:tcW w:w="1786" w:type="dxa"/>
          </w:tcPr>
          <w:p w14:paraId="52F7B547" w14:textId="77777777" w:rsidR="00366B88" w:rsidRPr="00390D6E" w:rsidRDefault="00366B88" w:rsidP="00CA6E3E">
            <w:pPr>
              <w:pStyle w:val="TableNheader"/>
              <w:rPr>
                <w:szCs w:val="19"/>
              </w:rPr>
            </w:pPr>
            <w:r>
              <w:t xml:space="preserve">1 to 3 </w:t>
            </w:r>
            <w:r w:rsidRPr="00390D6E">
              <w:t>years</w:t>
            </w:r>
          </w:p>
        </w:tc>
        <w:tc>
          <w:tcPr>
            <w:tcW w:w="1786" w:type="dxa"/>
          </w:tcPr>
          <w:p w14:paraId="03F23F9C" w14:textId="77777777" w:rsidR="00366B88" w:rsidRPr="00390D6E" w:rsidRDefault="00366B88" w:rsidP="00CA6E3E">
            <w:pPr>
              <w:pStyle w:val="TableNheader"/>
              <w:rPr>
                <w:szCs w:val="19"/>
              </w:rPr>
            </w:pPr>
            <w:r>
              <w:t>3 to 5</w:t>
            </w:r>
            <w:r w:rsidRPr="00390D6E">
              <w:t xml:space="preserve"> years</w:t>
            </w:r>
          </w:p>
        </w:tc>
        <w:tc>
          <w:tcPr>
            <w:tcW w:w="1786" w:type="dxa"/>
          </w:tcPr>
          <w:p w14:paraId="7F7EFCD7" w14:textId="77777777" w:rsidR="00366B88" w:rsidRPr="00390D6E" w:rsidRDefault="00366B88" w:rsidP="00CA6E3E">
            <w:pPr>
              <w:pStyle w:val="TableNheader"/>
              <w:rPr>
                <w:szCs w:val="19"/>
              </w:rPr>
            </w:pPr>
            <w:r>
              <w:t>5 to 15</w:t>
            </w:r>
            <w:r w:rsidRPr="00390D6E">
              <w:t xml:space="preserve"> years</w:t>
            </w:r>
          </w:p>
        </w:tc>
        <w:tc>
          <w:tcPr>
            <w:tcW w:w="1786" w:type="dxa"/>
          </w:tcPr>
          <w:p w14:paraId="45B6B4A6" w14:textId="77777777" w:rsidR="00366B88" w:rsidRPr="00390D6E" w:rsidRDefault="00366B88" w:rsidP="00CA6E3E">
            <w:pPr>
              <w:pStyle w:val="TableNheader"/>
              <w:rPr>
                <w:szCs w:val="19"/>
              </w:rPr>
            </w:pPr>
            <w:r>
              <w:t xml:space="preserve">More than </w:t>
            </w:r>
            <w:r w:rsidRPr="00390D6E">
              <w:t>15 years</w:t>
            </w:r>
          </w:p>
        </w:tc>
      </w:tr>
      <w:tr w:rsidR="00366B88" w:rsidRPr="00390D6E" w14:paraId="78AC4C77" w14:textId="77777777">
        <w:trPr>
          <w:cnfStyle w:val="000000100000" w:firstRow="0" w:lastRow="0" w:firstColumn="0" w:lastColumn="0" w:oddVBand="0" w:evenVBand="0" w:oddHBand="1" w:evenHBand="0" w:firstRowFirstColumn="0" w:firstRowLastColumn="0" w:lastRowFirstColumn="0" w:lastRowLastColumn="0"/>
        </w:trPr>
        <w:tc>
          <w:tcPr>
            <w:tcW w:w="1786" w:type="dxa"/>
          </w:tcPr>
          <w:p w14:paraId="7BBD4E7E" w14:textId="77777777" w:rsidR="00366B88" w:rsidRPr="00390D6E" w:rsidRDefault="00366B88" w:rsidP="00CA6E3E">
            <w:pPr>
              <w:pStyle w:val="TableNText"/>
            </w:pPr>
            <w:r w:rsidRPr="00390D6E">
              <w:t>1</w:t>
            </w:r>
          </w:p>
        </w:tc>
        <w:tc>
          <w:tcPr>
            <w:tcW w:w="1786" w:type="dxa"/>
          </w:tcPr>
          <w:p w14:paraId="2879228C" w14:textId="77777777" w:rsidR="00366B88" w:rsidRPr="00390D6E" w:rsidRDefault="00366B88" w:rsidP="00CA6E3E">
            <w:pPr>
              <w:pStyle w:val="TableNText"/>
            </w:pPr>
            <w:r w:rsidRPr="00390D6E">
              <w:t>1</w:t>
            </w:r>
          </w:p>
        </w:tc>
        <w:tc>
          <w:tcPr>
            <w:tcW w:w="1786" w:type="dxa"/>
          </w:tcPr>
          <w:p w14:paraId="4A2F288E" w14:textId="77777777" w:rsidR="00366B88" w:rsidRPr="00390D6E" w:rsidRDefault="00366B88" w:rsidP="00CA6E3E">
            <w:pPr>
              <w:pStyle w:val="TableNText"/>
            </w:pPr>
            <w:r w:rsidRPr="00390D6E">
              <w:t>1</w:t>
            </w:r>
          </w:p>
        </w:tc>
        <w:tc>
          <w:tcPr>
            <w:tcW w:w="1786" w:type="dxa"/>
          </w:tcPr>
          <w:p w14:paraId="0E33A54F" w14:textId="77777777" w:rsidR="00366B88" w:rsidRPr="00390D6E" w:rsidRDefault="00366B88" w:rsidP="00CA6E3E">
            <w:pPr>
              <w:pStyle w:val="TableNText"/>
            </w:pPr>
            <w:r w:rsidRPr="00390D6E">
              <w:t>1</w:t>
            </w:r>
          </w:p>
        </w:tc>
        <w:tc>
          <w:tcPr>
            <w:tcW w:w="1786" w:type="dxa"/>
          </w:tcPr>
          <w:p w14:paraId="6E597361" w14:textId="77777777" w:rsidR="00366B88" w:rsidRPr="00390D6E" w:rsidRDefault="00366B88" w:rsidP="00CA6E3E">
            <w:pPr>
              <w:pStyle w:val="TableNText"/>
            </w:pPr>
            <w:r w:rsidRPr="00390D6E">
              <w:t>1</w:t>
            </w:r>
          </w:p>
        </w:tc>
      </w:tr>
    </w:tbl>
    <w:p w14:paraId="04FE77BB" w14:textId="5670CAE5" w:rsidR="00366B88" w:rsidRDefault="00366B88" w:rsidP="00366B88">
      <w:r>
        <w:rPr>
          <w:szCs w:val="19"/>
        </w:rPr>
        <w:br/>
      </w:r>
      <w:r>
        <w:t xml:space="preserve">The Review notes that delays to the finalisation of claims </w:t>
      </w:r>
      <w:r w:rsidR="001078D9">
        <w:t xml:space="preserve">were </w:t>
      </w:r>
      <w:r>
        <w:t>the result of many factors, including the approach taken by respondents</w:t>
      </w:r>
      <w:r w:rsidR="008B7060">
        <w:t>,</w:t>
      </w:r>
      <w:r>
        <w:t xml:space="preserve"> such as </w:t>
      </w:r>
      <w:r w:rsidR="001078D9">
        <w:t>federal</w:t>
      </w:r>
      <w:r>
        <w:t xml:space="preserve">, state and private interests. </w:t>
      </w:r>
      <w:r w:rsidR="009B604B">
        <w:t xml:space="preserve">The </w:t>
      </w:r>
      <w:r w:rsidR="009B604B" w:rsidRPr="009B604B">
        <w:t xml:space="preserve">Australian Institute of Aboriginal and Torres Strait Islander Studies </w:t>
      </w:r>
      <w:r>
        <w:t>has noted that “</w:t>
      </w:r>
      <w:r w:rsidRPr="00937019">
        <w:t>the ‘integrity’ of the native title system lies in ensuring that measures to improve the timeliness of matters will at least do no harm and that considerations of efficiency should focus first on ‘just’ and then on ‘timely’.</w:t>
      </w:r>
      <w:r w:rsidRPr="00D776E7">
        <w:t>”</w:t>
      </w:r>
      <w:r w:rsidRPr="00D776E7">
        <w:rPr>
          <w:vertAlign w:val="superscript"/>
        </w:rPr>
        <w:footnoteReference w:id="11"/>
      </w:r>
      <w:r w:rsidRPr="00255F72">
        <w:t xml:space="preserve"> </w:t>
      </w:r>
      <w:r>
        <w:t>Nevertheless, an</w:t>
      </w:r>
      <w:r w:rsidRPr="0181F3A3">
        <w:t xml:space="preserve"> impact of claims that take many years to </w:t>
      </w:r>
      <w:r>
        <w:t>determine</w:t>
      </w:r>
      <w:r w:rsidRPr="0181F3A3">
        <w:t xml:space="preserve"> is that membership of claim groups change as claimants pass away.</w:t>
      </w:r>
    </w:p>
    <w:p w14:paraId="3EC4D6A6" w14:textId="77777777" w:rsidR="0081060D" w:rsidRDefault="0081060D" w:rsidP="0081060D">
      <w:pPr>
        <w:pStyle w:val="Heading4"/>
      </w:pPr>
      <w:r w:rsidRPr="00390D6E">
        <w:t>Number of common law native title holders/RNTBCs the NTRB-SP has acted for in a native title compensation application proceeding</w:t>
      </w:r>
    </w:p>
    <w:p w14:paraId="206B7154" w14:textId="23B7ACCB" w:rsidR="0081060D" w:rsidRPr="00AC0695" w:rsidRDefault="0081060D" w:rsidP="0081060D">
      <w:pPr>
        <w:pStyle w:val="Heading6"/>
        <w:numPr>
          <w:ilvl w:val="5"/>
          <w:numId w:val="2"/>
        </w:numPr>
        <w:rPr>
          <w:rFonts w:eastAsiaTheme="minorHAnsi" w:cstheme="minorBidi"/>
          <w:i w:val="0"/>
          <w:color w:val="auto"/>
          <w:szCs w:val="22"/>
        </w:rPr>
      </w:pPr>
      <w:r w:rsidRPr="00AC0695">
        <w:rPr>
          <w:rFonts w:eastAsiaTheme="minorHAnsi" w:cstheme="minorBidi"/>
          <w:i w:val="0"/>
          <w:color w:val="auto"/>
          <w:szCs w:val="22"/>
        </w:rPr>
        <w:t xml:space="preserve">The KLC submitted its first application for </w:t>
      </w:r>
      <w:r w:rsidR="002F7241" w:rsidRPr="00AC0695">
        <w:rPr>
          <w:rFonts w:eastAsiaTheme="minorHAnsi" w:cstheme="minorBidi"/>
          <w:i w:val="0"/>
          <w:color w:val="auto"/>
          <w:szCs w:val="22"/>
        </w:rPr>
        <w:t>native title c</w:t>
      </w:r>
      <w:r w:rsidRPr="00AC0695">
        <w:rPr>
          <w:rFonts w:eastAsiaTheme="minorHAnsi" w:cstheme="minorBidi"/>
          <w:i w:val="0"/>
          <w:color w:val="auto"/>
          <w:szCs w:val="22"/>
        </w:rPr>
        <w:t>ompensation in 2021 and is preparing for more claims in the future</w:t>
      </w:r>
    </w:p>
    <w:p w14:paraId="54E760E2" w14:textId="733AD8F1" w:rsidR="0081060D" w:rsidRDefault="0081060D" w:rsidP="0081060D">
      <w:pPr>
        <w:rPr>
          <w:lang w:eastAsia="en-AU"/>
        </w:rPr>
      </w:pPr>
      <w:r>
        <w:rPr>
          <w:lang w:eastAsia="en-AU"/>
        </w:rPr>
        <w:t xml:space="preserve">In its 2021-22 Annual Report, the KLC reported that since the Timber Creek </w:t>
      </w:r>
      <w:r w:rsidR="007968A3">
        <w:rPr>
          <w:lang w:eastAsia="en-AU"/>
        </w:rPr>
        <w:t>n</w:t>
      </w:r>
      <w:r>
        <w:rPr>
          <w:lang w:eastAsia="en-AU"/>
        </w:rPr>
        <w:t xml:space="preserve">ative </w:t>
      </w:r>
      <w:r w:rsidR="007968A3">
        <w:rPr>
          <w:lang w:eastAsia="en-AU"/>
        </w:rPr>
        <w:t>t</w:t>
      </w:r>
      <w:r>
        <w:rPr>
          <w:lang w:eastAsia="en-AU"/>
        </w:rPr>
        <w:t xml:space="preserve">itle </w:t>
      </w:r>
      <w:r w:rsidR="007968A3">
        <w:rPr>
          <w:lang w:eastAsia="en-AU"/>
        </w:rPr>
        <w:t>c</w:t>
      </w:r>
      <w:r>
        <w:rPr>
          <w:lang w:eastAsia="en-AU"/>
        </w:rPr>
        <w:t xml:space="preserve">ompensation </w:t>
      </w:r>
      <w:r w:rsidR="007968A3">
        <w:rPr>
          <w:lang w:eastAsia="en-AU"/>
        </w:rPr>
        <w:t>c</w:t>
      </w:r>
      <w:r>
        <w:rPr>
          <w:lang w:eastAsia="en-AU"/>
        </w:rPr>
        <w:t xml:space="preserve">laim decision in March 2019, the KLC has worked with a number of PBCs to research and identify areas where a native title compensation claim could be made. </w:t>
      </w:r>
    </w:p>
    <w:p w14:paraId="4B7C8EE0" w14:textId="33A19049" w:rsidR="0081060D" w:rsidRDefault="0081060D" w:rsidP="0081060D">
      <w:pPr>
        <w:rPr>
          <w:lang w:eastAsia="en-AU"/>
        </w:rPr>
      </w:pPr>
      <w:r>
        <w:rPr>
          <w:lang w:eastAsia="en-AU"/>
        </w:rPr>
        <w:t xml:space="preserve">In September 2021, the KLC lodged its first native title compensation claim for the PBC Malarngowem Aboriginal Corporation RNTBC in relation to an exploration tenement held by Kimberley Granite Holdings Pty Ltd on Malarngowem determined lands. </w:t>
      </w:r>
      <w:r w:rsidRPr="00390D6E">
        <w:t>The claim pertain</w:t>
      </w:r>
      <w:r w:rsidR="007968A3">
        <w:t>ed</w:t>
      </w:r>
      <w:r w:rsidRPr="00390D6E">
        <w:t xml:space="preserve"> to 45.24 square kilometres of land located in north and north easterly portions of the Halls Creek Shire. </w:t>
      </w:r>
      <w:r>
        <w:rPr>
          <w:lang w:eastAsia="en-AU"/>
        </w:rPr>
        <w:t xml:space="preserve">The claim is currently still active and </w:t>
      </w:r>
      <w:r>
        <w:rPr>
          <w:lang w:eastAsia="en-AU"/>
        </w:rPr>
        <w:lastRenderedPageBreak/>
        <w:t>is for compensation for the impacts of exploration activities, including significant damage to sites such as Garnkiny and Jawaren.</w:t>
      </w:r>
    </w:p>
    <w:p w14:paraId="0481F9E0" w14:textId="64F7DCD6" w:rsidR="0081060D" w:rsidRDefault="0081060D" w:rsidP="0081060D">
      <w:pPr>
        <w:rPr>
          <w:lang w:eastAsia="en-AU"/>
        </w:rPr>
      </w:pPr>
      <w:r>
        <w:rPr>
          <w:lang w:eastAsia="en-AU"/>
        </w:rPr>
        <w:t>Since February 2022</w:t>
      </w:r>
      <w:r w:rsidR="00602094">
        <w:rPr>
          <w:lang w:eastAsia="en-AU"/>
        </w:rPr>
        <w:t>,</w:t>
      </w:r>
      <w:r>
        <w:rPr>
          <w:lang w:eastAsia="en-AU"/>
        </w:rPr>
        <w:t xml:space="preserve"> the KLC has also been preparing a compensation claim over the Yampi Defence Lands for the PBC Wanjina-Wunggurr (Native Title) Aboriginal Corporation RNTBC. </w:t>
      </w:r>
    </w:p>
    <w:p w14:paraId="095BB954" w14:textId="77777777" w:rsidR="0081060D" w:rsidRDefault="0081060D" w:rsidP="0081060D">
      <w:pPr>
        <w:rPr>
          <w:lang w:eastAsia="en-AU"/>
        </w:rPr>
      </w:pPr>
      <w:r>
        <w:rPr>
          <w:lang w:eastAsia="en-AU"/>
        </w:rPr>
        <w:t>It is likely that the number of compensation claims will continue to grow in the future. The KLC has initiated work to record evidence from senior Traditional Owners who have significant knowledge of their lands so that it will be available as evidence if needed for future compensation claims. Staff have also developed plans for more future preservation evidence work throughout the region.</w:t>
      </w:r>
    </w:p>
    <w:p w14:paraId="4963F98F" w14:textId="77777777" w:rsidR="00031218" w:rsidRDefault="00031218" w:rsidP="00031218">
      <w:pPr>
        <w:keepNext/>
        <w:numPr>
          <w:ilvl w:val="2"/>
          <w:numId w:val="2"/>
        </w:numPr>
        <w:spacing w:before="480" w:after="60"/>
        <w:outlineLvl w:val="2"/>
        <w:rPr>
          <w:rFonts w:ascii="Segoe UI Semibold" w:eastAsia="Times New Roman" w:hAnsi="Segoe UI Semibold" w:cs="Times New Roman"/>
          <w:color w:val="00264D"/>
          <w:sz w:val="26"/>
          <w:szCs w:val="19"/>
          <w:lang w:eastAsia="en-AU"/>
        </w:rPr>
      </w:pPr>
      <w:r w:rsidRPr="00031218">
        <w:rPr>
          <w:rFonts w:ascii="Segoe UI Semibold" w:eastAsia="Times New Roman" w:hAnsi="Segoe UI Semibold" w:cs="Times New Roman"/>
          <w:color w:val="00264D"/>
          <w:sz w:val="26"/>
          <w:szCs w:val="19"/>
          <w:lang w:eastAsia="en-AU"/>
        </w:rPr>
        <w:t>TOR 1: External factors</w:t>
      </w:r>
    </w:p>
    <w:p w14:paraId="40D4EADD" w14:textId="4B2BE45B" w:rsidR="00FE7367" w:rsidRPr="00031218" w:rsidRDefault="00FE7367" w:rsidP="00FE7367">
      <w:pPr>
        <w:rPr>
          <w:lang w:eastAsia="en-AU"/>
        </w:rPr>
      </w:pPr>
      <w:r w:rsidRPr="00FE7367">
        <w:rPr>
          <w:lang w:eastAsia="en-AU"/>
        </w:rPr>
        <w:t xml:space="preserve">This section presents an analysis of factors that impacted on performance that were beyond </w:t>
      </w:r>
      <w:r w:rsidR="005A409E">
        <w:rPr>
          <w:lang w:eastAsia="en-AU"/>
        </w:rPr>
        <w:t xml:space="preserve">the </w:t>
      </w:r>
      <w:r>
        <w:rPr>
          <w:lang w:eastAsia="en-AU"/>
        </w:rPr>
        <w:t>KLC</w:t>
      </w:r>
      <w:r w:rsidRPr="00FE7367">
        <w:rPr>
          <w:lang w:eastAsia="en-AU"/>
        </w:rPr>
        <w:t>'s control.</w:t>
      </w:r>
    </w:p>
    <w:p w14:paraId="1B69AFD4" w14:textId="094DA5FF" w:rsidR="00031218" w:rsidRPr="00031218" w:rsidRDefault="00031218" w:rsidP="00031218">
      <w:pPr>
        <w:keepNext/>
        <w:spacing w:before="240" w:after="60"/>
        <w:outlineLvl w:val="3"/>
        <w:rPr>
          <w:rFonts w:ascii="Segoe UI Semibold" w:eastAsia="Times New Roman" w:hAnsi="Segoe UI Semibold" w:cs="Times New Roman"/>
          <w:color w:val="00264D" w:themeColor="background2"/>
          <w:sz w:val="22"/>
          <w:szCs w:val="19"/>
          <w:lang w:eastAsia="en-AU"/>
        </w:rPr>
      </w:pPr>
      <w:r w:rsidRPr="00031218">
        <w:rPr>
          <w:rFonts w:ascii="Segoe UI Semibold" w:eastAsia="Times New Roman" w:hAnsi="Segoe UI Semibold" w:cs="Times New Roman"/>
          <w:color w:val="00264D" w:themeColor="background2"/>
          <w:sz w:val="22"/>
          <w:szCs w:val="19"/>
          <w:lang w:eastAsia="en-AU"/>
        </w:rPr>
        <w:t xml:space="preserve">State government policy and legislation </w:t>
      </w:r>
    </w:p>
    <w:p w14:paraId="408B196E" w14:textId="158C4EEA" w:rsidR="00031218" w:rsidRPr="00031218" w:rsidRDefault="00031218" w:rsidP="00031218">
      <w:pPr>
        <w:keepNext/>
        <w:spacing w:before="240"/>
        <w:outlineLvl w:val="4"/>
        <w:rPr>
          <w:rFonts w:eastAsia="Times New Roman" w:cs="Times New Roman"/>
          <w:b/>
          <w:i/>
          <w:color w:val="000000" w:themeColor="text1"/>
          <w:sz w:val="20"/>
          <w:szCs w:val="24"/>
          <w:lang w:eastAsia="en-AU"/>
        </w:rPr>
      </w:pPr>
      <w:r w:rsidRPr="00031218">
        <w:rPr>
          <w:rFonts w:eastAsia="Times New Roman" w:cs="Times New Roman"/>
          <w:b/>
          <w:color w:val="000000" w:themeColor="text1"/>
          <w:sz w:val="20"/>
          <w:szCs w:val="24"/>
          <w:lang w:eastAsia="en-AU"/>
        </w:rPr>
        <w:t xml:space="preserve">The </w:t>
      </w:r>
      <w:r w:rsidR="00AE249F" w:rsidRPr="00AE249F">
        <w:rPr>
          <w:rFonts w:eastAsia="Times New Roman" w:cs="Times New Roman"/>
          <w:b/>
          <w:color w:val="000000" w:themeColor="text1"/>
          <w:sz w:val="20"/>
          <w:szCs w:val="24"/>
          <w:lang w:eastAsia="en-AU"/>
        </w:rPr>
        <w:t xml:space="preserve">Western Australian </w:t>
      </w:r>
      <w:r w:rsidRPr="00031218">
        <w:rPr>
          <w:rFonts w:eastAsia="Times New Roman" w:cs="Times New Roman"/>
          <w:b/>
          <w:color w:val="000000" w:themeColor="text1"/>
          <w:sz w:val="20"/>
          <w:szCs w:val="24"/>
          <w:lang w:eastAsia="en-AU"/>
        </w:rPr>
        <w:t>Government had a strong desire to settle and determine all claims in the region under Closing the Gap priorities</w:t>
      </w:r>
    </w:p>
    <w:p w14:paraId="335B5A64" w14:textId="689DD903" w:rsidR="00031218" w:rsidRPr="00031218" w:rsidRDefault="00031218" w:rsidP="00031218">
      <w:r w:rsidRPr="00031218">
        <w:t xml:space="preserve">The </w:t>
      </w:r>
      <w:r w:rsidR="00AE249F" w:rsidRPr="00AE249F">
        <w:t xml:space="preserve">Western Australian </w:t>
      </w:r>
      <w:r w:rsidRPr="00031218">
        <w:t>Government’s position during the Review period was to achieve consent determinations</w:t>
      </w:r>
      <w:r w:rsidRPr="00031218" w:rsidDel="003337EC">
        <w:t xml:space="preserve"> </w:t>
      </w:r>
      <w:r w:rsidRPr="00031218">
        <w:t xml:space="preserve">with an increased willingness to progress native title claims more quickly under Closing the Gap </w:t>
      </w:r>
      <w:r w:rsidR="00BC023F">
        <w:t>p</w:t>
      </w:r>
      <w:r w:rsidRPr="00031218">
        <w:t xml:space="preserve">riorities and the </w:t>
      </w:r>
      <w:r w:rsidR="00AE249F" w:rsidRPr="00AE249F">
        <w:t xml:space="preserve">Western Australian </w:t>
      </w:r>
      <w:r w:rsidRPr="00031218">
        <w:t>Implementation Plan.</w:t>
      </w:r>
      <w:r w:rsidRPr="00031218">
        <w:rPr>
          <w:vertAlign w:val="superscript"/>
        </w:rPr>
        <w:footnoteReference w:id="12"/>
      </w:r>
      <w:r w:rsidRPr="00031218">
        <w:t xml:space="preserve"> It is important to note that this stance has evolved from the historically adversarial approach taken by the </w:t>
      </w:r>
      <w:r w:rsidR="00AE249F" w:rsidRPr="00AE249F">
        <w:t xml:space="preserve">Western Australian </w:t>
      </w:r>
      <w:r w:rsidRPr="00031218">
        <w:t>Government, which was a strong theme that impacted the KLC’s ability to deliver native title outcomes during the previous Review period</w:t>
      </w:r>
      <w:r w:rsidR="00C51AF0">
        <w:t xml:space="preserve"> (</w:t>
      </w:r>
      <w:r w:rsidR="009D4388" w:rsidRPr="009D4388">
        <w:t>FY2015-16 to FY2017-18</w:t>
      </w:r>
      <w:r w:rsidR="00C51AF0">
        <w:t>)</w:t>
      </w:r>
      <w:r w:rsidRPr="00031218">
        <w:t xml:space="preserve">. </w:t>
      </w:r>
    </w:p>
    <w:p w14:paraId="52A78877" w14:textId="616C797F" w:rsidR="00031218" w:rsidRPr="00031218" w:rsidRDefault="00031218" w:rsidP="00031218">
      <w:r w:rsidRPr="00031218">
        <w:t xml:space="preserve">While the </w:t>
      </w:r>
      <w:r w:rsidR="00AE249F" w:rsidRPr="00AE249F">
        <w:t xml:space="preserve">Western Australian </w:t>
      </w:r>
      <w:r w:rsidRPr="00031218">
        <w:t xml:space="preserve">Government’s positive attitude towards achieving consent determinations is on balance a positive indicator, KLC staff emphasised the importance of continuing </w:t>
      </w:r>
      <w:r w:rsidR="00501D68">
        <w:t xml:space="preserve">due diligence to ensure that claims are strongly backed by research and </w:t>
      </w:r>
      <w:r w:rsidR="001307E3">
        <w:t xml:space="preserve">that claim groups are </w:t>
      </w:r>
      <w:r w:rsidRPr="00031218">
        <w:t>functional and inclusive.</w:t>
      </w:r>
    </w:p>
    <w:p w14:paraId="002B2AC8" w14:textId="59499729" w:rsidR="00031218" w:rsidRPr="00031218" w:rsidRDefault="00031218" w:rsidP="00031218">
      <w:pPr>
        <w:keepNext/>
        <w:numPr>
          <w:ilvl w:val="4"/>
          <w:numId w:val="2"/>
        </w:numPr>
        <w:spacing w:before="240"/>
        <w:outlineLvl w:val="4"/>
        <w:rPr>
          <w:rFonts w:eastAsia="Times New Roman" w:cs="Times New Roman"/>
          <w:b/>
          <w:i/>
          <w:color w:val="000000" w:themeColor="text1"/>
          <w:sz w:val="20"/>
          <w:szCs w:val="24"/>
          <w:lang w:eastAsia="en-AU"/>
        </w:rPr>
      </w:pPr>
      <w:r w:rsidRPr="00031218">
        <w:rPr>
          <w:rFonts w:eastAsia="Times New Roman" w:cs="Times New Roman"/>
          <w:b/>
          <w:color w:val="000000" w:themeColor="text1"/>
          <w:sz w:val="20"/>
          <w:szCs w:val="24"/>
          <w:lang w:eastAsia="en-AU"/>
        </w:rPr>
        <w:t>State policy and legislation have had some impact over both native title land determinations and compensation claims</w:t>
      </w:r>
    </w:p>
    <w:p w14:paraId="1314DD34" w14:textId="16893EC2" w:rsidR="00031218" w:rsidRPr="00031218" w:rsidRDefault="00727A82" w:rsidP="00031218">
      <w:pPr>
        <w:rPr>
          <w:i/>
        </w:rPr>
      </w:pPr>
      <w:r>
        <w:t>A</w:t>
      </w:r>
      <w:r w:rsidR="00031218" w:rsidRPr="00031218">
        <w:t xml:space="preserve"> range of state legislation was directly or adjacently related to the KLC’s native title activities</w:t>
      </w:r>
      <w:r w:rsidR="00DB5503">
        <w:t xml:space="preserve"> such as native title land determinations and compensation claims</w:t>
      </w:r>
      <w:r w:rsidR="00031218" w:rsidRPr="00031218">
        <w:t>, as outlined in</w:t>
      </w:r>
      <w:r w:rsidR="00031218" w:rsidRPr="00031218">
        <w:rPr>
          <w:b/>
          <w:i/>
        </w:rPr>
        <w:t xml:space="preserve"> </w:t>
      </w:r>
      <w:r w:rsidR="00656B8B">
        <w:rPr>
          <w:bCs/>
          <w:iCs/>
        </w:rPr>
        <w:fldChar w:fldCharType="begin"/>
      </w:r>
      <w:r w:rsidR="00656B8B">
        <w:rPr>
          <w:b/>
          <w:i/>
        </w:rPr>
        <w:instrText xml:space="preserve"> REF _Ref154046933 \h </w:instrText>
      </w:r>
      <w:r w:rsidR="00656B8B">
        <w:rPr>
          <w:bCs/>
          <w:iCs/>
        </w:rPr>
      </w:r>
      <w:r w:rsidR="00656B8B">
        <w:rPr>
          <w:bCs/>
          <w:iCs/>
        </w:rPr>
        <w:fldChar w:fldCharType="separate"/>
      </w:r>
      <w:r w:rsidR="00291532">
        <w:t xml:space="preserve">Table </w:t>
      </w:r>
      <w:r w:rsidR="00291532">
        <w:rPr>
          <w:noProof/>
        </w:rPr>
        <w:t>7</w:t>
      </w:r>
      <w:r w:rsidR="00656B8B">
        <w:rPr>
          <w:bCs/>
          <w:iCs/>
        </w:rPr>
        <w:fldChar w:fldCharType="end"/>
      </w:r>
      <w:r w:rsidR="00031218" w:rsidRPr="00031218">
        <w:t>.</w:t>
      </w:r>
    </w:p>
    <w:p w14:paraId="20F269A6" w14:textId="6F822D37" w:rsidR="00656B8B" w:rsidRDefault="00656B8B" w:rsidP="00656B8B">
      <w:pPr>
        <w:pStyle w:val="Caption"/>
      </w:pPr>
      <w:bookmarkStart w:id="26" w:name="_Ref154046933"/>
      <w:r>
        <w:t xml:space="preserve">Table </w:t>
      </w:r>
      <w:r>
        <w:fldChar w:fldCharType="begin"/>
      </w:r>
      <w:r>
        <w:instrText xml:space="preserve"> SEQ Table \* ARABIC </w:instrText>
      </w:r>
      <w:r>
        <w:fldChar w:fldCharType="separate"/>
      </w:r>
      <w:r w:rsidR="00291532">
        <w:rPr>
          <w:noProof/>
        </w:rPr>
        <w:t>7</w:t>
      </w:r>
      <w:r>
        <w:fldChar w:fldCharType="end"/>
      </w:r>
      <w:bookmarkEnd w:id="26"/>
      <w:r>
        <w:t xml:space="preserve"> | </w:t>
      </w:r>
      <w:r w:rsidRPr="00E1452E">
        <w:t>Relevant state legislation</w:t>
      </w:r>
    </w:p>
    <w:tbl>
      <w:tblPr>
        <w:tblStyle w:val="AEMO6"/>
        <w:tblW w:w="5000" w:type="pct"/>
        <w:tblLook w:val="04A0" w:firstRow="1" w:lastRow="0" w:firstColumn="1" w:lastColumn="0" w:noHBand="0" w:noVBand="1"/>
      </w:tblPr>
      <w:tblGrid>
        <w:gridCol w:w="2881"/>
        <w:gridCol w:w="3169"/>
        <w:gridCol w:w="2880"/>
      </w:tblGrid>
      <w:tr w:rsidR="004B1264" w:rsidRPr="00031218" w14:paraId="6D6CFEFA" w14:textId="77777777" w:rsidTr="00EF39BF">
        <w:trPr>
          <w:cnfStyle w:val="100000000000" w:firstRow="1" w:lastRow="0" w:firstColumn="0" w:lastColumn="0" w:oddVBand="0" w:evenVBand="0" w:oddHBand="0" w:evenHBand="0" w:firstRowFirstColumn="0" w:firstRowLastColumn="0" w:lastRowFirstColumn="0" w:lastRowLastColumn="0"/>
        </w:trPr>
        <w:tc>
          <w:tcPr>
            <w:tcW w:w="0" w:type="pct"/>
          </w:tcPr>
          <w:p w14:paraId="404732A6" w14:textId="77777777" w:rsidR="00031218" w:rsidRPr="00031218" w:rsidRDefault="00031218" w:rsidP="00656B8B">
            <w:pPr>
              <w:pStyle w:val="TableNheader"/>
            </w:pPr>
            <w:r w:rsidRPr="00031218">
              <w:t xml:space="preserve">Legislation </w:t>
            </w:r>
          </w:p>
        </w:tc>
        <w:tc>
          <w:tcPr>
            <w:tcW w:w="0" w:type="pct"/>
          </w:tcPr>
          <w:p w14:paraId="066ED3AA" w14:textId="15F540DA" w:rsidR="00031218" w:rsidRPr="00031218" w:rsidRDefault="00031218" w:rsidP="00656B8B">
            <w:pPr>
              <w:pStyle w:val="TableNheader"/>
            </w:pPr>
            <w:r w:rsidRPr="00031218">
              <w:t xml:space="preserve">Description </w:t>
            </w:r>
          </w:p>
        </w:tc>
        <w:tc>
          <w:tcPr>
            <w:tcW w:w="0" w:type="pct"/>
          </w:tcPr>
          <w:p w14:paraId="64BACD90" w14:textId="1F4FEFEA" w:rsidR="00031218" w:rsidRPr="00031218" w:rsidRDefault="00031218" w:rsidP="00656B8B">
            <w:pPr>
              <w:pStyle w:val="TableNheader"/>
            </w:pPr>
            <w:r w:rsidRPr="00031218">
              <w:t>Impact</w:t>
            </w:r>
          </w:p>
        </w:tc>
      </w:tr>
      <w:tr w:rsidR="00031218" w:rsidRPr="00031218" w14:paraId="23693DE1" w14:textId="77777777" w:rsidTr="00EF39BF">
        <w:trPr>
          <w:cnfStyle w:val="000000100000" w:firstRow="0" w:lastRow="0" w:firstColumn="0" w:lastColumn="0" w:oddVBand="0" w:evenVBand="0" w:oddHBand="1" w:evenHBand="0" w:firstRowFirstColumn="0" w:firstRowLastColumn="0" w:lastRowFirstColumn="0" w:lastRowLastColumn="0"/>
        </w:trPr>
        <w:tc>
          <w:tcPr>
            <w:tcW w:w="0" w:type="pct"/>
          </w:tcPr>
          <w:p w14:paraId="097EABB8" w14:textId="37D17357" w:rsidR="00031218" w:rsidRPr="00656B8B" w:rsidRDefault="00031218" w:rsidP="00656B8B">
            <w:pPr>
              <w:pStyle w:val="TableNText"/>
              <w:rPr>
                <w:rFonts w:asciiTheme="majorHAnsi" w:hAnsiTheme="majorHAnsi" w:cstheme="majorHAnsi"/>
                <w:i/>
                <w:iCs/>
                <w:highlight w:val="yellow"/>
              </w:rPr>
            </w:pPr>
            <w:r w:rsidRPr="00656B8B">
              <w:rPr>
                <w:i/>
                <w:iCs/>
              </w:rPr>
              <w:t>Aboriginal Cultural Heritage Act 2021</w:t>
            </w:r>
            <w:r w:rsidR="00BD0296">
              <w:rPr>
                <w:i/>
                <w:iCs/>
              </w:rPr>
              <w:t xml:space="preserve"> </w:t>
            </w:r>
            <w:r w:rsidR="00BD0296" w:rsidRPr="00EF39BF">
              <w:t>(WA)</w:t>
            </w:r>
          </w:p>
        </w:tc>
        <w:tc>
          <w:tcPr>
            <w:tcW w:w="0" w:type="pct"/>
          </w:tcPr>
          <w:p w14:paraId="5B8E5EB9" w14:textId="0F6C1946" w:rsidR="00031218" w:rsidRPr="00031218" w:rsidRDefault="00031218" w:rsidP="00656B8B">
            <w:pPr>
              <w:pStyle w:val="TableNText"/>
              <w:rPr>
                <w:highlight w:val="yellow"/>
                <w:lang w:eastAsia="en-AU"/>
              </w:rPr>
            </w:pPr>
            <w:r w:rsidRPr="00031218">
              <w:rPr>
                <w:lang w:eastAsia="en-AU"/>
              </w:rPr>
              <w:t xml:space="preserve">There has been significant commentary on the </w:t>
            </w:r>
            <w:r w:rsidR="00AE249F" w:rsidRPr="00AE249F">
              <w:rPr>
                <w:lang w:eastAsia="en-AU"/>
              </w:rPr>
              <w:t xml:space="preserve">Western Australian </w:t>
            </w:r>
            <w:r w:rsidRPr="00031218">
              <w:rPr>
                <w:lang w:eastAsia="en-AU"/>
              </w:rPr>
              <w:t xml:space="preserve">Government’s </w:t>
            </w:r>
            <w:r w:rsidRPr="00656B8B">
              <w:rPr>
                <w:i/>
                <w:iCs/>
                <w:lang w:eastAsia="en-AU"/>
              </w:rPr>
              <w:t>Aboriginal Cultural Heritage Act 2021</w:t>
            </w:r>
            <w:r w:rsidRPr="00031218">
              <w:rPr>
                <w:lang w:eastAsia="en-AU"/>
              </w:rPr>
              <w:t xml:space="preserve"> (WA). In response, the </w:t>
            </w:r>
            <w:r w:rsidR="00AE249F" w:rsidRPr="00AE249F">
              <w:rPr>
                <w:lang w:eastAsia="en-AU"/>
              </w:rPr>
              <w:t xml:space="preserve">Western Australian </w:t>
            </w:r>
            <w:r w:rsidRPr="00031218">
              <w:rPr>
                <w:lang w:eastAsia="en-AU"/>
              </w:rPr>
              <w:t xml:space="preserve">Government has decided to repeal the </w:t>
            </w:r>
            <w:r w:rsidR="000C633B" w:rsidRPr="00656B8B">
              <w:rPr>
                <w:i/>
                <w:iCs/>
                <w:lang w:eastAsia="en-AU"/>
              </w:rPr>
              <w:t>Aboriginal Cultural Heritage Act 2021</w:t>
            </w:r>
            <w:r w:rsidR="000C633B" w:rsidRPr="00031218">
              <w:rPr>
                <w:lang w:eastAsia="en-AU"/>
              </w:rPr>
              <w:t xml:space="preserve"> (WA)</w:t>
            </w:r>
            <w:r w:rsidR="000C633B" w:rsidRPr="004F6934" w:rsidDel="000C633B">
              <w:rPr>
                <w:i/>
                <w:iCs/>
                <w:lang w:eastAsia="en-AU"/>
              </w:rPr>
              <w:t xml:space="preserve"> </w:t>
            </w:r>
            <w:r w:rsidRPr="00031218">
              <w:rPr>
                <w:lang w:eastAsia="en-AU"/>
              </w:rPr>
              <w:t xml:space="preserve">(despite it only coming into effect on 1 July 2023) and revert back to the </w:t>
            </w:r>
            <w:r w:rsidRPr="00031218">
              <w:rPr>
                <w:lang w:eastAsia="en-AU"/>
              </w:rPr>
              <w:lastRenderedPageBreak/>
              <w:t xml:space="preserve">previously repealed </w:t>
            </w:r>
            <w:r w:rsidRPr="004F6934">
              <w:rPr>
                <w:i/>
                <w:iCs/>
                <w:lang w:eastAsia="en-AU"/>
              </w:rPr>
              <w:t>Aboriginal Heritage Act 1972</w:t>
            </w:r>
            <w:r w:rsidRPr="00031218">
              <w:rPr>
                <w:lang w:eastAsia="en-AU"/>
              </w:rPr>
              <w:t xml:space="preserve"> (WA) with some amendments.</w:t>
            </w:r>
          </w:p>
        </w:tc>
        <w:tc>
          <w:tcPr>
            <w:tcW w:w="0" w:type="pct"/>
          </w:tcPr>
          <w:p w14:paraId="7FD4D7D7" w14:textId="6F40C3D2" w:rsidR="00031218" w:rsidRPr="00031218" w:rsidRDefault="00031218" w:rsidP="00656B8B">
            <w:pPr>
              <w:pStyle w:val="TableNText"/>
              <w:rPr>
                <w:highlight w:val="yellow"/>
              </w:rPr>
            </w:pPr>
            <w:r w:rsidRPr="00031218">
              <w:rPr>
                <w:rFonts w:asciiTheme="majorHAnsi" w:hAnsiTheme="majorHAnsi" w:cstheme="majorHAnsi"/>
              </w:rPr>
              <w:lastRenderedPageBreak/>
              <w:t>High</w:t>
            </w:r>
            <w:r w:rsidRPr="00031218">
              <w:rPr>
                <w:b/>
                <w:bCs/>
              </w:rPr>
              <w:t xml:space="preserve"> </w:t>
            </w:r>
            <w:r w:rsidRPr="00031218">
              <w:t>–</w:t>
            </w:r>
            <w:r w:rsidRPr="00031218" w:rsidDel="002A4261">
              <w:t xml:space="preserve"> </w:t>
            </w:r>
            <w:r w:rsidRPr="00031218">
              <w:t xml:space="preserve">The re-design and subsequent repeal of the </w:t>
            </w:r>
            <w:r w:rsidR="00E04BFA" w:rsidRPr="00656B8B">
              <w:rPr>
                <w:i/>
                <w:iCs/>
                <w:lang w:eastAsia="en-AU"/>
              </w:rPr>
              <w:t>Aboriginal Cultural Heritage Act 2021</w:t>
            </w:r>
            <w:r w:rsidR="00E04BFA" w:rsidRPr="00031218">
              <w:rPr>
                <w:lang w:eastAsia="en-AU"/>
              </w:rPr>
              <w:t xml:space="preserve"> (WA)</w:t>
            </w:r>
            <w:r w:rsidRPr="00031218">
              <w:t xml:space="preserve"> caused confusion across communities, with KLC often </w:t>
            </w:r>
            <w:r w:rsidR="001307E3">
              <w:t xml:space="preserve">being </w:t>
            </w:r>
            <w:r w:rsidRPr="00031218">
              <w:t>requir</w:t>
            </w:r>
            <w:r w:rsidR="001307E3">
              <w:t>ed</w:t>
            </w:r>
            <w:r w:rsidRPr="00031218">
              <w:t xml:space="preserve"> to explain these adjacent policy changes during native title processes.</w:t>
            </w:r>
          </w:p>
        </w:tc>
      </w:tr>
      <w:tr w:rsidR="00031218" w:rsidRPr="00031218" w14:paraId="7ED1CFDC" w14:textId="77777777" w:rsidTr="00EF39BF">
        <w:trPr>
          <w:cnfStyle w:val="000000010000" w:firstRow="0" w:lastRow="0" w:firstColumn="0" w:lastColumn="0" w:oddVBand="0" w:evenVBand="0" w:oddHBand="0" w:evenHBand="1" w:firstRowFirstColumn="0" w:firstRowLastColumn="0" w:lastRowFirstColumn="0" w:lastRowLastColumn="0"/>
          <w:trHeight w:val="662"/>
        </w:trPr>
        <w:tc>
          <w:tcPr>
            <w:tcW w:w="0" w:type="pct"/>
          </w:tcPr>
          <w:p w14:paraId="1777B470" w14:textId="22FFD017" w:rsidR="00031218" w:rsidRPr="00031218" w:rsidRDefault="00031218" w:rsidP="00656B8B">
            <w:pPr>
              <w:pStyle w:val="TableNText"/>
              <w:rPr>
                <w:rFonts w:asciiTheme="majorHAnsi" w:hAnsiTheme="majorHAnsi" w:cstheme="majorHAnsi"/>
              </w:rPr>
            </w:pPr>
            <w:r w:rsidRPr="00656B8B">
              <w:rPr>
                <w:i/>
                <w:iCs/>
              </w:rPr>
              <w:t>Mining Act 1978</w:t>
            </w:r>
            <w:r w:rsidR="00BD0296">
              <w:rPr>
                <w:i/>
                <w:iCs/>
              </w:rPr>
              <w:t xml:space="preserve"> </w:t>
            </w:r>
            <w:r w:rsidR="00BD0296" w:rsidRPr="00EF39BF">
              <w:t>(WA)</w:t>
            </w:r>
            <w:r w:rsidRPr="00656B8B">
              <w:rPr>
                <w:rFonts w:asciiTheme="majorHAnsi" w:hAnsiTheme="majorHAnsi" w:cstheme="majorHAnsi"/>
                <w:i/>
                <w:iCs/>
              </w:rPr>
              <w:t xml:space="preserve"> </w:t>
            </w:r>
          </w:p>
        </w:tc>
        <w:tc>
          <w:tcPr>
            <w:tcW w:w="0" w:type="pct"/>
          </w:tcPr>
          <w:p w14:paraId="6651DC0A" w14:textId="4223F118" w:rsidR="00031218" w:rsidRPr="00031218" w:rsidRDefault="00031218" w:rsidP="00656B8B">
            <w:pPr>
              <w:pStyle w:val="TableNText"/>
              <w:rPr>
                <w:lang w:eastAsia="en-AU"/>
              </w:rPr>
            </w:pPr>
            <w:r w:rsidRPr="00031218">
              <w:rPr>
                <w:lang w:eastAsia="en-AU"/>
              </w:rPr>
              <w:t xml:space="preserve">The </w:t>
            </w:r>
            <w:r w:rsidR="00AE249F" w:rsidRPr="00AE249F">
              <w:rPr>
                <w:lang w:eastAsia="en-AU"/>
              </w:rPr>
              <w:t xml:space="preserve">Western Australian </w:t>
            </w:r>
            <w:r w:rsidRPr="00031218">
              <w:rPr>
                <w:lang w:eastAsia="en-AU"/>
              </w:rPr>
              <w:t xml:space="preserve">Government asserts that the expedited procedure applies to all exploration tenement applications lodged under the </w:t>
            </w:r>
            <w:r w:rsidRPr="004F6934">
              <w:rPr>
                <w:i/>
                <w:iCs/>
                <w:lang w:eastAsia="en-AU"/>
              </w:rPr>
              <w:t>Mining Act 1978</w:t>
            </w:r>
            <w:r w:rsidRPr="00031218">
              <w:rPr>
                <w:lang w:eastAsia="en-AU"/>
              </w:rPr>
              <w:t xml:space="preserve"> (WA), such as Exploration and Prospecting Licences. </w:t>
            </w:r>
          </w:p>
        </w:tc>
        <w:tc>
          <w:tcPr>
            <w:tcW w:w="0" w:type="pct"/>
          </w:tcPr>
          <w:p w14:paraId="6D73640A" w14:textId="2508DB2E" w:rsidR="00031218" w:rsidRPr="00031218" w:rsidRDefault="00031218" w:rsidP="00727A82">
            <w:pPr>
              <w:pStyle w:val="TableNText"/>
              <w:rPr>
                <w:rFonts w:asciiTheme="majorHAnsi" w:hAnsiTheme="majorHAnsi" w:cstheme="majorHAnsi"/>
              </w:rPr>
            </w:pPr>
            <w:r w:rsidRPr="00031218">
              <w:rPr>
                <w:rFonts w:asciiTheme="majorHAnsi" w:hAnsiTheme="majorHAnsi" w:cstheme="majorHAnsi"/>
              </w:rPr>
              <w:t xml:space="preserve">Moderate – </w:t>
            </w:r>
            <w:r w:rsidR="00AE249F" w:rsidRPr="00AE249F">
              <w:t xml:space="preserve">Western Australian </w:t>
            </w:r>
            <w:r w:rsidRPr="00031218">
              <w:t xml:space="preserve">Government policies around </w:t>
            </w:r>
            <w:r w:rsidR="00727A82">
              <w:t xml:space="preserve">the </w:t>
            </w:r>
            <w:r w:rsidRPr="00031218">
              <w:t>expedited procedure impose</w:t>
            </w:r>
            <w:r w:rsidR="005A5CA2">
              <w:t>d</w:t>
            </w:r>
            <w:r w:rsidRPr="00031218">
              <w:t xml:space="preserve"> some pressures on KLC but </w:t>
            </w:r>
            <w:r w:rsidR="005A5CA2">
              <w:t>did</w:t>
            </w:r>
            <w:r w:rsidR="005A5CA2" w:rsidRPr="00031218">
              <w:t xml:space="preserve"> </w:t>
            </w:r>
            <w:r w:rsidRPr="00031218">
              <w:t>not substantially act as a barrier to achieving outcomes for native title parties.</w:t>
            </w:r>
          </w:p>
        </w:tc>
      </w:tr>
      <w:tr w:rsidR="00EF076A" w:rsidRPr="00031218" w14:paraId="7935498A" w14:textId="77777777" w:rsidTr="00EF39BF">
        <w:trPr>
          <w:cnfStyle w:val="000000100000" w:firstRow="0" w:lastRow="0" w:firstColumn="0" w:lastColumn="0" w:oddVBand="0" w:evenVBand="0" w:oddHBand="1" w:evenHBand="0" w:firstRowFirstColumn="0" w:firstRowLastColumn="0" w:lastRowFirstColumn="0" w:lastRowLastColumn="0"/>
          <w:trHeight w:val="662"/>
        </w:trPr>
        <w:tc>
          <w:tcPr>
            <w:tcW w:w="0" w:type="pct"/>
          </w:tcPr>
          <w:p w14:paraId="6D7BBA2A" w14:textId="3B804B2E" w:rsidR="00EF076A" w:rsidRPr="00656B8B" w:rsidRDefault="00EF076A" w:rsidP="00656B8B">
            <w:pPr>
              <w:pStyle w:val="TableNText"/>
              <w:rPr>
                <w:i/>
                <w:iCs/>
              </w:rPr>
            </w:pPr>
            <w:r>
              <w:rPr>
                <w:i/>
                <w:iCs/>
              </w:rPr>
              <w:t>Land Administration Act</w:t>
            </w:r>
            <w:r w:rsidR="001D29C7">
              <w:rPr>
                <w:i/>
                <w:iCs/>
              </w:rPr>
              <w:t xml:space="preserve"> 1997</w:t>
            </w:r>
            <w:r w:rsidR="00BD0296">
              <w:rPr>
                <w:i/>
                <w:iCs/>
              </w:rPr>
              <w:t xml:space="preserve"> </w:t>
            </w:r>
            <w:r w:rsidR="00BD0296" w:rsidRPr="008D4CCF">
              <w:t>(WA)</w:t>
            </w:r>
          </w:p>
        </w:tc>
        <w:tc>
          <w:tcPr>
            <w:tcW w:w="0" w:type="pct"/>
          </w:tcPr>
          <w:p w14:paraId="3EA1CC3A" w14:textId="72F74799" w:rsidR="00EF076A" w:rsidRPr="00031218" w:rsidRDefault="00576717" w:rsidP="00656B8B">
            <w:pPr>
              <w:pStyle w:val="TableNText"/>
              <w:rPr>
                <w:lang w:eastAsia="en-AU"/>
              </w:rPr>
            </w:pPr>
            <w:r>
              <w:t xml:space="preserve">The </w:t>
            </w:r>
            <w:r>
              <w:rPr>
                <w:i/>
              </w:rPr>
              <w:t>Land Administration Act</w:t>
            </w:r>
            <w:r w:rsidR="00ED601E">
              <w:rPr>
                <w:i/>
              </w:rPr>
              <w:t xml:space="preserve"> 1997</w:t>
            </w:r>
            <w:r>
              <w:t xml:space="preserve"> </w:t>
            </w:r>
            <w:r w:rsidR="00ED601E">
              <w:t xml:space="preserve">(WA) </w:t>
            </w:r>
            <w:r>
              <w:t xml:space="preserve">includes provisions for land use planning and development, which should </w:t>
            </w:r>
            <w:r w:rsidR="005A5CA2">
              <w:t>consider native title</w:t>
            </w:r>
            <w:r>
              <w:t xml:space="preserve"> rights and interests, the acknowledgement and registration of</w:t>
            </w:r>
            <w:r w:rsidR="005A5CA2">
              <w:t xml:space="preserve"> native titl</w:t>
            </w:r>
            <w:r>
              <w:t>e rights and interests in the state, and the mec</w:t>
            </w:r>
            <w:r w:rsidR="006E4055">
              <w:t>hanisms for granting land tenures.</w:t>
            </w:r>
          </w:p>
        </w:tc>
        <w:tc>
          <w:tcPr>
            <w:tcW w:w="0" w:type="pct"/>
          </w:tcPr>
          <w:p w14:paraId="6024A75B" w14:textId="735BB521" w:rsidR="00EF076A" w:rsidRPr="00031218" w:rsidRDefault="001320D2" w:rsidP="00656B8B">
            <w:pPr>
              <w:pStyle w:val="TableNText"/>
              <w:rPr>
                <w:rFonts w:asciiTheme="majorHAnsi" w:hAnsiTheme="majorHAnsi" w:cstheme="majorHAnsi"/>
              </w:rPr>
            </w:pPr>
            <w:r>
              <w:rPr>
                <w:rFonts w:asciiTheme="majorHAnsi" w:hAnsiTheme="majorHAnsi" w:cstheme="majorHAnsi"/>
              </w:rPr>
              <w:t>Moderate</w:t>
            </w:r>
            <w:r w:rsidR="000A6826" w:rsidRPr="00031218">
              <w:rPr>
                <w:rFonts w:asciiTheme="majorHAnsi" w:hAnsiTheme="majorHAnsi" w:cstheme="majorHAnsi"/>
              </w:rPr>
              <w:t xml:space="preserve"> – </w:t>
            </w:r>
            <w:r w:rsidR="000A6826" w:rsidRPr="001D29C7">
              <w:rPr>
                <w:i/>
                <w:iCs/>
              </w:rPr>
              <w:t xml:space="preserve">The Land Administration Act </w:t>
            </w:r>
            <w:r w:rsidR="007E75AD" w:rsidRPr="001D29C7">
              <w:rPr>
                <w:i/>
                <w:iCs/>
              </w:rPr>
              <w:t>1997</w:t>
            </w:r>
            <w:r w:rsidR="007E75AD">
              <w:t xml:space="preserve"> </w:t>
            </w:r>
            <w:r w:rsidR="00406943">
              <w:t xml:space="preserve">(WA) </w:t>
            </w:r>
            <w:r w:rsidR="004924B1">
              <w:t xml:space="preserve">provisions for land use planning and development </w:t>
            </w:r>
            <w:r w:rsidR="00963269">
              <w:t>may</w:t>
            </w:r>
            <w:r w:rsidR="004924B1">
              <w:t xml:space="preserve"> </w:t>
            </w:r>
            <w:r w:rsidR="005A5CA2">
              <w:t xml:space="preserve">have </w:t>
            </w:r>
            <w:r w:rsidR="004924B1">
              <w:t>impact</w:t>
            </w:r>
            <w:r w:rsidR="005A5CA2">
              <w:t>ed</w:t>
            </w:r>
            <w:r w:rsidR="004924B1">
              <w:t xml:space="preserve"> the ability </w:t>
            </w:r>
            <w:r>
              <w:t xml:space="preserve">of KLC to focus its resources on </w:t>
            </w:r>
            <w:r w:rsidR="002F48B9">
              <w:t>native title</w:t>
            </w:r>
            <w:r>
              <w:t xml:space="preserve"> outcomes.</w:t>
            </w:r>
          </w:p>
        </w:tc>
      </w:tr>
      <w:tr w:rsidR="00EF076A" w:rsidRPr="00031218" w14:paraId="05E79232" w14:textId="77777777" w:rsidTr="00EF39BF">
        <w:trPr>
          <w:cnfStyle w:val="000000010000" w:firstRow="0" w:lastRow="0" w:firstColumn="0" w:lastColumn="0" w:oddVBand="0" w:evenVBand="0" w:oddHBand="0" w:evenHBand="1" w:firstRowFirstColumn="0" w:firstRowLastColumn="0" w:lastRowFirstColumn="0" w:lastRowLastColumn="0"/>
          <w:trHeight w:val="662"/>
        </w:trPr>
        <w:tc>
          <w:tcPr>
            <w:tcW w:w="0" w:type="pct"/>
          </w:tcPr>
          <w:p w14:paraId="0C531A2A" w14:textId="4193D01F" w:rsidR="00EF076A" w:rsidRPr="00656B8B" w:rsidRDefault="00EF076A" w:rsidP="00656B8B">
            <w:pPr>
              <w:pStyle w:val="TableNText"/>
              <w:rPr>
                <w:i/>
                <w:iCs/>
              </w:rPr>
            </w:pPr>
            <w:r>
              <w:rPr>
                <w:i/>
                <w:iCs/>
              </w:rPr>
              <w:t>Environment Protection Act</w:t>
            </w:r>
            <w:r w:rsidR="00ED2DA4">
              <w:rPr>
                <w:i/>
                <w:iCs/>
              </w:rPr>
              <w:t xml:space="preserve"> 1986</w:t>
            </w:r>
            <w:r w:rsidR="00BD0296">
              <w:rPr>
                <w:i/>
                <w:iCs/>
              </w:rPr>
              <w:t xml:space="preserve"> </w:t>
            </w:r>
            <w:r w:rsidR="00BD0296" w:rsidRPr="00EF39BF">
              <w:t>(WA)</w:t>
            </w:r>
          </w:p>
        </w:tc>
        <w:tc>
          <w:tcPr>
            <w:tcW w:w="0" w:type="pct"/>
          </w:tcPr>
          <w:p w14:paraId="6B1F6771" w14:textId="42363BA4" w:rsidR="00EF076A" w:rsidRPr="00031218" w:rsidRDefault="00E45C76" w:rsidP="00656B8B">
            <w:pPr>
              <w:pStyle w:val="TableNText"/>
              <w:rPr>
                <w:lang w:eastAsia="en-AU"/>
              </w:rPr>
            </w:pPr>
            <w:r>
              <w:t xml:space="preserve">The </w:t>
            </w:r>
            <w:r w:rsidRPr="00E45C76">
              <w:rPr>
                <w:i/>
              </w:rPr>
              <w:t xml:space="preserve">Environment Protection Act 1986 </w:t>
            </w:r>
            <w:r w:rsidRPr="009E5471">
              <w:t>(WA)</w:t>
            </w:r>
            <w:r>
              <w:t xml:space="preserve"> includes provisions for the protection, preservation and management of Indigenous cultural heritage. It establishes mechanisms for the identification and registration of significant Aboriginal sites and places, and outlines obligations for their protection during development and land management activities that could impac</w:t>
            </w:r>
            <w:r w:rsidR="00BD0296">
              <w:t>t native titl</w:t>
            </w:r>
            <w:r>
              <w:t>e.</w:t>
            </w:r>
          </w:p>
        </w:tc>
        <w:tc>
          <w:tcPr>
            <w:tcW w:w="0" w:type="pct"/>
          </w:tcPr>
          <w:p w14:paraId="2ED03E02" w14:textId="453915F5" w:rsidR="00EF076A" w:rsidRPr="00ED601E" w:rsidRDefault="00ED601E" w:rsidP="00656B8B">
            <w:pPr>
              <w:pStyle w:val="TableNText"/>
              <w:rPr>
                <w:rFonts w:asciiTheme="majorHAnsi" w:hAnsiTheme="majorHAnsi" w:cstheme="majorHAnsi"/>
              </w:rPr>
            </w:pPr>
            <w:r w:rsidRPr="002A1B65">
              <w:rPr>
                <w:rFonts w:asciiTheme="majorHAnsi" w:hAnsiTheme="majorHAnsi" w:cstheme="majorHAnsi"/>
              </w:rPr>
              <w:t xml:space="preserve">Low </w:t>
            </w:r>
            <w:r w:rsidR="00697E59" w:rsidRPr="002A1B65">
              <w:rPr>
                <w:rFonts w:asciiTheme="majorHAnsi" w:hAnsiTheme="majorHAnsi" w:cstheme="majorHAnsi"/>
              </w:rPr>
              <w:t>–</w:t>
            </w:r>
            <w:r>
              <w:rPr>
                <w:rFonts w:asciiTheme="majorHAnsi" w:hAnsiTheme="majorHAnsi" w:cstheme="majorHAnsi"/>
                <w:b/>
                <w:bCs/>
              </w:rPr>
              <w:t xml:space="preserve"> </w:t>
            </w:r>
            <w:r w:rsidR="00697E59" w:rsidRPr="002A1B65">
              <w:t>The</w:t>
            </w:r>
            <w:r w:rsidR="00697E59" w:rsidRPr="002A1B65">
              <w:rPr>
                <w:i/>
              </w:rPr>
              <w:t xml:space="preserve"> Environment Protection Ac</w:t>
            </w:r>
            <w:r w:rsidR="00001FB7">
              <w:rPr>
                <w:i/>
                <w:iCs/>
              </w:rPr>
              <w:t>t</w:t>
            </w:r>
            <w:r w:rsidR="00F27B12">
              <w:rPr>
                <w:i/>
                <w:iCs/>
              </w:rPr>
              <w:t xml:space="preserve"> 1986 </w:t>
            </w:r>
            <w:r w:rsidR="00406943" w:rsidRPr="00EF39BF">
              <w:t>(WA)</w:t>
            </w:r>
            <w:r w:rsidR="00406943">
              <w:rPr>
                <w:i/>
                <w:iCs/>
              </w:rPr>
              <w:t xml:space="preserve"> </w:t>
            </w:r>
            <w:r w:rsidR="00697E59" w:rsidRPr="002A1B65">
              <w:t>provisions divert</w:t>
            </w:r>
            <w:r w:rsidR="00BD0296">
              <w:t>ed</w:t>
            </w:r>
            <w:r w:rsidR="00697E59" w:rsidRPr="002A1B65">
              <w:t xml:space="preserve"> so</w:t>
            </w:r>
            <w:r w:rsidR="00F27B12" w:rsidRPr="002A1B65">
              <w:t xml:space="preserve">me KLC resources from </w:t>
            </w:r>
            <w:r w:rsidR="005F5F46">
              <w:t>progressing</w:t>
            </w:r>
            <w:r w:rsidR="00F27B12">
              <w:t xml:space="preserve"> </w:t>
            </w:r>
            <w:r w:rsidR="002F48B9">
              <w:t>native title claims.</w:t>
            </w:r>
          </w:p>
        </w:tc>
      </w:tr>
      <w:tr w:rsidR="00EF076A" w:rsidRPr="00031218" w14:paraId="5F6EBA55" w14:textId="77777777" w:rsidTr="00EF39BF">
        <w:trPr>
          <w:cnfStyle w:val="000000100000" w:firstRow="0" w:lastRow="0" w:firstColumn="0" w:lastColumn="0" w:oddVBand="0" w:evenVBand="0" w:oddHBand="1" w:evenHBand="0" w:firstRowFirstColumn="0" w:firstRowLastColumn="0" w:lastRowFirstColumn="0" w:lastRowLastColumn="0"/>
          <w:trHeight w:val="662"/>
        </w:trPr>
        <w:tc>
          <w:tcPr>
            <w:tcW w:w="0" w:type="pct"/>
          </w:tcPr>
          <w:p w14:paraId="4D32880D" w14:textId="4558F60F" w:rsidR="00EF076A" w:rsidRPr="00656B8B" w:rsidRDefault="00EF076A" w:rsidP="00656B8B">
            <w:pPr>
              <w:pStyle w:val="TableNText"/>
              <w:rPr>
                <w:i/>
                <w:iCs/>
              </w:rPr>
            </w:pPr>
            <w:r>
              <w:rPr>
                <w:i/>
                <w:iCs/>
              </w:rPr>
              <w:t>Public Works Act</w:t>
            </w:r>
            <w:r w:rsidR="006A73C4">
              <w:rPr>
                <w:i/>
                <w:iCs/>
              </w:rPr>
              <w:t xml:space="preserve"> 1902</w:t>
            </w:r>
            <w:r w:rsidR="00BD0296">
              <w:rPr>
                <w:i/>
                <w:iCs/>
              </w:rPr>
              <w:t xml:space="preserve"> </w:t>
            </w:r>
            <w:r w:rsidR="00BD0296" w:rsidRPr="00EF39BF">
              <w:t>(WA)</w:t>
            </w:r>
          </w:p>
        </w:tc>
        <w:tc>
          <w:tcPr>
            <w:tcW w:w="0" w:type="pct"/>
          </w:tcPr>
          <w:p w14:paraId="269A40A1" w14:textId="2B2C094A" w:rsidR="00EF076A" w:rsidRPr="00031218" w:rsidRDefault="00296E69" w:rsidP="00656B8B">
            <w:pPr>
              <w:pStyle w:val="TableNText"/>
              <w:rPr>
                <w:lang w:eastAsia="en-AU"/>
              </w:rPr>
            </w:pPr>
            <w:r>
              <w:t xml:space="preserve">The </w:t>
            </w:r>
            <w:r w:rsidRPr="00626B92">
              <w:rPr>
                <w:i/>
              </w:rPr>
              <w:t xml:space="preserve">Public Works Act 1902 </w:t>
            </w:r>
            <w:r w:rsidRPr="00EF39BF">
              <w:rPr>
                <w:iCs/>
              </w:rPr>
              <w:t>(WA)</w:t>
            </w:r>
            <w:r w:rsidRPr="00BD0296">
              <w:rPr>
                <w:iCs/>
              </w:rPr>
              <w:t xml:space="preserve"> </w:t>
            </w:r>
            <w:r>
              <w:t>provides mechanisms for negotiation and agreement on compensation for</w:t>
            </w:r>
            <w:r w:rsidR="00406943">
              <w:t xml:space="preserve"> native title</w:t>
            </w:r>
            <w:r>
              <w:t xml:space="preserve"> holders affected by public works</w:t>
            </w:r>
            <w:r w:rsidR="00C727F7">
              <w:t xml:space="preserve"> and grants powers to the government to acquire</w:t>
            </w:r>
            <w:r>
              <w:t xml:space="preserve"> land </w:t>
            </w:r>
            <w:r w:rsidR="00C727F7">
              <w:t>for public purposes, including infrastructure projects</w:t>
            </w:r>
            <w:r>
              <w:t>.</w:t>
            </w:r>
          </w:p>
        </w:tc>
        <w:tc>
          <w:tcPr>
            <w:tcW w:w="0" w:type="pct"/>
          </w:tcPr>
          <w:p w14:paraId="06AE152B" w14:textId="6889EE58" w:rsidR="00EF076A" w:rsidRPr="00031218" w:rsidRDefault="005F5F46" w:rsidP="00656B8B">
            <w:pPr>
              <w:pStyle w:val="TableNText"/>
              <w:rPr>
                <w:rFonts w:asciiTheme="majorHAnsi" w:hAnsiTheme="majorHAnsi" w:cstheme="majorHAnsi"/>
              </w:rPr>
            </w:pPr>
            <w:r w:rsidRPr="002A1B65">
              <w:rPr>
                <w:rFonts w:asciiTheme="majorHAnsi" w:hAnsiTheme="majorHAnsi" w:cstheme="majorHAnsi"/>
              </w:rPr>
              <w:t>Low –</w:t>
            </w:r>
            <w:r>
              <w:rPr>
                <w:rFonts w:asciiTheme="majorHAnsi" w:hAnsiTheme="majorHAnsi" w:cstheme="majorHAnsi"/>
                <w:b/>
                <w:bCs/>
              </w:rPr>
              <w:t xml:space="preserve"> </w:t>
            </w:r>
            <w:r w:rsidRPr="002A1B65">
              <w:t>The</w:t>
            </w:r>
            <w:r w:rsidRPr="002A1B65">
              <w:rPr>
                <w:i/>
              </w:rPr>
              <w:t xml:space="preserve"> </w:t>
            </w:r>
            <w:r>
              <w:rPr>
                <w:i/>
                <w:iCs/>
              </w:rPr>
              <w:t xml:space="preserve">Public Works Acts 1902 </w:t>
            </w:r>
            <w:r w:rsidRPr="00EF39BF">
              <w:t xml:space="preserve">(WA) </w:t>
            </w:r>
            <w:r w:rsidRPr="002A1B65">
              <w:t>provisions divert</w:t>
            </w:r>
            <w:r w:rsidR="004D55DC">
              <w:t>ed</w:t>
            </w:r>
            <w:r w:rsidRPr="002A1B65">
              <w:t xml:space="preserve"> some KLC resources from </w:t>
            </w:r>
            <w:r>
              <w:t xml:space="preserve">progressing </w:t>
            </w:r>
            <w:r w:rsidR="002F48B9">
              <w:t>native title claims.</w:t>
            </w:r>
          </w:p>
        </w:tc>
      </w:tr>
      <w:tr w:rsidR="00EF076A" w:rsidRPr="00031218" w14:paraId="5FD95F8E" w14:textId="77777777" w:rsidTr="00EF39BF">
        <w:trPr>
          <w:cnfStyle w:val="000000010000" w:firstRow="0" w:lastRow="0" w:firstColumn="0" w:lastColumn="0" w:oddVBand="0" w:evenVBand="0" w:oddHBand="0" w:evenHBand="1" w:firstRowFirstColumn="0" w:firstRowLastColumn="0" w:lastRowFirstColumn="0" w:lastRowLastColumn="0"/>
          <w:trHeight w:val="662"/>
        </w:trPr>
        <w:tc>
          <w:tcPr>
            <w:tcW w:w="0" w:type="pct"/>
          </w:tcPr>
          <w:p w14:paraId="48298EC5" w14:textId="416773E5" w:rsidR="00EF076A" w:rsidRPr="00656B8B" w:rsidRDefault="00F36A97" w:rsidP="00656B8B">
            <w:pPr>
              <w:pStyle w:val="TableNText"/>
              <w:rPr>
                <w:i/>
                <w:iCs/>
              </w:rPr>
            </w:pPr>
            <w:r w:rsidRPr="00F36A97">
              <w:rPr>
                <w:i/>
              </w:rPr>
              <w:t>Conservation and Land Management Act 1984</w:t>
            </w:r>
            <w:r w:rsidR="00BD0296">
              <w:rPr>
                <w:i/>
              </w:rPr>
              <w:t xml:space="preserve"> </w:t>
            </w:r>
            <w:r w:rsidR="00BD0296" w:rsidRPr="00EF39BF">
              <w:rPr>
                <w:iCs/>
              </w:rPr>
              <w:t>(WA)</w:t>
            </w:r>
          </w:p>
        </w:tc>
        <w:tc>
          <w:tcPr>
            <w:tcW w:w="0" w:type="pct"/>
          </w:tcPr>
          <w:p w14:paraId="7D56EE95" w14:textId="0CEC2AF9" w:rsidR="00EF076A" w:rsidRPr="00031218" w:rsidRDefault="008A2710" w:rsidP="00656B8B">
            <w:pPr>
              <w:pStyle w:val="TableNText"/>
              <w:rPr>
                <w:lang w:eastAsia="en-AU"/>
              </w:rPr>
            </w:pPr>
            <w:r>
              <w:t xml:space="preserve">The </w:t>
            </w:r>
            <w:r w:rsidR="00F36A97" w:rsidRPr="00F36A97">
              <w:rPr>
                <w:i/>
              </w:rPr>
              <w:t>Conservation and Land Management Act 1984</w:t>
            </w:r>
            <w:r>
              <w:t xml:space="preserve"> </w:t>
            </w:r>
            <w:r w:rsidR="00F36A97">
              <w:t>(WA)</w:t>
            </w:r>
            <w:r>
              <w:t xml:space="preserve"> provides for the establishment of joint management or co-management arrangements between government agencies and </w:t>
            </w:r>
            <w:r w:rsidR="004D55DC">
              <w:t>native title ho</w:t>
            </w:r>
            <w:r>
              <w:t>lders or Traditional Owners for the management of conservation reserves or protected areas. This allows for shared decision-making, consultation and participation of Traditional Owners in the planning and management of land and natural resources.</w:t>
            </w:r>
          </w:p>
        </w:tc>
        <w:tc>
          <w:tcPr>
            <w:tcW w:w="0" w:type="pct"/>
          </w:tcPr>
          <w:p w14:paraId="0B0BD43A" w14:textId="0044AD64" w:rsidR="00EF076A" w:rsidRPr="00031218" w:rsidRDefault="00E46B4F" w:rsidP="00656B8B">
            <w:pPr>
              <w:pStyle w:val="TableNText"/>
              <w:rPr>
                <w:rFonts w:asciiTheme="majorHAnsi" w:hAnsiTheme="majorHAnsi" w:cstheme="majorHAnsi"/>
              </w:rPr>
            </w:pPr>
            <w:r>
              <w:rPr>
                <w:rFonts w:asciiTheme="majorHAnsi" w:hAnsiTheme="majorHAnsi" w:cstheme="majorHAnsi"/>
              </w:rPr>
              <w:t>Medium</w:t>
            </w:r>
            <w:r w:rsidR="00F36A97" w:rsidRPr="002A1B65">
              <w:rPr>
                <w:rFonts w:asciiTheme="majorHAnsi" w:hAnsiTheme="majorHAnsi" w:cstheme="majorHAnsi"/>
              </w:rPr>
              <w:t xml:space="preserve"> –</w:t>
            </w:r>
            <w:r w:rsidR="00F36A97">
              <w:rPr>
                <w:rFonts w:asciiTheme="majorHAnsi" w:hAnsiTheme="majorHAnsi" w:cstheme="majorHAnsi"/>
                <w:b/>
                <w:bCs/>
              </w:rPr>
              <w:t xml:space="preserve"> </w:t>
            </w:r>
            <w:r>
              <w:t xml:space="preserve">The </w:t>
            </w:r>
            <w:r w:rsidR="004D55DC" w:rsidRPr="00F36A97">
              <w:rPr>
                <w:i/>
              </w:rPr>
              <w:t>Conservation and Land Management Act 1984</w:t>
            </w:r>
            <w:r w:rsidR="004D55DC">
              <w:t xml:space="preserve"> (WA) </w:t>
            </w:r>
            <w:r>
              <w:t>allow</w:t>
            </w:r>
            <w:r w:rsidR="004D55DC">
              <w:t>ed</w:t>
            </w:r>
            <w:r>
              <w:t xml:space="preserve"> for the negotiation and registration of ILUAs related to the management and use of conservation lands</w:t>
            </w:r>
            <w:r w:rsidR="006C7D5D">
              <w:t xml:space="preserve">, diverting resources to supporting </w:t>
            </w:r>
            <w:r w:rsidR="00951781">
              <w:t>Traditional Owners with the management of ILUAs.</w:t>
            </w:r>
          </w:p>
        </w:tc>
      </w:tr>
    </w:tbl>
    <w:p w14:paraId="3814B182" w14:textId="1D293A74" w:rsidR="00031218" w:rsidRPr="00031218" w:rsidRDefault="00031218" w:rsidP="00031218">
      <w:pPr>
        <w:keepNext/>
        <w:spacing w:before="240" w:after="60"/>
        <w:outlineLvl w:val="3"/>
        <w:rPr>
          <w:rFonts w:ascii="Segoe UI Semibold" w:eastAsia="Times New Roman" w:hAnsi="Segoe UI Semibold" w:cs="Times New Roman"/>
          <w:color w:val="00264D" w:themeColor="background2"/>
          <w:sz w:val="22"/>
          <w:szCs w:val="19"/>
          <w:lang w:eastAsia="en-AU"/>
        </w:rPr>
      </w:pPr>
      <w:r w:rsidRPr="00031218">
        <w:rPr>
          <w:rFonts w:ascii="Segoe UI Semibold" w:eastAsia="Times New Roman" w:hAnsi="Segoe UI Semibold" w:cs="Times New Roman"/>
          <w:color w:val="00264D" w:themeColor="background2"/>
          <w:sz w:val="22"/>
          <w:szCs w:val="19"/>
          <w:lang w:eastAsia="en-AU"/>
        </w:rPr>
        <w:lastRenderedPageBreak/>
        <w:t>Complexity of remaining claims</w:t>
      </w:r>
    </w:p>
    <w:p w14:paraId="0CEAA7B0" w14:textId="77777777" w:rsidR="00031218" w:rsidRPr="00031218" w:rsidRDefault="00031218" w:rsidP="00031218">
      <w:pPr>
        <w:keepNext/>
        <w:spacing w:before="240"/>
        <w:outlineLvl w:val="4"/>
        <w:rPr>
          <w:rFonts w:eastAsia="Times New Roman" w:cs="Times New Roman"/>
          <w:b/>
          <w:color w:val="000000" w:themeColor="text1"/>
          <w:sz w:val="20"/>
          <w:szCs w:val="24"/>
          <w:lang w:eastAsia="en-AU"/>
        </w:rPr>
      </w:pPr>
      <w:r w:rsidRPr="00031218">
        <w:rPr>
          <w:rFonts w:eastAsia="Times New Roman" w:cs="Times New Roman"/>
          <w:b/>
          <w:color w:val="000000" w:themeColor="text1"/>
          <w:sz w:val="20"/>
          <w:szCs w:val="24"/>
          <w:lang w:eastAsia="en-AU"/>
        </w:rPr>
        <w:t>Remaining native title claims in the Kimberley are highly complex, requiring significant resources and investment from the KLC</w:t>
      </w:r>
    </w:p>
    <w:p w14:paraId="7083FAF5" w14:textId="7BCC076A" w:rsidR="000735F6" w:rsidRPr="00031218" w:rsidRDefault="00031218" w:rsidP="004F6934">
      <w:pPr>
        <w:rPr>
          <w:lang w:eastAsia="en-AU"/>
        </w:rPr>
      </w:pPr>
      <w:r w:rsidRPr="00031218">
        <w:rPr>
          <w:lang w:eastAsia="en-AU"/>
        </w:rPr>
        <w:t xml:space="preserve">KLC staff advised that the </w:t>
      </w:r>
      <w:r w:rsidR="00624625">
        <w:rPr>
          <w:lang w:eastAsia="en-AU"/>
        </w:rPr>
        <w:t>undetermined and yet to be registered</w:t>
      </w:r>
      <w:r w:rsidRPr="00031218">
        <w:rPr>
          <w:lang w:eastAsia="en-AU"/>
        </w:rPr>
        <w:t xml:space="preserve"> claims in the Kimberley RATSIB area were highly complex</w:t>
      </w:r>
      <w:r w:rsidR="009C09C2">
        <w:rPr>
          <w:lang w:eastAsia="en-AU"/>
        </w:rPr>
        <w:t xml:space="preserve"> </w:t>
      </w:r>
      <w:r w:rsidR="004F6934">
        <w:rPr>
          <w:lang w:eastAsia="en-AU"/>
        </w:rPr>
        <w:t>due to</w:t>
      </w:r>
      <w:r w:rsidR="00E839C6">
        <w:rPr>
          <w:lang w:eastAsia="en-AU"/>
        </w:rPr>
        <w:t xml:space="preserve"> </w:t>
      </w:r>
      <w:r w:rsidRPr="00031218">
        <w:rPr>
          <w:lang w:eastAsia="en-AU"/>
        </w:rPr>
        <w:t xml:space="preserve">overlapping boundaries and related disputes. KLC staff indicated that </w:t>
      </w:r>
      <w:r w:rsidR="001B1788" w:rsidRPr="00031218">
        <w:rPr>
          <w:lang w:eastAsia="en-AU"/>
        </w:rPr>
        <w:t>these claims</w:t>
      </w:r>
      <w:r w:rsidRPr="00031218">
        <w:rPr>
          <w:lang w:eastAsia="en-AU"/>
        </w:rPr>
        <w:t xml:space="preserve"> are resource-intensive and can require determination through litigation, rather than through consent, when mediation attempts are unsuccessful. </w:t>
      </w:r>
      <w:r w:rsidR="00310BF9">
        <w:rPr>
          <w:lang w:eastAsia="en-AU"/>
        </w:rPr>
        <w:t xml:space="preserve">These complexities mean that </w:t>
      </w:r>
      <w:r w:rsidR="000735F6" w:rsidRPr="000735F6">
        <w:rPr>
          <w:lang w:eastAsia="en-AU"/>
        </w:rPr>
        <w:t xml:space="preserve">these claims </w:t>
      </w:r>
      <w:r w:rsidR="00310BF9">
        <w:rPr>
          <w:lang w:eastAsia="en-AU"/>
        </w:rPr>
        <w:t>can require</w:t>
      </w:r>
      <w:r w:rsidR="000735F6" w:rsidRPr="000735F6">
        <w:rPr>
          <w:lang w:eastAsia="en-AU"/>
        </w:rPr>
        <w:t xml:space="preserve"> similar staff and funding levels to claims that are larger in area yet have minimal overlapping boundaries and disputes.</w:t>
      </w:r>
    </w:p>
    <w:p w14:paraId="21E019E1" w14:textId="351357E4" w:rsidR="0055076A" w:rsidRPr="00F21A04" w:rsidRDefault="0055076A" w:rsidP="0055076A">
      <w:pPr>
        <w:pStyle w:val="Heading4"/>
      </w:pPr>
      <w:r w:rsidRPr="00F21A04">
        <w:t>History of previous claims</w:t>
      </w:r>
    </w:p>
    <w:p w14:paraId="2D4D8037" w14:textId="5897F482" w:rsidR="00601D6D" w:rsidRPr="00F21A04" w:rsidRDefault="00601D6D" w:rsidP="00601D6D">
      <w:pPr>
        <w:rPr>
          <w:lang w:eastAsia="en-AU"/>
        </w:rPr>
      </w:pPr>
      <w:r w:rsidRPr="00F21A04">
        <w:rPr>
          <w:lang w:eastAsia="en-AU"/>
        </w:rPr>
        <w:t xml:space="preserve">The Review found no evidence that the history of previous claims was a significant source of challenge to </w:t>
      </w:r>
      <w:r>
        <w:rPr>
          <w:lang w:eastAsia="en-AU"/>
        </w:rPr>
        <w:t>KLC</w:t>
      </w:r>
      <w:r w:rsidR="00441FD0">
        <w:rPr>
          <w:lang w:eastAsia="en-AU"/>
        </w:rPr>
        <w:t>’s</w:t>
      </w:r>
      <w:r w:rsidRPr="00F21A04">
        <w:rPr>
          <w:lang w:eastAsia="en-AU"/>
        </w:rPr>
        <w:t xml:space="preserve"> performance during the Review period, despite some claimants reporting they had lost trust in </w:t>
      </w:r>
      <w:r w:rsidR="00FA7688">
        <w:rPr>
          <w:lang w:eastAsia="en-AU"/>
        </w:rPr>
        <w:t xml:space="preserve">the </w:t>
      </w:r>
      <w:r w:rsidR="00441FD0">
        <w:rPr>
          <w:lang w:eastAsia="en-AU"/>
        </w:rPr>
        <w:t>KLC</w:t>
      </w:r>
      <w:r w:rsidRPr="00F21A04">
        <w:rPr>
          <w:lang w:eastAsia="en-AU"/>
        </w:rPr>
        <w:t xml:space="preserve"> as a result of outstanding grievances.</w:t>
      </w:r>
    </w:p>
    <w:p w14:paraId="501C14BA" w14:textId="6996E834" w:rsidR="00031218" w:rsidRPr="00031218" w:rsidRDefault="00031218" w:rsidP="00031218">
      <w:pPr>
        <w:keepNext/>
        <w:spacing w:before="240" w:after="60"/>
        <w:outlineLvl w:val="3"/>
        <w:rPr>
          <w:rFonts w:ascii="Segoe UI Semibold" w:eastAsia="Times New Roman" w:hAnsi="Segoe UI Semibold" w:cs="Times New Roman"/>
          <w:color w:val="00264D" w:themeColor="background2"/>
          <w:sz w:val="22"/>
          <w:szCs w:val="19"/>
          <w:lang w:eastAsia="en-AU"/>
        </w:rPr>
      </w:pPr>
      <w:r w:rsidRPr="00031218">
        <w:rPr>
          <w:rFonts w:ascii="Segoe UI Semibold" w:eastAsia="Times New Roman" w:hAnsi="Segoe UI Semibold" w:cs="Times New Roman"/>
          <w:color w:val="00264D" w:themeColor="background2"/>
          <w:sz w:val="22"/>
          <w:szCs w:val="19"/>
          <w:lang w:eastAsia="en-AU"/>
        </w:rPr>
        <w:t>COVID-19</w:t>
      </w:r>
    </w:p>
    <w:p w14:paraId="6053F77D" w14:textId="77777777" w:rsidR="00031218" w:rsidRPr="00031218" w:rsidRDefault="00031218" w:rsidP="00031218">
      <w:pPr>
        <w:keepNext/>
        <w:numPr>
          <w:ilvl w:val="4"/>
          <w:numId w:val="2"/>
        </w:numPr>
        <w:spacing w:before="240"/>
        <w:outlineLvl w:val="4"/>
        <w:rPr>
          <w:rFonts w:eastAsia="Times New Roman" w:cs="Times New Roman"/>
          <w:b/>
          <w:color w:val="000000" w:themeColor="text1"/>
          <w:sz w:val="20"/>
          <w:szCs w:val="24"/>
          <w:lang w:eastAsia="en-AU"/>
        </w:rPr>
      </w:pPr>
      <w:r w:rsidRPr="00031218">
        <w:rPr>
          <w:rFonts w:eastAsia="Times New Roman" w:cs="Times New Roman"/>
          <w:b/>
          <w:color w:val="000000" w:themeColor="text1"/>
          <w:sz w:val="20"/>
          <w:szCs w:val="24"/>
          <w:lang w:eastAsia="en-AU"/>
        </w:rPr>
        <w:t>The KLC adapted well to accommodate operational changes caused by COVID-19, despite some staff turnover and shifting of goals and timelines</w:t>
      </w:r>
    </w:p>
    <w:p w14:paraId="104A6109" w14:textId="13DBF104" w:rsidR="00031218" w:rsidRPr="00031218" w:rsidRDefault="00031218" w:rsidP="00031218">
      <w:r w:rsidRPr="00031218">
        <w:t xml:space="preserve">KLC staff and annual reports confirmed that the COVID-19 pandemic </w:t>
      </w:r>
      <w:r w:rsidR="004F6934">
        <w:t>“</w:t>
      </w:r>
      <w:r w:rsidRPr="00031218">
        <w:t>had a significant impact on KLC operations</w:t>
      </w:r>
      <w:r w:rsidR="004F6934">
        <w:t>”</w:t>
      </w:r>
      <w:r w:rsidRPr="00031218">
        <w:rPr>
          <w:vertAlign w:val="superscript"/>
        </w:rPr>
        <w:footnoteReference w:id="13"/>
      </w:r>
      <w:r w:rsidRPr="00031218">
        <w:t xml:space="preserve">, however, the KLC was markedly effective in overcoming this impact. The KLC described the impact of COVID-19 on delivery of native title services in </w:t>
      </w:r>
      <w:r w:rsidR="00727A82">
        <w:t>its</w:t>
      </w:r>
      <w:r w:rsidRPr="00031218">
        <w:t xml:space="preserve"> 2019-20 Annual Report:</w:t>
      </w:r>
    </w:p>
    <w:p w14:paraId="10795BF5" w14:textId="77777777" w:rsidR="00031218" w:rsidRPr="00031218" w:rsidRDefault="00031218" w:rsidP="00984773">
      <w:pPr>
        <w:pStyle w:val="Bullet"/>
      </w:pPr>
      <w:r w:rsidRPr="00031218">
        <w:t>Face-to-face meetings for native title claims were delayed or shifted to virtual forums where possible.</w:t>
      </w:r>
    </w:p>
    <w:p w14:paraId="417AC4B2" w14:textId="2F96293E" w:rsidR="00910B85" w:rsidRDefault="00031218" w:rsidP="00984773">
      <w:pPr>
        <w:pStyle w:val="Bullet"/>
      </w:pPr>
      <w:r w:rsidRPr="00031218">
        <w:t>Meetings and compliance activities for client PBCs were delayed.</w:t>
      </w:r>
    </w:p>
    <w:p w14:paraId="3DD8FA45" w14:textId="36CD6615" w:rsidR="00031218" w:rsidRPr="00031218" w:rsidRDefault="004F6934" w:rsidP="00984773">
      <w:pPr>
        <w:pStyle w:val="Bullet"/>
      </w:pPr>
      <w:r>
        <w:t>L</w:t>
      </w:r>
      <w:r w:rsidR="00031218" w:rsidRPr="00031218">
        <w:t>egal proceedings were rescheduled by the Federal Court.</w:t>
      </w:r>
    </w:p>
    <w:p w14:paraId="4806059A" w14:textId="24B466EF" w:rsidR="00031218" w:rsidRPr="00031218" w:rsidRDefault="00031218" w:rsidP="00984773">
      <w:pPr>
        <w:pStyle w:val="Bullet"/>
      </w:pPr>
      <w:r w:rsidRPr="00031218">
        <w:t xml:space="preserve">A two-month moratorium was instituted by the </w:t>
      </w:r>
      <w:r w:rsidR="00AE249F" w:rsidRPr="00AE249F">
        <w:t xml:space="preserve">Western Australian </w:t>
      </w:r>
      <w:r w:rsidRPr="00031218">
        <w:t xml:space="preserve">Government on </w:t>
      </w:r>
      <w:r w:rsidR="004F6934">
        <w:t>FANs</w:t>
      </w:r>
      <w:r w:rsidRPr="00031218">
        <w:t xml:space="preserve"> for expedited procedures. </w:t>
      </w:r>
    </w:p>
    <w:p w14:paraId="2A11CB4D" w14:textId="4EA9E81F" w:rsidR="00031218" w:rsidRPr="00031218" w:rsidRDefault="00031218" w:rsidP="00984773">
      <w:pPr>
        <w:pStyle w:val="Bullet"/>
      </w:pPr>
      <w:r w:rsidRPr="00031218">
        <w:t>Office closure and staff working from home, noting that a roster was introduced so that select staff could work in the Broome office on a rotational basis when needed.</w:t>
      </w:r>
      <w:r w:rsidR="00984773">
        <w:rPr>
          <w:rStyle w:val="FootnoteReference"/>
        </w:rPr>
        <w:footnoteReference w:id="14"/>
      </w:r>
    </w:p>
    <w:p w14:paraId="07B10119" w14:textId="77777777" w:rsidR="00031218" w:rsidRDefault="00031218" w:rsidP="004F6934">
      <w:r w:rsidRPr="00031218">
        <w:t>In addition, staff noted that COVID-19 contributed to a number of staff in legal and anthropology roles leaving the organisation. This was specifically attributed to these staff feeling isolated from family members as a result of imposed travel restrictions.</w:t>
      </w:r>
    </w:p>
    <w:p w14:paraId="2C83D16F" w14:textId="77777777" w:rsidR="00031218" w:rsidRPr="00031218" w:rsidRDefault="00031218" w:rsidP="004F6934">
      <w:r w:rsidRPr="00031218">
        <w:t xml:space="preserve">In line with public health restrictions, the KLC swiftly implemented a number of policies and practices to work effectively through operational changes and mitigate transmission of the virus, including through: </w:t>
      </w:r>
    </w:p>
    <w:p w14:paraId="58064F63" w14:textId="6B7FF354" w:rsidR="00031218" w:rsidRPr="00031218" w:rsidRDefault="004F6934" w:rsidP="008F066B">
      <w:pPr>
        <w:pStyle w:val="Bullet"/>
      </w:pPr>
      <w:r>
        <w:t>a</w:t>
      </w:r>
      <w:r w:rsidR="00031218" w:rsidRPr="00031218">
        <w:t xml:space="preserve"> </w:t>
      </w:r>
      <w:r w:rsidR="009747DC" w:rsidRPr="00031218">
        <w:t>COVID</w:t>
      </w:r>
      <w:r w:rsidR="00031218" w:rsidRPr="00031218">
        <w:t>-19 response plan</w:t>
      </w:r>
    </w:p>
    <w:p w14:paraId="05206E6C" w14:textId="77777777" w:rsidR="00031218" w:rsidRPr="00031218" w:rsidRDefault="00031218" w:rsidP="008F066B">
      <w:pPr>
        <w:pStyle w:val="Bullet"/>
      </w:pPr>
      <w:r w:rsidRPr="00031218">
        <w:t>COVID-19 updates for internal use</w:t>
      </w:r>
    </w:p>
    <w:p w14:paraId="4838D676" w14:textId="44859CB0" w:rsidR="00031218" w:rsidRPr="00031218" w:rsidRDefault="005E0471" w:rsidP="008F066B">
      <w:pPr>
        <w:pStyle w:val="Bullet"/>
      </w:pPr>
      <w:r>
        <w:t>a</w:t>
      </w:r>
      <w:r w:rsidR="00031218" w:rsidRPr="00031218">
        <w:t xml:space="preserve"> process for staff and consultants to minimise the risk of transmission while travelling into the Kimberley</w:t>
      </w:r>
    </w:p>
    <w:p w14:paraId="478853AB" w14:textId="06695C32" w:rsidR="00031218" w:rsidRPr="00031218" w:rsidRDefault="003D2011" w:rsidP="008F066B">
      <w:pPr>
        <w:pStyle w:val="Bullet"/>
      </w:pPr>
      <w:r>
        <w:t>p</w:t>
      </w:r>
      <w:r w:rsidR="00031218" w:rsidRPr="00031218">
        <w:t>roof-of-vaccination requirements.</w:t>
      </w:r>
    </w:p>
    <w:p w14:paraId="53FEA90D" w14:textId="6B6CAF00" w:rsidR="00031218" w:rsidRPr="00031218" w:rsidRDefault="00031218" w:rsidP="00031218">
      <w:r w:rsidRPr="00031218">
        <w:lastRenderedPageBreak/>
        <w:t xml:space="preserve">While the most intense effects of the pandemic on the KLC’s operations were felt early in the Review period, these effects persisted to a lesser extent throughout the entire period. The Review notes that in spite of the operational challenges caused by COVID-19, the KLC delivered considerable native title outcomes for clients throughout the </w:t>
      </w:r>
      <w:r w:rsidR="009747DC">
        <w:t xml:space="preserve">Review </w:t>
      </w:r>
      <w:r w:rsidRPr="00031218">
        <w:t>period.</w:t>
      </w:r>
    </w:p>
    <w:p w14:paraId="6BA84112" w14:textId="3AC97840" w:rsidR="00031218" w:rsidRPr="00031218" w:rsidRDefault="00031218" w:rsidP="00031218">
      <w:r w:rsidRPr="00031218">
        <w:t>KLC staff recognised that lower meeting and travel expenditure</w:t>
      </w:r>
      <w:r w:rsidR="008C4CBB">
        <w:t xml:space="preserve"> as</w:t>
      </w:r>
      <w:r w:rsidRPr="00031218">
        <w:t xml:space="preserve"> a result of travel restrictions</w:t>
      </w:r>
      <w:r w:rsidR="008C4CBB">
        <w:t xml:space="preserve"> had an indirect benefit on operations by conserving funding</w:t>
      </w:r>
      <w:r w:rsidRPr="00031218">
        <w:t xml:space="preserve">. Staff </w:t>
      </w:r>
      <w:r w:rsidR="000023DF">
        <w:t>noted</w:t>
      </w:r>
      <w:r w:rsidRPr="00031218">
        <w:t xml:space="preserve"> that some practices adopted during the pandemic, such as holding virtual meetings, </w:t>
      </w:r>
      <w:r w:rsidR="00F35F5C">
        <w:t xml:space="preserve">had continued </w:t>
      </w:r>
      <w:r w:rsidR="00AC3885">
        <w:t>to have</w:t>
      </w:r>
      <w:r w:rsidR="00F35F5C">
        <w:t xml:space="preserve"> positive impacts</w:t>
      </w:r>
      <w:r w:rsidRPr="00031218">
        <w:t>. For example, the KLC conducted its Special General Meeting virtually in May 2021, with Traditional Owners dialling in from across locations in Broome, Fitzroy Crossing, Halls Creek and Kununurra.</w:t>
      </w:r>
      <w:r w:rsidR="008D67CB">
        <w:t xml:space="preserve"> </w:t>
      </w:r>
    </w:p>
    <w:p w14:paraId="2F86B809" w14:textId="7B79B9E7" w:rsidR="00EE40D5" w:rsidRPr="00A86F11" w:rsidRDefault="00EE40D5" w:rsidP="00A86F11">
      <w:pPr>
        <w:keepNext/>
        <w:spacing w:before="240" w:after="60"/>
        <w:outlineLvl w:val="3"/>
        <w:rPr>
          <w:rFonts w:ascii="Segoe UI Semibold" w:eastAsia="Times New Roman" w:hAnsi="Segoe UI Semibold" w:cs="Times New Roman"/>
          <w:color w:val="00264D" w:themeColor="background2"/>
          <w:sz w:val="22"/>
          <w:szCs w:val="19"/>
          <w:lang w:eastAsia="en-AU"/>
        </w:rPr>
      </w:pPr>
      <w:r w:rsidRPr="00EE40D5">
        <w:rPr>
          <w:rFonts w:ascii="Segoe UI Semibold" w:eastAsia="Times New Roman" w:hAnsi="Segoe UI Semibold" w:cs="Times New Roman"/>
          <w:color w:val="00264D" w:themeColor="background2"/>
          <w:sz w:val="22"/>
          <w:szCs w:val="19"/>
          <w:lang w:eastAsia="en-AU"/>
        </w:rPr>
        <w:t xml:space="preserve">Amount of funding </w:t>
      </w:r>
    </w:p>
    <w:p w14:paraId="52B08D76" w14:textId="50B06E14" w:rsidR="00F4246C" w:rsidRPr="00EE40D5" w:rsidRDefault="00F4246C" w:rsidP="231D041B">
      <w:pPr>
        <w:keepNext/>
        <w:numPr>
          <w:ilvl w:val="4"/>
          <w:numId w:val="2"/>
        </w:numPr>
        <w:spacing w:before="240"/>
        <w:outlineLvl w:val="4"/>
        <w:rPr>
          <w:rFonts w:eastAsia="Times New Roman" w:cs="Times New Roman"/>
          <w:b/>
          <w:bCs/>
          <w:color w:val="000000" w:themeColor="text1"/>
          <w:sz w:val="20"/>
          <w:szCs w:val="20"/>
          <w:lang w:eastAsia="en-AU"/>
        </w:rPr>
      </w:pPr>
      <w:r w:rsidRPr="231D041B">
        <w:rPr>
          <w:rFonts w:eastAsia="Times New Roman" w:cs="Times New Roman"/>
          <w:b/>
          <w:bCs/>
          <w:color w:val="000000" w:themeColor="text1"/>
          <w:sz w:val="20"/>
          <w:szCs w:val="20"/>
          <w:lang w:eastAsia="en-AU"/>
        </w:rPr>
        <w:t>The amount per claim rose markedly from the previous Review period, reflecting the complexity of the claims</w:t>
      </w:r>
    </w:p>
    <w:p w14:paraId="5E4F03B0" w14:textId="25E13F37" w:rsidR="00EE40D5" w:rsidRPr="00EE40D5" w:rsidRDefault="00EE40D5" w:rsidP="00EE40D5">
      <w:pPr>
        <w:rPr>
          <w:lang w:eastAsia="en-AU"/>
        </w:rPr>
      </w:pPr>
      <w:r w:rsidRPr="00EE40D5">
        <w:rPr>
          <w:lang w:eastAsia="en-AU"/>
        </w:rPr>
        <w:t>Total funding that the KLC received from the NIAA across FY2019</w:t>
      </w:r>
      <w:r w:rsidR="00BE1322">
        <w:rPr>
          <w:lang w:eastAsia="en-AU"/>
        </w:rPr>
        <w:t>-20</w:t>
      </w:r>
      <w:r w:rsidR="00212C9E">
        <w:rPr>
          <w:lang w:eastAsia="en-AU"/>
        </w:rPr>
        <w:t xml:space="preserve"> to </w:t>
      </w:r>
      <w:r w:rsidRPr="00EE40D5">
        <w:rPr>
          <w:lang w:eastAsia="en-AU"/>
        </w:rPr>
        <w:t>FY202</w:t>
      </w:r>
      <w:r w:rsidR="002F34C4">
        <w:rPr>
          <w:lang w:eastAsia="en-AU"/>
        </w:rPr>
        <w:t>1</w:t>
      </w:r>
      <w:r w:rsidR="00BE1322">
        <w:rPr>
          <w:lang w:eastAsia="en-AU"/>
        </w:rPr>
        <w:t>-</w:t>
      </w:r>
      <w:r w:rsidR="00022D80">
        <w:rPr>
          <w:lang w:eastAsia="en-AU"/>
        </w:rPr>
        <w:t>2</w:t>
      </w:r>
      <w:r w:rsidR="002F34C4">
        <w:rPr>
          <w:lang w:eastAsia="en-AU"/>
        </w:rPr>
        <w:t>2</w:t>
      </w:r>
      <w:r w:rsidRPr="00EE40D5">
        <w:rPr>
          <w:lang w:eastAsia="en-AU"/>
        </w:rPr>
        <w:t xml:space="preserve"> was $30.4 million, excluding funding for PBC support. This was comparable to the total funding for similar NTRB-SPs. Funding relative to RATSIB area (see </w:t>
      </w:r>
      <w:r w:rsidR="00BA691D">
        <w:rPr>
          <w:lang w:eastAsia="en-AU"/>
        </w:rPr>
        <w:fldChar w:fldCharType="begin"/>
      </w:r>
      <w:r w:rsidR="00BA691D">
        <w:rPr>
          <w:lang w:eastAsia="en-AU"/>
        </w:rPr>
        <w:instrText xml:space="preserve"> REF _Ref154047239 \h </w:instrText>
      </w:r>
      <w:r w:rsidR="00BA691D">
        <w:rPr>
          <w:lang w:eastAsia="en-AU"/>
        </w:rPr>
      </w:r>
      <w:r w:rsidR="00BA691D">
        <w:rPr>
          <w:lang w:eastAsia="en-AU"/>
        </w:rPr>
        <w:fldChar w:fldCharType="separate"/>
      </w:r>
      <w:r w:rsidR="00291532">
        <w:t xml:space="preserve">Table </w:t>
      </w:r>
      <w:r w:rsidR="00291532">
        <w:rPr>
          <w:noProof/>
        </w:rPr>
        <w:t>8</w:t>
      </w:r>
      <w:r w:rsidR="00BA691D">
        <w:rPr>
          <w:lang w:eastAsia="en-AU"/>
        </w:rPr>
        <w:fldChar w:fldCharType="end"/>
      </w:r>
      <w:r w:rsidRPr="00EE40D5">
        <w:rPr>
          <w:lang w:eastAsia="en-AU"/>
        </w:rPr>
        <w:t xml:space="preserve">) was similar to the figure from the previous </w:t>
      </w:r>
      <w:r w:rsidR="00022D80">
        <w:rPr>
          <w:lang w:eastAsia="en-AU"/>
        </w:rPr>
        <w:t>R</w:t>
      </w:r>
      <w:r w:rsidRPr="00EE40D5">
        <w:rPr>
          <w:lang w:eastAsia="en-AU"/>
        </w:rPr>
        <w:t xml:space="preserve">eview. </w:t>
      </w:r>
    </w:p>
    <w:p w14:paraId="184D6FA6" w14:textId="33637D39" w:rsidR="00EE40D5" w:rsidRPr="00EE40D5" w:rsidRDefault="00EE40D5" w:rsidP="00EE40D5">
      <w:pPr>
        <w:rPr>
          <w:lang w:eastAsia="en-AU"/>
        </w:rPr>
      </w:pPr>
      <w:r w:rsidRPr="231D041B">
        <w:rPr>
          <w:lang w:eastAsia="en-AU"/>
        </w:rPr>
        <w:t xml:space="preserve">However, when considering determinations achieved within the Review period, as well as active matters still to be determined, the KLC received on average about $1.6 million per claim, almost three times the amount in the previous </w:t>
      </w:r>
      <w:r w:rsidR="00BA691D" w:rsidRPr="231D041B">
        <w:rPr>
          <w:lang w:eastAsia="en-AU"/>
        </w:rPr>
        <w:t>R</w:t>
      </w:r>
      <w:r w:rsidRPr="231D041B">
        <w:rPr>
          <w:lang w:eastAsia="en-AU"/>
        </w:rPr>
        <w:t xml:space="preserve">eview. This is likely indicative of the increasingly challenging nature of current claims. </w:t>
      </w:r>
    </w:p>
    <w:p w14:paraId="2CEEFC59" w14:textId="3CB4AB14" w:rsidR="00BA691D" w:rsidRDefault="00BA691D" w:rsidP="00BA691D">
      <w:pPr>
        <w:pStyle w:val="Caption"/>
      </w:pPr>
      <w:bookmarkStart w:id="27" w:name="_Ref154047239"/>
      <w:r>
        <w:t xml:space="preserve">Table </w:t>
      </w:r>
      <w:r>
        <w:fldChar w:fldCharType="begin"/>
      </w:r>
      <w:r>
        <w:instrText xml:space="preserve"> SEQ Table \* ARABIC </w:instrText>
      </w:r>
      <w:r>
        <w:fldChar w:fldCharType="separate"/>
      </w:r>
      <w:r w:rsidR="00291532">
        <w:rPr>
          <w:noProof/>
        </w:rPr>
        <w:t>8</w:t>
      </w:r>
      <w:r>
        <w:fldChar w:fldCharType="end"/>
      </w:r>
      <w:bookmarkEnd w:id="27"/>
      <w:r>
        <w:t xml:space="preserve"> | </w:t>
      </w:r>
      <w:r w:rsidRPr="00C75BB0">
        <w:t>Total funding relative to factors of interest</w:t>
      </w:r>
      <w:r w:rsidRPr="00EE40D5">
        <w:rPr>
          <w:vertAlign w:val="superscript"/>
        </w:rPr>
        <w:footnoteReference w:id="15"/>
      </w:r>
    </w:p>
    <w:tbl>
      <w:tblPr>
        <w:tblStyle w:val="AEMO6"/>
        <w:tblW w:w="5000" w:type="pct"/>
        <w:tblLook w:val="04A0" w:firstRow="1" w:lastRow="0" w:firstColumn="1" w:lastColumn="0" w:noHBand="0" w:noVBand="1"/>
      </w:tblPr>
      <w:tblGrid>
        <w:gridCol w:w="4465"/>
        <w:gridCol w:w="4465"/>
      </w:tblGrid>
      <w:tr w:rsidR="00E72929" w:rsidRPr="00EE40D5" w14:paraId="6230CE0F" w14:textId="77777777" w:rsidTr="001631EF">
        <w:trPr>
          <w:cnfStyle w:val="100000000000" w:firstRow="1" w:lastRow="0" w:firstColumn="0" w:lastColumn="0" w:oddVBand="0" w:evenVBand="0" w:oddHBand="0" w:evenHBand="0" w:firstRowFirstColumn="0" w:firstRowLastColumn="0" w:lastRowFirstColumn="0" w:lastRowLastColumn="0"/>
        </w:trPr>
        <w:tc>
          <w:tcPr>
            <w:tcW w:w="2500" w:type="pct"/>
          </w:tcPr>
          <w:p w14:paraId="1FF74F13" w14:textId="77777777" w:rsidR="00EE40D5" w:rsidRPr="00EE40D5" w:rsidRDefault="00EE40D5" w:rsidP="00C36333">
            <w:pPr>
              <w:pStyle w:val="TableNheader"/>
              <w:rPr>
                <w:lang w:eastAsia="en-AU"/>
              </w:rPr>
            </w:pPr>
            <w:r w:rsidRPr="00EE40D5">
              <w:rPr>
                <w:lang w:eastAsia="en-AU"/>
              </w:rPr>
              <w:t xml:space="preserve">Factor of interest (denominator) </w:t>
            </w:r>
          </w:p>
        </w:tc>
        <w:tc>
          <w:tcPr>
            <w:tcW w:w="2500" w:type="pct"/>
          </w:tcPr>
          <w:p w14:paraId="6DA15B19" w14:textId="77777777" w:rsidR="00EE40D5" w:rsidRPr="00EE40D5" w:rsidRDefault="00EE40D5" w:rsidP="00C36333">
            <w:pPr>
              <w:pStyle w:val="TableNheader"/>
              <w:rPr>
                <w:lang w:eastAsia="en-AU"/>
              </w:rPr>
            </w:pPr>
            <w:r w:rsidRPr="00EE40D5">
              <w:rPr>
                <w:lang w:eastAsia="en-AU"/>
              </w:rPr>
              <w:t>Ratio</w:t>
            </w:r>
          </w:p>
        </w:tc>
      </w:tr>
      <w:tr w:rsidR="00EE40D5" w:rsidRPr="00EE40D5" w14:paraId="4A905A6B" w14:textId="77777777" w:rsidTr="001631EF">
        <w:trPr>
          <w:cnfStyle w:val="000000100000" w:firstRow="0" w:lastRow="0" w:firstColumn="0" w:lastColumn="0" w:oddVBand="0" w:evenVBand="0" w:oddHBand="1" w:evenHBand="0" w:firstRowFirstColumn="0" w:firstRowLastColumn="0" w:lastRowFirstColumn="0" w:lastRowLastColumn="0"/>
        </w:trPr>
        <w:tc>
          <w:tcPr>
            <w:tcW w:w="2500" w:type="pct"/>
          </w:tcPr>
          <w:p w14:paraId="055DF895" w14:textId="77777777" w:rsidR="00EE40D5" w:rsidRPr="00EE40D5" w:rsidRDefault="00EE40D5" w:rsidP="00C36333">
            <w:pPr>
              <w:pStyle w:val="TableNText"/>
              <w:rPr>
                <w:lang w:eastAsia="en-AU"/>
              </w:rPr>
            </w:pPr>
            <w:r w:rsidRPr="00EE40D5">
              <w:rPr>
                <w:lang w:eastAsia="en-AU"/>
              </w:rPr>
              <w:t>KLC’s total land area: 423,517 square kilometres</w:t>
            </w:r>
          </w:p>
        </w:tc>
        <w:tc>
          <w:tcPr>
            <w:tcW w:w="2500" w:type="pct"/>
          </w:tcPr>
          <w:p w14:paraId="01162B86" w14:textId="77777777" w:rsidR="00EE40D5" w:rsidRPr="00EE40D5" w:rsidRDefault="00EE40D5" w:rsidP="00C36333">
            <w:pPr>
              <w:pStyle w:val="TableNText"/>
              <w:rPr>
                <w:lang w:eastAsia="en-AU"/>
              </w:rPr>
            </w:pPr>
            <w:r w:rsidRPr="00EE40D5">
              <w:rPr>
                <w:lang w:eastAsia="en-AU"/>
              </w:rPr>
              <w:t>$71.77 per square kilometres</w:t>
            </w:r>
          </w:p>
        </w:tc>
      </w:tr>
      <w:tr w:rsidR="00EE40D5" w:rsidRPr="00EE40D5" w14:paraId="52990920" w14:textId="77777777" w:rsidTr="001631EF">
        <w:trPr>
          <w:cnfStyle w:val="000000010000" w:firstRow="0" w:lastRow="0" w:firstColumn="0" w:lastColumn="0" w:oddVBand="0" w:evenVBand="0" w:oddHBand="0" w:evenHBand="1" w:firstRowFirstColumn="0" w:firstRowLastColumn="0" w:lastRowFirstColumn="0" w:lastRowLastColumn="0"/>
          <w:trHeight w:val="18"/>
        </w:trPr>
        <w:tc>
          <w:tcPr>
            <w:tcW w:w="2500" w:type="pct"/>
          </w:tcPr>
          <w:p w14:paraId="1EE99131" w14:textId="5A7563F5" w:rsidR="00EE40D5" w:rsidRPr="00EE40D5" w:rsidRDefault="00EE40D5" w:rsidP="00C36333">
            <w:pPr>
              <w:pStyle w:val="TableNText"/>
              <w:rPr>
                <w:lang w:eastAsia="en-AU"/>
              </w:rPr>
            </w:pPr>
            <w:r w:rsidRPr="00EE40D5">
              <w:rPr>
                <w:lang w:eastAsia="en-AU"/>
              </w:rPr>
              <w:t>Number of active claims (five) and determinations (13) at 30 June 2022: 13</w:t>
            </w:r>
          </w:p>
        </w:tc>
        <w:tc>
          <w:tcPr>
            <w:tcW w:w="2500" w:type="pct"/>
          </w:tcPr>
          <w:p w14:paraId="0173CD56" w14:textId="77777777" w:rsidR="00EE40D5" w:rsidRPr="00EE40D5" w:rsidRDefault="00EE40D5" w:rsidP="00C36333">
            <w:pPr>
              <w:pStyle w:val="TableNText"/>
              <w:rPr>
                <w:lang w:eastAsia="en-AU"/>
              </w:rPr>
            </w:pPr>
            <w:r w:rsidRPr="00EE40D5">
              <w:rPr>
                <w:lang w:eastAsia="en-AU"/>
              </w:rPr>
              <w:t>$1,688,888.88 per claim</w:t>
            </w:r>
          </w:p>
        </w:tc>
      </w:tr>
    </w:tbl>
    <w:p w14:paraId="492ED1AB" w14:textId="3D8A29B5" w:rsidR="00031218" w:rsidRPr="00031218" w:rsidRDefault="00031218" w:rsidP="00031218">
      <w:pPr>
        <w:keepNext/>
        <w:numPr>
          <w:ilvl w:val="2"/>
          <w:numId w:val="2"/>
        </w:numPr>
        <w:spacing w:before="480" w:after="60"/>
        <w:outlineLvl w:val="2"/>
        <w:rPr>
          <w:rFonts w:ascii="Segoe UI Semibold" w:eastAsia="Times New Roman" w:hAnsi="Segoe UI Semibold" w:cs="Times New Roman"/>
          <w:color w:val="00264D"/>
          <w:sz w:val="26"/>
          <w:szCs w:val="19"/>
          <w:lang w:eastAsia="en-AU"/>
        </w:rPr>
      </w:pPr>
      <w:r w:rsidRPr="00031218">
        <w:rPr>
          <w:rFonts w:ascii="Segoe UI Semibold" w:eastAsia="Times New Roman" w:hAnsi="Segoe UI Semibold" w:cs="Times New Roman"/>
          <w:color w:val="00264D"/>
          <w:sz w:val="26"/>
          <w:szCs w:val="19"/>
          <w:lang w:eastAsia="en-AU"/>
        </w:rPr>
        <w:t>TOR 1: Recommendations</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7A237A" w:rsidRPr="00C62E0F" w14:paraId="1043C332" w14:textId="77777777" w:rsidTr="0181F3A3">
        <w:trPr>
          <w:trHeight w:val="360"/>
        </w:trPr>
        <w:tc>
          <w:tcPr>
            <w:tcW w:w="8223" w:type="dxa"/>
          </w:tcPr>
          <w:p w14:paraId="2F4DE7A6" w14:textId="58B3AB7D" w:rsidR="007A237A" w:rsidRPr="00C62E0F" w:rsidRDefault="007A237A">
            <w:pPr>
              <w:spacing w:line="259" w:lineRule="auto"/>
              <w:rPr>
                <w:lang w:eastAsia="en-AU"/>
              </w:rPr>
            </w:pPr>
            <w:r w:rsidRPr="00C62E0F">
              <w:rPr>
                <w:noProof/>
                <w:lang w:eastAsia="en-AU"/>
              </w:rPr>
              <w:drawing>
                <wp:inline distT="0" distB="0" distL="0" distR="0" wp14:anchorId="117FE3C3" wp14:editId="72516A82">
                  <wp:extent cx="5114199" cy="287655"/>
                  <wp:effectExtent l="0" t="0" r="0" b="0"/>
                  <wp:docPr id="329466804" name="Picture 32946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5ABC98EE" w14:textId="77777777" w:rsidR="007A237A" w:rsidRPr="00C62E0F" w:rsidRDefault="007A237A">
            <w:pPr>
              <w:spacing w:after="100" w:afterAutospacing="1" w:line="259" w:lineRule="auto"/>
              <w:jc w:val="center"/>
              <w:rPr>
                <w:sz w:val="30"/>
                <w:szCs w:val="30"/>
                <w:lang w:eastAsia="en-AU"/>
              </w:rPr>
            </w:pPr>
            <w:r w:rsidRPr="00C62E0F">
              <w:rPr>
                <w:color w:val="FFFFFF" w:themeColor="background1"/>
                <w:sz w:val="30"/>
                <w:szCs w:val="30"/>
                <w:lang w:eastAsia="en-AU"/>
              </w:rPr>
              <w:t>1</w:t>
            </w:r>
          </w:p>
        </w:tc>
      </w:tr>
      <w:tr w:rsidR="007A237A" w:rsidRPr="00C62E0F" w14:paraId="3CC94C46" w14:textId="77777777" w:rsidTr="0181F3A3">
        <w:tc>
          <w:tcPr>
            <w:tcW w:w="8930" w:type="dxa"/>
            <w:gridSpan w:val="2"/>
            <w:tcBorders>
              <w:bottom w:val="single" w:sz="4" w:space="0" w:color="F8981D" w:themeColor="accent3"/>
              <w:right w:val="single" w:sz="18" w:space="0" w:color="F8981D" w:themeColor="accent3"/>
            </w:tcBorders>
          </w:tcPr>
          <w:p w14:paraId="12A41BC0" w14:textId="52588C59" w:rsidR="007A237A" w:rsidRPr="00E04419" w:rsidRDefault="004F017D" w:rsidP="007A237A">
            <w:pPr>
              <w:rPr>
                <w:lang w:eastAsia="en-AU"/>
              </w:rPr>
            </w:pPr>
            <w:bookmarkStart w:id="28" w:name="_Hlk167696932"/>
            <w:r w:rsidRPr="00FD6075">
              <w:rPr>
                <w:lang w:eastAsia="en-AU"/>
              </w:rPr>
              <w:t xml:space="preserve">The KLC should develop a document with options available to Traditional Owners who are concerned about the governance of their PBC to address the dissatisfaction of Traditional Owners where significant tensions between groups have </w:t>
            </w:r>
            <w:r w:rsidR="00F340FB" w:rsidRPr="00F340FB">
              <w:rPr>
                <w:lang w:eastAsia="en-AU"/>
              </w:rPr>
              <w:t>arisen as a result of the claim process or determination</w:t>
            </w:r>
            <w:r w:rsidRPr="00FD6075">
              <w:rPr>
                <w:lang w:eastAsia="en-AU"/>
              </w:rPr>
              <w:t>.</w:t>
            </w:r>
            <w:bookmarkEnd w:id="28"/>
          </w:p>
        </w:tc>
      </w:tr>
    </w:tbl>
    <w:p w14:paraId="33370741" w14:textId="77777777" w:rsidR="00F90528" w:rsidRDefault="00F90528" w:rsidP="00F90528"/>
    <w:p w14:paraId="5BA3D33E" w14:textId="77777777" w:rsidR="00F90528" w:rsidRDefault="00F90528">
      <w:pPr>
        <w:spacing w:after="165"/>
        <w:rPr>
          <w:rFonts w:ascii="Segoe UI Semibold" w:eastAsia="Times New Roman" w:hAnsi="Segoe UI Semibold" w:cs="Times New Roman"/>
          <w:color w:val="00264D"/>
          <w:sz w:val="30"/>
          <w:szCs w:val="19"/>
          <w:lang w:eastAsia="en-AU"/>
        </w:rPr>
      </w:pPr>
      <w:r>
        <w:br w:type="page"/>
      </w:r>
    </w:p>
    <w:p w14:paraId="1B8896E9" w14:textId="611E1F4E" w:rsidR="00446C8E" w:rsidRDefault="00446C8E" w:rsidP="00446C8E">
      <w:pPr>
        <w:pStyle w:val="Heading2"/>
        <w:numPr>
          <w:ilvl w:val="1"/>
          <w:numId w:val="2"/>
        </w:numPr>
        <w:ind w:left="578" w:hanging="578"/>
      </w:pPr>
      <w:bookmarkStart w:id="29" w:name="_Toc170470102"/>
      <w:r w:rsidRPr="007577DB">
        <w:lastRenderedPageBreak/>
        <w:t>TOR 2 | Extent to which each organisation assesses and prioritises applications for assistance in a manner that is equitable, transparent and robust</w:t>
      </w:r>
      <w:r w:rsidR="005608EE">
        <w:t>,</w:t>
      </w:r>
      <w:r w:rsidRPr="007577DB">
        <w:t xml:space="preserve"> and is well publicised and understood by clients and potential clients.</w:t>
      </w:r>
      <w:bookmarkEnd w:id="29"/>
    </w:p>
    <w:tbl>
      <w:tblPr>
        <w:tblStyle w:val="TableGrid"/>
        <w:tblW w:w="0" w:type="auto"/>
        <w:tblLook w:val="04A0" w:firstRow="1" w:lastRow="0" w:firstColumn="1" w:lastColumn="0" w:noHBand="0" w:noVBand="1"/>
      </w:tblPr>
      <w:tblGrid>
        <w:gridCol w:w="8930"/>
      </w:tblGrid>
      <w:tr w:rsidR="00446C8E" w14:paraId="73BDB917" w14:textId="77777777" w:rsidTr="00AE1C1D">
        <w:trPr>
          <w:cnfStyle w:val="100000000000" w:firstRow="1" w:lastRow="0" w:firstColumn="0" w:lastColumn="0" w:oddVBand="0" w:evenVBand="0" w:oddHBand="0" w:evenHBand="0" w:firstRowFirstColumn="0" w:firstRowLastColumn="0" w:lastRowFirstColumn="0" w:lastRowLastColumn="0"/>
        </w:trPr>
        <w:tc>
          <w:tcPr>
            <w:tcW w:w="8930" w:type="dxa"/>
          </w:tcPr>
          <w:p w14:paraId="62121D8B" w14:textId="77777777" w:rsidR="00446C8E" w:rsidRPr="00CA6E3E" w:rsidRDefault="00446C8E" w:rsidP="00CA6E3E">
            <w:pPr>
              <w:pStyle w:val="Longformcallout"/>
              <w:rPr>
                <w:rFonts w:asciiTheme="majorHAnsi" w:hAnsiTheme="majorHAnsi" w:cstheme="majorHAnsi"/>
              </w:rPr>
            </w:pPr>
            <w:r w:rsidRPr="00CA6E3E">
              <w:rPr>
                <w:rFonts w:asciiTheme="majorHAnsi" w:hAnsiTheme="majorHAnsi" w:cstheme="majorHAnsi"/>
              </w:rPr>
              <w:t>Summary</w:t>
            </w:r>
          </w:p>
          <w:p w14:paraId="73F336C9" w14:textId="1AF2935D" w:rsidR="002A0717" w:rsidRDefault="002A0717" w:rsidP="00CA6E3E">
            <w:pPr>
              <w:pStyle w:val="Longformcallout"/>
            </w:pPr>
            <w:r>
              <w:t>The KLC</w:t>
            </w:r>
            <w:r w:rsidDel="00035870">
              <w:t xml:space="preserve"> </w:t>
            </w:r>
            <w:r w:rsidR="00035870">
              <w:t xml:space="preserve">had </w:t>
            </w:r>
            <w:r>
              <w:t>a clear and well-documented policy in place for assessing and prioritising applications for assistance that it applie</w:t>
            </w:r>
            <w:r w:rsidR="00035870">
              <w:t>d</w:t>
            </w:r>
            <w:r>
              <w:t xml:space="preserve"> to all applications for assistance. The policy </w:t>
            </w:r>
            <w:r w:rsidR="00035870">
              <w:t xml:space="preserve">was </w:t>
            </w:r>
            <w:r>
              <w:t>made publicly available to clients through several channels. A Committee of the Board, the NTRB Grants Committee, assesse</w:t>
            </w:r>
            <w:r w:rsidR="00035870">
              <w:t>d</w:t>
            </w:r>
            <w:r>
              <w:t xml:space="preserve"> applications to determine if they met the criteria for assistance, including their legal merit and the factors that influence</w:t>
            </w:r>
            <w:r w:rsidR="00035870">
              <w:t>d</w:t>
            </w:r>
            <w:r>
              <w:t xml:space="preserve"> a claim’s relative priority.</w:t>
            </w:r>
          </w:p>
          <w:p w14:paraId="5489A83E" w14:textId="531527F8" w:rsidR="002A0717" w:rsidRDefault="002A0717" w:rsidP="00CA6E3E">
            <w:pPr>
              <w:pStyle w:val="Longformcallout"/>
            </w:pPr>
            <w:r w:rsidRPr="1225B3FE">
              <w:t xml:space="preserve">The </w:t>
            </w:r>
            <w:r w:rsidRPr="00E15974">
              <w:t>policy clearly state</w:t>
            </w:r>
            <w:r w:rsidR="00035870">
              <w:t>d</w:t>
            </w:r>
            <w:r w:rsidRPr="00E15974">
              <w:t xml:space="preserve"> that applicants </w:t>
            </w:r>
            <w:r w:rsidR="00035870">
              <w:t>would</w:t>
            </w:r>
            <w:r w:rsidR="00035870" w:rsidRPr="00E15974">
              <w:t xml:space="preserve"> </w:t>
            </w:r>
            <w:r w:rsidRPr="00E15974">
              <w:t xml:space="preserve">be informed of the decision and the reasoning behind it in writing. </w:t>
            </w:r>
            <w:r w:rsidR="007630C9" w:rsidRPr="00E15974">
              <w:t>The Review saw no evidence that this policy was not followed however a very small number of</w:t>
            </w:r>
            <w:r w:rsidR="005D578A">
              <w:t xml:space="preserve"> </w:t>
            </w:r>
            <w:r w:rsidRPr="00E15974">
              <w:t>clients who had applications refused reported to the Review that they were unclear as to the grounds for their rejection.</w:t>
            </w:r>
            <w:r w:rsidRPr="1225B3FE">
              <w:t xml:space="preserve"> </w:t>
            </w:r>
          </w:p>
          <w:p w14:paraId="400829AA" w14:textId="4370A2D2" w:rsidR="002A0717" w:rsidRDefault="007630C9" w:rsidP="00CA6E3E">
            <w:pPr>
              <w:pStyle w:val="Longformcallout"/>
            </w:pPr>
            <w:r w:rsidRPr="1225B3FE">
              <w:t xml:space="preserve">A </w:t>
            </w:r>
            <w:r>
              <w:t>small number of</w:t>
            </w:r>
            <w:r w:rsidRPr="1225B3FE">
              <w:t xml:space="preserve"> </w:t>
            </w:r>
            <w:r w:rsidR="002A0717" w:rsidRPr="1225B3FE">
              <w:t xml:space="preserve">Traditional Owners </w:t>
            </w:r>
            <w:r w:rsidR="0041311A">
              <w:t>and other</w:t>
            </w:r>
            <w:r w:rsidR="00A57DAF">
              <w:t xml:space="preserve"> stakeholder</w:t>
            </w:r>
            <w:r w:rsidR="0041311A">
              <w:t>s associated with KLC</w:t>
            </w:r>
            <w:r w:rsidRPr="1225B3FE">
              <w:t xml:space="preserve"> </w:t>
            </w:r>
            <w:r w:rsidR="002A0717" w:rsidRPr="1225B3FE">
              <w:t>also expressed a concern to the Review</w:t>
            </w:r>
            <w:r w:rsidR="002A0717">
              <w:t xml:space="preserve"> </w:t>
            </w:r>
            <w:r w:rsidR="002A0717" w:rsidRPr="1225B3FE">
              <w:t xml:space="preserve">that the prioritisation process may be influenced by Board members </w:t>
            </w:r>
            <w:r w:rsidR="00A57DAF">
              <w:t xml:space="preserve">or senior staff </w:t>
            </w:r>
            <w:r w:rsidR="002A0717" w:rsidRPr="1225B3FE">
              <w:t xml:space="preserve">with ties to </w:t>
            </w:r>
            <w:r>
              <w:t>relevant</w:t>
            </w:r>
            <w:r w:rsidR="002A0717" w:rsidRPr="1225B3FE">
              <w:t xml:space="preserve"> claim </w:t>
            </w:r>
            <w:r>
              <w:t>groups.</w:t>
            </w:r>
            <w:r w:rsidR="002A0717" w:rsidRPr="00CB445A">
              <w:t xml:space="preserve"> </w:t>
            </w:r>
            <w:r w:rsidR="002A0717">
              <w:t>T</w:t>
            </w:r>
            <w:r w:rsidR="002A0717" w:rsidRPr="00CB445A">
              <w:t>he Review was not provided with any evidence of specific cases and notes that the KLC has a clearly documented conflict of interest policy which appears to be consistently applied in practice.</w:t>
            </w:r>
          </w:p>
          <w:p w14:paraId="46B6F40F" w14:textId="1433421E" w:rsidR="00CE4A7B" w:rsidRDefault="002A0717" w:rsidP="00CA6E3E">
            <w:pPr>
              <w:pStyle w:val="Longformcallout"/>
            </w:pPr>
            <w:r>
              <w:t>The large volume of work in the post-determination space continues to grow and compete with resources available for claims. This places a constraint on the ability of the KLC to prioritise increasingly complex claims. Staff consistently held the view that funding had not kept up with workload over the Review period.</w:t>
            </w:r>
          </w:p>
        </w:tc>
      </w:tr>
    </w:tbl>
    <w:p w14:paraId="507298CC" w14:textId="1276B445" w:rsidR="00446C8E" w:rsidRDefault="00446C8E" w:rsidP="00E456E7">
      <w:pPr>
        <w:pStyle w:val="Heading3"/>
        <w:numPr>
          <w:ilvl w:val="2"/>
          <w:numId w:val="22"/>
        </w:numPr>
        <w:ind w:left="180" w:hanging="180"/>
      </w:pPr>
      <w:r>
        <w:t>TOR 2: Assessment of performance</w:t>
      </w:r>
    </w:p>
    <w:p w14:paraId="0899EBBC" w14:textId="3E65D2C7" w:rsidR="00F12A45" w:rsidRPr="00F12A45" w:rsidRDefault="00F12A45" w:rsidP="00F12A45">
      <w:pPr>
        <w:rPr>
          <w:lang w:eastAsia="en-AU"/>
        </w:rPr>
      </w:pPr>
      <w:r w:rsidRPr="00F12A45">
        <w:rPr>
          <w:lang w:eastAsia="en-AU"/>
        </w:rPr>
        <w:t>This section presents an assessment of performance against the performance indicators for this TOR. To see the performance indicators please see</w:t>
      </w:r>
      <w:r>
        <w:rPr>
          <w:lang w:eastAsia="en-AU"/>
        </w:rPr>
        <w:t xml:space="preserve"> </w:t>
      </w:r>
      <w:r>
        <w:rPr>
          <w:lang w:eastAsia="en-AU"/>
        </w:rPr>
        <w:fldChar w:fldCharType="begin"/>
      </w:r>
      <w:r>
        <w:rPr>
          <w:lang w:eastAsia="en-AU"/>
        </w:rPr>
        <w:instrText xml:space="preserve"> REF _Ref163046335 \n \h </w:instrText>
      </w:r>
      <w:r>
        <w:rPr>
          <w:lang w:eastAsia="en-AU"/>
        </w:rPr>
      </w:r>
      <w:r>
        <w:rPr>
          <w:lang w:eastAsia="en-AU"/>
        </w:rPr>
        <w:fldChar w:fldCharType="separate"/>
      </w:r>
      <w:r w:rsidR="00291532">
        <w:rPr>
          <w:lang w:eastAsia="en-AU"/>
        </w:rPr>
        <w:t>Appendix A</w:t>
      </w:r>
      <w:r>
        <w:rPr>
          <w:lang w:eastAsia="en-AU"/>
        </w:rPr>
        <w:fldChar w:fldCharType="end"/>
      </w:r>
      <w:r w:rsidRPr="00F12A45">
        <w:rPr>
          <w:lang w:eastAsia="en-AU"/>
        </w:rPr>
        <w:t>.</w:t>
      </w:r>
    </w:p>
    <w:p w14:paraId="575CA43F" w14:textId="77777777" w:rsidR="00446C8E" w:rsidRDefault="00446C8E" w:rsidP="00446C8E">
      <w:pPr>
        <w:pStyle w:val="Heading4"/>
      </w:pPr>
      <w:r w:rsidRPr="00E85100">
        <w:t>Equity, transparency and robustness of assessment and prioritisation process</w:t>
      </w:r>
    </w:p>
    <w:p w14:paraId="1815F26F" w14:textId="5C6A9AD2" w:rsidR="00446C8E" w:rsidRDefault="00446C8E" w:rsidP="00111435">
      <w:pPr>
        <w:pStyle w:val="Heading5"/>
      </w:pPr>
      <w:r>
        <w:t>The KLC ha</w:t>
      </w:r>
      <w:r w:rsidR="00CD6A31">
        <w:t>d</w:t>
      </w:r>
      <w:r>
        <w:t xml:space="preserve"> a clear process for assessing and prioritising applications for assistance</w:t>
      </w:r>
    </w:p>
    <w:p w14:paraId="5F5A245C" w14:textId="0E2E9E1A" w:rsidR="00AD66D8" w:rsidRDefault="00446C8E" w:rsidP="00446C8E">
      <w:pPr>
        <w:rPr>
          <w:lang w:eastAsia="en-AU"/>
        </w:rPr>
      </w:pPr>
      <w:r>
        <w:rPr>
          <w:lang w:eastAsia="en-AU"/>
        </w:rPr>
        <w:t xml:space="preserve">The </w:t>
      </w:r>
      <w:r w:rsidRPr="00A14DE7">
        <w:rPr>
          <w:lang w:eastAsia="en-AU"/>
        </w:rPr>
        <w:t xml:space="preserve">KLC’s Guidelines for Assistance in Native Title Claims </w:t>
      </w:r>
      <w:r w:rsidR="004F737B">
        <w:rPr>
          <w:lang w:eastAsia="en-AU"/>
        </w:rPr>
        <w:t>(</w:t>
      </w:r>
      <w:r w:rsidR="006841F5">
        <w:rPr>
          <w:lang w:eastAsia="en-AU"/>
        </w:rPr>
        <w:t>Assistance Guidelines</w:t>
      </w:r>
      <w:r w:rsidR="004F737B">
        <w:rPr>
          <w:lang w:eastAsia="en-AU"/>
        </w:rPr>
        <w:t>)</w:t>
      </w:r>
      <w:r w:rsidR="0043440D">
        <w:rPr>
          <w:lang w:eastAsia="en-AU"/>
        </w:rPr>
        <w:t xml:space="preserve"> </w:t>
      </w:r>
      <w:r w:rsidR="00FD4AC2">
        <w:rPr>
          <w:lang w:eastAsia="en-AU"/>
        </w:rPr>
        <w:t>is</w:t>
      </w:r>
      <w:r>
        <w:rPr>
          <w:lang w:eastAsia="en-AU"/>
        </w:rPr>
        <w:t xml:space="preserve"> a written policy governing </w:t>
      </w:r>
      <w:r w:rsidR="00AE6B16">
        <w:rPr>
          <w:lang w:eastAsia="en-AU"/>
        </w:rPr>
        <w:t>the KLC’s</w:t>
      </w:r>
      <w:r>
        <w:rPr>
          <w:lang w:eastAsia="en-AU"/>
        </w:rPr>
        <w:t xml:space="preserve"> assessment and prioritisation of applications for assistance. The </w:t>
      </w:r>
      <w:r w:rsidR="006841F5">
        <w:rPr>
          <w:lang w:eastAsia="en-AU"/>
        </w:rPr>
        <w:t xml:space="preserve">Assistance Guidelines </w:t>
      </w:r>
      <w:r>
        <w:rPr>
          <w:lang w:eastAsia="en-AU"/>
        </w:rPr>
        <w:t>clearly outline</w:t>
      </w:r>
      <w:r w:rsidR="00AD66D8">
        <w:rPr>
          <w:lang w:eastAsia="en-AU"/>
        </w:rPr>
        <w:t>:</w:t>
      </w:r>
      <w:r>
        <w:rPr>
          <w:lang w:eastAsia="en-AU"/>
        </w:rPr>
        <w:t xml:space="preserve"> </w:t>
      </w:r>
    </w:p>
    <w:p w14:paraId="208B0763" w14:textId="6FD3C276" w:rsidR="00AD66D8" w:rsidRDefault="00446C8E" w:rsidP="00AD66D8">
      <w:pPr>
        <w:pStyle w:val="Bullet"/>
      </w:pPr>
      <w:r>
        <w:t>roles and responsibilities under the</w:t>
      </w:r>
      <w:r w:rsidRPr="005A77E2">
        <w:t xml:space="preserve"> NTA</w:t>
      </w:r>
    </w:p>
    <w:p w14:paraId="1177DA3A" w14:textId="63229B14" w:rsidR="00AD66D8" w:rsidRDefault="00446C8E" w:rsidP="00AD66D8">
      <w:pPr>
        <w:pStyle w:val="Bullet"/>
      </w:pPr>
      <w:r>
        <w:t>claims assessment policy and process</w:t>
      </w:r>
    </w:p>
    <w:p w14:paraId="57EFAEA2" w14:textId="520800F4" w:rsidR="00AD66D8" w:rsidRDefault="00446C8E" w:rsidP="00AD66D8">
      <w:pPr>
        <w:pStyle w:val="Bullet"/>
      </w:pPr>
      <w:r>
        <w:t>conflict resolution process</w:t>
      </w:r>
    </w:p>
    <w:p w14:paraId="37C060DC" w14:textId="2367133A" w:rsidR="00AD66D8" w:rsidRDefault="00446C8E" w:rsidP="00AD66D8">
      <w:pPr>
        <w:pStyle w:val="Bullet"/>
      </w:pPr>
      <w:r>
        <w:t>procedures for ensuring confidentiality and avoiding conflicts of interest</w:t>
      </w:r>
    </w:p>
    <w:p w14:paraId="1D02553B" w14:textId="79176597" w:rsidR="00446C8E" w:rsidRDefault="00446C8E" w:rsidP="00AD66D8">
      <w:pPr>
        <w:pStyle w:val="Bullet"/>
      </w:pPr>
      <w:r>
        <w:t xml:space="preserve">processes for internal reviews and complaints, which are described in greater detail </w:t>
      </w:r>
      <w:r w:rsidR="00435483">
        <w:t xml:space="preserve">under </w:t>
      </w:r>
      <w:r>
        <w:t xml:space="preserve">TOR 3. </w:t>
      </w:r>
    </w:p>
    <w:p w14:paraId="7D8C8827" w14:textId="4A503AD2" w:rsidR="00446C8E" w:rsidRDefault="00E776C6" w:rsidP="00446C8E">
      <w:pPr>
        <w:rPr>
          <w:lang w:eastAsia="en-AU"/>
        </w:rPr>
      </w:pPr>
      <w:r>
        <w:rPr>
          <w:lang w:eastAsia="en-AU"/>
        </w:rPr>
        <w:t xml:space="preserve">According to the </w:t>
      </w:r>
      <w:r w:rsidR="006841F5">
        <w:rPr>
          <w:lang w:eastAsia="en-AU"/>
        </w:rPr>
        <w:t>Assistance Guidelines</w:t>
      </w:r>
      <w:r w:rsidR="004046A5">
        <w:rPr>
          <w:lang w:eastAsia="en-AU"/>
        </w:rPr>
        <w:t>,</w:t>
      </w:r>
      <w:r>
        <w:rPr>
          <w:lang w:eastAsia="en-AU"/>
        </w:rPr>
        <w:t xml:space="preserve"> </w:t>
      </w:r>
      <w:r w:rsidR="00EC4745">
        <w:rPr>
          <w:lang w:eastAsia="en-AU"/>
        </w:rPr>
        <w:t>a</w:t>
      </w:r>
      <w:r w:rsidR="00446C8E">
        <w:rPr>
          <w:lang w:eastAsia="en-AU"/>
        </w:rPr>
        <w:t xml:space="preserve">ll new applications for assistance </w:t>
      </w:r>
      <w:r w:rsidR="00B723A3">
        <w:rPr>
          <w:lang w:eastAsia="en-AU"/>
        </w:rPr>
        <w:t>go</w:t>
      </w:r>
      <w:r w:rsidR="00446C8E">
        <w:rPr>
          <w:lang w:eastAsia="en-AU"/>
        </w:rPr>
        <w:t xml:space="preserve"> before the KLC’s Board</w:t>
      </w:r>
      <w:r w:rsidR="00AE6B16">
        <w:rPr>
          <w:lang w:eastAsia="en-AU"/>
        </w:rPr>
        <w:t>. They are</w:t>
      </w:r>
      <w:r w:rsidR="00446C8E">
        <w:rPr>
          <w:lang w:eastAsia="en-AU"/>
        </w:rPr>
        <w:t xml:space="preserve"> assessed by a Board subcommittee known as the NTRB</w:t>
      </w:r>
      <w:r w:rsidR="00446C8E" w:rsidRPr="008D1FA4">
        <w:rPr>
          <w:lang w:eastAsia="en-AU"/>
        </w:rPr>
        <w:t xml:space="preserve"> Grants Committee</w:t>
      </w:r>
      <w:r w:rsidR="00446C8E">
        <w:rPr>
          <w:lang w:eastAsia="en-AU"/>
        </w:rPr>
        <w:t xml:space="preserve">, consisting of the CEO or his nominee and not less than two other Board members who are nominated by the broader Board during a </w:t>
      </w:r>
      <w:r w:rsidR="00446C8E">
        <w:rPr>
          <w:lang w:eastAsia="en-AU"/>
        </w:rPr>
        <w:lastRenderedPageBreak/>
        <w:t xml:space="preserve">Board meeting. The </w:t>
      </w:r>
      <w:r w:rsidR="006841F5">
        <w:rPr>
          <w:lang w:eastAsia="en-AU"/>
        </w:rPr>
        <w:t>Assistance Guidelines</w:t>
      </w:r>
      <w:r w:rsidR="00446C8E">
        <w:rPr>
          <w:lang w:eastAsia="en-AU"/>
        </w:rPr>
        <w:t xml:space="preserve"> state that the KLC will only provide assistance if </w:t>
      </w:r>
      <w:r w:rsidR="00446C8E" w:rsidRPr="005D330E">
        <w:rPr>
          <w:lang w:eastAsia="en-AU"/>
        </w:rPr>
        <w:t xml:space="preserve">the KLC </w:t>
      </w:r>
      <w:r w:rsidR="001772F2">
        <w:rPr>
          <w:lang w:eastAsia="en-AU"/>
        </w:rPr>
        <w:t>NTRB</w:t>
      </w:r>
      <w:r w:rsidR="00446C8E" w:rsidRPr="005D330E">
        <w:rPr>
          <w:lang w:eastAsia="en-AU"/>
        </w:rPr>
        <w:t xml:space="preserve"> Grants Committee is satisfied that</w:t>
      </w:r>
      <w:r w:rsidR="00446C8E">
        <w:rPr>
          <w:lang w:eastAsia="en-AU"/>
        </w:rPr>
        <w:t>:</w:t>
      </w:r>
    </w:p>
    <w:p w14:paraId="13504A90" w14:textId="3626F43B" w:rsidR="00446C8E" w:rsidRDefault="00B26C79" w:rsidP="00AB71E8">
      <w:pPr>
        <w:pStyle w:val="Bullet"/>
      </w:pPr>
      <w:r>
        <w:t>t</w:t>
      </w:r>
      <w:r w:rsidR="00446C8E">
        <w:t xml:space="preserve">he matter relates to land or waters wholly or partly within the KLC </w:t>
      </w:r>
      <w:r w:rsidR="00B337E6">
        <w:t>RATSIB</w:t>
      </w:r>
      <w:r w:rsidR="00446C8E">
        <w:t xml:space="preserve"> area; and</w:t>
      </w:r>
    </w:p>
    <w:p w14:paraId="0A493CAC" w14:textId="2DD89B16" w:rsidR="00446C8E" w:rsidRDefault="00D70BD5" w:rsidP="002816C8">
      <w:pPr>
        <w:pStyle w:val="Bullet"/>
      </w:pPr>
      <w:r>
        <w:t>t</w:t>
      </w:r>
      <w:r w:rsidR="00446C8E">
        <w:t>he matter has legal merit; and</w:t>
      </w:r>
    </w:p>
    <w:p w14:paraId="36A95B77" w14:textId="37AC92F7" w:rsidR="00446C8E" w:rsidRDefault="00D70BD5" w:rsidP="00AB71E8">
      <w:pPr>
        <w:pStyle w:val="Bullet"/>
      </w:pPr>
      <w:r>
        <w:t>t</w:t>
      </w:r>
      <w:r w:rsidR="00446C8E">
        <w:t>he matter has sufficient priority for funding to be extended to the applicants in the current financial year.</w:t>
      </w:r>
    </w:p>
    <w:p w14:paraId="5B740117" w14:textId="592523F6" w:rsidR="007C2106" w:rsidRDefault="00446C8E" w:rsidP="007C2106">
      <w:r>
        <w:t xml:space="preserve">The </w:t>
      </w:r>
      <w:r w:rsidR="006841F5">
        <w:t>Assistance Guidelines</w:t>
      </w:r>
      <w:r w:rsidRPr="007D673E">
        <w:t xml:space="preserve"> </w:t>
      </w:r>
      <w:r>
        <w:t>also include a comprehensive list of the factors influencing the relative priority of claims</w:t>
      </w:r>
      <w:r w:rsidR="007C2106">
        <w:t>:</w:t>
      </w:r>
      <w:r>
        <w:t xml:space="preserve"> </w:t>
      </w:r>
    </w:p>
    <w:p w14:paraId="445B272A" w14:textId="69C1E132" w:rsidR="007C2106" w:rsidRDefault="00446C8E" w:rsidP="007C2106">
      <w:pPr>
        <w:pStyle w:val="Bullet"/>
      </w:pPr>
      <w:r>
        <w:t>external pressures</w:t>
      </w:r>
    </w:p>
    <w:p w14:paraId="6604EB6B" w14:textId="05A04D75" w:rsidR="007C2106" w:rsidRDefault="00446C8E" w:rsidP="007C2106">
      <w:pPr>
        <w:pStyle w:val="Bullet"/>
      </w:pPr>
      <w:r>
        <w:t>whether the claim raises test case issues</w:t>
      </w:r>
    </w:p>
    <w:p w14:paraId="61FBAA74" w14:textId="276C00F4" w:rsidR="007C2106" w:rsidRDefault="00446C8E" w:rsidP="007C2106">
      <w:pPr>
        <w:pStyle w:val="Bullet"/>
      </w:pPr>
      <w:r>
        <w:t>claim area overlaps</w:t>
      </w:r>
    </w:p>
    <w:p w14:paraId="40F57575" w14:textId="113F9C3F" w:rsidR="007C2106" w:rsidRDefault="00446C8E" w:rsidP="007C2106">
      <w:pPr>
        <w:pStyle w:val="Bullet"/>
      </w:pPr>
      <w:r>
        <w:t xml:space="preserve">number of people who will benefit from the claim </w:t>
      </w:r>
    </w:p>
    <w:p w14:paraId="1A26BAED" w14:textId="036125D8" w:rsidR="00446C8E" w:rsidRDefault="00446C8E" w:rsidP="007C2106">
      <w:pPr>
        <w:pStyle w:val="Bullet"/>
      </w:pPr>
      <w:r>
        <w:t xml:space="preserve">satisfactory resolution of disputes among claimant groups. </w:t>
      </w:r>
    </w:p>
    <w:p w14:paraId="5ADDCFA4" w14:textId="13F3129D" w:rsidR="00446C8E" w:rsidRDefault="00446C8E" w:rsidP="00446C8E">
      <w:pPr>
        <w:rPr>
          <w:lang w:eastAsia="en-AU"/>
        </w:rPr>
      </w:pPr>
      <w:r>
        <w:rPr>
          <w:lang w:eastAsia="en-AU"/>
        </w:rPr>
        <w:t xml:space="preserve">KLC staff were familiar with the assessment process and reported that the assessment policy </w:t>
      </w:r>
      <w:r w:rsidR="00737E0E">
        <w:rPr>
          <w:lang w:eastAsia="en-AU"/>
        </w:rPr>
        <w:t xml:space="preserve">was </w:t>
      </w:r>
      <w:r>
        <w:rPr>
          <w:lang w:eastAsia="en-AU"/>
        </w:rPr>
        <w:t>adhered to consistently. Compensation claims which come to the KLC go through the same process.</w:t>
      </w:r>
      <w:r w:rsidR="008D67CB">
        <w:rPr>
          <w:lang w:eastAsia="en-AU"/>
        </w:rPr>
        <w:t xml:space="preserve"> </w:t>
      </w:r>
    </w:p>
    <w:p w14:paraId="0A73B39A" w14:textId="7F84A2BE" w:rsidR="00446C8E" w:rsidRDefault="00CE3819" w:rsidP="00446C8E">
      <w:pPr>
        <w:rPr>
          <w:lang w:eastAsia="en-AU"/>
        </w:rPr>
      </w:pPr>
      <w:r>
        <w:rPr>
          <w:lang w:eastAsia="en-AU"/>
        </w:rPr>
        <w:t>The Review considered the</w:t>
      </w:r>
      <w:r w:rsidR="00382E5B">
        <w:rPr>
          <w:lang w:eastAsia="en-AU"/>
        </w:rPr>
        <w:t xml:space="preserve"> KLC’s</w:t>
      </w:r>
      <w:r>
        <w:rPr>
          <w:lang w:eastAsia="en-AU"/>
        </w:rPr>
        <w:t xml:space="preserve"> Assistance Guidelines against the criteria developed by the Review for equitable resourcing and defensible decisions. The criteria were established prior to commencement of the Review and are based on the identification of good practice throughout the previous </w:t>
      </w:r>
      <w:r w:rsidR="00737E0E">
        <w:rPr>
          <w:lang w:eastAsia="en-AU"/>
        </w:rPr>
        <w:t>R</w:t>
      </w:r>
      <w:r>
        <w:rPr>
          <w:lang w:eastAsia="en-AU"/>
        </w:rPr>
        <w:t>eview. They are set out in the Review’s methodology</w:t>
      </w:r>
      <w:r w:rsidR="00737E0E">
        <w:rPr>
          <w:lang w:eastAsia="en-AU"/>
        </w:rPr>
        <w:t xml:space="preserve"> and </w:t>
      </w:r>
      <w:r w:rsidR="00446C8E" w:rsidRPr="00611398">
        <w:rPr>
          <w:lang w:eastAsia="en-AU"/>
        </w:rPr>
        <w:t xml:space="preserve">are shown in </w:t>
      </w:r>
      <w:r w:rsidR="00D70BD5">
        <w:rPr>
          <w:lang w:eastAsia="en-AU"/>
        </w:rPr>
        <w:fldChar w:fldCharType="begin"/>
      </w:r>
      <w:r w:rsidR="00D70BD5">
        <w:rPr>
          <w:lang w:eastAsia="en-AU"/>
        </w:rPr>
        <w:instrText xml:space="preserve"> REF _Ref154047683 \h </w:instrText>
      </w:r>
      <w:r w:rsidR="00D70BD5">
        <w:rPr>
          <w:lang w:eastAsia="en-AU"/>
        </w:rPr>
      </w:r>
      <w:r w:rsidR="00D70BD5">
        <w:rPr>
          <w:lang w:eastAsia="en-AU"/>
        </w:rPr>
        <w:fldChar w:fldCharType="separate"/>
      </w:r>
      <w:r w:rsidR="00291532">
        <w:t xml:space="preserve">Table </w:t>
      </w:r>
      <w:r w:rsidR="00291532">
        <w:rPr>
          <w:noProof/>
        </w:rPr>
        <w:t>9</w:t>
      </w:r>
      <w:r w:rsidR="00D70BD5">
        <w:rPr>
          <w:lang w:eastAsia="en-AU"/>
        </w:rPr>
        <w:fldChar w:fldCharType="end"/>
      </w:r>
      <w:r w:rsidR="00D70BD5">
        <w:rPr>
          <w:lang w:eastAsia="en-AU"/>
        </w:rPr>
        <w:t xml:space="preserve"> </w:t>
      </w:r>
      <w:r w:rsidR="00446C8E" w:rsidRPr="00611398">
        <w:rPr>
          <w:lang w:eastAsia="en-AU"/>
        </w:rPr>
        <w:t xml:space="preserve">alongside the </w:t>
      </w:r>
      <w:r w:rsidR="00446C8E">
        <w:rPr>
          <w:lang w:eastAsia="en-AU"/>
        </w:rPr>
        <w:t xml:space="preserve">relevant </w:t>
      </w:r>
      <w:r w:rsidR="00446C8E" w:rsidRPr="00611398">
        <w:rPr>
          <w:lang w:eastAsia="en-AU"/>
        </w:rPr>
        <w:t xml:space="preserve">corresponding </w:t>
      </w:r>
      <w:r w:rsidR="00446C8E">
        <w:rPr>
          <w:lang w:eastAsia="en-AU"/>
        </w:rPr>
        <w:t>extract</w:t>
      </w:r>
      <w:r w:rsidR="00446C8E" w:rsidRPr="00611398">
        <w:rPr>
          <w:lang w:eastAsia="en-AU"/>
        </w:rPr>
        <w:t xml:space="preserve"> from the </w:t>
      </w:r>
      <w:r w:rsidR="006841F5">
        <w:rPr>
          <w:lang w:eastAsia="en-AU"/>
        </w:rPr>
        <w:t>Assistance Guidelines</w:t>
      </w:r>
      <w:r w:rsidR="00446C8E" w:rsidRPr="00611398">
        <w:rPr>
          <w:lang w:eastAsia="en-AU"/>
        </w:rPr>
        <w:t>.</w:t>
      </w:r>
      <w:r w:rsidR="00446C8E">
        <w:rPr>
          <w:lang w:eastAsia="en-AU"/>
        </w:rPr>
        <w:t xml:space="preserve"> A</w:t>
      </w:r>
      <w:r w:rsidR="00446C8E" w:rsidRPr="00611398">
        <w:rPr>
          <w:lang w:eastAsia="en-AU"/>
        </w:rPr>
        <w:t xml:space="preserve">ll </w:t>
      </w:r>
      <w:r w:rsidR="00446C8E">
        <w:rPr>
          <w:lang w:eastAsia="en-AU"/>
        </w:rPr>
        <w:t>criteria</w:t>
      </w:r>
      <w:r w:rsidR="00446C8E" w:rsidRPr="00611398" w:rsidDel="00737E0E">
        <w:rPr>
          <w:lang w:eastAsia="en-AU"/>
        </w:rPr>
        <w:t xml:space="preserve"> </w:t>
      </w:r>
      <w:r w:rsidR="00737E0E">
        <w:rPr>
          <w:lang w:eastAsia="en-AU"/>
        </w:rPr>
        <w:t>were</w:t>
      </w:r>
      <w:r w:rsidR="00737E0E" w:rsidRPr="00611398">
        <w:rPr>
          <w:lang w:eastAsia="en-AU"/>
        </w:rPr>
        <w:t xml:space="preserve"> </w:t>
      </w:r>
      <w:r w:rsidR="00446C8E" w:rsidRPr="00611398">
        <w:rPr>
          <w:lang w:eastAsia="en-AU"/>
        </w:rPr>
        <w:t>adequately addressed</w:t>
      </w:r>
      <w:r w:rsidR="004952A1">
        <w:rPr>
          <w:lang w:eastAsia="en-AU"/>
        </w:rPr>
        <w:t xml:space="preserve"> by KLC</w:t>
      </w:r>
      <w:r w:rsidR="00446C8E" w:rsidRPr="00611398">
        <w:rPr>
          <w:lang w:eastAsia="en-AU"/>
        </w:rPr>
        <w:t>.</w:t>
      </w:r>
    </w:p>
    <w:p w14:paraId="22B8B485" w14:textId="68EB7B7B" w:rsidR="00D70BD5" w:rsidRDefault="00D70BD5" w:rsidP="00D70BD5">
      <w:pPr>
        <w:pStyle w:val="Caption"/>
      </w:pPr>
      <w:bookmarkStart w:id="30" w:name="_Ref154047683"/>
      <w:r>
        <w:t xml:space="preserve">Table </w:t>
      </w:r>
      <w:r>
        <w:fldChar w:fldCharType="begin"/>
      </w:r>
      <w:r>
        <w:instrText xml:space="preserve"> SEQ Table \* ARABIC </w:instrText>
      </w:r>
      <w:r>
        <w:fldChar w:fldCharType="separate"/>
      </w:r>
      <w:r w:rsidR="00291532">
        <w:rPr>
          <w:noProof/>
        </w:rPr>
        <w:t>9</w:t>
      </w:r>
      <w:r>
        <w:fldChar w:fldCharType="end"/>
      </w:r>
      <w:bookmarkEnd w:id="30"/>
      <w:r>
        <w:t xml:space="preserve"> | </w:t>
      </w:r>
      <w:r w:rsidRPr="00F27DFF">
        <w:t>KLC prioritisation policies</w:t>
      </w:r>
    </w:p>
    <w:tbl>
      <w:tblPr>
        <w:tblStyle w:val="TableGrid"/>
        <w:tblW w:w="5000" w:type="pct"/>
        <w:tblLook w:val="04A0" w:firstRow="1" w:lastRow="0" w:firstColumn="1" w:lastColumn="0" w:noHBand="0" w:noVBand="1"/>
      </w:tblPr>
      <w:tblGrid>
        <w:gridCol w:w="4465"/>
        <w:gridCol w:w="4465"/>
      </w:tblGrid>
      <w:tr w:rsidR="00E72929" w14:paraId="19FCB185" w14:textId="77777777" w:rsidTr="001E1DB3">
        <w:trPr>
          <w:cnfStyle w:val="100000000000" w:firstRow="1" w:lastRow="0" w:firstColumn="0" w:lastColumn="0" w:oddVBand="0" w:evenVBand="0" w:oddHBand="0" w:evenHBand="0" w:firstRowFirstColumn="0" w:firstRowLastColumn="0" w:lastRowFirstColumn="0" w:lastRowLastColumn="0"/>
        </w:trPr>
        <w:tc>
          <w:tcPr>
            <w:tcW w:w="2500" w:type="pct"/>
          </w:tcPr>
          <w:p w14:paraId="754B63E4" w14:textId="77777777" w:rsidR="00446C8E" w:rsidRDefault="00446C8E">
            <w:pPr>
              <w:pStyle w:val="TableNheader"/>
              <w:rPr>
                <w:lang w:eastAsia="en-AU"/>
              </w:rPr>
            </w:pPr>
            <w:r>
              <w:rPr>
                <w:lang w:eastAsia="en-AU"/>
              </w:rPr>
              <w:t>Prioritisation policy criteria</w:t>
            </w:r>
          </w:p>
        </w:tc>
        <w:tc>
          <w:tcPr>
            <w:tcW w:w="2500" w:type="pct"/>
          </w:tcPr>
          <w:p w14:paraId="68442999" w14:textId="792583CE" w:rsidR="00446C8E" w:rsidRDefault="00446C8E" w:rsidP="00D37DCD">
            <w:pPr>
              <w:pStyle w:val="TableNheader"/>
              <w:rPr>
                <w:lang w:eastAsia="en-AU"/>
              </w:rPr>
            </w:pPr>
            <w:r>
              <w:rPr>
                <w:lang w:eastAsia="en-AU"/>
              </w:rPr>
              <w:t xml:space="preserve">Relevant </w:t>
            </w:r>
            <w:r w:rsidR="00D37DCD">
              <w:rPr>
                <w:lang w:eastAsia="en-AU"/>
              </w:rPr>
              <w:t>Assistance Guidelines</w:t>
            </w:r>
            <w:r>
              <w:rPr>
                <w:lang w:eastAsia="en-AU"/>
              </w:rPr>
              <w:t xml:space="preserve"> extract</w:t>
            </w:r>
          </w:p>
        </w:tc>
      </w:tr>
      <w:tr w:rsidR="00446C8E" w14:paraId="2735BBF7" w14:textId="77777777" w:rsidTr="001E1DB3">
        <w:trPr>
          <w:cnfStyle w:val="000000100000" w:firstRow="0" w:lastRow="0" w:firstColumn="0" w:lastColumn="0" w:oddVBand="0" w:evenVBand="0" w:oddHBand="1" w:evenHBand="0" w:firstRowFirstColumn="0" w:firstRowLastColumn="0" w:lastRowFirstColumn="0" w:lastRowLastColumn="0"/>
        </w:trPr>
        <w:tc>
          <w:tcPr>
            <w:tcW w:w="2500" w:type="pct"/>
          </w:tcPr>
          <w:p w14:paraId="0E32F41E" w14:textId="41B3ACB6" w:rsidR="00446C8E" w:rsidRPr="00D70BD5" w:rsidRDefault="00446C8E" w:rsidP="00AE6B16">
            <w:pPr>
              <w:pStyle w:val="TableNText"/>
            </w:pPr>
            <w:r w:rsidRPr="00D70BD5">
              <w:t xml:space="preserve">Considerations such as </w:t>
            </w:r>
            <w:r w:rsidR="00737E0E">
              <w:t>C</w:t>
            </w:r>
            <w:r w:rsidRPr="00D70BD5">
              <w:t>ourt-imposed timelines and the service of s</w:t>
            </w:r>
            <w:r w:rsidR="00AE249F">
              <w:t xml:space="preserve">ection </w:t>
            </w:r>
            <w:r w:rsidRPr="00D70BD5">
              <w:t>29 notices that require the lodgement of claims within four months are expected to be built into the relevant prioritisation policies.</w:t>
            </w:r>
          </w:p>
        </w:tc>
        <w:tc>
          <w:tcPr>
            <w:tcW w:w="2500" w:type="pct"/>
          </w:tcPr>
          <w:p w14:paraId="53CBCA3C" w14:textId="77777777" w:rsidR="00446C8E" w:rsidRPr="00FD72C4" w:rsidRDefault="00446C8E">
            <w:pPr>
              <w:pStyle w:val="TableNText"/>
              <w:rPr>
                <w:i/>
                <w:iCs/>
                <w:lang w:eastAsia="en-AU"/>
              </w:rPr>
            </w:pPr>
            <w:r w:rsidRPr="00FD72C4">
              <w:rPr>
                <w:i/>
                <w:iCs/>
                <w:lang w:eastAsia="en-AU"/>
              </w:rPr>
              <w:t>Section 3.2.3 Relative priority of applications for assistance</w:t>
            </w:r>
          </w:p>
          <w:p w14:paraId="4C1A477F" w14:textId="77777777" w:rsidR="00446C8E" w:rsidRDefault="00446C8E">
            <w:pPr>
              <w:pStyle w:val="TableNText"/>
              <w:rPr>
                <w:lang w:eastAsia="en-AU"/>
              </w:rPr>
            </w:pPr>
            <w:r>
              <w:rPr>
                <w:lang w:eastAsia="en-AU"/>
              </w:rPr>
              <w:t>“A higher priority will be given to an application which satisfies a greater number of the following criteria…</w:t>
            </w:r>
            <w:r>
              <w:t xml:space="preserve"> the area sought to be claimed is subject to development pressures; the applicants do not have secure land tenure to the land they wish to claim.”</w:t>
            </w:r>
          </w:p>
        </w:tc>
      </w:tr>
      <w:tr w:rsidR="00446C8E" w14:paraId="75A75E98" w14:textId="77777777" w:rsidTr="001E1DB3">
        <w:trPr>
          <w:cnfStyle w:val="000000010000" w:firstRow="0" w:lastRow="0" w:firstColumn="0" w:lastColumn="0" w:oddVBand="0" w:evenVBand="0" w:oddHBand="0" w:evenHBand="1" w:firstRowFirstColumn="0" w:firstRowLastColumn="0" w:lastRowFirstColumn="0" w:lastRowLastColumn="0"/>
        </w:trPr>
        <w:tc>
          <w:tcPr>
            <w:tcW w:w="2500" w:type="pct"/>
          </w:tcPr>
          <w:p w14:paraId="5378AAA0" w14:textId="7281A238" w:rsidR="00446C8E" w:rsidRDefault="00446C8E">
            <w:pPr>
              <w:pStyle w:val="TableNText"/>
            </w:pPr>
            <w:r>
              <w:t>Clear description of the specific decision-makers for assessment and prioritisation decisions (</w:t>
            </w:r>
            <w:r w:rsidR="00AE249F">
              <w:t>for example</w:t>
            </w:r>
            <w:r w:rsidR="00D70BD5">
              <w:t>,</w:t>
            </w:r>
            <w:r>
              <w:t xml:space="preserve"> Board, Board sub-committee, CEO and/or Executive)</w:t>
            </w:r>
            <w:r w:rsidR="00D70BD5">
              <w:t>.</w:t>
            </w:r>
          </w:p>
        </w:tc>
        <w:tc>
          <w:tcPr>
            <w:tcW w:w="2500" w:type="pct"/>
          </w:tcPr>
          <w:p w14:paraId="5736A94B" w14:textId="77777777" w:rsidR="00446C8E" w:rsidRPr="00FD72C4" w:rsidRDefault="00446C8E">
            <w:pPr>
              <w:pStyle w:val="TableNText"/>
              <w:rPr>
                <w:i/>
                <w:iCs/>
                <w:lang w:eastAsia="en-AU"/>
              </w:rPr>
            </w:pPr>
            <w:r w:rsidRPr="00FD72C4">
              <w:rPr>
                <w:i/>
                <w:iCs/>
                <w:lang w:eastAsia="en-AU"/>
              </w:rPr>
              <w:t>Section 3.3 Application assessment process</w:t>
            </w:r>
          </w:p>
          <w:p w14:paraId="67099509" w14:textId="77777777" w:rsidR="00446C8E" w:rsidRDefault="00446C8E">
            <w:pPr>
              <w:pStyle w:val="TableNText"/>
              <w:rPr>
                <w:lang w:eastAsia="en-AU"/>
              </w:rPr>
            </w:pPr>
            <w:r>
              <w:rPr>
                <w:lang w:eastAsia="en-AU"/>
              </w:rPr>
              <w:t>“</w:t>
            </w:r>
            <w:r w:rsidRPr="00A17172">
              <w:rPr>
                <w:lang w:eastAsia="en-AU"/>
              </w:rPr>
              <w:t>Applications for assistance will be considered by the NTRB Grants Committee</w:t>
            </w:r>
            <w:r>
              <w:rPr>
                <w:lang w:eastAsia="en-AU"/>
              </w:rPr>
              <w:t>.”</w:t>
            </w:r>
          </w:p>
        </w:tc>
      </w:tr>
      <w:tr w:rsidR="00446C8E" w14:paraId="2EC9D900" w14:textId="77777777" w:rsidTr="001E1DB3">
        <w:trPr>
          <w:cnfStyle w:val="000000100000" w:firstRow="0" w:lastRow="0" w:firstColumn="0" w:lastColumn="0" w:oddVBand="0" w:evenVBand="0" w:oddHBand="1" w:evenHBand="0" w:firstRowFirstColumn="0" w:firstRowLastColumn="0" w:lastRowFirstColumn="0" w:lastRowLastColumn="0"/>
        </w:trPr>
        <w:tc>
          <w:tcPr>
            <w:tcW w:w="2500" w:type="pct"/>
          </w:tcPr>
          <w:p w14:paraId="30E4F5BD" w14:textId="46C511EA" w:rsidR="00446C8E" w:rsidRDefault="00446C8E">
            <w:pPr>
              <w:pStyle w:val="TableNText"/>
            </w:pPr>
            <w:r>
              <w:t>Clear description of processes and decision-makers for the conduct of internal reviews of prioritisation decisions (when requested)</w:t>
            </w:r>
            <w:r w:rsidR="00D70BD5">
              <w:t>.</w:t>
            </w:r>
          </w:p>
        </w:tc>
        <w:tc>
          <w:tcPr>
            <w:tcW w:w="2500" w:type="pct"/>
          </w:tcPr>
          <w:p w14:paraId="5AB42BB3" w14:textId="77777777" w:rsidR="00446C8E" w:rsidRPr="00FD72C4" w:rsidRDefault="00446C8E">
            <w:pPr>
              <w:pStyle w:val="TableNText"/>
              <w:rPr>
                <w:i/>
                <w:iCs/>
                <w:lang w:eastAsia="en-AU"/>
              </w:rPr>
            </w:pPr>
            <w:r w:rsidRPr="00FD72C4">
              <w:rPr>
                <w:i/>
                <w:iCs/>
                <w:lang w:eastAsia="en-AU"/>
              </w:rPr>
              <w:t>Section 3.4 Review of NTRB Grants Committee Decision</w:t>
            </w:r>
          </w:p>
          <w:p w14:paraId="4CFD5C46" w14:textId="77777777" w:rsidR="00446C8E" w:rsidRDefault="00446C8E">
            <w:pPr>
              <w:pStyle w:val="TableNText"/>
              <w:rPr>
                <w:lang w:eastAsia="en-AU"/>
              </w:rPr>
            </w:pPr>
            <w:r>
              <w:rPr>
                <w:lang w:eastAsia="en-AU"/>
              </w:rPr>
              <w:t>“</w:t>
            </w:r>
            <w:r>
              <w:t>Members of the NTRB Grants Committee are excluded from being members of the NTRB Review Committee and from any discussion or determination regarding the application for review of the original decision.”</w:t>
            </w:r>
          </w:p>
        </w:tc>
      </w:tr>
      <w:tr w:rsidR="00446C8E" w14:paraId="6516AA8E" w14:textId="77777777" w:rsidTr="001E1DB3">
        <w:trPr>
          <w:cnfStyle w:val="000000010000" w:firstRow="0" w:lastRow="0" w:firstColumn="0" w:lastColumn="0" w:oddVBand="0" w:evenVBand="0" w:oddHBand="0" w:evenHBand="1" w:firstRowFirstColumn="0" w:firstRowLastColumn="0" w:lastRowFirstColumn="0" w:lastRowLastColumn="0"/>
        </w:trPr>
        <w:tc>
          <w:tcPr>
            <w:tcW w:w="2500" w:type="pct"/>
          </w:tcPr>
          <w:p w14:paraId="10969A3D" w14:textId="114D29E8" w:rsidR="00446C8E" w:rsidRDefault="00446C8E">
            <w:pPr>
              <w:pStyle w:val="TableNText"/>
            </w:pPr>
            <w:r>
              <w:t>Clear description of the circumstances in which matters may be briefed out prior to decision-making</w:t>
            </w:r>
            <w:r w:rsidR="00D70BD5">
              <w:t>.</w:t>
            </w:r>
          </w:p>
        </w:tc>
        <w:tc>
          <w:tcPr>
            <w:tcW w:w="2500" w:type="pct"/>
          </w:tcPr>
          <w:p w14:paraId="7CA7C357" w14:textId="77777777" w:rsidR="00446C8E" w:rsidRPr="00FD72C4" w:rsidRDefault="00446C8E">
            <w:pPr>
              <w:pStyle w:val="TableNText"/>
              <w:rPr>
                <w:i/>
                <w:iCs/>
                <w:lang w:eastAsia="en-AU"/>
              </w:rPr>
            </w:pPr>
            <w:r w:rsidRPr="00FD72C4">
              <w:rPr>
                <w:i/>
                <w:iCs/>
                <w:lang w:eastAsia="en-AU"/>
              </w:rPr>
              <w:t>Section 3.6 Resolution of conflicts</w:t>
            </w:r>
          </w:p>
          <w:p w14:paraId="4AFDCEC0" w14:textId="77777777" w:rsidR="00446C8E" w:rsidRDefault="00446C8E">
            <w:pPr>
              <w:pStyle w:val="TableNText"/>
              <w:rPr>
                <w:lang w:eastAsia="en-AU"/>
              </w:rPr>
            </w:pPr>
            <w:r>
              <w:rPr>
                <w:lang w:eastAsia="en-AU"/>
              </w:rPr>
              <w:t>“Prior to offering any assistance for a native title matter, the KLC will offer to mediate in any dispute relating to native title land…</w:t>
            </w:r>
            <w:r>
              <w:t xml:space="preserve"> i</w:t>
            </w:r>
            <w:r>
              <w:rPr>
                <w:lang w:eastAsia="en-AU"/>
              </w:rPr>
              <w:t>n particular, Kimberley Aboriginal Law and Culture Centre may be asked to assist in the resolution of such disputes.”</w:t>
            </w:r>
          </w:p>
          <w:p w14:paraId="05F17631" w14:textId="77777777" w:rsidR="00446C8E" w:rsidRDefault="00446C8E">
            <w:pPr>
              <w:pStyle w:val="TableNText"/>
              <w:rPr>
                <w:i/>
                <w:iCs/>
                <w:lang w:eastAsia="en-AU"/>
              </w:rPr>
            </w:pPr>
            <w:r w:rsidRPr="00FD72C4">
              <w:rPr>
                <w:i/>
                <w:iCs/>
                <w:lang w:eastAsia="en-AU"/>
              </w:rPr>
              <w:lastRenderedPageBreak/>
              <w:t>Section 3.</w:t>
            </w:r>
            <w:r>
              <w:rPr>
                <w:i/>
                <w:iCs/>
                <w:lang w:eastAsia="en-AU"/>
              </w:rPr>
              <w:t>8</w:t>
            </w:r>
            <w:r w:rsidRPr="00FD72C4">
              <w:rPr>
                <w:i/>
                <w:iCs/>
                <w:lang w:eastAsia="en-AU"/>
              </w:rPr>
              <w:t xml:space="preserve"> </w:t>
            </w:r>
            <w:r>
              <w:rPr>
                <w:i/>
                <w:iCs/>
                <w:lang w:eastAsia="en-AU"/>
              </w:rPr>
              <w:t>Briefing out policy</w:t>
            </w:r>
          </w:p>
          <w:p w14:paraId="1B4FF27F" w14:textId="584D7256" w:rsidR="00446C8E" w:rsidRDefault="00446C8E">
            <w:pPr>
              <w:pStyle w:val="TableNText"/>
            </w:pPr>
            <w:r>
              <w:rPr>
                <w:lang w:eastAsia="en-AU"/>
              </w:rPr>
              <w:t>“</w:t>
            </w:r>
            <w:r>
              <w:t>The KLC will only brief out in exceptional circumstances…</w:t>
            </w:r>
            <w:r w:rsidR="00D70BD5">
              <w:t xml:space="preserve"> </w:t>
            </w:r>
            <w:r>
              <w:t>the KLC will not pay fees or costs incurred prior to the date of the grant of assistance.”</w:t>
            </w:r>
          </w:p>
        </w:tc>
      </w:tr>
    </w:tbl>
    <w:p w14:paraId="7C2BCAEC" w14:textId="4B45B8B4" w:rsidR="00446C8E" w:rsidRDefault="00D70BD5" w:rsidP="00446C8E">
      <w:pPr>
        <w:rPr>
          <w:lang w:eastAsia="en-AU"/>
        </w:rPr>
      </w:pPr>
      <w:r>
        <w:rPr>
          <w:lang w:eastAsia="en-AU"/>
        </w:rPr>
        <w:lastRenderedPageBreak/>
        <w:br/>
      </w:r>
      <w:r w:rsidR="00AE7ABF">
        <w:rPr>
          <w:lang w:eastAsia="en-AU"/>
        </w:rPr>
        <w:t xml:space="preserve">The </w:t>
      </w:r>
      <w:r w:rsidR="00446C8E">
        <w:rPr>
          <w:lang w:eastAsia="en-AU"/>
        </w:rPr>
        <w:t>KLC’s annual reports provide</w:t>
      </w:r>
      <w:r w:rsidR="00654193">
        <w:rPr>
          <w:lang w:eastAsia="en-AU"/>
        </w:rPr>
        <w:t>d</w:t>
      </w:r>
      <w:r w:rsidR="00446C8E">
        <w:rPr>
          <w:lang w:eastAsia="en-AU"/>
        </w:rPr>
        <w:t xml:space="preserve"> some additional </w:t>
      </w:r>
      <w:r w:rsidR="001D6DE7">
        <w:rPr>
          <w:lang w:eastAsia="en-AU"/>
        </w:rPr>
        <w:t>practical</w:t>
      </w:r>
      <w:r w:rsidR="00446C8E">
        <w:rPr>
          <w:lang w:eastAsia="en-AU"/>
        </w:rPr>
        <w:t xml:space="preserve"> factors that influence</w:t>
      </w:r>
      <w:r w:rsidR="00654193">
        <w:rPr>
          <w:lang w:eastAsia="en-AU"/>
        </w:rPr>
        <w:t>d</w:t>
      </w:r>
      <w:r w:rsidR="00446C8E">
        <w:rPr>
          <w:lang w:eastAsia="en-AU"/>
        </w:rPr>
        <w:t xml:space="preserve"> the prioritisation process of existing claims</w:t>
      </w:r>
      <w:r w:rsidR="00654193">
        <w:rPr>
          <w:lang w:eastAsia="en-AU"/>
        </w:rPr>
        <w:t>.</w:t>
      </w:r>
      <w:r w:rsidR="00446C8E">
        <w:rPr>
          <w:lang w:eastAsia="en-AU"/>
        </w:rPr>
        <w:t xml:space="preserve"> </w:t>
      </w:r>
      <w:r w:rsidR="00654193">
        <w:rPr>
          <w:lang w:eastAsia="en-AU"/>
        </w:rPr>
        <w:t xml:space="preserve">They </w:t>
      </w:r>
      <w:r w:rsidR="00446C8E">
        <w:rPr>
          <w:lang w:eastAsia="en-AU"/>
        </w:rPr>
        <w:t>include</w:t>
      </w:r>
      <w:r w:rsidR="00654193">
        <w:rPr>
          <w:lang w:eastAsia="en-AU"/>
        </w:rPr>
        <w:t>d</w:t>
      </w:r>
      <w:r w:rsidR="00446C8E">
        <w:rPr>
          <w:lang w:eastAsia="en-AU"/>
        </w:rPr>
        <w:t>:</w:t>
      </w:r>
      <w:r w:rsidR="008D67CB">
        <w:rPr>
          <w:lang w:eastAsia="en-AU"/>
        </w:rPr>
        <w:t xml:space="preserve"> </w:t>
      </w:r>
    </w:p>
    <w:p w14:paraId="3714CD0D" w14:textId="07753DF0" w:rsidR="00446C8E" w:rsidRDefault="00D70BD5" w:rsidP="00BD4F8A">
      <w:pPr>
        <w:pStyle w:val="Bullet"/>
      </w:pPr>
      <w:r>
        <w:t>r</w:t>
      </w:r>
      <w:r w:rsidR="00446C8E">
        <w:t xml:space="preserve">esourcing considerations </w:t>
      </w:r>
    </w:p>
    <w:p w14:paraId="340B3561" w14:textId="77777777" w:rsidR="00446C8E" w:rsidRDefault="00446C8E" w:rsidP="00BD4F8A">
      <w:pPr>
        <w:pStyle w:val="Bullet"/>
      </w:pPr>
      <w:r>
        <w:t>Federal Court case management priorities</w:t>
      </w:r>
    </w:p>
    <w:p w14:paraId="2D0B92EC" w14:textId="5A365196" w:rsidR="00446C8E" w:rsidRDefault="00D70BD5" w:rsidP="00BD4F8A">
      <w:pPr>
        <w:pStyle w:val="Bullet"/>
      </w:pPr>
      <w:r>
        <w:t>a</w:t>
      </w:r>
      <w:r w:rsidR="00446C8E">
        <w:t>vailability of suitably qualified consultants such as anthropologists</w:t>
      </w:r>
      <w:r w:rsidR="00324481">
        <w:t>.</w:t>
      </w:r>
    </w:p>
    <w:p w14:paraId="3010228E" w14:textId="73A24B56" w:rsidR="00446C8E" w:rsidRDefault="00654193" w:rsidP="00446C8E">
      <w:pPr>
        <w:rPr>
          <w:lang w:eastAsia="en-AU"/>
        </w:rPr>
      </w:pPr>
      <w:r>
        <w:rPr>
          <w:lang w:eastAsia="en-AU"/>
        </w:rPr>
        <w:t>KLC s</w:t>
      </w:r>
      <w:r w:rsidR="00446C8E">
        <w:rPr>
          <w:lang w:eastAsia="en-AU"/>
        </w:rPr>
        <w:t xml:space="preserve">taff reported that after an application for assistance was accepted, practice was consistent with these terms </w:t>
      </w:r>
      <w:r w:rsidR="00B90C47">
        <w:rPr>
          <w:lang w:eastAsia="en-AU"/>
        </w:rPr>
        <w:t xml:space="preserve">and </w:t>
      </w:r>
      <w:r w:rsidR="002863A4">
        <w:rPr>
          <w:lang w:eastAsia="en-AU"/>
        </w:rPr>
        <w:t>any</w:t>
      </w:r>
      <w:r w:rsidR="00B90C47">
        <w:rPr>
          <w:lang w:eastAsia="en-AU"/>
        </w:rPr>
        <w:t xml:space="preserve"> adjustments were </w:t>
      </w:r>
      <w:r w:rsidR="00446C8E">
        <w:rPr>
          <w:lang w:eastAsia="en-AU"/>
        </w:rPr>
        <w:t>driven primarily by external factors beyond their control.</w:t>
      </w:r>
    </w:p>
    <w:p w14:paraId="760A6B9D" w14:textId="4B1DCECA" w:rsidR="00446C8E" w:rsidRDefault="00446C8E" w:rsidP="00446C8E">
      <w:pPr>
        <w:rPr>
          <w:lang w:eastAsia="en-AU"/>
        </w:rPr>
      </w:pPr>
      <w:r>
        <w:rPr>
          <w:lang w:eastAsia="en-AU"/>
        </w:rPr>
        <w:t xml:space="preserve">As shown in </w:t>
      </w:r>
      <w:r w:rsidR="00324481">
        <w:rPr>
          <w:lang w:eastAsia="en-AU"/>
        </w:rPr>
        <w:fldChar w:fldCharType="begin"/>
      </w:r>
      <w:r w:rsidR="00324481">
        <w:rPr>
          <w:lang w:eastAsia="en-AU"/>
        </w:rPr>
        <w:instrText xml:space="preserve"> REF _Ref154047866 \h </w:instrText>
      </w:r>
      <w:r w:rsidR="00324481">
        <w:rPr>
          <w:lang w:eastAsia="en-AU"/>
        </w:rPr>
      </w:r>
      <w:r w:rsidR="00324481">
        <w:rPr>
          <w:lang w:eastAsia="en-AU"/>
        </w:rPr>
        <w:fldChar w:fldCharType="separate"/>
      </w:r>
      <w:r w:rsidR="00291532">
        <w:t xml:space="preserve">Table </w:t>
      </w:r>
      <w:r w:rsidR="00291532">
        <w:rPr>
          <w:noProof/>
        </w:rPr>
        <w:t>10</w:t>
      </w:r>
      <w:r w:rsidR="00324481">
        <w:rPr>
          <w:lang w:eastAsia="en-AU"/>
        </w:rPr>
        <w:fldChar w:fldCharType="end"/>
      </w:r>
      <w:r>
        <w:rPr>
          <w:lang w:eastAsia="en-AU"/>
        </w:rPr>
        <w:t>, all applications for assistance received during the Review period were considered</w:t>
      </w:r>
      <w:r w:rsidRPr="006A1FE9">
        <w:rPr>
          <w:lang w:eastAsia="en-AU"/>
        </w:rPr>
        <w:t xml:space="preserve"> </w:t>
      </w:r>
      <w:r>
        <w:rPr>
          <w:lang w:eastAsia="en-AU"/>
        </w:rPr>
        <w:t xml:space="preserve">by the </w:t>
      </w:r>
      <w:r w:rsidRPr="008D1FA4">
        <w:rPr>
          <w:lang w:eastAsia="en-AU"/>
        </w:rPr>
        <w:t xml:space="preserve">KLC </w:t>
      </w:r>
      <w:r w:rsidR="001772F2">
        <w:rPr>
          <w:lang w:eastAsia="en-AU"/>
        </w:rPr>
        <w:t>NTRB</w:t>
      </w:r>
      <w:r w:rsidRPr="008D1FA4">
        <w:rPr>
          <w:lang w:eastAsia="en-AU"/>
        </w:rPr>
        <w:t xml:space="preserve"> Grants Committee</w:t>
      </w:r>
      <w:r>
        <w:rPr>
          <w:lang w:eastAsia="en-AU"/>
        </w:rPr>
        <w:t xml:space="preserve">. The KLC did not report on whether applications received were accepted or rejected. </w:t>
      </w:r>
    </w:p>
    <w:p w14:paraId="5E70A23A" w14:textId="6740F834" w:rsidR="00324481" w:rsidRDefault="00324481" w:rsidP="00324481">
      <w:pPr>
        <w:pStyle w:val="Caption"/>
      </w:pPr>
      <w:bookmarkStart w:id="31" w:name="_Ref154047866"/>
      <w:r>
        <w:t xml:space="preserve">Table </w:t>
      </w:r>
      <w:r>
        <w:fldChar w:fldCharType="begin"/>
      </w:r>
      <w:r>
        <w:instrText xml:space="preserve"> SEQ Table \* ARABIC </w:instrText>
      </w:r>
      <w:r>
        <w:fldChar w:fldCharType="separate"/>
      </w:r>
      <w:r w:rsidR="00291532">
        <w:rPr>
          <w:noProof/>
        </w:rPr>
        <w:t>10</w:t>
      </w:r>
      <w:r>
        <w:fldChar w:fldCharType="end"/>
      </w:r>
      <w:bookmarkEnd w:id="31"/>
      <w:r>
        <w:t xml:space="preserve"> | </w:t>
      </w:r>
      <w:r w:rsidRPr="009D53ED">
        <w:t>Number of applications received and considered by KLC</w:t>
      </w:r>
      <w:r>
        <w:rPr>
          <w:rStyle w:val="FootnoteReference"/>
        </w:rPr>
        <w:footnoteReference w:id="16"/>
      </w:r>
    </w:p>
    <w:tbl>
      <w:tblPr>
        <w:tblStyle w:val="TableGrid"/>
        <w:tblW w:w="5000" w:type="pct"/>
        <w:tblLook w:val="04A0" w:firstRow="1" w:lastRow="0" w:firstColumn="1" w:lastColumn="0" w:noHBand="0" w:noVBand="1"/>
      </w:tblPr>
      <w:tblGrid>
        <w:gridCol w:w="2232"/>
        <w:gridCol w:w="2232"/>
        <w:gridCol w:w="2233"/>
        <w:gridCol w:w="2233"/>
      </w:tblGrid>
      <w:tr w:rsidR="00CF2D5C" w14:paraId="474BFC8A" w14:textId="77777777" w:rsidTr="001E1DB3">
        <w:trPr>
          <w:cnfStyle w:val="100000000000" w:firstRow="1" w:lastRow="0" w:firstColumn="0" w:lastColumn="0" w:oddVBand="0" w:evenVBand="0" w:oddHBand="0" w:evenHBand="0" w:firstRowFirstColumn="0" w:firstRowLastColumn="0" w:lastRowFirstColumn="0" w:lastRowLastColumn="0"/>
        </w:trPr>
        <w:tc>
          <w:tcPr>
            <w:tcW w:w="1250" w:type="pct"/>
          </w:tcPr>
          <w:p w14:paraId="1478A79B" w14:textId="77777777" w:rsidR="00446C8E" w:rsidRDefault="00446C8E">
            <w:pPr>
              <w:pStyle w:val="TableNheader"/>
              <w:rPr>
                <w:lang w:eastAsia="en-AU"/>
              </w:rPr>
            </w:pPr>
            <w:r>
              <w:rPr>
                <w:lang w:eastAsia="en-AU"/>
              </w:rPr>
              <w:t>Financial year</w:t>
            </w:r>
          </w:p>
        </w:tc>
        <w:tc>
          <w:tcPr>
            <w:tcW w:w="1250" w:type="pct"/>
          </w:tcPr>
          <w:p w14:paraId="73C291D0" w14:textId="77777777" w:rsidR="00446C8E" w:rsidRDefault="00446C8E">
            <w:pPr>
              <w:pStyle w:val="TableNheader"/>
              <w:rPr>
                <w:lang w:eastAsia="en-AU"/>
              </w:rPr>
            </w:pPr>
            <w:r>
              <w:rPr>
                <w:lang w:eastAsia="en-AU"/>
              </w:rPr>
              <w:t>Number of applications received during financial year</w:t>
            </w:r>
          </w:p>
        </w:tc>
        <w:tc>
          <w:tcPr>
            <w:tcW w:w="1250" w:type="pct"/>
          </w:tcPr>
          <w:p w14:paraId="0A60D4B9" w14:textId="77777777" w:rsidR="00446C8E" w:rsidRDefault="00446C8E">
            <w:pPr>
              <w:pStyle w:val="TableNheader"/>
              <w:rPr>
                <w:lang w:eastAsia="en-AU"/>
              </w:rPr>
            </w:pPr>
            <w:r>
              <w:rPr>
                <w:lang w:eastAsia="en-AU"/>
              </w:rPr>
              <w:t>Number of applications considered during financial year</w:t>
            </w:r>
          </w:p>
        </w:tc>
        <w:tc>
          <w:tcPr>
            <w:tcW w:w="1250" w:type="pct"/>
          </w:tcPr>
          <w:p w14:paraId="3FCD6FEF" w14:textId="77777777" w:rsidR="00446C8E" w:rsidRDefault="00446C8E">
            <w:pPr>
              <w:pStyle w:val="TableNheader"/>
              <w:rPr>
                <w:lang w:eastAsia="en-AU"/>
              </w:rPr>
            </w:pPr>
            <w:r>
              <w:rPr>
                <w:lang w:eastAsia="en-AU"/>
              </w:rPr>
              <w:t>Number of applications considered in next financial year</w:t>
            </w:r>
          </w:p>
        </w:tc>
      </w:tr>
      <w:tr w:rsidR="00446C8E" w14:paraId="028CB7CB" w14:textId="77777777" w:rsidTr="001E1DB3">
        <w:trPr>
          <w:cnfStyle w:val="000000100000" w:firstRow="0" w:lastRow="0" w:firstColumn="0" w:lastColumn="0" w:oddVBand="0" w:evenVBand="0" w:oddHBand="1" w:evenHBand="0" w:firstRowFirstColumn="0" w:firstRowLastColumn="0" w:lastRowFirstColumn="0" w:lastRowLastColumn="0"/>
        </w:trPr>
        <w:tc>
          <w:tcPr>
            <w:tcW w:w="1250" w:type="pct"/>
          </w:tcPr>
          <w:p w14:paraId="4924165F" w14:textId="77777777" w:rsidR="00446C8E" w:rsidRDefault="00446C8E">
            <w:pPr>
              <w:pStyle w:val="TableNText"/>
              <w:rPr>
                <w:lang w:eastAsia="en-AU"/>
              </w:rPr>
            </w:pPr>
            <w:r>
              <w:rPr>
                <w:lang w:eastAsia="en-AU"/>
              </w:rPr>
              <w:t>2019-20</w:t>
            </w:r>
          </w:p>
        </w:tc>
        <w:tc>
          <w:tcPr>
            <w:tcW w:w="1250" w:type="pct"/>
          </w:tcPr>
          <w:p w14:paraId="087B04FF" w14:textId="77777777" w:rsidR="00446C8E" w:rsidRDefault="00446C8E">
            <w:pPr>
              <w:pStyle w:val="TableNText"/>
              <w:rPr>
                <w:lang w:eastAsia="en-AU"/>
              </w:rPr>
            </w:pPr>
            <w:r>
              <w:rPr>
                <w:lang w:eastAsia="en-AU"/>
              </w:rPr>
              <w:t>6</w:t>
            </w:r>
          </w:p>
        </w:tc>
        <w:tc>
          <w:tcPr>
            <w:tcW w:w="1250" w:type="pct"/>
          </w:tcPr>
          <w:p w14:paraId="727B4CE0" w14:textId="77777777" w:rsidR="00446C8E" w:rsidRDefault="00446C8E">
            <w:pPr>
              <w:pStyle w:val="TableNText"/>
              <w:rPr>
                <w:lang w:eastAsia="en-AU"/>
              </w:rPr>
            </w:pPr>
            <w:r>
              <w:rPr>
                <w:lang w:eastAsia="en-AU"/>
              </w:rPr>
              <w:t>1</w:t>
            </w:r>
          </w:p>
        </w:tc>
        <w:tc>
          <w:tcPr>
            <w:tcW w:w="1250" w:type="pct"/>
          </w:tcPr>
          <w:p w14:paraId="7F412DF3" w14:textId="77777777" w:rsidR="00446C8E" w:rsidRDefault="00446C8E">
            <w:pPr>
              <w:pStyle w:val="TableNText"/>
              <w:rPr>
                <w:lang w:eastAsia="en-AU"/>
              </w:rPr>
            </w:pPr>
            <w:r>
              <w:rPr>
                <w:lang w:eastAsia="en-AU"/>
              </w:rPr>
              <w:t>5</w:t>
            </w:r>
          </w:p>
        </w:tc>
      </w:tr>
      <w:tr w:rsidR="00446C8E" w14:paraId="46DCBA2A" w14:textId="77777777" w:rsidTr="001E1DB3">
        <w:trPr>
          <w:cnfStyle w:val="000000010000" w:firstRow="0" w:lastRow="0" w:firstColumn="0" w:lastColumn="0" w:oddVBand="0" w:evenVBand="0" w:oddHBand="0" w:evenHBand="1" w:firstRowFirstColumn="0" w:firstRowLastColumn="0" w:lastRowFirstColumn="0" w:lastRowLastColumn="0"/>
        </w:trPr>
        <w:tc>
          <w:tcPr>
            <w:tcW w:w="1250" w:type="pct"/>
          </w:tcPr>
          <w:p w14:paraId="6B73AB9A" w14:textId="77777777" w:rsidR="00446C8E" w:rsidRDefault="00446C8E">
            <w:pPr>
              <w:pStyle w:val="TableNText"/>
              <w:rPr>
                <w:lang w:eastAsia="en-AU"/>
              </w:rPr>
            </w:pPr>
            <w:r>
              <w:rPr>
                <w:lang w:eastAsia="en-AU"/>
              </w:rPr>
              <w:t>2020-21</w:t>
            </w:r>
          </w:p>
        </w:tc>
        <w:tc>
          <w:tcPr>
            <w:tcW w:w="1250" w:type="pct"/>
          </w:tcPr>
          <w:p w14:paraId="4F8B3061" w14:textId="77777777" w:rsidR="00446C8E" w:rsidRDefault="00446C8E">
            <w:pPr>
              <w:pStyle w:val="TableNText"/>
              <w:rPr>
                <w:lang w:eastAsia="en-AU"/>
              </w:rPr>
            </w:pPr>
            <w:r>
              <w:rPr>
                <w:lang w:eastAsia="en-AU"/>
              </w:rPr>
              <w:t>9</w:t>
            </w:r>
          </w:p>
        </w:tc>
        <w:tc>
          <w:tcPr>
            <w:tcW w:w="1250" w:type="pct"/>
          </w:tcPr>
          <w:p w14:paraId="29CBC657" w14:textId="77777777" w:rsidR="00446C8E" w:rsidRDefault="00446C8E">
            <w:pPr>
              <w:pStyle w:val="TableNText"/>
              <w:rPr>
                <w:lang w:eastAsia="en-AU"/>
              </w:rPr>
            </w:pPr>
            <w:r>
              <w:rPr>
                <w:lang w:eastAsia="en-AU"/>
              </w:rPr>
              <w:t>5</w:t>
            </w:r>
          </w:p>
        </w:tc>
        <w:tc>
          <w:tcPr>
            <w:tcW w:w="1250" w:type="pct"/>
          </w:tcPr>
          <w:p w14:paraId="0984CDED" w14:textId="77777777" w:rsidR="00446C8E" w:rsidRDefault="00446C8E">
            <w:pPr>
              <w:pStyle w:val="TableNText"/>
              <w:rPr>
                <w:lang w:eastAsia="en-AU"/>
              </w:rPr>
            </w:pPr>
            <w:r>
              <w:rPr>
                <w:lang w:eastAsia="en-AU"/>
              </w:rPr>
              <w:t>4</w:t>
            </w:r>
          </w:p>
        </w:tc>
      </w:tr>
      <w:tr w:rsidR="00446C8E" w14:paraId="1362D51F" w14:textId="77777777" w:rsidTr="001E1DB3">
        <w:trPr>
          <w:cnfStyle w:val="000000100000" w:firstRow="0" w:lastRow="0" w:firstColumn="0" w:lastColumn="0" w:oddVBand="0" w:evenVBand="0" w:oddHBand="1" w:evenHBand="0" w:firstRowFirstColumn="0" w:firstRowLastColumn="0" w:lastRowFirstColumn="0" w:lastRowLastColumn="0"/>
        </w:trPr>
        <w:tc>
          <w:tcPr>
            <w:tcW w:w="1250" w:type="pct"/>
          </w:tcPr>
          <w:p w14:paraId="1CDEB886" w14:textId="77777777" w:rsidR="00446C8E" w:rsidRDefault="00446C8E">
            <w:pPr>
              <w:pStyle w:val="TableNText"/>
              <w:rPr>
                <w:lang w:eastAsia="en-AU"/>
              </w:rPr>
            </w:pPr>
            <w:r>
              <w:rPr>
                <w:lang w:eastAsia="en-AU"/>
              </w:rPr>
              <w:t>2021-22</w:t>
            </w:r>
          </w:p>
        </w:tc>
        <w:tc>
          <w:tcPr>
            <w:tcW w:w="1250" w:type="pct"/>
          </w:tcPr>
          <w:p w14:paraId="2759A94C" w14:textId="77777777" w:rsidR="00446C8E" w:rsidRDefault="00446C8E">
            <w:pPr>
              <w:pStyle w:val="TableNText"/>
              <w:rPr>
                <w:lang w:eastAsia="en-AU"/>
              </w:rPr>
            </w:pPr>
            <w:r>
              <w:rPr>
                <w:lang w:eastAsia="en-AU"/>
              </w:rPr>
              <w:t>6</w:t>
            </w:r>
          </w:p>
        </w:tc>
        <w:tc>
          <w:tcPr>
            <w:tcW w:w="1250" w:type="pct"/>
          </w:tcPr>
          <w:p w14:paraId="35C0A06D" w14:textId="77777777" w:rsidR="00446C8E" w:rsidRDefault="00446C8E">
            <w:pPr>
              <w:pStyle w:val="TableNText"/>
              <w:rPr>
                <w:lang w:eastAsia="en-AU"/>
              </w:rPr>
            </w:pPr>
            <w:r>
              <w:rPr>
                <w:lang w:eastAsia="en-AU"/>
              </w:rPr>
              <w:t>6</w:t>
            </w:r>
          </w:p>
        </w:tc>
        <w:tc>
          <w:tcPr>
            <w:tcW w:w="1250" w:type="pct"/>
          </w:tcPr>
          <w:p w14:paraId="39D74AF1" w14:textId="77777777" w:rsidR="00446C8E" w:rsidRDefault="00446C8E">
            <w:pPr>
              <w:pStyle w:val="TableNText"/>
              <w:rPr>
                <w:lang w:eastAsia="en-AU"/>
              </w:rPr>
            </w:pPr>
            <w:r>
              <w:rPr>
                <w:lang w:eastAsia="en-AU"/>
              </w:rPr>
              <w:t>0</w:t>
            </w:r>
          </w:p>
        </w:tc>
      </w:tr>
    </w:tbl>
    <w:p w14:paraId="5196CA5F" w14:textId="77777777" w:rsidR="00446C8E" w:rsidRDefault="00446C8E" w:rsidP="00446C8E">
      <w:pPr>
        <w:pStyle w:val="Heading4"/>
      </w:pPr>
      <w:r w:rsidRPr="00E85100">
        <w:t>Client and potential client awareness of the process</w:t>
      </w:r>
    </w:p>
    <w:p w14:paraId="20DE7CA0" w14:textId="02D69B49" w:rsidR="00446C8E" w:rsidRPr="00CC6526" w:rsidRDefault="00446C8E" w:rsidP="006B0193">
      <w:pPr>
        <w:pStyle w:val="Heading5"/>
      </w:pPr>
      <w:r w:rsidRPr="00CC6526">
        <w:t xml:space="preserve">The KLC </w:t>
      </w:r>
      <w:r>
        <w:t>had steps in place to ensure</w:t>
      </w:r>
      <w:r w:rsidRPr="00CC6526">
        <w:t xml:space="preserve"> clients and members </w:t>
      </w:r>
      <w:r>
        <w:t xml:space="preserve">were </w:t>
      </w:r>
      <w:r w:rsidRPr="00CC6526">
        <w:t>aware of its assessment,</w:t>
      </w:r>
      <w:r>
        <w:t xml:space="preserve"> </w:t>
      </w:r>
      <w:r w:rsidRPr="00CC6526">
        <w:t>prioritisation and internal review processes</w:t>
      </w:r>
    </w:p>
    <w:p w14:paraId="125FBF00" w14:textId="77777777" w:rsidR="00446C8E" w:rsidRDefault="00446C8E" w:rsidP="00446C8E">
      <w:pPr>
        <w:rPr>
          <w:lang w:eastAsia="en-AU"/>
        </w:rPr>
      </w:pPr>
      <w:r>
        <w:rPr>
          <w:lang w:eastAsia="en-AU"/>
        </w:rPr>
        <w:t>The KLC assessment, prioritisation and internal review processes were publicly available across several mediums, including:</w:t>
      </w:r>
    </w:p>
    <w:p w14:paraId="7E2F114D" w14:textId="14F6D75A" w:rsidR="00446C8E" w:rsidRDefault="00446C8E" w:rsidP="00446C8E">
      <w:pPr>
        <w:pStyle w:val="Bullet"/>
      </w:pPr>
      <w:r>
        <w:t>T</w:t>
      </w:r>
      <w:r w:rsidRPr="00470745">
        <w:t xml:space="preserve">he </w:t>
      </w:r>
      <w:r>
        <w:t>“</w:t>
      </w:r>
      <w:r w:rsidRPr="00470745">
        <w:t>Native Title Role and Functions</w:t>
      </w:r>
      <w:r>
        <w:t>”</w:t>
      </w:r>
      <w:r w:rsidRPr="00470745">
        <w:t xml:space="preserve"> chapter of each KLC Annual Report</w:t>
      </w:r>
      <w:r>
        <w:t>, which is available online and outlines the KLC’s responsibilities under the</w:t>
      </w:r>
      <w:r w:rsidRPr="005A77E2">
        <w:t xml:space="preserve"> NTA</w:t>
      </w:r>
      <w:r w:rsidR="00654193">
        <w:t xml:space="preserve"> and</w:t>
      </w:r>
      <w:r w:rsidR="0020335B">
        <w:t xml:space="preserve"> </w:t>
      </w:r>
      <w:r>
        <w:t>the right of clients to request an internal review</w:t>
      </w:r>
      <w:r w:rsidR="00654193">
        <w:t>,</w:t>
      </w:r>
      <w:r>
        <w:t xml:space="preserve"> and summarises the types of criteria against which potential claims are assessed and prioritised.</w:t>
      </w:r>
    </w:p>
    <w:p w14:paraId="6EB7C0EA" w14:textId="43A06D1E" w:rsidR="00446C8E" w:rsidRDefault="00446C8E" w:rsidP="00446C8E">
      <w:pPr>
        <w:pStyle w:val="Bullet"/>
      </w:pPr>
      <w:r>
        <w:t xml:space="preserve">The KLC website </w:t>
      </w:r>
      <w:r w:rsidR="00C51AF0">
        <w:t>“</w:t>
      </w:r>
      <w:r>
        <w:t>complaints</w:t>
      </w:r>
      <w:r w:rsidR="00C51AF0">
        <w:t>”</w:t>
      </w:r>
      <w:r>
        <w:t xml:space="preserve"> page and form, which provides a plain language outline of the assessment and prioritisation process at a high level, explains the right to request an internal review and the opportunity to submit a complaint via a dialogue box.</w:t>
      </w:r>
      <w:r>
        <w:rPr>
          <w:rStyle w:val="FootnoteReference"/>
        </w:rPr>
        <w:footnoteReference w:id="17"/>
      </w:r>
    </w:p>
    <w:p w14:paraId="1A70BA49" w14:textId="43E048F2" w:rsidR="00446C8E" w:rsidRDefault="00446C8E" w:rsidP="00446C8E">
      <w:pPr>
        <w:pStyle w:val="Bullet"/>
        <w:numPr>
          <w:ilvl w:val="0"/>
          <w:numId w:val="0"/>
        </w:numPr>
      </w:pPr>
      <w:r>
        <w:lastRenderedPageBreak/>
        <w:t>During consultations, clients who spoke with the Review appeared well-aware of the processes involved in applying for assistance and lodging claims.</w:t>
      </w:r>
    </w:p>
    <w:p w14:paraId="71A73DEF" w14:textId="321D9289" w:rsidR="00446C8E" w:rsidRDefault="006E4B70" w:rsidP="006E4B70">
      <w:pPr>
        <w:pStyle w:val="Heading4"/>
      </w:pPr>
      <w:r w:rsidRPr="006E4B70">
        <w:t>Traditional Owner satisfaction with the assessment and prioritisation process and its outcome</w:t>
      </w:r>
    </w:p>
    <w:p w14:paraId="37FFFB9A" w14:textId="77777777" w:rsidR="00446C8E" w:rsidRDefault="00446C8E" w:rsidP="006B0193">
      <w:pPr>
        <w:pStyle w:val="Heading5"/>
      </w:pPr>
      <w:r>
        <w:t>Some Traditional Owners expressed concerns with the prioritisation process</w:t>
      </w:r>
    </w:p>
    <w:p w14:paraId="72640D7F" w14:textId="33AAF8D3" w:rsidR="00446C8E" w:rsidRDefault="2D4A19E7" w:rsidP="00446C8E">
      <w:pPr>
        <w:rPr>
          <w:lang w:eastAsia="en-AU"/>
        </w:rPr>
      </w:pPr>
      <w:r w:rsidRPr="7307344E">
        <w:rPr>
          <w:lang w:eastAsia="en-AU"/>
        </w:rPr>
        <w:t xml:space="preserve">Traditional Owners who were assisted in their claims and received successful determinations were generally very positive in their </w:t>
      </w:r>
      <w:r w:rsidR="30D900C5" w:rsidRPr="7307344E">
        <w:rPr>
          <w:lang w:eastAsia="en-AU"/>
        </w:rPr>
        <w:t>view</w:t>
      </w:r>
      <w:r w:rsidRPr="7307344E">
        <w:rPr>
          <w:lang w:eastAsia="en-AU"/>
        </w:rPr>
        <w:t xml:space="preserve"> of the process. However, a </w:t>
      </w:r>
      <w:r w:rsidR="00115716">
        <w:rPr>
          <w:lang w:eastAsia="en-AU"/>
        </w:rPr>
        <w:t xml:space="preserve">small </w:t>
      </w:r>
      <w:r w:rsidRPr="7307344E">
        <w:rPr>
          <w:lang w:eastAsia="en-AU"/>
        </w:rPr>
        <w:t xml:space="preserve">number of Traditional Owners who lodged applications for assistance which were ultimately declined </w:t>
      </w:r>
      <w:r w:rsidR="00100D5C">
        <w:rPr>
          <w:lang w:eastAsia="en-AU"/>
        </w:rPr>
        <w:t xml:space="preserve">advised </w:t>
      </w:r>
      <w:r w:rsidR="000F285F">
        <w:rPr>
          <w:lang w:eastAsia="en-AU"/>
        </w:rPr>
        <w:t xml:space="preserve">the Review </w:t>
      </w:r>
      <w:r w:rsidR="00100D5C">
        <w:rPr>
          <w:lang w:eastAsia="en-AU"/>
        </w:rPr>
        <w:t>that they were</w:t>
      </w:r>
      <w:r w:rsidR="00100D5C" w:rsidRPr="7307344E">
        <w:rPr>
          <w:lang w:eastAsia="en-AU"/>
        </w:rPr>
        <w:t xml:space="preserve"> </w:t>
      </w:r>
      <w:r w:rsidR="000B77F5">
        <w:rPr>
          <w:lang w:eastAsia="en-AU"/>
        </w:rPr>
        <w:t>unhappy with the decision</w:t>
      </w:r>
      <w:r w:rsidR="00806973">
        <w:rPr>
          <w:lang w:eastAsia="en-AU"/>
        </w:rPr>
        <w:t xml:space="preserve">, which is unsurprising. They also </w:t>
      </w:r>
      <w:r w:rsidR="00321610">
        <w:rPr>
          <w:lang w:eastAsia="en-AU"/>
        </w:rPr>
        <w:t>advised they were</w:t>
      </w:r>
      <w:r w:rsidR="000B77F5">
        <w:rPr>
          <w:lang w:eastAsia="en-AU"/>
        </w:rPr>
        <w:t xml:space="preserve"> </w:t>
      </w:r>
      <w:r w:rsidRPr="7307344E">
        <w:rPr>
          <w:lang w:eastAsia="en-AU"/>
        </w:rPr>
        <w:t xml:space="preserve">unclear about the reasoning behind the decision. Section 3.39 of the Assistance </w:t>
      </w:r>
      <w:r w:rsidR="004F737B">
        <w:rPr>
          <w:lang w:eastAsia="en-AU"/>
        </w:rPr>
        <w:t>Guidelines</w:t>
      </w:r>
      <w:r w:rsidRPr="7307344E">
        <w:rPr>
          <w:lang w:eastAsia="en-AU"/>
        </w:rPr>
        <w:t xml:space="preserve"> document clearly states that applicants will be informed of the decision and the reasoning behind it in writing. </w:t>
      </w:r>
      <w:r w:rsidR="000B26E9">
        <w:rPr>
          <w:lang w:eastAsia="en-AU"/>
        </w:rPr>
        <w:t>The KLC</w:t>
      </w:r>
      <w:r w:rsidR="000B3EE6">
        <w:rPr>
          <w:lang w:eastAsia="en-AU"/>
        </w:rPr>
        <w:t xml:space="preserve"> </w:t>
      </w:r>
      <w:r w:rsidR="000B26E9">
        <w:rPr>
          <w:lang w:eastAsia="en-AU"/>
        </w:rPr>
        <w:t xml:space="preserve">informed the </w:t>
      </w:r>
      <w:r w:rsidR="00F43B1F">
        <w:rPr>
          <w:lang w:eastAsia="en-AU"/>
        </w:rPr>
        <w:t>R</w:t>
      </w:r>
      <w:r w:rsidR="000B26E9">
        <w:rPr>
          <w:lang w:eastAsia="en-AU"/>
        </w:rPr>
        <w:t>eview that all applicants</w:t>
      </w:r>
      <w:r w:rsidR="000B26E9" w:rsidDel="00F43B1F">
        <w:rPr>
          <w:lang w:eastAsia="en-AU"/>
        </w:rPr>
        <w:t xml:space="preserve"> </w:t>
      </w:r>
      <w:r w:rsidR="00F43B1F">
        <w:rPr>
          <w:lang w:eastAsia="en-AU"/>
        </w:rPr>
        <w:t xml:space="preserve">were </w:t>
      </w:r>
      <w:r w:rsidR="000B26E9">
        <w:rPr>
          <w:lang w:eastAsia="en-AU"/>
        </w:rPr>
        <w:t xml:space="preserve">informed of the outcome of the decision and that </w:t>
      </w:r>
      <w:r w:rsidR="00CB4494">
        <w:rPr>
          <w:lang w:eastAsia="en-AU"/>
        </w:rPr>
        <w:t xml:space="preserve">no applicants requested a </w:t>
      </w:r>
      <w:r w:rsidR="004303FF">
        <w:rPr>
          <w:lang w:eastAsia="en-AU"/>
        </w:rPr>
        <w:t>review of the outcome during the Review period.</w:t>
      </w:r>
    </w:p>
    <w:p w14:paraId="3F28B4B4" w14:textId="6F6B8581" w:rsidR="00B91FEC" w:rsidRPr="008655B2" w:rsidRDefault="00B91FEC" w:rsidP="00AE1C1D">
      <w:pPr>
        <w:pStyle w:val="Heading5"/>
        <w:rPr>
          <w:highlight w:val="yellow"/>
        </w:rPr>
      </w:pPr>
      <w:r>
        <w:t xml:space="preserve">Some Traditional Owners </w:t>
      </w:r>
      <w:r w:rsidR="00A57DAF">
        <w:t>and other</w:t>
      </w:r>
      <w:r w:rsidR="008B7487">
        <w:t xml:space="preserve"> stakeholders</w:t>
      </w:r>
      <w:r w:rsidR="00A57DAF">
        <w:t xml:space="preserve"> </w:t>
      </w:r>
      <w:r>
        <w:t xml:space="preserve">perceived bias in the prioritisation of claims and the consideration of evidence </w:t>
      </w:r>
    </w:p>
    <w:p w14:paraId="23AF6962" w14:textId="41187777" w:rsidR="00F007D1" w:rsidRDefault="2D4A19E7" w:rsidP="00F007D1">
      <w:r>
        <w:t xml:space="preserve">There was a perception among some Traditional Owners who engaged with the Review that there was </w:t>
      </w:r>
      <w:r w:rsidR="006379E8">
        <w:t>a willingness to favour the prioritisation</w:t>
      </w:r>
      <w:r>
        <w:t xml:space="preserve"> of certain claim groups with connections to influential members of the Board. </w:t>
      </w:r>
      <w:r w:rsidR="004F165E">
        <w:t xml:space="preserve">This was not an uncommon perception across Traditional Owners in other RATSIB regions and reflects the </w:t>
      </w:r>
      <w:r w:rsidR="00660792">
        <w:t xml:space="preserve">challenges of operating </w:t>
      </w:r>
      <w:r w:rsidR="00AF16B0">
        <w:t xml:space="preserve">in highly contested and challenging environments. </w:t>
      </w:r>
      <w:r w:rsidR="008B28F2">
        <w:t xml:space="preserve">There </w:t>
      </w:r>
      <w:r w:rsidR="00F356C7">
        <w:t>was</w:t>
      </w:r>
      <w:r w:rsidR="008B28F2">
        <w:t xml:space="preserve"> </w:t>
      </w:r>
      <w:r w:rsidR="00F356C7">
        <w:t>similar</w:t>
      </w:r>
      <w:r w:rsidR="008B28F2">
        <w:t xml:space="preserve"> feedback from individuals who</w:t>
      </w:r>
      <w:r w:rsidR="008B28F2" w:rsidDel="00D41C9E">
        <w:t xml:space="preserve"> </w:t>
      </w:r>
      <w:r w:rsidR="00D41C9E">
        <w:t xml:space="preserve">had </w:t>
      </w:r>
      <w:r w:rsidR="008B28F2">
        <w:t xml:space="preserve">been involved with </w:t>
      </w:r>
      <w:r w:rsidR="00D41C9E">
        <w:t xml:space="preserve">the </w:t>
      </w:r>
      <w:r w:rsidR="008B28F2">
        <w:t>KLC in a range of roles that the claims of senior staff</w:t>
      </w:r>
      <w:r w:rsidR="008A0C87">
        <w:t xml:space="preserve">, </w:t>
      </w:r>
      <w:r w:rsidR="008B28F2">
        <w:t>Board members and their families</w:t>
      </w:r>
      <w:r w:rsidR="00D14195">
        <w:t xml:space="preserve"> were given priority</w:t>
      </w:r>
      <w:r w:rsidR="008B28F2">
        <w:t>.</w:t>
      </w:r>
      <w:r w:rsidR="00F356C7">
        <w:t xml:space="preserve"> </w:t>
      </w:r>
      <w:r>
        <w:t xml:space="preserve">The Review notes these concerns </w:t>
      </w:r>
      <w:r w:rsidR="00AF16B0">
        <w:t xml:space="preserve">but </w:t>
      </w:r>
      <w:r w:rsidR="0016438F">
        <w:t>was not provided with any</w:t>
      </w:r>
      <w:r w:rsidR="00AF16B0">
        <w:t xml:space="preserve"> evidence to demonstrate</w:t>
      </w:r>
      <w:r w:rsidR="00B5137F">
        <w:t xml:space="preserve"> </w:t>
      </w:r>
      <w:r>
        <w:t xml:space="preserve">their validity. </w:t>
      </w:r>
      <w:r w:rsidR="008A0C87">
        <w:t xml:space="preserve">The </w:t>
      </w:r>
      <w:r w:rsidR="00B5137F">
        <w:t xml:space="preserve">KLC was clearly aware of </w:t>
      </w:r>
      <w:r w:rsidR="00133CB3">
        <w:t>rele</w:t>
      </w:r>
      <w:r w:rsidR="00F055BE">
        <w:t>v</w:t>
      </w:r>
      <w:r w:rsidR="00133CB3">
        <w:t>ant risks</w:t>
      </w:r>
      <w:r w:rsidR="00B5137F">
        <w:t xml:space="preserve"> and mitigated </w:t>
      </w:r>
      <w:r w:rsidR="00133CB3">
        <w:t>them</w:t>
      </w:r>
      <w:r w:rsidR="00B5137F">
        <w:t xml:space="preserve"> through </w:t>
      </w:r>
      <w:r w:rsidR="005E79E7">
        <w:t xml:space="preserve">its policies: </w:t>
      </w:r>
      <w:r>
        <w:t xml:space="preserve">Section 3.10 of the </w:t>
      </w:r>
      <w:r w:rsidR="00BE7889">
        <w:t xml:space="preserve">Assistance </w:t>
      </w:r>
      <w:r>
        <w:t xml:space="preserve">Guidelines </w:t>
      </w:r>
      <w:r w:rsidR="00133CB3">
        <w:t>includes</w:t>
      </w:r>
      <w:r>
        <w:t xml:space="preserve"> KLC’s conflict of interest policy</w:t>
      </w:r>
      <w:r w:rsidR="00133CB3">
        <w:t xml:space="preserve"> which states that</w:t>
      </w:r>
      <w:r>
        <w:t>, “</w:t>
      </w:r>
      <w:r w:rsidR="00133CB3">
        <w:t>…</w:t>
      </w:r>
      <w:r>
        <w:t>a member of the Board [who] is an applicant or has any interest in the land or waters the subject of the proposed claim…must declare their interest and absent themselves from any meeting where the application is discussed.</w:t>
      </w:r>
      <w:r w:rsidR="476576C8">
        <w:t>”</w:t>
      </w:r>
    </w:p>
    <w:p w14:paraId="168A2A26" w14:textId="19E5E5D9" w:rsidR="00446C8E" w:rsidRDefault="00446C8E" w:rsidP="00F007D1">
      <w:pPr>
        <w:pStyle w:val="Heading3"/>
      </w:pPr>
      <w:r>
        <w:t>TOR 2: External factors</w:t>
      </w:r>
    </w:p>
    <w:p w14:paraId="3873FC0C" w14:textId="34847F38" w:rsidR="00FE7367" w:rsidRPr="00FE7367" w:rsidRDefault="00FE7367" w:rsidP="00FE7367">
      <w:pPr>
        <w:rPr>
          <w:lang w:eastAsia="en-AU"/>
        </w:rPr>
      </w:pPr>
      <w:r w:rsidRPr="00FE7367">
        <w:rPr>
          <w:lang w:eastAsia="en-AU"/>
        </w:rPr>
        <w:t xml:space="preserve">This section presents an analysis of factors that impacted on performance that were beyond </w:t>
      </w:r>
      <w:r w:rsidR="004F737B">
        <w:rPr>
          <w:lang w:eastAsia="en-AU"/>
        </w:rPr>
        <w:t xml:space="preserve">the </w:t>
      </w:r>
      <w:r>
        <w:rPr>
          <w:lang w:eastAsia="en-AU"/>
        </w:rPr>
        <w:t>KLC</w:t>
      </w:r>
      <w:r w:rsidRPr="00FE7367">
        <w:rPr>
          <w:lang w:eastAsia="en-AU"/>
        </w:rPr>
        <w:t>'s control.</w:t>
      </w:r>
    </w:p>
    <w:p w14:paraId="4D7FA9E7" w14:textId="7866F907" w:rsidR="00446C8E" w:rsidRDefault="00446C8E" w:rsidP="00446C8E">
      <w:pPr>
        <w:pStyle w:val="Heading4"/>
      </w:pPr>
      <w:r>
        <w:t xml:space="preserve">Number of claims relative to NTRB-SP size and resourcing </w:t>
      </w:r>
    </w:p>
    <w:p w14:paraId="35A5E24D" w14:textId="44D26B32" w:rsidR="00446C8E" w:rsidRPr="00554937" w:rsidRDefault="004F737B" w:rsidP="00111435">
      <w:pPr>
        <w:pStyle w:val="Heading5"/>
      </w:pPr>
      <w:r>
        <w:t xml:space="preserve">The </w:t>
      </w:r>
      <w:r w:rsidR="00446C8E">
        <w:t>KLC has a small number of challenging claims on hand that need to be balanced with its post-determination work</w:t>
      </w:r>
    </w:p>
    <w:p w14:paraId="37E78694" w14:textId="5F353BC9" w:rsidR="00446C8E" w:rsidRDefault="00446C8E" w:rsidP="00446C8E">
      <w:pPr>
        <w:pStyle w:val="Bullet"/>
        <w:numPr>
          <w:ilvl w:val="0"/>
          <w:numId w:val="0"/>
        </w:numPr>
      </w:pPr>
      <w:r>
        <w:t>While the KLC ha</w:t>
      </w:r>
      <w:r w:rsidR="00453CF2">
        <w:t>d</w:t>
      </w:r>
      <w:r>
        <w:t xml:space="preserve"> five active claims</w:t>
      </w:r>
      <w:r w:rsidR="00C76A4C">
        <w:t xml:space="preserve"> at the end of the Review period</w:t>
      </w:r>
      <w:r>
        <w:t xml:space="preserve">, these </w:t>
      </w:r>
      <w:r w:rsidRPr="00E002FC">
        <w:t xml:space="preserve">remaining claims are </w:t>
      </w:r>
      <w:r>
        <w:t>of</w:t>
      </w:r>
      <w:r w:rsidRPr="00E002FC">
        <w:t xml:space="preserve"> increasing complexity and </w:t>
      </w:r>
      <w:r>
        <w:t>may</w:t>
      </w:r>
      <w:r w:rsidRPr="00E002FC">
        <w:t xml:space="preserve"> </w:t>
      </w:r>
      <w:r>
        <w:t xml:space="preserve">inevitably </w:t>
      </w:r>
      <w:r w:rsidRPr="00E002FC">
        <w:t xml:space="preserve">take </w:t>
      </w:r>
      <w:r>
        <w:t>longer</w:t>
      </w:r>
      <w:r w:rsidRPr="00E002FC">
        <w:t xml:space="preserve"> to resolve</w:t>
      </w:r>
      <w:r>
        <w:t xml:space="preserve">. </w:t>
      </w:r>
      <w:r w:rsidR="00CD453F">
        <w:t>Further, t</w:t>
      </w:r>
      <w:r>
        <w:t>he Kimberley’s first ever compensation claim</w:t>
      </w:r>
      <w:r w:rsidR="00C76A4C">
        <w:t xml:space="preserve"> </w:t>
      </w:r>
      <w:r>
        <w:t>is new ground for the KLC</w:t>
      </w:r>
      <w:r w:rsidR="00C76A4C">
        <w:t xml:space="preserve"> and s</w:t>
      </w:r>
      <w:r>
        <w:t xml:space="preserve">taff reported that the compensation claims process is onerous and challenging. </w:t>
      </w:r>
    </w:p>
    <w:p w14:paraId="4822B71A" w14:textId="45DA7247" w:rsidR="00446C8E" w:rsidRDefault="00446C8E" w:rsidP="00446C8E">
      <w:pPr>
        <w:pStyle w:val="Bullet"/>
        <w:numPr>
          <w:ilvl w:val="0"/>
          <w:numId w:val="0"/>
        </w:numPr>
      </w:pPr>
      <w:r>
        <w:t xml:space="preserve">Legal staff at the KLC typically work across a broad range of work in native title, from claims to FANs and PBC governance. The large volume of work in the post-determination space continues to grow and compete with </w:t>
      </w:r>
      <w:r w:rsidR="00133CB3">
        <w:t xml:space="preserve">other </w:t>
      </w:r>
      <w:r>
        <w:t>claims for resources. Staff consistently held the view that KLC resourcing had not kept up with workload over the Review period.</w:t>
      </w:r>
    </w:p>
    <w:p w14:paraId="76D74A64" w14:textId="77777777" w:rsidR="00446C8E" w:rsidRDefault="00446C8E" w:rsidP="00446C8E">
      <w:pPr>
        <w:pStyle w:val="Bullet"/>
        <w:numPr>
          <w:ilvl w:val="0"/>
          <w:numId w:val="0"/>
        </w:numPr>
      </w:pPr>
      <w:r>
        <w:lastRenderedPageBreak/>
        <w:t xml:space="preserve">The Review considers that the number of claims relevant to KLC’s size and resourcing had a small impact on its performance in achieving native title outcomes. </w:t>
      </w:r>
    </w:p>
    <w:p w14:paraId="3C4DD863" w14:textId="77777777" w:rsidR="00446C8E" w:rsidRDefault="00446C8E" w:rsidP="00446C8E">
      <w:pPr>
        <w:pStyle w:val="Heading3"/>
        <w:numPr>
          <w:ilvl w:val="2"/>
          <w:numId w:val="2"/>
        </w:numPr>
      </w:pPr>
      <w:r>
        <w:t>TOR 2: Recommendations</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446C8E" w14:paraId="03798D86" w14:textId="77777777" w:rsidTr="0181F3A3">
        <w:trPr>
          <w:trHeight w:val="360"/>
        </w:trPr>
        <w:tc>
          <w:tcPr>
            <w:tcW w:w="8223" w:type="dxa"/>
          </w:tcPr>
          <w:p w14:paraId="117323C3" w14:textId="77777777" w:rsidR="00446C8E" w:rsidRDefault="00446C8E">
            <w:pPr>
              <w:rPr>
                <w:lang w:eastAsia="en-AU"/>
              </w:rPr>
            </w:pPr>
            <w:r w:rsidRPr="00F97AB5">
              <w:rPr>
                <w:noProof/>
                <w:lang w:eastAsia="en-AU"/>
              </w:rPr>
              <w:drawing>
                <wp:inline distT="0" distB="0" distL="0" distR="0" wp14:anchorId="3535A89F" wp14:editId="6692AE2E">
                  <wp:extent cx="5114199" cy="287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092FA27F" w14:textId="26888EBA" w:rsidR="00446C8E" w:rsidRPr="00F97AB5" w:rsidRDefault="00A00AA7">
            <w:pPr>
              <w:spacing w:after="100" w:afterAutospacing="1"/>
              <w:jc w:val="center"/>
              <w:rPr>
                <w:sz w:val="30"/>
                <w:szCs w:val="30"/>
                <w:lang w:eastAsia="en-AU"/>
              </w:rPr>
            </w:pPr>
            <w:r w:rsidRPr="00A00AA7">
              <w:rPr>
                <w:color w:val="FFFFFF" w:themeColor="background1"/>
                <w:sz w:val="30"/>
                <w:szCs w:val="30"/>
                <w:lang w:eastAsia="en-AU"/>
              </w:rPr>
              <w:t>2</w:t>
            </w:r>
          </w:p>
        </w:tc>
      </w:tr>
      <w:tr w:rsidR="00446C8E" w14:paraId="7F2E41F3" w14:textId="77777777" w:rsidTr="0181F3A3">
        <w:tc>
          <w:tcPr>
            <w:tcW w:w="8930" w:type="dxa"/>
            <w:gridSpan w:val="2"/>
            <w:tcBorders>
              <w:bottom w:val="single" w:sz="4" w:space="0" w:color="F8981D" w:themeColor="accent3"/>
              <w:right w:val="single" w:sz="18" w:space="0" w:color="F8981D" w:themeColor="accent3"/>
            </w:tcBorders>
          </w:tcPr>
          <w:p w14:paraId="693707AC" w14:textId="57851EC8" w:rsidR="00446C8E" w:rsidRPr="00BD37ED" w:rsidRDefault="002255D0">
            <w:bookmarkStart w:id="32" w:name="_Hlk167696973"/>
            <w:r>
              <w:t xml:space="preserve">Ensure that </w:t>
            </w:r>
            <w:r w:rsidR="00B775FD">
              <w:t>w</w:t>
            </w:r>
            <w:r w:rsidR="00446C8E">
              <w:t xml:space="preserve">here applications for assistance are refused, </w:t>
            </w:r>
            <w:r w:rsidR="00B775FD">
              <w:t xml:space="preserve">the </w:t>
            </w:r>
            <w:r w:rsidR="00446C8E">
              <w:t>applicant</w:t>
            </w:r>
            <w:r w:rsidR="00B775FD">
              <w:t xml:space="preserve">s are </w:t>
            </w:r>
            <w:r w:rsidR="00DA7E76">
              <w:t xml:space="preserve">always </w:t>
            </w:r>
            <w:r w:rsidR="00B775FD">
              <w:t>provided</w:t>
            </w:r>
            <w:r w:rsidR="00446C8E">
              <w:t xml:space="preserve"> </w:t>
            </w:r>
            <w:r w:rsidR="00265420">
              <w:t xml:space="preserve">with </w:t>
            </w:r>
            <w:r w:rsidR="00446C8E">
              <w:t>an explanation of the prioritisation process and clear</w:t>
            </w:r>
            <w:r w:rsidR="00A02DF0">
              <w:t>ly articulated</w:t>
            </w:r>
            <w:r w:rsidR="00446C8E">
              <w:t xml:space="preserve"> reasoning</w:t>
            </w:r>
            <w:r w:rsidR="00446C8E" w:rsidRPr="004B72F7">
              <w:t xml:space="preserve"> for</w:t>
            </w:r>
            <w:r w:rsidR="00446C8E">
              <w:t xml:space="preserve"> the</w:t>
            </w:r>
            <w:r w:rsidR="00446C8E" w:rsidRPr="004B72F7">
              <w:t xml:space="preserve"> decision</w:t>
            </w:r>
            <w:r w:rsidR="00F102A9">
              <w:t xml:space="preserve"> including an</w:t>
            </w:r>
            <w:r w:rsidR="00A85A96">
              <w:t xml:space="preserve"> accurate </w:t>
            </w:r>
            <w:r w:rsidR="00671223">
              <w:t>plain English</w:t>
            </w:r>
            <w:r w:rsidR="00A85A96">
              <w:t xml:space="preserve"> record of </w:t>
            </w:r>
            <w:r w:rsidR="00F102A9">
              <w:t xml:space="preserve">the </w:t>
            </w:r>
            <w:r w:rsidR="00A85A96">
              <w:t xml:space="preserve">decisions </w:t>
            </w:r>
            <w:r w:rsidR="00441A31">
              <w:t xml:space="preserve">made </w:t>
            </w:r>
            <w:r w:rsidR="00A85A96">
              <w:t>a</w:t>
            </w:r>
            <w:r w:rsidR="0097173F">
              <w:t xml:space="preserve">nd the </w:t>
            </w:r>
            <w:r w:rsidR="00183560">
              <w:t>reasoning behind them</w:t>
            </w:r>
            <w:r w:rsidR="00F102A9">
              <w:t>.</w:t>
            </w:r>
            <w:bookmarkEnd w:id="32"/>
          </w:p>
        </w:tc>
      </w:tr>
    </w:tbl>
    <w:p w14:paraId="56C3795A" w14:textId="77777777" w:rsidR="00F90528" w:rsidRDefault="00F90528" w:rsidP="00F90528"/>
    <w:p w14:paraId="146DAB20" w14:textId="77777777" w:rsidR="00F90528" w:rsidRDefault="00F90528">
      <w:pPr>
        <w:spacing w:after="165"/>
        <w:rPr>
          <w:rFonts w:ascii="Segoe UI Semibold" w:eastAsia="Times New Roman" w:hAnsi="Segoe UI Semibold" w:cs="Times New Roman"/>
          <w:color w:val="00264D"/>
          <w:sz w:val="30"/>
          <w:szCs w:val="19"/>
          <w:lang w:eastAsia="en-AU"/>
        </w:rPr>
      </w:pPr>
      <w:r>
        <w:br w:type="page"/>
      </w:r>
    </w:p>
    <w:p w14:paraId="615C8974" w14:textId="24135341" w:rsidR="00446C8E" w:rsidRDefault="00446C8E" w:rsidP="00446C8E">
      <w:pPr>
        <w:pStyle w:val="Heading2"/>
        <w:numPr>
          <w:ilvl w:val="1"/>
          <w:numId w:val="2"/>
        </w:numPr>
        <w:ind w:left="578" w:hanging="578"/>
      </w:pPr>
      <w:bookmarkStart w:id="33" w:name="_Toc170470103"/>
      <w:r w:rsidRPr="00AE4165">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33"/>
    </w:p>
    <w:tbl>
      <w:tblPr>
        <w:tblStyle w:val="TableGrid"/>
        <w:tblW w:w="0" w:type="auto"/>
        <w:tblLook w:val="04A0" w:firstRow="1" w:lastRow="0" w:firstColumn="1" w:lastColumn="0" w:noHBand="0" w:noVBand="1"/>
      </w:tblPr>
      <w:tblGrid>
        <w:gridCol w:w="8930"/>
      </w:tblGrid>
      <w:tr w:rsidR="00446C8E" w14:paraId="732261FF" w14:textId="77777777" w:rsidTr="00F222EA">
        <w:trPr>
          <w:cnfStyle w:val="100000000000" w:firstRow="1" w:lastRow="0" w:firstColumn="0" w:lastColumn="0" w:oddVBand="0" w:evenVBand="0" w:oddHBand="0" w:evenHBand="0" w:firstRowFirstColumn="0" w:firstRowLastColumn="0" w:lastRowFirstColumn="0" w:lastRowLastColumn="0"/>
        </w:trPr>
        <w:tc>
          <w:tcPr>
            <w:tcW w:w="8930" w:type="dxa"/>
          </w:tcPr>
          <w:p w14:paraId="361223E6" w14:textId="10B2733C" w:rsidR="00446C8E" w:rsidRPr="00A741F8" w:rsidRDefault="00446C8E" w:rsidP="00A741F8">
            <w:pPr>
              <w:pStyle w:val="Longformcallout"/>
              <w:rPr>
                <w:rFonts w:ascii="Segoe UI Semibold" w:hAnsi="Segoe UI Semibold" w:cs="Segoe UI Semibold"/>
              </w:rPr>
            </w:pPr>
            <w:r w:rsidRPr="00A741F8">
              <w:rPr>
                <w:rFonts w:ascii="Segoe UI Semibold" w:hAnsi="Segoe UI Semibold" w:cs="Segoe UI Semibold"/>
              </w:rPr>
              <w:t>Summary</w:t>
            </w:r>
          </w:p>
          <w:p w14:paraId="0C2CD43B" w14:textId="77777777" w:rsidR="00BC5A82" w:rsidRDefault="00BC5A82" w:rsidP="00A741F8">
            <w:pPr>
              <w:pStyle w:val="Longformcallout"/>
            </w:pPr>
            <w:r w:rsidRPr="0181F3A3">
              <w:t>The KLC had an established approach toward respectful and culturally appropriate engagement in its native title work that remained in place throughout the Review period. Cultural competency and respectful practices were embedded into the organisation’s practices through induction programs and cultural immersion. The strong component of Indigenous staff with ties to the Kimberley, including those in leadership positions, meant that the KLC had strategic and operational insight into cultural appropriateness throughout all levels of the organisation.</w:t>
            </w:r>
          </w:p>
          <w:p w14:paraId="2ED681E0" w14:textId="77777777" w:rsidR="00BC5A82" w:rsidRDefault="00BC5A82" w:rsidP="00A741F8">
            <w:pPr>
              <w:pStyle w:val="Longformcallout"/>
            </w:pPr>
            <w:r>
              <w:t xml:space="preserve">These positive engagement practices could be enhanced by the development of more explicit documentation, such as protocols and guidelines. </w:t>
            </w:r>
          </w:p>
          <w:p w14:paraId="764128D1" w14:textId="3CD5F93C" w:rsidR="00BC5A82" w:rsidRDefault="00BC5A82" w:rsidP="00A741F8">
            <w:pPr>
              <w:pStyle w:val="Longformcallout"/>
            </w:pPr>
            <w:r>
              <w:t>Some Traditional Owners noted that there could be greater transparency in communication and improvements to the cultural appropriateness of meetings, particularly regarding the right way for men and women to meet and make decisions. There was also a view that more attention could be paid to helping Traditional Owners understand legal jargon, by having more Indigenous staff present at meetings.</w:t>
            </w:r>
            <w:r w:rsidR="004B2041">
              <w:t xml:space="preserve"> </w:t>
            </w:r>
            <w:r w:rsidR="0056739B">
              <w:t xml:space="preserve">Given the sensitivity around the use and return of cultural materials, there is a need to pay particular attention to culturally appropriate ways of conveying decisions around handling of this material. </w:t>
            </w:r>
          </w:p>
          <w:p w14:paraId="3CC7CDD7" w14:textId="73505BD4" w:rsidR="00BC5A82" w:rsidRDefault="00BC5A82" w:rsidP="00A741F8">
            <w:pPr>
              <w:pStyle w:val="Longformcallout"/>
            </w:pPr>
            <w:r w:rsidRPr="1225B3FE">
              <w:t xml:space="preserve">The KLC had a complaints policy available on its website </w:t>
            </w:r>
            <w:r>
              <w:t xml:space="preserve">with detailed information about how complaints are processed. Information about how decisions regarding assistance </w:t>
            </w:r>
            <w:r w:rsidR="0094746E">
              <w:t xml:space="preserve">could </w:t>
            </w:r>
            <w:r>
              <w:t>be reviewed was available in the applications for assistance guidelines.</w:t>
            </w:r>
          </w:p>
          <w:p w14:paraId="70F7F296" w14:textId="02547EDA" w:rsidR="00446C8E" w:rsidRDefault="00BC5A82" w:rsidP="00A741F8">
            <w:pPr>
              <w:pStyle w:val="Longformcallout"/>
            </w:pPr>
            <w:r w:rsidRPr="1225B3FE">
              <w:t xml:space="preserve">Across the Review period, the KLC received ten complaints related to native title. </w:t>
            </w:r>
            <w:r>
              <w:t>T</w:t>
            </w:r>
            <w:r w:rsidRPr="1225B3FE">
              <w:t xml:space="preserve">he KLC reported that all the complaints were </w:t>
            </w:r>
            <w:r>
              <w:t>examined and addressed, noting that this was not always to the satisfaction of the complainant.</w:t>
            </w:r>
          </w:p>
        </w:tc>
      </w:tr>
    </w:tbl>
    <w:p w14:paraId="09165712" w14:textId="77777777" w:rsidR="00446C8E" w:rsidRDefault="00446C8E" w:rsidP="007630C9">
      <w:pPr>
        <w:pStyle w:val="Heading3"/>
        <w:numPr>
          <w:ilvl w:val="2"/>
          <w:numId w:val="23"/>
        </w:numPr>
      </w:pPr>
      <w:r>
        <w:t xml:space="preserve">TOR 3: </w:t>
      </w:r>
      <w:r w:rsidRPr="00A00AA7">
        <w:t>Assessment</w:t>
      </w:r>
      <w:r w:rsidRPr="002D4BCE">
        <w:t xml:space="preserve"> of performance</w:t>
      </w:r>
    </w:p>
    <w:p w14:paraId="2101D81E" w14:textId="5FC6196C" w:rsidR="00F12A45" w:rsidRPr="00F12A45" w:rsidRDefault="00F12A45" w:rsidP="00F12A45">
      <w:pPr>
        <w:rPr>
          <w:lang w:eastAsia="en-AU"/>
        </w:rPr>
      </w:pPr>
      <w:r w:rsidRPr="00F12A45">
        <w:rPr>
          <w:lang w:eastAsia="en-AU"/>
        </w:rPr>
        <w:t>This section presents an assessment of performance against the performance indicators for this TOR. To see the performance indicators please see</w:t>
      </w:r>
      <w:r>
        <w:rPr>
          <w:lang w:eastAsia="en-AU"/>
        </w:rPr>
        <w:t xml:space="preserve"> </w:t>
      </w:r>
      <w:r>
        <w:rPr>
          <w:lang w:eastAsia="en-AU"/>
        </w:rPr>
        <w:fldChar w:fldCharType="begin"/>
      </w:r>
      <w:r>
        <w:rPr>
          <w:lang w:eastAsia="en-AU"/>
        </w:rPr>
        <w:instrText xml:space="preserve"> REF _Ref163046335 \n \h </w:instrText>
      </w:r>
      <w:r>
        <w:rPr>
          <w:lang w:eastAsia="en-AU"/>
        </w:rPr>
      </w:r>
      <w:r>
        <w:rPr>
          <w:lang w:eastAsia="en-AU"/>
        </w:rPr>
        <w:fldChar w:fldCharType="separate"/>
      </w:r>
      <w:r w:rsidR="00291532">
        <w:rPr>
          <w:lang w:eastAsia="en-AU"/>
        </w:rPr>
        <w:t>Appendix A</w:t>
      </w:r>
      <w:r>
        <w:rPr>
          <w:lang w:eastAsia="en-AU"/>
        </w:rPr>
        <w:fldChar w:fldCharType="end"/>
      </w:r>
      <w:r w:rsidRPr="00F12A45">
        <w:rPr>
          <w:lang w:eastAsia="en-AU"/>
        </w:rPr>
        <w:t>.</w:t>
      </w:r>
    </w:p>
    <w:p w14:paraId="39170284" w14:textId="674BF3A2" w:rsidR="00446C8E" w:rsidRDefault="00446C8E" w:rsidP="00446C8E">
      <w:pPr>
        <w:pStyle w:val="Heading4"/>
        <w:rPr>
          <w:b/>
          <w:bCs/>
        </w:rPr>
      </w:pPr>
      <w:r w:rsidRPr="00046737">
        <w:t>Respectful and transparent engagement</w:t>
      </w:r>
    </w:p>
    <w:p w14:paraId="3FCB7113" w14:textId="2C77FCA6" w:rsidR="00CD61C9" w:rsidRDefault="00CD61C9" w:rsidP="00CD61C9">
      <w:pPr>
        <w:pStyle w:val="Heading5"/>
        <w:numPr>
          <w:ilvl w:val="4"/>
          <w:numId w:val="2"/>
        </w:numPr>
      </w:pPr>
      <w:r>
        <w:t xml:space="preserve">Respectful engagement was highlighted in KLC’s </w:t>
      </w:r>
      <w:r w:rsidR="003564C9">
        <w:t xml:space="preserve">Code </w:t>
      </w:r>
      <w:r w:rsidR="000554BA">
        <w:t xml:space="preserve">of </w:t>
      </w:r>
      <w:r w:rsidR="003564C9">
        <w:t>Conduct</w:t>
      </w:r>
      <w:r w:rsidR="00B93E20">
        <w:rPr>
          <w:rStyle w:val="FootnoteReference"/>
        </w:rPr>
        <w:footnoteReference w:id="18"/>
      </w:r>
      <w:r>
        <w:t xml:space="preserve"> </w:t>
      </w:r>
    </w:p>
    <w:p w14:paraId="7F28E50D" w14:textId="6E79BB51" w:rsidR="00F3362D" w:rsidRDefault="00C754E7" w:rsidP="00446C8E">
      <w:pPr>
        <w:pStyle w:val="Bullet"/>
        <w:numPr>
          <w:ilvl w:val="0"/>
          <w:numId w:val="0"/>
        </w:numPr>
      </w:pPr>
      <w:r w:rsidRPr="006F6183">
        <w:t xml:space="preserve">The KLC </w:t>
      </w:r>
      <w:r w:rsidR="00281E2E" w:rsidRPr="006F6183">
        <w:t xml:space="preserve">employee </w:t>
      </w:r>
      <w:r w:rsidR="003564C9" w:rsidRPr="006F6183">
        <w:t xml:space="preserve">Code </w:t>
      </w:r>
      <w:r w:rsidR="00281E2E" w:rsidRPr="006F6183">
        <w:t xml:space="preserve">of </w:t>
      </w:r>
      <w:r w:rsidR="003564C9" w:rsidRPr="006F6183">
        <w:t xml:space="preserve">Conduct </w:t>
      </w:r>
      <w:r w:rsidR="00281E2E" w:rsidRPr="006F6183">
        <w:t xml:space="preserve">requires </w:t>
      </w:r>
      <w:r w:rsidR="00665A89" w:rsidRPr="006F6183">
        <w:t xml:space="preserve">all employees to comply with </w:t>
      </w:r>
      <w:r w:rsidR="00F3362D" w:rsidRPr="006F6183">
        <w:t>engagement expectations including</w:t>
      </w:r>
      <w:r w:rsidR="00F3362D">
        <w:t>:</w:t>
      </w:r>
    </w:p>
    <w:p w14:paraId="0FBFE693" w14:textId="2ED86B24" w:rsidR="00D11613" w:rsidRDefault="001A1677" w:rsidP="00466623">
      <w:pPr>
        <w:pStyle w:val="Bullet"/>
      </w:pPr>
      <w:r>
        <w:t xml:space="preserve">Respect </w:t>
      </w:r>
      <w:r w:rsidR="00D11613">
        <w:t>the cultural values and protocols of Kimberley Aboriginal peoples</w:t>
      </w:r>
      <w:r>
        <w:t>.</w:t>
      </w:r>
    </w:p>
    <w:p w14:paraId="0FCF20CF" w14:textId="7C6BC023" w:rsidR="00B27308" w:rsidRDefault="001A1677" w:rsidP="00466623">
      <w:pPr>
        <w:pStyle w:val="Bullet"/>
      </w:pPr>
      <w:r>
        <w:t xml:space="preserve">Behave </w:t>
      </w:r>
      <w:r w:rsidR="00B27308">
        <w:t>honestly and professionally, be impartial, efficient and act with integrity</w:t>
      </w:r>
      <w:r>
        <w:t>.</w:t>
      </w:r>
    </w:p>
    <w:p w14:paraId="182A5FA5" w14:textId="4CB703DD" w:rsidR="00B27308" w:rsidRDefault="001A1677" w:rsidP="00466623">
      <w:pPr>
        <w:pStyle w:val="Bullet"/>
      </w:pPr>
      <w:r>
        <w:t xml:space="preserve">Treat </w:t>
      </w:r>
      <w:r w:rsidR="00B27308">
        <w:t>everyone with respect and courtesy, with consideration and sensitivity, and without harassment</w:t>
      </w:r>
      <w:r>
        <w:t>.</w:t>
      </w:r>
    </w:p>
    <w:p w14:paraId="2C335D8A" w14:textId="4FF69FAC" w:rsidR="00B27308" w:rsidRDefault="001A1677" w:rsidP="00466623">
      <w:pPr>
        <w:pStyle w:val="Bullet"/>
      </w:pPr>
      <w:r>
        <w:t xml:space="preserve">Provide </w:t>
      </w:r>
      <w:r w:rsidR="00B27308">
        <w:t>timely, unbiased and professional advice</w:t>
      </w:r>
      <w:r>
        <w:t>.</w:t>
      </w:r>
    </w:p>
    <w:p w14:paraId="556B6776" w14:textId="68276E8C" w:rsidR="00B27308" w:rsidRDefault="001A1677" w:rsidP="00466623">
      <w:pPr>
        <w:pStyle w:val="Bullet"/>
      </w:pPr>
      <w:r>
        <w:lastRenderedPageBreak/>
        <w:t xml:space="preserve">Treat </w:t>
      </w:r>
      <w:r w:rsidR="00B27308">
        <w:t>all information gained in the course of their employment as confidential and not disclose any information without authority, or for personal benefit</w:t>
      </w:r>
      <w:r>
        <w:t>.</w:t>
      </w:r>
    </w:p>
    <w:p w14:paraId="146D0F95" w14:textId="4AD15787" w:rsidR="00B27308" w:rsidRDefault="001A1677" w:rsidP="00466623">
      <w:pPr>
        <w:pStyle w:val="Bullet"/>
      </w:pPr>
      <w:r>
        <w:t>Disclose</w:t>
      </w:r>
      <w:r w:rsidR="00B27308">
        <w:t>, and take reasonable steps to avoid, any conflict of interest (real or perceived)</w:t>
      </w:r>
      <w:r w:rsidR="00E91998">
        <w:t>.</w:t>
      </w:r>
    </w:p>
    <w:p w14:paraId="6AA96650" w14:textId="11F66D6D" w:rsidR="00B27308" w:rsidRDefault="001A1677" w:rsidP="00466623">
      <w:pPr>
        <w:pStyle w:val="Bullet"/>
      </w:pPr>
      <w:r>
        <w:t xml:space="preserve">Not </w:t>
      </w:r>
      <w:r w:rsidR="00B27308">
        <w:t>make improper use of the employee's duties, status, power or authority, in order to gain, or seek to gain, a benefit or advantage for the employee or for any other person</w:t>
      </w:r>
      <w:r w:rsidR="00E91998">
        <w:t>.</w:t>
      </w:r>
    </w:p>
    <w:p w14:paraId="7FC6F190" w14:textId="36FF169E" w:rsidR="00B27308" w:rsidRDefault="001A1677" w:rsidP="00466623">
      <w:pPr>
        <w:pStyle w:val="Bullet"/>
      </w:pPr>
      <w:r>
        <w:t xml:space="preserve">Maintain </w:t>
      </w:r>
      <w:r w:rsidR="00B27308">
        <w:t>the ethical standards, or codes of conduct relevant to their particular disciplines or professions</w:t>
      </w:r>
      <w:r w:rsidR="00E91998">
        <w:t>.</w:t>
      </w:r>
    </w:p>
    <w:p w14:paraId="0E2E0DBD" w14:textId="05B5F246" w:rsidR="00B27308" w:rsidRDefault="001A1677" w:rsidP="00466623">
      <w:pPr>
        <w:pStyle w:val="Bullet"/>
      </w:pPr>
      <w:r>
        <w:t xml:space="preserve">Abide </w:t>
      </w:r>
      <w:r w:rsidR="00B27308">
        <w:t>by and comply with corporate policies and procedures</w:t>
      </w:r>
      <w:r w:rsidR="000D16F6">
        <w:t>.</w:t>
      </w:r>
    </w:p>
    <w:p w14:paraId="5E9AEF7B" w14:textId="25645C69" w:rsidR="00446C8E" w:rsidRDefault="004F7BAF" w:rsidP="00446C8E">
      <w:pPr>
        <w:pStyle w:val="Bullet"/>
        <w:numPr>
          <w:ilvl w:val="0"/>
          <w:numId w:val="0"/>
        </w:numPr>
      </w:pPr>
      <w:r>
        <w:t>The</w:t>
      </w:r>
      <w:r w:rsidR="00CE4126">
        <w:t xml:space="preserve"> expectations set within th</w:t>
      </w:r>
      <w:r w:rsidR="00F04C1A">
        <w:t>is</w:t>
      </w:r>
      <w:r w:rsidR="00CE4126">
        <w:t xml:space="preserve"> employee </w:t>
      </w:r>
      <w:r w:rsidR="003564C9">
        <w:t xml:space="preserve">Code </w:t>
      </w:r>
      <w:r w:rsidR="00CE4126">
        <w:t xml:space="preserve">of </w:t>
      </w:r>
      <w:r w:rsidR="003564C9">
        <w:t xml:space="preserve">Conduct </w:t>
      </w:r>
      <w:r w:rsidR="00CE4126">
        <w:t xml:space="preserve">broadly guide </w:t>
      </w:r>
      <w:r w:rsidR="000F1E6B">
        <w:t xml:space="preserve">the </w:t>
      </w:r>
      <w:r w:rsidR="00CE4126">
        <w:t xml:space="preserve">KLC’s approach to </w:t>
      </w:r>
      <w:r w:rsidR="00B64E6A">
        <w:t xml:space="preserve">respectful and transparent engagement. </w:t>
      </w:r>
    </w:p>
    <w:p w14:paraId="78E225B6" w14:textId="185B2F56" w:rsidR="00446C8E" w:rsidRPr="00046737" w:rsidRDefault="00446C8E" w:rsidP="00446C8E">
      <w:pPr>
        <w:pStyle w:val="Heading4"/>
      </w:pPr>
      <w:r w:rsidRPr="00046737">
        <w:t>Culturally appropriate engagement</w:t>
      </w:r>
    </w:p>
    <w:p w14:paraId="6D060471" w14:textId="30FC5C04" w:rsidR="0041397D" w:rsidRDefault="003564C9" w:rsidP="00AE1C1D">
      <w:pPr>
        <w:pStyle w:val="Heading5"/>
      </w:pPr>
      <w:r>
        <w:t>KLC s</w:t>
      </w:r>
      <w:r w:rsidR="0041397D">
        <w:t xml:space="preserve">taff </w:t>
      </w:r>
      <w:r>
        <w:t xml:space="preserve">were </w:t>
      </w:r>
      <w:r w:rsidR="0041397D">
        <w:t xml:space="preserve">supported to engage appropriately through training, induction and mentoring </w:t>
      </w:r>
    </w:p>
    <w:p w14:paraId="0D145021" w14:textId="6B9A7E4C" w:rsidR="0088003F" w:rsidRDefault="00611572" w:rsidP="0088003F">
      <w:pPr>
        <w:rPr>
          <w:lang w:eastAsia="en-AU"/>
        </w:rPr>
      </w:pPr>
      <w:r>
        <w:rPr>
          <w:lang w:eastAsia="en-AU"/>
        </w:rPr>
        <w:t>A</w:t>
      </w:r>
      <w:r w:rsidR="0088003F">
        <w:rPr>
          <w:lang w:eastAsia="en-AU"/>
        </w:rPr>
        <w:t xml:space="preserve">s part of the induction process, </w:t>
      </w:r>
      <w:r w:rsidR="003564C9">
        <w:rPr>
          <w:lang w:eastAsia="en-AU"/>
        </w:rPr>
        <w:t xml:space="preserve">KLC </w:t>
      </w:r>
      <w:r w:rsidR="0088003F">
        <w:rPr>
          <w:lang w:eastAsia="en-AU"/>
        </w:rPr>
        <w:t>staff</w:t>
      </w:r>
      <w:r>
        <w:rPr>
          <w:lang w:eastAsia="en-AU"/>
        </w:rPr>
        <w:t xml:space="preserve"> engaged during the Review period</w:t>
      </w:r>
      <w:r w:rsidR="0088003F">
        <w:rPr>
          <w:lang w:eastAsia="en-AU"/>
        </w:rPr>
        <w:t xml:space="preserve"> undertook learning that broadly cover</w:t>
      </w:r>
      <w:r w:rsidR="0046003B">
        <w:rPr>
          <w:lang w:eastAsia="en-AU"/>
        </w:rPr>
        <w:t>ed</w:t>
      </w:r>
      <w:r w:rsidR="0088003F">
        <w:rPr>
          <w:lang w:eastAsia="en-AU"/>
        </w:rPr>
        <w:t xml:space="preserve"> the history of Indigenous peoples in Australia. </w:t>
      </w:r>
      <w:r w:rsidR="007804E3">
        <w:rPr>
          <w:lang w:eastAsia="en-AU"/>
        </w:rPr>
        <w:t>In addition</w:t>
      </w:r>
      <w:r w:rsidR="00D6399D">
        <w:rPr>
          <w:lang w:eastAsia="en-AU"/>
        </w:rPr>
        <w:t>,</w:t>
      </w:r>
      <w:r w:rsidR="007804E3">
        <w:rPr>
          <w:lang w:eastAsia="en-AU"/>
        </w:rPr>
        <w:t xml:space="preserve"> </w:t>
      </w:r>
      <w:r w:rsidR="00B44577">
        <w:rPr>
          <w:lang w:eastAsia="en-AU"/>
        </w:rPr>
        <w:t xml:space="preserve">any </w:t>
      </w:r>
      <w:r w:rsidR="007804E3">
        <w:rPr>
          <w:lang w:eastAsia="en-AU"/>
        </w:rPr>
        <w:t xml:space="preserve">staff assigned to work on specific areas of </w:t>
      </w:r>
      <w:r w:rsidR="0046003B">
        <w:rPr>
          <w:lang w:eastAsia="en-AU"/>
        </w:rPr>
        <w:t xml:space="preserve">Country </w:t>
      </w:r>
      <w:r w:rsidR="007804E3">
        <w:rPr>
          <w:lang w:eastAsia="en-AU"/>
        </w:rPr>
        <w:t xml:space="preserve">received </w:t>
      </w:r>
      <w:r w:rsidR="0088003F">
        <w:rPr>
          <w:lang w:eastAsia="en-AU"/>
        </w:rPr>
        <w:t xml:space="preserve">cultural immersion specific to that </w:t>
      </w:r>
      <w:r w:rsidR="0046003B">
        <w:rPr>
          <w:lang w:eastAsia="en-AU"/>
        </w:rPr>
        <w:t>Country</w:t>
      </w:r>
      <w:r w:rsidR="00B117F4">
        <w:rPr>
          <w:lang w:eastAsia="en-AU"/>
        </w:rPr>
        <w:t>. This occurred whenever staff beg</w:t>
      </w:r>
      <w:r>
        <w:rPr>
          <w:lang w:eastAsia="en-AU"/>
        </w:rPr>
        <w:t>a</w:t>
      </w:r>
      <w:r w:rsidR="00B117F4">
        <w:rPr>
          <w:lang w:eastAsia="en-AU"/>
        </w:rPr>
        <w:t xml:space="preserve">n to work in an area of </w:t>
      </w:r>
      <w:r w:rsidR="0046003B">
        <w:rPr>
          <w:lang w:eastAsia="en-AU"/>
        </w:rPr>
        <w:t>C</w:t>
      </w:r>
      <w:r w:rsidR="00B117F4">
        <w:rPr>
          <w:lang w:eastAsia="en-AU"/>
        </w:rPr>
        <w:t xml:space="preserve">ountry, regardless of their tenure with </w:t>
      </w:r>
      <w:r w:rsidR="0046003B">
        <w:rPr>
          <w:lang w:eastAsia="en-AU"/>
        </w:rPr>
        <w:t xml:space="preserve">the </w:t>
      </w:r>
      <w:r w:rsidR="00B117F4">
        <w:rPr>
          <w:lang w:eastAsia="en-AU"/>
        </w:rPr>
        <w:t>KLC.</w:t>
      </w:r>
      <w:r w:rsidR="0088003F" w:rsidRPr="009B2B74">
        <w:rPr>
          <w:lang w:eastAsia="en-AU"/>
        </w:rPr>
        <w:t xml:space="preserve"> </w:t>
      </w:r>
      <w:r w:rsidR="0088003F">
        <w:rPr>
          <w:lang w:eastAsia="en-AU"/>
        </w:rPr>
        <w:t>This cultural immersion aim</w:t>
      </w:r>
      <w:r w:rsidR="00B20EFB">
        <w:rPr>
          <w:lang w:eastAsia="en-AU"/>
        </w:rPr>
        <w:t>ed</w:t>
      </w:r>
      <w:r w:rsidR="0088003F">
        <w:rPr>
          <w:lang w:eastAsia="en-AU"/>
        </w:rPr>
        <w:t xml:space="preserve"> to develop knowledge relating to the culture, history and customs of the community being engaged. </w:t>
      </w:r>
    </w:p>
    <w:p w14:paraId="101AD08A" w14:textId="72459300" w:rsidR="00446C8E" w:rsidRDefault="00B20EFB" w:rsidP="00446C8E">
      <w:pPr>
        <w:rPr>
          <w:lang w:eastAsia="en-AU"/>
        </w:rPr>
      </w:pPr>
      <w:r>
        <w:t xml:space="preserve">The </w:t>
      </w:r>
      <w:r w:rsidR="00AF004D">
        <w:t>KLC place</w:t>
      </w:r>
      <w:r>
        <w:t>d</w:t>
      </w:r>
      <w:r w:rsidR="00AF004D">
        <w:t xml:space="preserve"> strong emphasis on mentoring of non-Indigenous staff by local Indigenous staff. </w:t>
      </w:r>
      <w:r w:rsidR="003A78B1">
        <w:t xml:space="preserve">Importantly, organisation leadership </w:t>
      </w:r>
      <w:r w:rsidR="00B623F4">
        <w:t>included</w:t>
      </w:r>
      <w:r w:rsidR="003A78B1">
        <w:t xml:space="preserve"> a large proportion of Indigenous </w:t>
      </w:r>
      <w:r w:rsidR="00B623F4">
        <w:t>staf</w:t>
      </w:r>
      <w:r w:rsidR="00546195">
        <w:t>f</w:t>
      </w:r>
      <w:r w:rsidR="003A78B1">
        <w:t xml:space="preserve"> with the CEO, Deputy CEO</w:t>
      </w:r>
      <w:r w:rsidR="00CD7F02">
        <w:t>,</w:t>
      </w:r>
      <w:r w:rsidR="003A78B1">
        <w:t xml:space="preserve"> </w:t>
      </w:r>
      <w:r w:rsidR="00E26184">
        <w:t>NTSU Manager,</w:t>
      </w:r>
      <w:r w:rsidR="003A78B1">
        <w:t xml:space="preserve"> and Land and Sea Manager all Indigenous Australians </w:t>
      </w:r>
      <w:r w:rsidR="00546195">
        <w:t>with</w:t>
      </w:r>
      <w:r w:rsidR="003A78B1">
        <w:t xml:space="preserve"> ties to the Kimberley. As a result, the KLC ha</w:t>
      </w:r>
      <w:r w:rsidR="00DF4E77">
        <w:t>d</w:t>
      </w:r>
      <w:r w:rsidR="003A78B1">
        <w:t xml:space="preserve"> strategic and operational insight on cultural appropriateness throughout all levels of the organisation, allowing for robust oversight. Non-Indigenous staff underscored the importance of Indigenous staff guidance in matters of cultural appropriateness.</w:t>
      </w:r>
      <w:r w:rsidR="00691F75">
        <w:t xml:space="preserve"> </w:t>
      </w:r>
      <w:r w:rsidR="003173B0" w:rsidRPr="231D041B">
        <w:rPr>
          <w:lang w:eastAsia="en-AU"/>
        </w:rPr>
        <w:t xml:space="preserve">In addition to cultural orientation to support culturally appropriate engagement, </w:t>
      </w:r>
      <w:r w:rsidR="00DF4E77">
        <w:rPr>
          <w:lang w:eastAsia="en-AU"/>
        </w:rPr>
        <w:t xml:space="preserve">the </w:t>
      </w:r>
      <w:r w:rsidR="003173B0" w:rsidRPr="231D041B">
        <w:rPr>
          <w:lang w:eastAsia="en-AU"/>
        </w:rPr>
        <w:t xml:space="preserve">KLC built staff skills through </w:t>
      </w:r>
      <w:r w:rsidR="00312DF4" w:rsidRPr="231D041B">
        <w:rPr>
          <w:lang w:eastAsia="en-AU"/>
        </w:rPr>
        <w:t xml:space="preserve">providing </w:t>
      </w:r>
      <w:r w:rsidR="00446C8E" w:rsidRPr="231D041B">
        <w:rPr>
          <w:lang w:eastAsia="en-AU"/>
        </w:rPr>
        <w:t>two workshops on trauma-informed engagement</w:t>
      </w:r>
      <w:r w:rsidR="00312DF4" w:rsidRPr="231D041B">
        <w:rPr>
          <w:lang w:eastAsia="en-AU"/>
        </w:rPr>
        <w:t xml:space="preserve"> </w:t>
      </w:r>
      <w:r w:rsidR="004A64A7">
        <w:rPr>
          <w:lang w:eastAsia="en-AU"/>
        </w:rPr>
        <w:t>during</w:t>
      </w:r>
      <w:r w:rsidR="004A64A7" w:rsidRPr="231D041B">
        <w:rPr>
          <w:lang w:eastAsia="en-AU"/>
        </w:rPr>
        <w:t xml:space="preserve"> </w:t>
      </w:r>
      <w:r w:rsidR="00312DF4" w:rsidRPr="231D041B">
        <w:rPr>
          <w:lang w:eastAsia="en-AU"/>
        </w:rPr>
        <w:t>the Review period</w:t>
      </w:r>
      <w:r w:rsidR="00987C49" w:rsidRPr="231D041B">
        <w:rPr>
          <w:lang w:eastAsia="en-AU"/>
        </w:rPr>
        <w:t>,</w:t>
      </w:r>
      <w:r w:rsidR="00446C8E" w:rsidRPr="231D041B">
        <w:rPr>
          <w:lang w:eastAsia="en-AU"/>
        </w:rPr>
        <w:t xml:space="preserve"> with an additional four training sessions having been conducted by the time </w:t>
      </w:r>
      <w:r w:rsidR="00903CD8" w:rsidRPr="231D041B">
        <w:rPr>
          <w:lang w:eastAsia="en-AU"/>
        </w:rPr>
        <w:t>of consultations for the Review</w:t>
      </w:r>
      <w:r w:rsidR="00446C8E" w:rsidRPr="231D041B">
        <w:rPr>
          <w:lang w:eastAsia="en-AU"/>
        </w:rPr>
        <w:t xml:space="preserve"> in August 2023. This training </w:t>
      </w:r>
      <w:r w:rsidR="004A64A7">
        <w:rPr>
          <w:lang w:eastAsia="en-AU"/>
        </w:rPr>
        <w:t>was</w:t>
      </w:r>
      <w:r w:rsidR="00446C8E" w:rsidRPr="231D041B">
        <w:rPr>
          <w:lang w:eastAsia="en-AU"/>
        </w:rPr>
        <w:t xml:space="preserve"> compulsory for all KLC native title staff. </w:t>
      </w:r>
    </w:p>
    <w:p w14:paraId="043D0AC3" w14:textId="1555C9BE" w:rsidR="00390A7C" w:rsidRDefault="005E1966" w:rsidP="00446C8E">
      <w:pPr>
        <w:rPr>
          <w:lang w:eastAsia="en-AU"/>
        </w:rPr>
      </w:pPr>
      <w:r>
        <w:rPr>
          <w:lang w:eastAsia="en-AU"/>
        </w:rPr>
        <w:t>S</w:t>
      </w:r>
      <w:r w:rsidR="00390A7C">
        <w:rPr>
          <w:lang w:eastAsia="en-AU"/>
        </w:rPr>
        <w:t xml:space="preserve">trategies </w:t>
      </w:r>
      <w:r w:rsidR="000944E6">
        <w:rPr>
          <w:lang w:eastAsia="en-AU"/>
        </w:rPr>
        <w:t xml:space="preserve">reported to the Review by </w:t>
      </w:r>
      <w:r w:rsidR="00390A7C">
        <w:rPr>
          <w:lang w:eastAsia="en-AU"/>
        </w:rPr>
        <w:t xml:space="preserve">research staff in conducting meetings </w:t>
      </w:r>
      <w:r>
        <w:rPr>
          <w:lang w:eastAsia="en-AU"/>
        </w:rPr>
        <w:t>includ</w:t>
      </w:r>
      <w:r w:rsidR="000944E6">
        <w:rPr>
          <w:lang w:eastAsia="en-AU"/>
        </w:rPr>
        <w:t xml:space="preserve">ed ensuring that </w:t>
      </w:r>
      <w:r w:rsidR="0093604D">
        <w:rPr>
          <w:lang w:eastAsia="en-AU"/>
        </w:rPr>
        <w:t xml:space="preserve">safe places were always provided for people to ask questions </w:t>
      </w:r>
      <w:r w:rsidR="00D80645">
        <w:rPr>
          <w:lang w:eastAsia="en-AU"/>
        </w:rPr>
        <w:t xml:space="preserve">or voice their views </w:t>
      </w:r>
      <w:r w:rsidR="0093604D">
        <w:rPr>
          <w:lang w:eastAsia="en-AU"/>
        </w:rPr>
        <w:t xml:space="preserve">by </w:t>
      </w:r>
      <w:r w:rsidR="00476D70">
        <w:rPr>
          <w:lang w:eastAsia="en-AU"/>
        </w:rPr>
        <w:t xml:space="preserve">holding separate meetings </w:t>
      </w:r>
      <w:r w:rsidR="00D80645">
        <w:rPr>
          <w:lang w:eastAsia="en-AU"/>
        </w:rPr>
        <w:t>wherever possible.</w:t>
      </w:r>
    </w:p>
    <w:p w14:paraId="7B252DEE" w14:textId="5C9E2124" w:rsidR="00F45F95" w:rsidRDefault="00EC1FDE" w:rsidP="00AE1C1D">
      <w:pPr>
        <w:pStyle w:val="Heading5"/>
      </w:pPr>
      <w:r>
        <w:t>Written d</w:t>
      </w:r>
      <w:r w:rsidR="00497261">
        <w:t xml:space="preserve">ocumentation </w:t>
      </w:r>
      <w:r w:rsidR="007F21C4">
        <w:t xml:space="preserve">and guidelines could enhance </w:t>
      </w:r>
      <w:r>
        <w:t xml:space="preserve">consistent </w:t>
      </w:r>
      <w:r w:rsidR="009C7DC3">
        <w:t>application of culturally appropriate engage</w:t>
      </w:r>
      <w:r w:rsidR="009B3436">
        <w:t>ment</w:t>
      </w:r>
    </w:p>
    <w:p w14:paraId="7DB1451F" w14:textId="07AC797F" w:rsidR="007071D2" w:rsidRDefault="00F45F95" w:rsidP="00F45F95">
      <w:pPr>
        <w:rPr>
          <w:szCs w:val="19"/>
          <w:lang w:eastAsia="en-AU"/>
        </w:rPr>
      </w:pPr>
      <w:r>
        <w:rPr>
          <w:lang w:eastAsia="en-AU"/>
        </w:rPr>
        <w:t xml:space="preserve">While the </w:t>
      </w:r>
      <w:r w:rsidR="00243B5B">
        <w:rPr>
          <w:lang w:eastAsia="en-AU"/>
        </w:rPr>
        <w:t xml:space="preserve">Review observed that the </w:t>
      </w:r>
      <w:r>
        <w:rPr>
          <w:lang w:eastAsia="en-AU"/>
        </w:rPr>
        <w:t>KLC d</w:t>
      </w:r>
      <w:r w:rsidR="00FE0E24">
        <w:rPr>
          <w:lang w:eastAsia="en-AU"/>
        </w:rPr>
        <w:t>id</w:t>
      </w:r>
      <w:r>
        <w:rPr>
          <w:lang w:eastAsia="en-AU"/>
        </w:rPr>
        <w:t xml:space="preserve"> undertake culturally appropriate engagement across </w:t>
      </w:r>
      <w:r w:rsidR="00243B5B">
        <w:rPr>
          <w:lang w:eastAsia="en-AU"/>
        </w:rPr>
        <w:t>its</w:t>
      </w:r>
      <w:r>
        <w:rPr>
          <w:lang w:eastAsia="en-AU"/>
        </w:rPr>
        <w:t xml:space="preserve"> work, </w:t>
      </w:r>
      <w:r w:rsidR="000A1B03">
        <w:rPr>
          <w:lang w:eastAsia="en-AU"/>
        </w:rPr>
        <w:t>its approach was</w:t>
      </w:r>
      <w:r w:rsidR="00445D27">
        <w:rPr>
          <w:lang w:eastAsia="en-AU"/>
        </w:rPr>
        <w:t xml:space="preserve"> not </w:t>
      </w:r>
      <w:r w:rsidR="000D5800">
        <w:rPr>
          <w:lang w:eastAsia="en-AU"/>
        </w:rPr>
        <w:t xml:space="preserve">necessarily </w:t>
      </w:r>
      <w:r w:rsidR="006D36A5">
        <w:rPr>
          <w:lang w:eastAsia="en-AU"/>
        </w:rPr>
        <w:t xml:space="preserve">recorded in policies or </w:t>
      </w:r>
      <w:r w:rsidR="000D5800">
        <w:rPr>
          <w:lang w:eastAsia="en-AU"/>
        </w:rPr>
        <w:t>written</w:t>
      </w:r>
      <w:r w:rsidR="009C302C">
        <w:rPr>
          <w:lang w:eastAsia="en-AU"/>
        </w:rPr>
        <w:t xml:space="preserve"> </w:t>
      </w:r>
      <w:r w:rsidR="004A7F41">
        <w:rPr>
          <w:lang w:eastAsia="en-AU"/>
        </w:rPr>
        <w:t>procedures</w:t>
      </w:r>
      <w:r>
        <w:rPr>
          <w:lang w:eastAsia="en-AU"/>
        </w:rPr>
        <w:t xml:space="preserve"> </w:t>
      </w:r>
      <w:r w:rsidR="009E7B5D">
        <w:rPr>
          <w:lang w:eastAsia="en-AU"/>
        </w:rPr>
        <w:t>to guide consistent implementation</w:t>
      </w:r>
      <w:r w:rsidRPr="00F377A5">
        <w:rPr>
          <w:szCs w:val="19"/>
          <w:lang w:eastAsia="en-AU"/>
        </w:rPr>
        <w:t xml:space="preserve">. </w:t>
      </w:r>
    </w:p>
    <w:p w14:paraId="20A441AC" w14:textId="20371240" w:rsidR="00F45F95" w:rsidRDefault="00F45F95" w:rsidP="00446C8E">
      <w:pPr>
        <w:rPr>
          <w:lang w:eastAsia="en-AU"/>
        </w:rPr>
      </w:pPr>
      <w:r w:rsidRPr="00F377A5">
        <w:rPr>
          <w:szCs w:val="19"/>
          <w:lang w:eastAsia="en-AU"/>
        </w:rPr>
        <w:t>The KLC ha</w:t>
      </w:r>
      <w:r w:rsidR="008E4231">
        <w:rPr>
          <w:szCs w:val="19"/>
          <w:lang w:eastAsia="en-AU"/>
        </w:rPr>
        <w:t>d</w:t>
      </w:r>
      <w:r w:rsidRPr="00F377A5">
        <w:rPr>
          <w:szCs w:val="19"/>
          <w:lang w:eastAsia="en-AU"/>
        </w:rPr>
        <w:t xml:space="preserve"> an opportunity to</w:t>
      </w:r>
      <w:r w:rsidR="0009235D">
        <w:rPr>
          <w:szCs w:val="19"/>
          <w:lang w:eastAsia="en-AU"/>
        </w:rPr>
        <w:t xml:space="preserve"> enhance</w:t>
      </w:r>
      <w:r w:rsidRPr="00F377A5">
        <w:rPr>
          <w:szCs w:val="19"/>
          <w:lang w:eastAsia="en-AU"/>
        </w:rPr>
        <w:t xml:space="preserve"> </w:t>
      </w:r>
      <w:r w:rsidR="00654456">
        <w:rPr>
          <w:szCs w:val="19"/>
          <w:lang w:eastAsia="en-AU"/>
        </w:rPr>
        <w:t xml:space="preserve">its </w:t>
      </w:r>
      <w:r>
        <w:rPr>
          <w:szCs w:val="19"/>
          <w:lang w:eastAsia="en-AU"/>
        </w:rPr>
        <w:t>engagement with Traditional Owners</w:t>
      </w:r>
      <w:r w:rsidR="0009235D">
        <w:rPr>
          <w:szCs w:val="19"/>
          <w:lang w:eastAsia="en-AU"/>
        </w:rPr>
        <w:t xml:space="preserve"> through f</w:t>
      </w:r>
      <w:r w:rsidRPr="00F377A5">
        <w:rPr>
          <w:szCs w:val="19"/>
          <w:lang w:eastAsia="en-AU"/>
        </w:rPr>
        <w:t>ormalising existing and</w:t>
      </w:r>
      <w:r>
        <w:rPr>
          <w:lang w:eastAsia="en-AU"/>
        </w:rPr>
        <w:t xml:space="preserve"> co-designing new policies and procedures related to cultural appropriateness alongside Kimberley Traditional Owners</w:t>
      </w:r>
      <w:r w:rsidR="00B81FC8">
        <w:rPr>
          <w:lang w:eastAsia="en-AU"/>
        </w:rPr>
        <w:t>.</w:t>
      </w:r>
      <w:r w:rsidR="00654456">
        <w:rPr>
          <w:lang w:eastAsia="en-AU"/>
        </w:rPr>
        <w:t xml:space="preserve"> </w:t>
      </w:r>
    </w:p>
    <w:p w14:paraId="0161A129" w14:textId="671614DA" w:rsidR="00D26A13" w:rsidRDefault="00D3218F" w:rsidP="00AE1C1D">
      <w:pPr>
        <w:pStyle w:val="Heading5"/>
      </w:pPr>
      <w:r>
        <w:lastRenderedPageBreak/>
        <w:t xml:space="preserve">Traditional </w:t>
      </w:r>
      <w:r w:rsidR="003B7621">
        <w:t>O</w:t>
      </w:r>
      <w:r>
        <w:t xml:space="preserve">wners </w:t>
      </w:r>
      <w:r w:rsidR="00AF366D">
        <w:t xml:space="preserve">identified opportunities for the </w:t>
      </w:r>
      <w:r>
        <w:t xml:space="preserve">KLC </w:t>
      </w:r>
      <w:r w:rsidR="00AF366D">
        <w:t xml:space="preserve">to improve </w:t>
      </w:r>
      <w:r w:rsidR="00DD7416">
        <w:t>the cultural appropriateness of meetings</w:t>
      </w:r>
    </w:p>
    <w:p w14:paraId="293D7583" w14:textId="57EE7290" w:rsidR="00D13ABB" w:rsidRPr="00F854FB" w:rsidRDefault="00654465" w:rsidP="00654465">
      <w:pPr>
        <w:rPr>
          <w:lang w:eastAsia="en-AU"/>
        </w:rPr>
      </w:pPr>
      <w:r>
        <w:rPr>
          <w:lang w:eastAsia="en-AU"/>
        </w:rPr>
        <w:t>C</w:t>
      </w:r>
      <w:r w:rsidR="00446C8E">
        <w:rPr>
          <w:lang w:eastAsia="en-AU"/>
        </w:rPr>
        <w:t xml:space="preserve">ultural appropriateness </w:t>
      </w:r>
      <w:r w:rsidR="00E65E82">
        <w:rPr>
          <w:lang w:eastAsia="en-AU"/>
        </w:rPr>
        <w:t>wa</w:t>
      </w:r>
      <w:r w:rsidR="00446C8E">
        <w:rPr>
          <w:lang w:eastAsia="en-AU"/>
        </w:rPr>
        <w:t xml:space="preserve">s </w:t>
      </w:r>
      <w:r w:rsidR="00B96FBD">
        <w:rPr>
          <w:lang w:eastAsia="en-AU"/>
        </w:rPr>
        <w:t xml:space="preserve">generally </w:t>
      </w:r>
      <w:r w:rsidR="00446C8E">
        <w:rPr>
          <w:lang w:eastAsia="en-AU"/>
        </w:rPr>
        <w:t xml:space="preserve">perceived </w:t>
      </w:r>
      <w:r w:rsidR="00AA0122">
        <w:rPr>
          <w:lang w:eastAsia="en-AU"/>
        </w:rPr>
        <w:t>positively</w:t>
      </w:r>
      <w:r w:rsidR="00EA407F">
        <w:rPr>
          <w:lang w:eastAsia="en-AU"/>
        </w:rPr>
        <w:t>, with a</w:t>
      </w:r>
      <w:r>
        <w:rPr>
          <w:lang w:eastAsia="en-AU"/>
        </w:rPr>
        <w:t xml:space="preserve"> </w:t>
      </w:r>
      <w:r w:rsidR="00B05D69">
        <w:rPr>
          <w:lang w:eastAsia="en-AU"/>
        </w:rPr>
        <w:t xml:space="preserve">particular </w:t>
      </w:r>
      <w:r>
        <w:rPr>
          <w:lang w:eastAsia="en-AU"/>
        </w:rPr>
        <w:t xml:space="preserve">strength being </w:t>
      </w:r>
      <w:r w:rsidRPr="00F854FB">
        <w:rPr>
          <w:lang w:eastAsia="en-AU"/>
        </w:rPr>
        <w:t>the use of interpreters for meetings</w:t>
      </w:r>
      <w:r w:rsidR="00D13ABB">
        <w:rPr>
          <w:lang w:eastAsia="en-AU"/>
        </w:rPr>
        <w:t>. The use of i</w:t>
      </w:r>
      <w:r w:rsidRPr="00F854FB">
        <w:rPr>
          <w:lang w:eastAsia="en-AU"/>
        </w:rPr>
        <w:t>nterpreters provided the understanding needed to make informed decisions.</w:t>
      </w:r>
    </w:p>
    <w:p w14:paraId="2F34C8EF" w14:textId="79CFFE28" w:rsidR="00CC2928" w:rsidRPr="00F854FB" w:rsidRDefault="00446C8E" w:rsidP="00446C8E">
      <w:pPr>
        <w:rPr>
          <w:lang w:eastAsia="en-AU"/>
        </w:rPr>
      </w:pPr>
      <w:r w:rsidRPr="00834A1C">
        <w:rPr>
          <w:lang w:eastAsia="en-AU"/>
        </w:rPr>
        <w:t xml:space="preserve">Traditional Owners </w:t>
      </w:r>
      <w:r w:rsidR="00D13ABB" w:rsidRPr="00F854FB">
        <w:rPr>
          <w:lang w:eastAsia="en-AU"/>
        </w:rPr>
        <w:t xml:space="preserve">consulted </w:t>
      </w:r>
      <w:r w:rsidR="00A6667F">
        <w:rPr>
          <w:lang w:eastAsia="en-AU"/>
        </w:rPr>
        <w:t>as part of</w:t>
      </w:r>
      <w:r w:rsidR="00A6667F" w:rsidRPr="00F854FB">
        <w:rPr>
          <w:lang w:eastAsia="en-AU"/>
        </w:rPr>
        <w:t xml:space="preserve"> </w:t>
      </w:r>
      <w:r w:rsidR="00D13ABB" w:rsidRPr="00F854FB">
        <w:rPr>
          <w:lang w:eastAsia="en-AU"/>
        </w:rPr>
        <w:t xml:space="preserve">the Review </w:t>
      </w:r>
      <w:r w:rsidR="00D13ABB">
        <w:rPr>
          <w:lang w:eastAsia="en-AU"/>
        </w:rPr>
        <w:t xml:space="preserve">also </w:t>
      </w:r>
      <w:r w:rsidR="00B96FBD">
        <w:rPr>
          <w:lang w:eastAsia="en-AU"/>
        </w:rPr>
        <w:t>highlighted</w:t>
      </w:r>
      <w:r w:rsidRPr="00834A1C">
        <w:rPr>
          <w:lang w:eastAsia="en-AU"/>
        </w:rPr>
        <w:t xml:space="preserve"> </w:t>
      </w:r>
      <w:r w:rsidR="00103AB1">
        <w:rPr>
          <w:lang w:eastAsia="en-AU"/>
        </w:rPr>
        <w:t xml:space="preserve">some </w:t>
      </w:r>
      <w:r w:rsidRPr="00834A1C">
        <w:rPr>
          <w:lang w:eastAsia="en-AU"/>
        </w:rPr>
        <w:t xml:space="preserve">opportunities for </w:t>
      </w:r>
      <w:r w:rsidR="00B96FBD">
        <w:rPr>
          <w:lang w:eastAsia="en-AU"/>
        </w:rPr>
        <w:t xml:space="preserve">the KLC to refine </w:t>
      </w:r>
      <w:r w:rsidR="006F410B">
        <w:rPr>
          <w:lang w:eastAsia="en-AU"/>
        </w:rPr>
        <w:t>the way meetings are conducted.</w:t>
      </w:r>
      <w:r w:rsidR="008D67CB">
        <w:rPr>
          <w:lang w:eastAsia="en-AU"/>
        </w:rPr>
        <w:t xml:space="preserve"> </w:t>
      </w:r>
      <w:r w:rsidR="00643D83">
        <w:rPr>
          <w:lang w:eastAsia="en-AU"/>
        </w:rPr>
        <w:t>Some were concerned</w:t>
      </w:r>
      <w:r w:rsidRPr="00F854FB">
        <w:rPr>
          <w:lang w:eastAsia="en-AU"/>
        </w:rPr>
        <w:t xml:space="preserve"> that meeting processes d</w:t>
      </w:r>
      <w:r w:rsidR="003E1141">
        <w:rPr>
          <w:lang w:eastAsia="en-AU"/>
        </w:rPr>
        <w:t>id</w:t>
      </w:r>
      <w:r w:rsidRPr="00F854FB">
        <w:rPr>
          <w:lang w:eastAsia="en-AU"/>
        </w:rPr>
        <w:t xml:space="preserve"> not </w:t>
      </w:r>
      <w:r w:rsidR="00A14C04">
        <w:rPr>
          <w:lang w:eastAsia="en-AU"/>
        </w:rPr>
        <w:t xml:space="preserve">always </w:t>
      </w:r>
      <w:r w:rsidRPr="00F854FB">
        <w:rPr>
          <w:lang w:eastAsia="en-AU"/>
        </w:rPr>
        <w:t>follow culturally appropriate customs and protocols</w:t>
      </w:r>
      <w:r w:rsidR="002C2E16">
        <w:rPr>
          <w:lang w:eastAsia="en-AU"/>
        </w:rPr>
        <w:t xml:space="preserve"> regarding the right way for men and women to meet and make decisions</w:t>
      </w:r>
      <w:r w:rsidR="00863A70">
        <w:rPr>
          <w:lang w:eastAsia="en-AU"/>
        </w:rPr>
        <w:t>, including no</w:t>
      </w:r>
      <w:r w:rsidR="00F51F7A" w:rsidRPr="00F854FB">
        <w:rPr>
          <w:lang w:eastAsia="en-AU"/>
        </w:rPr>
        <w:t xml:space="preserve"> space for men and women to break into gender groups</w:t>
      </w:r>
      <w:r w:rsidR="00822DEA" w:rsidRPr="00F854FB">
        <w:rPr>
          <w:lang w:eastAsia="en-AU"/>
        </w:rPr>
        <w:t xml:space="preserve"> to discuss the issues at hand. Some stakeholders felt that this</w:t>
      </w:r>
      <w:r w:rsidR="00043BF8" w:rsidRPr="00F854FB">
        <w:rPr>
          <w:lang w:eastAsia="en-AU"/>
        </w:rPr>
        <w:t xml:space="preserve"> </w:t>
      </w:r>
      <w:r w:rsidR="00822DEA" w:rsidRPr="00F854FB">
        <w:rPr>
          <w:lang w:eastAsia="en-AU"/>
        </w:rPr>
        <w:t>reinforce</w:t>
      </w:r>
      <w:r w:rsidR="001C4675">
        <w:rPr>
          <w:lang w:eastAsia="en-AU"/>
        </w:rPr>
        <w:t>d</w:t>
      </w:r>
      <w:r w:rsidR="00822DEA" w:rsidRPr="00F854FB">
        <w:rPr>
          <w:lang w:eastAsia="en-AU"/>
        </w:rPr>
        <w:t xml:space="preserve"> power dynamics through which men dominate meetings. </w:t>
      </w:r>
    </w:p>
    <w:p w14:paraId="720E5077" w14:textId="60BCDB6E" w:rsidR="0073500F" w:rsidRDefault="00AA3AE5" w:rsidP="00F854FB">
      <w:pPr>
        <w:rPr>
          <w:lang w:eastAsia="en-AU"/>
        </w:rPr>
      </w:pPr>
      <w:r>
        <w:rPr>
          <w:lang w:eastAsia="en-AU"/>
        </w:rPr>
        <w:t xml:space="preserve">A further </w:t>
      </w:r>
      <w:r w:rsidR="001D37A7">
        <w:rPr>
          <w:lang w:eastAsia="en-AU"/>
        </w:rPr>
        <w:t>comment</w:t>
      </w:r>
      <w:r>
        <w:rPr>
          <w:lang w:eastAsia="en-AU"/>
        </w:rPr>
        <w:t xml:space="preserve"> made to the Review was that </w:t>
      </w:r>
      <w:r w:rsidR="00B50579">
        <w:rPr>
          <w:lang w:eastAsia="en-AU"/>
        </w:rPr>
        <w:t xml:space="preserve">KLC </w:t>
      </w:r>
      <w:r w:rsidR="00994CF8">
        <w:rPr>
          <w:lang w:eastAsia="en-AU"/>
        </w:rPr>
        <w:t xml:space="preserve">staff at claim meetings did not always help </w:t>
      </w:r>
      <w:r w:rsidR="0073500F" w:rsidRPr="002F6CEC">
        <w:rPr>
          <w:lang w:eastAsia="en-AU"/>
        </w:rPr>
        <w:t>the community understand legal jargon</w:t>
      </w:r>
      <w:r w:rsidR="00994CF8">
        <w:rPr>
          <w:lang w:eastAsia="en-AU"/>
        </w:rPr>
        <w:t>. S</w:t>
      </w:r>
      <w:r w:rsidR="0073500F" w:rsidRPr="002F6CEC">
        <w:rPr>
          <w:lang w:eastAsia="en-AU"/>
        </w:rPr>
        <w:t xml:space="preserve">ome clients suggested </w:t>
      </w:r>
      <w:r w:rsidR="00994CF8">
        <w:rPr>
          <w:lang w:eastAsia="en-AU"/>
        </w:rPr>
        <w:t xml:space="preserve">this </w:t>
      </w:r>
      <w:r w:rsidR="0073500F" w:rsidRPr="002F6CEC">
        <w:rPr>
          <w:lang w:eastAsia="en-AU"/>
        </w:rPr>
        <w:t xml:space="preserve">might be mitigated </w:t>
      </w:r>
      <w:r w:rsidR="00994CF8">
        <w:rPr>
          <w:lang w:eastAsia="en-AU"/>
        </w:rPr>
        <w:t>by</w:t>
      </w:r>
      <w:r w:rsidR="0073500F" w:rsidRPr="002F6CEC">
        <w:rPr>
          <w:lang w:eastAsia="en-AU"/>
        </w:rPr>
        <w:t xml:space="preserve"> more Indigenous staff </w:t>
      </w:r>
      <w:r w:rsidR="00994CF8">
        <w:rPr>
          <w:lang w:eastAsia="en-AU"/>
        </w:rPr>
        <w:t xml:space="preserve">being </w:t>
      </w:r>
      <w:r w:rsidR="0073500F" w:rsidRPr="002F6CEC">
        <w:rPr>
          <w:lang w:eastAsia="en-AU"/>
        </w:rPr>
        <w:t>present at meetings</w:t>
      </w:r>
      <w:r w:rsidR="00994CF8">
        <w:rPr>
          <w:lang w:eastAsia="en-AU"/>
        </w:rPr>
        <w:t>.</w:t>
      </w:r>
    </w:p>
    <w:p w14:paraId="41034F9C" w14:textId="703666B0" w:rsidR="00446C8E" w:rsidRPr="00F854FB" w:rsidRDefault="00CC2928" w:rsidP="00F854FB">
      <w:pPr>
        <w:rPr>
          <w:lang w:eastAsia="en-AU"/>
        </w:rPr>
      </w:pPr>
      <w:r w:rsidRPr="00F854FB">
        <w:rPr>
          <w:lang w:eastAsia="en-AU"/>
        </w:rPr>
        <w:t xml:space="preserve">Traditional Owners in </w:t>
      </w:r>
      <w:r w:rsidR="00F854FB">
        <w:rPr>
          <w:lang w:eastAsia="en-AU"/>
        </w:rPr>
        <w:t>remote</w:t>
      </w:r>
      <w:r w:rsidRPr="00F854FB">
        <w:rPr>
          <w:lang w:eastAsia="en-AU"/>
        </w:rPr>
        <w:t xml:space="preserve"> areas shared the view that it would be appreciated if the KLC could hold meetings in areas closer to them, </w:t>
      </w:r>
      <w:r w:rsidR="005D6C50">
        <w:rPr>
          <w:lang w:eastAsia="en-AU"/>
        </w:rPr>
        <w:t>however</w:t>
      </w:r>
      <w:r w:rsidR="000E7AFC">
        <w:rPr>
          <w:lang w:eastAsia="en-AU"/>
        </w:rPr>
        <w:t xml:space="preserve"> they appreciated </w:t>
      </w:r>
      <w:r w:rsidRPr="00F854FB">
        <w:rPr>
          <w:lang w:eastAsia="en-AU"/>
        </w:rPr>
        <w:t xml:space="preserve">that remoteness </w:t>
      </w:r>
      <w:r w:rsidR="00AD1DA9" w:rsidRPr="00F854FB">
        <w:rPr>
          <w:lang w:eastAsia="en-AU"/>
        </w:rPr>
        <w:t xml:space="preserve">poses a challenge given funding </w:t>
      </w:r>
      <w:r w:rsidR="00567CF7" w:rsidRPr="00F854FB">
        <w:rPr>
          <w:lang w:eastAsia="en-AU"/>
        </w:rPr>
        <w:t>considerations</w:t>
      </w:r>
      <w:r w:rsidRPr="00F854FB">
        <w:rPr>
          <w:lang w:eastAsia="en-AU"/>
        </w:rPr>
        <w:t>.</w:t>
      </w:r>
    </w:p>
    <w:p w14:paraId="2D51C5AF" w14:textId="77777777" w:rsidR="00446C8E" w:rsidRDefault="00446C8E" w:rsidP="00446C8E">
      <w:pPr>
        <w:pStyle w:val="Heading4"/>
      </w:pPr>
      <w:r w:rsidRPr="00046737">
        <w:t>Complaints</w:t>
      </w:r>
    </w:p>
    <w:p w14:paraId="065CC2B3" w14:textId="7BFC1378" w:rsidR="00604881" w:rsidRPr="00BB0088" w:rsidRDefault="00C23AED" w:rsidP="00AE1C1D">
      <w:pPr>
        <w:pStyle w:val="Heading5"/>
      </w:pPr>
      <w:r>
        <w:t xml:space="preserve">The KLC </w:t>
      </w:r>
      <w:r w:rsidR="00AB388D">
        <w:t>had a complaints policy</w:t>
      </w:r>
      <w:r w:rsidR="00204235">
        <w:t xml:space="preserve"> </w:t>
      </w:r>
      <w:r w:rsidR="00796751">
        <w:t>available</w:t>
      </w:r>
      <w:r w:rsidR="00AB388D">
        <w:t xml:space="preserve"> on </w:t>
      </w:r>
      <w:r w:rsidR="000E7AFC">
        <w:t>its</w:t>
      </w:r>
      <w:r w:rsidR="00AB388D">
        <w:t xml:space="preserve"> website</w:t>
      </w:r>
    </w:p>
    <w:p w14:paraId="0FEF5535" w14:textId="04E7C3F3" w:rsidR="00604881" w:rsidRDefault="00604881" w:rsidP="00604881">
      <w:r>
        <w:t>The KLC</w:t>
      </w:r>
      <w:r w:rsidDel="00BB0623">
        <w:t xml:space="preserve"> </w:t>
      </w:r>
      <w:r w:rsidR="00BB0623">
        <w:t xml:space="preserve">had </w:t>
      </w:r>
      <w:r>
        <w:t xml:space="preserve">a </w:t>
      </w:r>
      <w:r w:rsidR="009E5056">
        <w:t xml:space="preserve">complaints </w:t>
      </w:r>
      <w:r>
        <w:t xml:space="preserve">policy for dealing with complaints from members and the public </w:t>
      </w:r>
      <w:r w:rsidR="00EF4E77">
        <w:t xml:space="preserve">regarding </w:t>
      </w:r>
      <w:r>
        <w:t>decisions or actions of the KLC or its staff</w:t>
      </w:r>
      <w:r w:rsidR="00674B20">
        <w:t>,</w:t>
      </w:r>
      <w:r>
        <w:t xml:space="preserve"> including:</w:t>
      </w:r>
    </w:p>
    <w:p w14:paraId="6BA49C81" w14:textId="76482368" w:rsidR="00604881" w:rsidRDefault="00604881" w:rsidP="00727CC1">
      <w:pPr>
        <w:pStyle w:val="Bullet"/>
      </w:pPr>
      <w:r>
        <w:t xml:space="preserve">a decision of </w:t>
      </w:r>
      <w:r w:rsidR="00B32B42">
        <w:t>a</w:t>
      </w:r>
      <w:r>
        <w:t xml:space="preserve"> KLC Executive Director </w:t>
      </w:r>
    </w:p>
    <w:p w14:paraId="2515014B" w14:textId="5A75D07F" w:rsidR="00604881" w:rsidRDefault="00604881" w:rsidP="00727CC1">
      <w:pPr>
        <w:pStyle w:val="Bullet"/>
      </w:pPr>
      <w:r>
        <w:t xml:space="preserve">a decision of the Executive Committee or </w:t>
      </w:r>
      <w:r w:rsidR="00B32B42">
        <w:t>a</w:t>
      </w:r>
      <w:r>
        <w:t xml:space="preserve"> sub-Committee </w:t>
      </w:r>
    </w:p>
    <w:p w14:paraId="31DF5A9C" w14:textId="4A54ED56" w:rsidR="00604881" w:rsidRDefault="00604881" w:rsidP="00727CC1">
      <w:pPr>
        <w:pStyle w:val="Bullet"/>
      </w:pPr>
      <w:r>
        <w:t xml:space="preserve">a decision made by someone </w:t>
      </w:r>
      <w:r w:rsidR="00B32B42">
        <w:t xml:space="preserve">who </w:t>
      </w:r>
      <w:r w:rsidR="004D02EC">
        <w:t xml:space="preserve">had </w:t>
      </w:r>
      <w:r w:rsidR="00B32B42">
        <w:t>been given authority by</w:t>
      </w:r>
      <w:r>
        <w:t xml:space="preserve"> the Executive Committee </w:t>
      </w:r>
    </w:p>
    <w:p w14:paraId="60A3EDA2" w14:textId="7FA6F76D" w:rsidR="00604881" w:rsidRDefault="00604881" w:rsidP="00727CC1">
      <w:pPr>
        <w:pStyle w:val="Bullet"/>
      </w:pPr>
      <w:r>
        <w:t>any action or behavio</w:t>
      </w:r>
      <w:r w:rsidR="00B95E03">
        <w:t>u</w:t>
      </w:r>
      <w:r>
        <w:t xml:space="preserve">r of a member of </w:t>
      </w:r>
      <w:r w:rsidR="009346E2">
        <w:t xml:space="preserve">the </w:t>
      </w:r>
      <w:r>
        <w:t>KLC staff</w:t>
      </w:r>
      <w:r w:rsidR="00530795">
        <w:t>.</w:t>
      </w:r>
    </w:p>
    <w:p w14:paraId="5F10B232" w14:textId="299CC74C" w:rsidR="00124A51" w:rsidRDefault="00B964F5" w:rsidP="00611329">
      <w:r>
        <w:t>The KLC website</w:t>
      </w:r>
      <w:r w:rsidDel="00CD11EA">
        <w:t xml:space="preserve"> </w:t>
      </w:r>
      <w:r w:rsidR="00CD11EA">
        <w:t xml:space="preserve">had </w:t>
      </w:r>
      <w:r>
        <w:t xml:space="preserve">links to access the policy and mechanisms through which to make a complaint, including the submission of an online form in the complaints section or writing a complaint addressed to the </w:t>
      </w:r>
      <w:r w:rsidR="009B2B9D">
        <w:t>CEO</w:t>
      </w:r>
      <w:r>
        <w:t>.</w:t>
      </w:r>
      <w:r w:rsidR="008D67CB">
        <w:t xml:space="preserve"> </w:t>
      </w:r>
      <w:r>
        <w:rPr>
          <w:lang w:eastAsia="en-AU"/>
        </w:rPr>
        <w:t>The KLC’s complaints policy acknowledge</w:t>
      </w:r>
      <w:r w:rsidR="00CD11EA">
        <w:rPr>
          <w:lang w:eastAsia="en-AU"/>
        </w:rPr>
        <w:t>d</w:t>
      </w:r>
      <w:r>
        <w:rPr>
          <w:lang w:eastAsia="en-AU"/>
        </w:rPr>
        <w:t xml:space="preserve"> that KLC members and the public have a right to make a complaint</w:t>
      </w:r>
      <w:r w:rsidR="009346E2">
        <w:rPr>
          <w:lang w:eastAsia="en-AU"/>
        </w:rPr>
        <w:t>. It also encourage</w:t>
      </w:r>
      <w:r w:rsidR="00CD11EA">
        <w:rPr>
          <w:lang w:eastAsia="en-AU"/>
        </w:rPr>
        <w:t>d</w:t>
      </w:r>
      <w:r>
        <w:rPr>
          <w:lang w:eastAsia="en-AU"/>
        </w:rPr>
        <w:t xml:space="preserve"> </w:t>
      </w:r>
      <w:r>
        <w:t xml:space="preserve">prospective complainants </w:t>
      </w:r>
      <w:r w:rsidR="009346E2">
        <w:t>to</w:t>
      </w:r>
      <w:r>
        <w:t xml:space="preserve"> first speak to </w:t>
      </w:r>
      <w:r w:rsidR="00BC50BC">
        <w:t xml:space="preserve">KLC </w:t>
      </w:r>
      <w:r>
        <w:t>staff before making a complaint.</w:t>
      </w:r>
    </w:p>
    <w:p w14:paraId="698E34E7" w14:textId="19E7E906" w:rsidR="001E5BF0" w:rsidRPr="00A23F4E" w:rsidRDefault="001E5BF0" w:rsidP="00AE1C1D">
      <w:pPr>
        <w:pStyle w:val="Heading5"/>
      </w:pPr>
      <w:r w:rsidRPr="00A23F4E">
        <w:t>Traditional Owner</w:t>
      </w:r>
      <w:r w:rsidR="002172F7">
        <w:t xml:space="preserve">s were not necessarily aware </w:t>
      </w:r>
      <w:r w:rsidRPr="00A23F4E">
        <w:t xml:space="preserve">of </w:t>
      </w:r>
      <w:r w:rsidR="002172F7">
        <w:t xml:space="preserve">the </w:t>
      </w:r>
      <w:r w:rsidRPr="00A23F4E">
        <w:t xml:space="preserve">KLC’s complaints policy </w:t>
      </w:r>
    </w:p>
    <w:p w14:paraId="0F907157" w14:textId="208FDDCC" w:rsidR="001E5BF0" w:rsidRDefault="001E5BF0" w:rsidP="001E5BF0">
      <w:pPr>
        <w:rPr>
          <w:lang w:eastAsia="en-AU"/>
        </w:rPr>
      </w:pPr>
      <w:r w:rsidRPr="00A23F4E">
        <w:rPr>
          <w:lang w:eastAsia="en-AU"/>
        </w:rPr>
        <w:t xml:space="preserve">Despite the complaints policy </w:t>
      </w:r>
      <w:r w:rsidR="00244519">
        <w:rPr>
          <w:lang w:eastAsia="en-AU"/>
        </w:rPr>
        <w:t>being on the KLC</w:t>
      </w:r>
      <w:r w:rsidRPr="00A23F4E">
        <w:rPr>
          <w:lang w:eastAsia="en-AU"/>
        </w:rPr>
        <w:t xml:space="preserve"> website, Traditional Owner survey responses </w:t>
      </w:r>
      <w:r w:rsidR="000F0B40">
        <w:rPr>
          <w:lang w:eastAsia="en-AU"/>
        </w:rPr>
        <w:t>indicated</w:t>
      </w:r>
      <w:r w:rsidRPr="00A23F4E">
        <w:rPr>
          <w:lang w:eastAsia="en-AU"/>
        </w:rPr>
        <w:t xml:space="preserve"> a low degree of awareness of this policy.</w:t>
      </w:r>
      <w:r w:rsidR="008D67CB">
        <w:rPr>
          <w:lang w:eastAsia="en-AU"/>
        </w:rPr>
        <w:t xml:space="preserve"> </w:t>
      </w:r>
      <w:r w:rsidR="000F0B40">
        <w:rPr>
          <w:lang w:eastAsia="en-AU"/>
        </w:rPr>
        <w:t xml:space="preserve">This suggests that there may be an opportunity for </w:t>
      </w:r>
      <w:r w:rsidRPr="00A23F4E">
        <w:rPr>
          <w:lang w:eastAsia="en-AU"/>
        </w:rPr>
        <w:t xml:space="preserve">the KLC to </w:t>
      </w:r>
      <w:r w:rsidR="00D041F5">
        <w:rPr>
          <w:lang w:eastAsia="en-AU"/>
        </w:rPr>
        <w:t xml:space="preserve">consider whether the information about </w:t>
      </w:r>
      <w:r w:rsidR="00E2390A">
        <w:rPr>
          <w:lang w:eastAsia="en-AU"/>
        </w:rPr>
        <w:t xml:space="preserve">how to make a </w:t>
      </w:r>
      <w:r w:rsidR="00D041F5">
        <w:rPr>
          <w:lang w:eastAsia="en-AU"/>
        </w:rPr>
        <w:t xml:space="preserve">complaint could be </w:t>
      </w:r>
      <w:r w:rsidR="00E2390A">
        <w:rPr>
          <w:lang w:eastAsia="en-AU"/>
        </w:rPr>
        <w:t>c</w:t>
      </w:r>
      <w:r w:rsidRPr="00A23F4E">
        <w:rPr>
          <w:lang w:eastAsia="en-AU"/>
        </w:rPr>
        <w:t>ommunicate</w:t>
      </w:r>
      <w:r w:rsidR="00E2390A">
        <w:rPr>
          <w:lang w:eastAsia="en-AU"/>
        </w:rPr>
        <w:t xml:space="preserve">d </w:t>
      </w:r>
      <w:r w:rsidRPr="00A23F4E">
        <w:rPr>
          <w:lang w:eastAsia="en-AU"/>
        </w:rPr>
        <w:t>in a more effective, culturally appropriate way.</w:t>
      </w:r>
    </w:p>
    <w:p w14:paraId="5E1B8D91" w14:textId="5470F594" w:rsidR="001E5BF0" w:rsidRDefault="00F340FB" w:rsidP="231D041B">
      <w:pPr>
        <w:rPr>
          <w:lang w:eastAsia="en-AU"/>
        </w:rPr>
      </w:pPr>
      <w:r w:rsidRPr="00833B8A">
        <w:rPr>
          <w:lang w:eastAsia="en-AU"/>
        </w:rPr>
        <w:t xml:space="preserve">The Review also notes that the complaints policy and submission form may not </w:t>
      </w:r>
      <w:r w:rsidR="006635C0">
        <w:rPr>
          <w:lang w:eastAsia="en-AU"/>
        </w:rPr>
        <w:t xml:space="preserve">be </w:t>
      </w:r>
      <w:r w:rsidRPr="00833B8A">
        <w:rPr>
          <w:lang w:eastAsia="en-AU"/>
        </w:rPr>
        <w:t>immediately obvious on its website</w:t>
      </w:r>
      <w:r w:rsidR="006D519E">
        <w:rPr>
          <w:lang w:eastAsia="en-AU"/>
        </w:rPr>
        <w:t xml:space="preserve">. The </w:t>
      </w:r>
      <w:r w:rsidR="006D519E" w:rsidRPr="00833B8A">
        <w:rPr>
          <w:lang w:eastAsia="en-AU"/>
        </w:rPr>
        <w:t>complaints policy and submission form</w:t>
      </w:r>
      <w:r w:rsidR="006D519E">
        <w:rPr>
          <w:lang w:eastAsia="en-AU"/>
        </w:rPr>
        <w:t xml:space="preserve"> is </w:t>
      </w:r>
      <w:r w:rsidRPr="00833B8A">
        <w:rPr>
          <w:lang w:eastAsia="en-AU"/>
        </w:rPr>
        <w:t xml:space="preserve">placed at the bottom </w:t>
      </w:r>
      <w:r w:rsidR="006635C0">
        <w:rPr>
          <w:lang w:eastAsia="en-AU"/>
        </w:rPr>
        <w:t>of</w:t>
      </w:r>
      <w:r w:rsidR="006635C0" w:rsidRPr="00833B8A">
        <w:rPr>
          <w:lang w:eastAsia="en-AU"/>
        </w:rPr>
        <w:t xml:space="preserve"> </w:t>
      </w:r>
      <w:r w:rsidRPr="00833B8A">
        <w:rPr>
          <w:lang w:eastAsia="en-AU"/>
        </w:rPr>
        <w:t xml:space="preserve">each page on the website and within the </w:t>
      </w:r>
      <w:r w:rsidR="00C51AF0">
        <w:rPr>
          <w:lang w:eastAsia="en-AU"/>
        </w:rPr>
        <w:t>“</w:t>
      </w:r>
      <w:r w:rsidRPr="00833B8A">
        <w:rPr>
          <w:lang w:eastAsia="en-AU"/>
        </w:rPr>
        <w:t>Contact Us</w:t>
      </w:r>
      <w:r w:rsidR="00C51AF0">
        <w:rPr>
          <w:lang w:eastAsia="en-AU"/>
        </w:rPr>
        <w:t>”</w:t>
      </w:r>
      <w:r w:rsidRPr="00833B8A">
        <w:rPr>
          <w:lang w:eastAsia="en-AU"/>
        </w:rPr>
        <w:t xml:space="preserve"> section, through a link that is not prominently displayed and is far down the page.</w:t>
      </w:r>
    </w:p>
    <w:p w14:paraId="4E2D27D3" w14:textId="77777777" w:rsidR="00332B71" w:rsidRDefault="00332B71" w:rsidP="00AE1C1D">
      <w:pPr>
        <w:pStyle w:val="Heading5"/>
      </w:pPr>
      <w:r w:rsidRPr="00016057">
        <w:lastRenderedPageBreak/>
        <w:t xml:space="preserve">KLC </w:t>
      </w:r>
      <w:r>
        <w:t>received ten formal complaints through the Review period</w:t>
      </w:r>
    </w:p>
    <w:p w14:paraId="0F7ECCDC" w14:textId="6EBFDAE0" w:rsidR="007046EA" w:rsidRDefault="00332B71" w:rsidP="00332B71">
      <w:pPr>
        <w:pStyle w:val="Bullet"/>
        <w:numPr>
          <w:ilvl w:val="0"/>
          <w:numId w:val="0"/>
        </w:numPr>
      </w:pPr>
      <w:r>
        <w:t xml:space="preserve">Ten formal complaints were made directly to the KLC, as shown in </w:t>
      </w:r>
      <w:r w:rsidR="00A2271E">
        <w:fldChar w:fldCharType="begin"/>
      </w:r>
      <w:r w:rsidR="00A2271E">
        <w:instrText xml:space="preserve"> REF _Ref154050195 \h </w:instrText>
      </w:r>
      <w:r w:rsidR="00A2271E">
        <w:fldChar w:fldCharType="separate"/>
      </w:r>
      <w:r w:rsidR="00291532">
        <w:t xml:space="preserve">Table </w:t>
      </w:r>
      <w:r w:rsidR="00291532">
        <w:rPr>
          <w:noProof/>
        </w:rPr>
        <w:t>11</w:t>
      </w:r>
      <w:r w:rsidR="00A2271E">
        <w:fldChar w:fldCharType="end"/>
      </w:r>
      <w:r>
        <w:t>.</w:t>
      </w:r>
      <w:r w:rsidR="009F6923">
        <w:rPr>
          <w:rStyle w:val="FootnoteReference"/>
        </w:rPr>
        <w:footnoteReference w:id="19"/>
      </w:r>
      <w:r>
        <w:t xml:space="preserve"> The complaints concerned </w:t>
      </w:r>
      <w:r w:rsidRPr="002F4367">
        <w:t>actions of the KLC or its staff</w:t>
      </w:r>
      <w:r>
        <w:t>, or</w:t>
      </w:r>
      <w:r w:rsidRPr="002F4367">
        <w:t xml:space="preserve"> </w:t>
      </w:r>
      <w:r>
        <w:t xml:space="preserve">decisions related to actions of the </w:t>
      </w:r>
      <w:r w:rsidR="000850EB">
        <w:t xml:space="preserve">NTRB </w:t>
      </w:r>
      <w:r>
        <w:t>Grants Committee</w:t>
      </w:r>
      <w:r w:rsidR="000850EB">
        <w:t xml:space="preserve"> of the Board</w:t>
      </w:r>
      <w:r>
        <w:t>.</w:t>
      </w:r>
    </w:p>
    <w:p w14:paraId="355D9781" w14:textId="6DC8B1C0" w:rsidR="00332B71" w:rsidRDefault="00332B71" w:rsidP="00332B71">
      <w:pPr>
        <w:pStyle w:val="Bullet"/>
        <w:numPr>
          <w:ilvl w:val="0"/>
          <w:numId w:val="0"/>
        </w:numPr>
      </w:pPr>
      <w:r>
        <w:t xml:space="preserve">NIAA </w:t>
      </w:r>
      <w:r w:rsidR="007046EA">
        <w:t>did not receive any</w:t>
      </w:r>
      <w:r>
        <w:t xml:space="preserve"> formal complaints regarding KLC throughout the </w:t>
      </w:r>
      <w:r w:rsidR="007046EA">
        <w:t>R</w:t>
      </w:r>
      <w:r>
        <w:t>eview period.</w:t>
      </w:r>
    </w:p>
    <w:p w14:paraId="57DE86AA" w14:textId="6702F145" w:rsidR="00A2271E" w:rsidRDefault="00A2271E" w:rsidP="00A2271E">
      <w:pPr>
        <w:pStyle w:val="Caption"/>
      </w:pPr>
      <w:bookmarkStart w:id="34" w:name="_Ref154050195"/>
      <w:r>
        <w:t xml:space="preserve">Table </w:t>
      </w:r>
      <w:r>
        <w:fldChar w:fldCharType="begin"/>
      </w:r>
      <w:r>
        <w:instrText xml:space="preserve"> SEQ Table \* ARABIC </w:instrText>
      </w:r>
      <w:r>
        <w:fldChar w:fldCharType="separate"/>
      </w:r>
      <w:r w:rsidR="00291532">
        <w:rPr>
          <w:noProof/>
        </w:rPr>
        <w:t>11</w:t>
      </w:r>
      <w:r>
        <w:fldChar w:fldCharType="end"/>
      </w:r>
      <w:bookmarkEnd w:id="34"/>
      <w:r>
        <w:t xml:space="preserve"> | </w:t>
      </w:r>
      <w:r w:rsidRPr="00CA3522">
        <w:t xml:space="preserve">Number of formal complaints received by the KLC, July </w:t>
      </w:r>
      <w:r>
        <w:t>20</w:t>
      </w:r>
      <w:r w:rsidRPr="00CA3522">
        <w:t xml:space="preserve">19 </w:t>
      </w:r>
      <w:r w:rsidR="00AE249F">
        <w:t>to</w:t>
      </w:r>
      <w:r w:rsidRPr="00CA3522">
        <w:t xml:space="preserve"> June </w:t>
      </w:r>
      <w:r>
        <w:t>20</w:t>
      </w:r>
      <w:r w:rsidRPr="00CA3522">
        <w:t>22</w:t>
      </w:r>
    </w:p>
    <w:tbl>
      <w:tblPr>
        <w:tblStyle w:val="AEMO4"/>
        <w:tblW w:w="5000" w:type="pct"/>
        <w:tblLook w:val="04A0" w:firstRow="1" w:lastRow="0" w:firstColumn="1" w:lastColumn="0" w:noHBand="0" w:noVBand="1"/>
      </w:tblPr>
      <w:tblGrid>
        <w:gridCol w:w="2976"/>
        <w:gridCol w:w="2977"/>
        <w:gridCol w:w="2977"/>
      </w:tblGrid>
      <w:tr w:rsidR="004B1264" w:rsidRPr="00520B00" w14:paraId="66D7079F" w14:textId="77777777" w:rsidTr="00576BE9">
        <w:trPr>
          <w:cnfStyle w:val="100000000000" w:firstRow="1" w:lastRow="0" w:firstColumn="0" w:lastColumn="0" w:oddVBand="0" w:evenVBand="0" w:oddHBand="0" w:evenHBand="0" w:firstRowFirstColumn="0" w:firstRowLastColumn="0" w:lastRowFirstColumn="0" w:lastRowLastColumn="0"/>
        </w:trPr>
        <w:tc>
          <w:tcPr>
            <w:tcW w:w="1666" w:type="pct"/>
          </w:tcPr>
          <w:p w14:paraId="630DC24C" w14:textId="77777777" w:rsidR="00332B71" w:rsidRPr="00520B00" w:rsidRDefault="00332B71" w:rsidP="00CA6E3E">
            <w:pPr>
              <w:pStyle w:val="TableNheader"/>
              <w:rPr>
                <w:lang w:eastAsia="en-AU"/>
              </w:rPr>
            </w:pPr>
            <w:r>
              <w:rPr>
                <w:lang w:eastAsia="en-AU"/>
              </w:rPr>
              <w:t>FY</w:t>
            </w:r>
            <w:r w:rsidRPr="00520B00">
              <w:rPr>
                <w:lang w:eastAsia="en-AU"/>
              </w:rPr>
              <w:t>2019</w:t>
            </w:r>
            <w:r>
              <w:rPr>
                <w:lang w:eastAsia="en-AU"/>
              </w:rPr>
              <w:t>-</w:t>
            </w:r>
            <w:r w:rsidRPr="00520B00">
              <w:rPr>
                <w:lang w:eastAsia="en-AU"/>
              </w:rPr>
              <w:t>20</w:t>
            </w:r>
          </w:p>
        </w:tc>
        <w:tc>
          <w:tcPr>
            <w:tcW w:w="1667" w:type="pct"/>
          </w:tcPr>
          <w:p w14:paraId="21E3BC9F" w14:textId="77777777" w:rsidR="00332B71" w:rsidRPr="00520B00" w:rsidRDefault="00332B71" w:rsidP="00CA6E3E">
            <w:pPr>
              <w:pStyle w:val="TableNheader"/>
              <w:rPr>
                <w:lang w:eastAsia="en-AU"/>
              </w:rPr>
            </w:pPr>
            <w:r>
              <w:rPr>
                <w:lang w:eastAsia="en-AU"/>
              </w:rPr>
              <w:t>FY</w:t>
            </w:r>
            <w:r w:rsidRPr="00520B00">
              <w:rPr>
                <w:lang w:eastAsia="en-AU"/>
              </w:rPr>
              <w:t>2020</w:t>
            </w:r>
            <w:r>
              <w:rPr>
                <w:lang w:eastAsia="en-AU"/>
              </w:rPr>
              <w:t>-</w:t>
            </w:r>
            <w:r w:rsidRPr="00520B00">
              <w:rPr>
                <w:lang w:eastAsia="en-AU"/>
              </w:rPr>
              <w:t>21</w:t>
            </w:r>
          </w:p>
        </w:tc>
        <w:tc>
          <w:tcPr>
            <w:tcW w:w="1667" w:type="pct"/>
          </w:tcPr>
          <w:p w14:paraId="38C7DF87" w14:textId="77777777" w:rsidR="00332B71" w:rsidRPr="00520B00" w:rsidRDefault="00332B71" w:rsidP="00CA6E3E">
            <w:pPr>
              <w:pStyle w:val="TableNheader"/>
              <w:rPr>
                <w:lang w:eastAsia="en-AU"/>
              </w:rPr>
            </w:pPr>
            <w:r>
              <w:rPr>
                <w:lang w:eastAsia="en-AU"/>
              </w:rPr>
              <w:t>FY</w:t>
            </w:r>
            <w:r w:rsidRPr="00520B00">
              <w:rPr>
                <w:lang w:eastAsia="en-AU"/>
              </w:rPr>
              <w:t>2021</w:t>
            </w:r>
            <w:r>
              <w:rPr>
                <w:lang w:eastAsia="en-AU"/>
              </w:rPr>
              <w:t>-</w:t>
            </w:r>
            <w:r w:rsidRPr="00520B00">
              <w:rPr>
                <w:lang w:eastAsia="en-AU"/>
              </w:rPr>
              <w:t>22</w:t>
            </w:r>
          </w:p>
        </w:tc>
      </w:tr>
      <w:tr w:rsidR="00332B71" w:rsidRPr="00520B00" w14:paraId="1F742D23" w14:textId="77777777" w:rsidTr="00576BE9">
        <w:trPr>
          <w:cnfStyle w:val="000000100000" w:firstRow="0" w:lastRow="0" w:firstColumn="0" w:lastColumn="0" w:oddVBand="0" w:evenVBand="0" w:oddHBand="1" w:evenHBand="0" w:firstRowFirstColumn="0" w:firstRowLastColumn="0" w:lastRowFirstColumn="0" w:lastRowLastColumn="0"/>
        </w:trPr>
        <w:tc>
          <w:tcPr>
            <w:tcW w:w="1666" w:type="pct"/>
          </w:tcPr>
          <w:p w14:paraId="624C46D6" w14:textId="77777777" w:rsidR="00332B71" w:rsidRPr="00520B00" w:rsidRDefault="00332B71" w:rsidP="00CA6E3E">
            <w:pPr>
              <w:pStyle w:val="TableNText"/>
              <w:rPr>
                <w:lang w:eastAsia="en-AU"/>
              </w:rPr>
            </w:pPr>
            <w:r>
              <w:rPr>
                <w:lang w:eastAsia="en-AU"/>
              </w:rPr>
              <w:t>2</w:t>
            </w:r>
          </w:p>
        </w:tc>
        <w:tc>
          <w:tcPr>
            <w:tcW w:w="1667" w:type="pct"/>
          </w:tcPr>
          <w:p w14:paraId="2346650C" w14:textId="77777777" w:rsidR="00332B71" w:rsidRPr="00520B00" w:rsidRDefault="00332B71" w:rsidP="00CA6E3E">
            <w:pPr>
              <w:pStyle w:val="TableNText"/>
              <w:rPr>
                <w:lang w:eastAsia="en-AU"/>
              </w:rPr>
            </w:pPr>
            <w:r>
              <w:rPr>
                <w:lang w:eastAsia="en-AU"/>
              </w:rPr>
              <w:t>4</w:t>
            </w:r>
          </w:p>
        </w:tc>
        <w:tc>
          <w:tcPr>
            <w:tcW w:w="1667" w:type="pct"/>
          </w:tcPr>
          <w:p w14:paraId="5E9F4703" w14:textId="77777777" w:rsidR="00332B71" w:rsidRPr="00520B00" w:rsidRDefault="00332B71" w:rsidP="00CA6E3E">
            <w:pPr>
              <w:pStyle w:val="TableNText"/>
              <w:rPr>
                <w:lang w:eastAsia="en-AU"/>
              </w:rPr>
            </w:pPr>
            <w:r>
              <w:rPr>
                <w:lang w:eastAsia="en-AU"/>
              </w:rPr>
              <w:t>4</w:t>
            </w:r>
          </w:p>
        </w:tc>
      </w:tr>
    </w:tbl>
    <w:p w14:paraId="260F1BCD" w14:textId="35D85EA1" w:rsidR="00332B71" w:rsidRDefault="00A2271E" w:rsidP="00332B71">
      <w:r>
        <w:br/>
      </w:r>
      <w:r w:rsidR="007046EA">
        <w:t>Information provided to the Review by the KLC indicated that t</w:t>
      </w:r>
      <w:r w:rsidR="00332B71" w:rsidRPr="002D3842">
        <w:t xml:space="preserve">he substance of the complaints </w:t>
      </w:r>
      <w:r w:rsidR="00332B71">
        <w:t>included</w:t>
      </w:r>
      <w:r w:rsidR="00332B71" w:rsidRPr="002D3842">
        <w:t>:</w:t>
      </w:r>
    </w:p>
    <w:p w14:paraId="2CAA4CA2" w14:textId="53DF5A61" w:rsidR="00332B71" w:rsidRDefault="00332B71" w:rsidP="00332B71">
      <w:pPr>
        <w:pStyle w:val="Bullet"/>
      </w:pPr>
      <w:r>
        <w:t>A request to not run certain claim meetings (two</w:t>
      </w:r>
      <w:r w:rsidR="00324639">
        <w:t xml:space="preserve"> complaints</w:t>
      </w:r>
      <w:r>
        <w:t>).</w:t>
      </w:r>
    </w:p>
    <w:p w14:paraId="1C4AAF6E" w14:textId="22C1E078" w:rsidR="00332B71" w:rsidRPr="00C30E87" w:rsidRDefault="00332B71" w:rsidP="00332B71">
      <w:pPr>
        <w:pStyle w:val="Bullet"/>
      </w:pPr>
      <w:r>
        <w:t xml:space="preserve">An issue with </w:t>
      </w:r>
      <w:r w:rsidR="00324639">
        <w:t xml:space="preserve">the </w:t>
      </w:r>
      <w:r>
        <w:t>KLC staff’s facilitation of claim meetings, including a perceived</w:t>
      </w:r>
      <w:r w:rsidRPr="00C30E87">
        <w:t xml:space="preserve"> failure of duty of care </w:t>
      </w:r>
      <w:r>
        <w:t>which saw affected Traditional Owners feel</w:t>
      </w:r>
      <w:r w:rsidR="00324639">
        <w:t>ing</w:t>
      </w:r>
      <w:r>
        <w:t xml:space="preserve"> unfairly treated by staff (one</w:t>
      </w:r>
      <w:r w:rsidR="00324639">
        <w:t xml:space="preserve"> complaint</w:t>
      </w:r>
      <w:r>
        <w:t>).</w:t>
      </w:r>
    </w:p>
    <w:p w14:paraId="7838DADC" w14:textId="78F81B86" w:rsidR="00332B71" w:rsidRDefault="00332B71" w:rsidP="00332B71">
      <w:pPr>
        <w:pStyle w:val="Bullet"/>
      </w:pPr>
      <w:r>
        <w:t xml:space="preserve">The </w:t>
      </w:r>
      <w:r w:rsidR="009D2D1A">
        <w:t xml:space="preserve">failure to establish </w:t>
      </w:r>
      <w:r>
        <w:t>accurate connection to apical ancestors (one</w:t>
      </w:r>
      <w:r w:rsidR="00324639">
        <w:t xml:space="preserve"> complaint</w:t>
      </w:r>
      <w:r>
        <w:t>).</w:t>
      </w:r>
    </w:p>
    <w:p w14:paraId="38312A33" w14:textId="352B2378" w:rsidR="00332B71" w:rsidRDefault="00332B71" w:rsidP="00332B71">
      <w:pPr>
        <w:pStyle w:val="Bullet"/>
      </w:pPr>
      <w:r>
        <w:t xml:space="preserve">A matter relating to </w:t>
      </w:r>
      <w:r w:rsidRPr="00991553">
        <w:t>onboard</w:t>
      </w:r>
      <w:r>
        <w:t xml:space="preserve"> amenities for a bus service used during </w:t>
      </w:r>
      <w:r w:rsidR="00F340FB">
        <w:t xml:space="preserve">member </w:t>
      </w:r>
      <w:r>
        <w:t>travel (one</w:t>
      </w:r>
      <w:r w:rsidR="00DA6025">
        <w:t xml:space="preserve"> complaint</w:t>
      </w:r>
      <w:r>
        <w:t>).</w:t>
      </w:r>
    </w:p>
    <w:p w14:paraId="67B7A524" w14:textId="2B9A8D7C" w:rsidR="00446C8E" w:rsidRDefault="00E0476F" w:rsidP="0081585A">
      <w:r>
        <w:t>Acco</w:t>
      </w:r>
      <w:r w:rsidR="002A696C">
        <w:t>rding to the KLC, a</w:t>
      </w:r>
      <w:r w:rsidR="00D460C2">
        <w:t xml:space="preserve">ll complaints were addressed </w:t>
      </w:r>
      <w:r w:rsidR="00DA6025">
        <w:t>in line with</w:t>
      </w:r>
      <w:r w:rsidR="00D460C2">
        <w:t xml:space="preserve"> the KLC’s complaints policy.</w:t>
      </w:r>
    </w:p>
    <w:p w14:paraId="59D015DA" w14:textId="6842829C" w:rsidR="00446C8E" w:rsidRPr="00EA4778" w:rsidRDefault="00446C8E" w:rsidP="00446C8E">
      <w:pPr>
        <w:pStyle w:val="Heading5"/>
        <w:numPr>
          <w:ilvl w:val="4"/>
          <w:numId w:val="2"/>
        </w:numPr>
      </w:pPr>
      <w:r>
        <w:t xml:space="preserve">Traditional Owners who complained </w:t>
      </w:r>
      <w:r w:rsidR="00E52ED4">
        <w:t>were</w:t>
      </w:r>
      <w:r>
        <w:t xml:space="preserve"> mostly unsatisfied with complaint responses</w:t>
      </w:r>
    </w:p>
    <w:p w14:paraId="1EE32357" w14:textId="5FEF6F11" w:rsidR="00446C8E" w:rsidRPr="00232267" w:rsidRDefault="00E52ED4" w:rsidP="00446C8E">
      <w:pPr>
        <w:rPr>
          <w:lang w:eastAsia="en-AU"/>
        </w:rPr>
      </w:pPr>
      <w:r>
        <w:rPr>
          <w:lang w:eastAsia="en-AU"/>
        </w:rPr>
        <w:t>In surveys and through consultations</w:t>
      </w:r>
      <w:r w:rsidR="007769FE">
        <w:rPr>
          <w:lang w:eastAsia="en-AU"/>
        </w:rPr>
        <w:t>,</w:t>
      </w:r>
      <w:r w:rsidR="00446C8E">
        <w:rPr>
          <w:lang w:eastAsia="en-AU"/>
        </w:rPr>
        <w:t xml:space="preserve"> </w:t>
      </w:r>
      <w:r w:rsidR="00211598">
        <w:rPr>
          <w:lang w:eastAsia="en-AU"/>
        </w:rPr>
        <w:t xml:space="preserve">some </w:t>
      </w:r>
      <w:r w:rsidR="00446C8E">
        <w:rPr>
          <w:lang w:eastAsia="en-AU"/>
        </w:rPr>
        <w:t xml:space="preserve">Traditional Owners who </w:t>
      </w:r>
      <w:r w:rsidR="00D86A4B">
        <w:rPr>
          <w:lang w:eastAsia="en-AU"/>
        </w:rPr>
        <w:t xml:space="preserve">had </w:t>
      </w:r>
      <w:r w:rsidR="00446C8E">
        <w:rPr>
          <w:lang w:eastAsia="en-AU"/>
        </w:rPr>
        <w:t xml:space="preserve">lodged complaints regarding the KLC </w:t>
      </w:r>
      <w:r w:rsidR="007769FE">
        <w:rPr>
          <w:lang w:eastAsia="en-AU"/>
        </w:rPr>
        <w:t>reported that they</w:t>
      </w:r>
      <w:r w:rsidR="00446C8E">
        <w:rPr>
          <w:lang w:eastAsia="en-AU"/>
        </w:rPr>
        <w:t xml:space="preserve"> felt the KLC’s response </w:t>
      </w:r>
      <w:r w:rsidR="007769FE">
        <w:rPr>
          <w:lang w:eastAsia="en-AU"/>
        </w:rPr>
        <w:t>did</w:t>
      </w:r>
      <w:r w:rsidR="00446C8E">
        <w:rPr>
          <w:lang w:eastAsia="en-AU"/>
        </w:rPr>
        <w:t xml:space="preserve"> not appropriately respond to the subject of the complaint</w:t>
      </w:r>
      <w:r w:rsidR="007769FE">
        <w:rPr>
          <w:lang w:eastAsia="en-AU"/>
        </w:rPr>
        <w:t>.</w:t>
      </w:r>
      <w:r w:rsidR="00446C8E">
        <w:rPr>
          <w:lang w:eastAsia="en-AU"/>
        </w:rPr>
        <w:t xml:space="preserve"> Most complainants also noted delays in receiving responses from the KLC regarding their complaint and, in one instance, </w:t>
      </w:r>
      <w:r w:rsidR="008B5526">
        <w:rPr>
          <w:lang w:eastAsia="en-AU"/>
        </w:rPr>
        <w:t>reported</w:t>
      </w:r>
      <w:r w:rsidR="00446C8E">
        <w:rPr>
          <w:lang w:eastAsia="en-AU"/>
        </w:rPr>
        <w:t xml:space="preserve"> that</w:t>
      </w:r>
      <w:r w:rsidR="00D86A4B">
        <w:rPr>
          <w:lang w:eastAsia="en-AU"/>
        </w:rPr>
        <w:t xml:space="preserve"> the</w:t>
      </w:r>
      <w:r w:rsidR="00446C8E">
        <w:rPr>
          <w:lang w:eastAsia="en-AU"/>
        </w:rPr>
        <w:t xml:space="preserve"> KLC did not respond to them directly or </w:t>
      </w:r>
      <w:r w:rsidR="00D86A4B">
        <w:rPr>
          <w:lang w:eastAsia="en-AU"/>
        </w:rPr>
        <w:t>at all</w:t>
      </w:r>
      <w:r w:rsidR="00446C8E">
        <w:rPr>
          <w:lang w:eastAsia="en-AU"/>
        </w:rPr>
        <w:t xml:space="preserve">. Ensuring that responses to complaints are prompt and direct should </w:t>
      </w:r>
      <w:r w:rsidR="00C521C2">
        <w:rPr>
          <w:lang w:eastAsia="en-AU"/>
        </w:rPr>
        <w:t>continue to</w:t>
      </w:r>
      <w:r w:rsidR="00446C8E">
        <w:rPr>
          <w:lang w:eastAsia="en-AU"/>
        </w:rPr>
        <w:t xml:space="preserve"> be a priority for the KLC. </w:t>
      </w:r>
    </w:p>
    <w:p w14:paraId="0ACF7D9A" w14:textId="77777777" w:rsidR="00446C8E" w:rsidRPr="00683BAF" w:rsidRDefault="00446C8E" w:rsidP="00446C8E">
      <w:pPr>
        <w:keepNext/>
        <w:spacing w:before="240" w:after="60"/>
        <w:outlineLvl w:val="3"/>
        <w:rPr>
          <w:rFonts w:ascii="Segoe UI Semibold" w:eastAsia="Times New Roman" w:hAnsi="Segoe UI Semibold" w:cs="Times New Roman"/>
          <w:color w:val="00264D" w:themeColor="background2"/>
          <w:sz w:val="22"/>
          <w:szCs w:val="19"/>
          <w:lang w:eastAsia="en-AU"/>
        </w:rPr>
      </w:pPr>
      <w:r>
        <w:rPr>
          <w:rFonts w:ascii="Segoe UI Semibold" w:eastAsia="Times New Roman" w:hAnsi="Segoe UI Semibold" w:cs="Times New Roman"/>
          <w:color w:val="00264D" w:themeColor="background2"/>
          <w:sz w:val="22"/>
          <w:szCs w:val="19"/>
          <w:lang w:eastAsia="en-AU"/>
        </w:rPr>
        <w:t>Internal review</w:t>
      </w:r>
    </w:p>
    <w:p w14:paraId="55122AE0" w14:textId="025FFF85" w:rsidR="00446C8E" w:rsidRPr="00611329" w:rsidRDefault="00446C8E" w:rsidP="00446C8E">
      <w:pPr>
        <w:pStyle w:val="Heading5"/>
        <w:numPr>
          <w:ilvl w:val="4"/>
          <w:numId w:val="2"/>
        </w:numPr>
        <w:rPr>
          <w:sz w:val="19"/>
          <w:szCs w:val="19"/>
        </w:rPr>
      </w:pPr>
      <w:r w:rsidRPr="00611329">
        <w:rPr>
          <w:sz w:val="19"/>
          <w:szCs w:val="19"/>
        </w:rPr>
        <w:t xml:space="preserve">The KLC’s internal review process </w:t>
      </w:r>
      <w:r w:rsidR="00CD3534">
        <w:rPr>
          <w:sz w:val="19"/>
          <w:szCs w:val="19"/>
        </w:rPr>
        <w:t>was</w:t>
      </w:r>
      <w:r w:rsidR="00CD3534" w:rsidRPr="00611329">
        <w:rPr>
          <w:sz w:val="19"/>
          <w:szCs w:val="19"/>
        </w:rPr>
        <w:t xml:space="preserve"> </w:t>
      </w:r>
      <w:r w:rsidR="000E7E26">
        <w:rPr>
          <w:sz w:val="19"/>
          <w:szCs w:val="19"/>
        </w:rPr>
        <w:t>available on its</w:t>
      </w:r>
      <w:r w:rsidRPr="00611329">
        <w:rPr>
          <w:sz w:val="19"/>
          <w:szCs w:val="19"/>
        </w:rPr>
        <w:t xml:space="preserve"> website, under the Complaints heading</w:t>
      </w:r>
    </w:p>
    <w:p w14:paraId="3503BA7A" w14:textId="7ED85712" w:rsidR="00446C8E" w:rsidRPr="00BB0088" w:rsidRDefault="00446C8E" w:rsidP="00446C8E">
      <w:pPr>
        <w:rPr>
          <w:szCs w:val="19"/>
          <w:lang w:eastAsia="en-AU"/>
        </w:rPr>
      </w:pPr>
      <w:r w:rsidRPr="00BB0088">
        <w:rPr>
          <w:szCs w:val="19"/>
          <w:lang w:eastAsia="en-AU"/>
        </w:rPr>
        <w:t>Section 203BI of the</w:t>
      </w:r>
      <w:r w:rsidRPr="005A77E2">
        <w:rPr>
          <w:szCs w:val="19"/>
          <w:lang w:eastAsia="en-AU"/>
        </w:rPr>
        <w:t xml:space="preserve"> NTA</w:t>
      </w:r>
      <w:r w:rsidRPr="00BB0088">
        <w:rPr>
          <w:szCs w:val="19"/>
          <w:lang w:eastAsia="en-AU"/>
        </w:rPr>
        <w:t xml:space="preserve"> </w:t>
      </w:r>
      <w:r w:rsidR="006F3F7D">
        <w:rPr>
          <w:szCs w:val="19"/>
          <w:lang w:eastAsia="en-AU"/>
        </w:rPr>
        <w:t>provides</w:t>
      </w:r>
      <w:r w:rsidRPr="00BB0088">
        <w:rPr>
          <w:szCs w:val="19"/>
          <w:lang w:eastAsia="en-AU"/>
        </w:rPr>
        <w:t xml:space="preserve"> that:</w:t>
      </w:r>
    </w:p>
    <w:p w14:paraId="6B15B1C2" w14:textId="77777777" w:rsidR="00446C8E" w:rsidRPr="00BB0088" w:rsidRDefault="00446C8E" w:rsidP="00446C8E">
      <w:pPr>
        <w:ind w:left="720"/>
        <w:rPr>
          <w:i/>
          <w:iCs/>
          <w:szCs w:val="19"/>
          <w:lang w:eastAsia="en-AU"/>
        </w:rPr>
      </w:pPr>
      <w:r w:rsidRPr="00BB0088">
        <w:rPr>
          <w:i/>
          <w:iCs/>
          <w:szCs w:val="19"/>
          <w:lang w:eastAsia="en-AU"/>
        </w:rPr>
        <w:t>The internal review functions of a representative body are:</w:t>
      </w:r>
    </w:p>
    <w:p w14:paraId="3A515EB5" w14:textId="77777777" w:rsidR="00446C8E" w:rsidRPr="00BB0088" w:rsidRDefault="00446C8E" w:rsidP="00446C8E">
      <w:pPr>
        <w:ind w:left="720"/>
        <w:rPr>
          <w:i/>
          <w:iCs/>
          <w:szCs w:val="19"/>
          <w:lang w:eastAsia="en-AU"/>
        </w:rPr>
      </w:pPr>
      <w:r w:rsidRPr="00BB0088">
        <w:rPr>
          <w:i/>
          <w:iCs/>
          <w:szCs w:val="19"/>
          <w:lang w:eastAsia="en-AU"/>
        </w:rPr>
        <w:t>a) to provide a process for registered native title bodies corporate, native title holders and persons who may hold native title to seek review by the representative body of its decisions and actions, made or taken in the performance of its functions or the exercise of its powers, that affect them; and</w:t>
      </w:r>
    </w:p>
    <w:p w14:paraId="5EAB09B6" w14:textId="77777777" w:rsidR="00446C8E" w:rsidRPr="00BB0088" w:rsidRDefault="00446C8E" w:rsidP="00446C8E">
      <w:pPr>
        <w:ind w:left="720"/>
        <w:rPr>
          <w:i/>
          <w:iCs/>
          <w:szCs w:val="19"/>
          <w:lang w:eastAsia="en-AU"/>
        </w:rPr>
      </w:pPr>
      <w:r w:rsidRPr="00BB0088">
        <w:rPr>
          <w:i/>
          <w:iCs/>
          <w:szCs w:val="19"/>
          <w:lang w:eastAsia="en-AU"/>
        </w:rPr>
        <w:t>b) to publicise that process appropriately.</w:t>
      </w:r>
    </w:p>
    <w:p w14:paraId="62A081A7" w14:textId="595CB4C3" w:rsidR="00446C8E" w:rsidRPr="00BB0088" w:rsidRDefault="00446C8E" w:rsidP="00446C8E">
      <w:pPr>
        <w:rPr>
          <w:szCs w:val="19"/>
          <w:lang w:eastAsia="en-AU"/>
        </w:rPr>
      </w:pPr>
      <w:r w:rsidRPr="00BB0088">
        <w:rPr>
          <w:szCs w:val="19"/>
          <w:lang w:eastAsia="en-AU"/>
        </w:rPr>
        <w:t xml:space="preserve">The KLC’s internal review process </w:t>
      </w:r>
      <w:r w:rsidR="00CD3534">
        <w:rPr>
          <w:szCs w:val="19"/>
          <w:lang w:eastAsia="en-AU"/>
        </w:rPr>
        <w:t>was</w:t>
      </w:r>
      <w:r w:rsidR="00CD3534" w:rsidRPr="00BB0088">
        <w:rPr>
          <w:szCs w:val="19"/>
          <w:lang w:eastAsia="en-AU"/>
        </w:rPr>
        <w:t xml:space="preserve"> </w:t>
      </w:r>
      <w:r w:rsidRPr="00BB0088">
        <w:rPr>
          <w:szCs w:val="19"/>
          <w:lang w:eastAsia="en-AU"/>
        </w:rPr>
        <w:t xml:space="preserve">displayed publicly on </w:t>
      </w:r>
      <w:r w:rsidR="006F3F7D">
        <w:rPr>
          <w:szCs w:val="19"/>
          <w:lang w:eastAsia="en-AU"/>
        </w:rPr>
        <w:t>its</w:t>
      </w:r>
      <w:r w:rsidRPr="00BB0088">
        <w:rPr>
          <w:szCs w:val="19"/>
          <w:lang w:eastAsia="en-AU"/>
        </w:rPr>
        <w:t xml:space="preserve"> website</w:t>
      </w:r>
      <w:r w:rsidR="006414EB">
        <w:rPr>
          <w:szCs w:val="19"/>
          <w:lang w:eastAsia="en-AU"/>
        </w:rPr>
        <w:t xml:space="preserve"> and state</w:t>
      </w:r>
      <w:r w:rsidR="00CD3534">
        <w:rPr>
          <w:szCs w:val="19"/>
          <w:lang w:eastAsia="en-AU"/>
        </w:rPr>
        <w:t>d</w:t>
      </w:r>
      <w:r w:rsidR="006414EB">
        <w:rPr>
          <w:szCs w:val="19"/>
          <w:lang w:eastAsia="en-AU"/>
        </w:rPr>
        <w:t xml:space="preserve"> </w:t>
      </w:r>
      <w:r w:rsidRPr="00BB0088">
        <w:rPr>
          <w:szCs w:val="19"/>
          <w:lang w:eastAsia="en-AU"/>
        </w:rPr>
        <w:t xml:space="preserve">that actions taken by staff </w:t>
      </w:r>
      <w:r w:rsidR="00CD3534">
        <w:rPr>
          <w:szCs w:val="19"/>
          <w:lang w:eastAsia="en-AU"/>
        </w:rPr>
        <w:t>could</w:t>
      </w:r>
      <w:r w:rsidR="00CD3534" w:rsidRPr="00BB0088">
        <w:rPr>
          <w:szCs w:val="19"/>
          <w:lang w:eastAsia="en-AU"/>
        </w:rPr>
        <w:t xml:space="preserve"> </w:t>
      </w:r>
      <w:r w:rsidRPr="00BB0088">
        <w:rPr>
          <w:szCs w:val="19"/>
          <w:lang w:eastAsia="en-AU"/>
        </w:rPr>
        <w:t xml:space="preserve">be reviewed if requested. </w:t>
      </w:r>
      <w:r w:rsidR="00BB1C56">
        <w:rPr>
          <w:szCs w:val="19"/>
          <w:lang w:eastAsia="en-AU"/>
        </w:rPr>
        <w:t>The website advise</w:t>
      </w:r>
      <w:r w:rsidR="00CD3534">
        <w:rPr>
          <w:szCs w:val="19"/>
          <w:lang w:eastAsia="en-AU"/>
        </w:rPr>
        <w:t>d</w:t>
      </w:r>
      <w:r w:rsidR="00BB1C56">
        <w:rPr>
          <w:szCs w:val="19"/>
          <w:lang w:eastAsia="en-AU"/>
        </w:rPr>
        <w:t xml:space="preserve"> that if</w:t>
      </w:r>
      <w:r w:rsidRPr="00BB0088">
        <w:rPr>
          <w:szCs w:val="19"/>
          <w:lang w:eastAsia="en-AU"/>
        </w:rPr>
        <w:t xml:space="preserve"> a request </w:t>
      </w:r>
      <w:r w:rsidR="00BB1C56">
        <w:rPr>
          <w:szCs w:val="19"/>
          <w:lang w:eastAsia="en-AU"/>
        </w:rPr>
        <w:t xml:space="preserve">for review </w:t>
      </w:r>
      <w:r w:rsidR="00CD3534">
        <w:rPr>
          <w:szCs w:val="19"/>
          <w:lang w:eastAsia="en-AU"/>
        </w:rPr>
        <w:t xml:space="preserve">was </w:t>
      </w:r>
      <w:r w:rsidR="00BB1C56">
        <w:rPr>
          <w:szCs w:val="19"/>
          <w:lang w:eastAsia="en-AU"/>
        </w:rPr>
        <w:t>made</w:t>
      </w:r>
      <w:r w:rsidRPr="00BB0088">
        <w:rPr>
          <w:szCs w:val="19"/>
          <w:lang w:eastAsia="en-AU"/>
        </w:rPr>
        <w:t xml:space="preserve">, a Review Committee </w:t>
      </w:r>
      <w:r w:rsidR="00CD3534">
        <w:rPr>
          <w:szCs w:val="19"/>
          <w:lang w:eastAsia="en-AU"/>
        </w:rPr>
        <w:t>would be</w:t>
      </w:r>
      <w:r w:rsidR="00CD3534" w:rsidRPr="00BB0088">
        <w:rPr>
          <w:szCs w:val="19"/>
          <w:lang w:eastAsia="en-AU"/>
        </w:rPr>
        <w:t xml:space="preserve"> </w:t>
      </w:r>
      <w:r w:rsidRPr="00BB0088">
        <w:rPr>
          <w:szCs w:val="19"/>
          <w:lang w:eastAsia="en-AU"/>
        </w:rPr>
        <w:t>assembled, consist</w:t>
      </w:r>
      <w:r w:rsidR="00BB1C56">
        <w:rPr>
          <w:szCs w:val="19"/>
          <w:lang w:eastAsia="en-AU"/>
        </w:rPr>
        <w:t>ing</w:t>
      </w:r>
      <w:r w:rsidRPr="00BB0088">
        <w:rPr>
          <w:szCs w:val="19"/>
          <w:lang w:eastAsia="en-AU"/>
        </w:rPr>
        <w:t xml:space="preserve"> of the KLC Chairperson and four Executive Board members</w:t>
      </w:r>
      <w:r w:rsidR="008C49D8">
        <w:rPr>
          <w:szCs w:val="19"/>
          <w:lang w:eastAsia="en-AU"/>
        </w:rPr>
        <w:t xml:space="preserve"> (</w:t>
      </w:r>
      <w:r w:rsidRPr="00BB0088">
        <w:rPr>
          <w:szCs w:val="19"/>
          <w:lang w:eastAsia="en-AU"/>
        </w:rPr>
        <w:t>who c</w:t>
      </w:r>
      <w:r w:rsidR="0053643F">
        <w:rPr>
          <w:szCs w:val="19"/>
          <w:lang w:eastAsia="en-AU"/>
        </w:rPr>
        <w:t xml:space="preserve">ould </w:t>
      </w:r>
      <w:r w:rsidRPr="00BB0088">
        <w:rPr>
          <w:szCs w:val="19"/>
          <w:lang w:eastAsia="en-AU"/>
        </w:rPr>
        <w:t xml:space="preserve">not be part of the original </w:t>
      </w:r>
      <w:r w:rsidR="008C49D8">
        <w:rPr>
          <w:szCs w:val="19"/>
          <w:lang w:eastAsia="en-AU"/>
        </w:rPr>
        <w:t xml:space="preserve">NTRB </w:t>
      </w:r>
      <w:r w:rsidRPr="00BB0088">
        <w:rPr>
          <w:szCs w:val="19"/>
          <w:lang w:eastAsia="en-AU"/>
        </w:rPr>
        <w:t xml:space="preserve">Grants Committee </w:t>
      </w:r>
      <w:r w:rsidR="008C49D8">
        <w:rPr>
          <w:szCs w:val="19"/>
          <w:lang w:eastAsia="en-AU"/>
        </w:rPr>
        <w:t>that</w:t>
      </w:r>
      <w:r w:rsidRPr="00BB0088">
        <w:rPr>
          <w:szCs w:val="19"/>
          <w:lang w:eastAsia="en-AU"/>
        </w:rPr>
        <w:t xml:space="preserve"> </w:t>
      </w:r>
      <w:r w:rsidR="0053643F">
        <w:rPr>
          <w:szCs w:val="19"/>
          <w:lang w:eastAsia="en-AU"/>
        </w:rPr>
        <w:t>was</w:t>
      </w:r>
      <w:r w:rsidR="0053643F" w:rsidRPr="00BB0088">
        <w:rPr>
          <w:szCs w:val="19"/>
          <w:lang w:eastAsia="en-AU"/>
        </w:rPr>
        <w:t xml:space="preserve"> </w:t>
      </w:r>
      <w:r w:rsidRPr="00BB0088">
        <w:rPr>
          <w:szCs w:val="19"/>
          <w:lang w:eastAsia="en-AU"/>
        </w:rPr>
        <w:t>the subject of the internal review</w:t>
      </w:r>
      <w:r w:rsidR="008C49D8">
        <w:rPr>
          <w:szCs w:val="19"/>
          <w:lang w:eastAsia="en-AU"/>
        </w:rPr>
        <w:t>)</w:t>
      </w:r>
      <w:r w:rsidRPr="00BB0088">
        <w:rPr>
          <w:szCs w:val="19"/>
          <w:lang w:eastAsia="en-AU"/>
        </w:rPr>
        <w:t xml:space="preserve">. </w:t>
      </w:r>
    </w:p>
    <w:p w14:paraId="429ACB25" w14:textId="74940D31" w:rsidR="00446C8E" w:rsidRPr="00BB0088" w:rsidRDefault="00446C8E" w:rsidP="0027579E">
      <w:pPr>
        <w:pStyle w:val="Heading5"/>
      </w:pPr>
      <w:r w:rsidRPr="00BB0088">
        <w:lastRenderedPageBreak/>
        <w:t xml:space="preserve">Internal </w:t>
      </w:r>
      <w:r w:rsidR="00294BDE">
        <w:t>r</w:t>
      </w:r>
      <w:r w:rsidRPr="00BB0088">
        <w:t xml:space="preserve">eview processes </w:t>
      </w:r>
      <w:r w:rsidR="00EC023F">
        <w:t>were not well understood</w:t>
      </w:r>
      <w:r w:rsidR="00122EF5">
        <w:t xml:space="preserve"> by</w:t>
      </w:r>
      <w:r w:rsidRPr="00BB0088">
        <w:t xml:space="preserve"> both Traditional Owners and staff</w:t>
      </w:r>
    </w:p>
    <w:p w14:paraId="7FC1B79F" w14:textId="77777777" w:rsidR="00122EF5" w:rsidRDefault="00F65AA4" w:rsidP="00446C8E">
      <w:pPr>
        <w:rPr>
          <w:szCs w:val="19"/>
          <w:lang w:eastAsia="en-AU"/>
        </w:rPr>
      </w:pPr>
      <w:r>
        <w:rPr>
          <w:szCs w:val="19"/>
          <w:lang w:eastAsia="en-AU"/>
        </w:rPr>
        <w:t>The majority of s</w:t>
      </w:r>
      <w:r w:rsidR="00446C8E" w:rsidRPr="00BB0088">
        <w:rPr>
          <w:szCs w:val="19"/>
          <w:lang w:eastAsia="en-AU"/>
        </w:rPr>
        <w:t xml:space="preserve">urvey responses from Traditional Owners and a small number KLC staff members recorded that their knowledge was limited regarding the internal review process at the KLC. </w:t>
      </w:r>
    </w:p>
    <w:p w14:paraId="33499A0C" w14:textId="77777777" w:rsidR="00446C8E" w:rsidRPr="00611329" w:rsidRDefault="00446C8E" w:rsidP="00446C8E">
      <w:pPr>
        <w:pStyle w:val="Heading5"/>
        <w:numPr>
          <w:ilvl w:val="4"/>
          <w:numId w:val="2"/>
        </w:numPr>
        <w:rPr>
          <w:sz w:val="19"/>
          <w:szCs w:val="19"/>
        </w:rPr>
      </w:pPr>
      <w:r w:rsidRPr="00611329">
        <w:rPr>
          <w:sz w:val="19"/>
          <w:szCs w:val="19"/>
        </w:rPr>
        <w:t>The KLC received no requests for internal review during the Review period</w:t>
      </w:r>
    </w:p>
    <w:p w14:paraId="29A7840B" w14:textId="70BC17C1" w:rsidR="00446C8E" w:rsidRPr="00BB0088" w:rsidRDefault="00446C8E" w:rsidP="00446C8E">
      <w:pPr>
        <w:rPr>
          <w:szCs w:val="19"/>
          <w:lang w:eastAsia="en-AU"/>
        </w:rPr>
      </w:pPr>
      <w:r w:rsidRPr="00BB0088">
        <w:rPr>
          <w:szCs w:val="19"/>
          <w:lang w:eastAsia="en-AU"/>
        </w:rPr>
        <w:t>The KLC did not receive any requests for internal review of decisions during the Review period.</w:t>
      </w:r>
    </w:p>
    <w:p w14:paraId="1A8170FE" w14:textId="77777777" w:rsidR="00446C8E" w:rsidRPr="00046737" w:rsidRDefault="00446C8E" w:rsidP="00446C8E">
      <w:pPr>
        <w:pStyle w:val="Heading4"/>
      </w:pPr>
      <w:r w:rsidRPr="00046737">
        <w:t>Use of cultural materials</w:t>
      </w:r>
    </w:p>
    <w:p w14:paraId="72D86F53" w14:textId="13811C46" w:rsidR="00446C8E" w:rsidRDefault="003857E5" w:rsidP="00446C8E">
      <w:pPr>
        <w:pStyle w:val="Heading5"/>
        <w:numPr>
          <w:ilvl w:val="0"/>
          <w:numId w:val="0"/>
        </w:numPr>
      </w:pPr>
      <w:r>
        <w:t>T</w:t>
      </w:r>
      <w:r w:rsidR="00446C8E">
        <w:t xml:space="preserve">he </w:t>
      </w:r>
      <w:r w:rsidR="0005289F">
        <w:t xml:space="preserve">approach to </w:t>
      </w:r>
      <w:r w:rsidR="00446C8E">
        <w:t xml:space="preserve">use of cultural materials </w:t>
      </w:r>
      <w:r w:rsidR="00867837">
        <w:t>c</w:t>
      </w:r>
      <w:r w:rsidR="00DA479D">
        <w:t>ould</w:t>
      </w:r>
      <w:r w:rsidR="00446C8E">
        <w:t xml:space="preserve"> be </w:t>
      </w:r>
      <w:r w:rsidR="0005289F">
        <w:t xml:space="preserve">more sensitively </w:t>
      </w:r>
      <w:r w:rsidR="00446C8E">
        <w:t>communicated to Traditional Owners</w:t>
      </w:r>
      <w:r w:rsidR="008D67CB">
        <w:t xml:space="preserve"> </w:t>
      </w:r>
    </w:p>
    <w:p w14:paraId="1FA52D44" w14:textId="14606154" w:rsidR="00D757FD" w:rsidRDefault="00D757FD" w:rsidP="008E6DEE">
      <w:pPr>
        <w:rPr>
          <w:lang w:eastAsia="en-AU"/>
        </w:rPr>
      </w:pPr>
      <w:r>
        <w:rPr>
          <w:szCs w:val="19"/>
        </w:rPr>
        <w:t xml:space="preserve">The Review notes that the return of </w:t>
      </w:r>
      <w:r w:rsidR="00CD081F" w:rsidRPr="00C258AE">
        <w:rPr>
          <w:szCs w:val="19"/>
        </w:rPr>
        <w:t>cultural materials is a difficult issue for all NTRB-SPs. Affected Traditional Owners</w:t>
      </w:r>
      <w:r w:rsidR="00E866FE" w:rsidRPr="00C258AE">
        <w:rPr>
          <w:szCs w:val="19"/>
        </w:rPr>
        <w:t xml:space="preserve"> </w:t>
      </w:r>
      <w:r w:rsidR="00CD081F" w:rsidRPr="00C258AE">
        <w:rPr>
          <w:szCs w:val="19"/>
        </w:rPr>
        <w:t>want to see the evidence</w:t>
      </w:r>
      <w:r w:rsidR="00C922F2">
        <w:rPr>
          <w:szCs w:val="19"/>
        </w:rPr>
        <w:t xml:space="preserve"> r</w:t>
      </w:r>
      <w:r w:rsidR="00667D99">
        <w:rPr>
          <w:szCs w:val="19"/>
        </w:rPr>
        <w:t>elied on for their claims</w:t>
      </w:r>
      <w:r w:rsidR="00CD081F" w:rsidRPr="00C258AE">
        <w:rPr>
          <w:szCs w:val="19"/>
        </w:rPr>
        <w:t xml:space="preserve">, but there are privacy implications as well as the potential to </w:t>
      </w:r>
      <w:r w:rsidR="00F46D17">
        <w:rPr>
          <w:szCs w:val="19"/>
        </w:rPr>
        <w:t>create disruption within communities</w:t>
      </w:r>
      <w:r w:rsidR="000E6D04">
        <w:rPr>
          <w:szCs w:val="19"/>
        </w:rPr>
        <w:t>.</w:t>
      </w:r>
      <w:r>
        <w:rPr>
          <w:szCs w:val="19"/>
        </w:rPr>
        <w:t xml:space="preserve"> </w:t>
      </w:r>
      <w:r w:rsidR="003D1CE9">
        <w:rPr>
          <w:lang w:eastAsia="en-AU"/>
        </w:rPr>
        <w:t>S</w:t>
      </w:r>
      <w:r w:rsidR="003D1CE9" w:rsidRPr="00DA479D">
        <w:rPr>
          <w:lang w:eastAsia="en-AU"/>
        </w:rPr>
        <w:t xml:space="preserve">everal Traditional Owners reported </w:t>
      </w:r>
      <w:r w:rsidR="00867D5A">
        <w:rPr>
          <w:lang w:eastAsia="en-AU"/>
        </w:rPr>
        <w:t>concerns with</w:t>
      </w:r>
      <w:r w:rsidR="003D1CE9" w:rsidRPr="00DA479D">
        <w:rPr>
          <w:lang w:eastAsia="en-AU"/>
        </w:rPr>
        <w:t xml:space="preserve"> </w:t>
      </w:r>
      <w:r w:rsidR="000952DB">
        <w:rPr>
          <w:lang w:eastAsia="en-AU"/>
        </w:rPr>
        <w:t>the way th</w:t>
      </w:r>
      <w:r w:rsidR="00867D5A">
        <w:rPr>
          <w:lang w:eastAsia="en-AU"/>
        </w:rPr>
        <w:t xml:space="preserve">eir </w:t>
      </w:r>
      <w:r w:rsidR="00867D5A" w:rsidRPr="00DA479D">
        <w:rPr>
          <w:lang w:eastAsia="en-AU"/>
        </w:rPr>
        <w:t xml:space="preserve">cultural connection </w:t>
      </w:r>
      <w:r w:rsidR="00867D5A">
        <w:rPr>
          <w:lang w:eastAsia="en-AU"/>
        </w:rPr>
        <w:t>material was used or held</w:t>
      </w:r>
      <w:r w:rsidR="003D1CE9" w:rsidRPr="00DA479D">
        <w:rPr>
          <w:lang w:eastAsia="en-AU"/>
        </w:rPr>
        <w:t xml:space="preserve">, notably </w:t>
      </w:r>
      <w:r w:rsidR="003D1CE9">
        <w:rPr>
          <w:lang w:eastAsia="en-AU"/>
        </w:rPr>
        <w:t>genealogies</w:t>
      </w:r>
      <w:r w:rsidR="003D1CE9" w:rsidRPr="00DA479D">
        <w:rPr>
          <w:lang w:eastAsia="en-AU"/>
        </w:rPr>
        <w:t xml:space="preserve"> that included information on other claimants’ connection to apical ancestors, which could be used to determine </w:t>
      </w:r>
      <w:r w:rsidR="003D352A">
        <w:rPr>
          <w:lang w:eastAsia="en-AU"/>
        </w:rPr>
        <w:t>“</w:t>
      </w:r>
      <w:r w:rsidR="003D1CE9" w:rsidRPr="00DA479D">
        <w:rPr>
          <w:lang w:eastAsia="en-AU"/>
        </w:rPr>
        <w:t>rightful</w:t>
      </w:r>
      <w:r w:rsidR="003D352A">
        <w:rPr>
          <w:lang w:eastAsia="en-AU"/>
        </w:rPr>
        <w:t>”</w:t>
      </w:r>
      <w:r w:rsidR="003D1CE9" w:rsidRPr="00DA479D">
        <w:rPr>
          <w:lang w:eastAsia="en-AU"/>
        </w:rPr>
        <w:t xml:space="preserve"> connection to Country.</w:t>
      </w:r>
      <w:r w:rsidR="003D1CE9" w:rsidRPr="003D1CE9">
        <w:rPr>
          <w:lang w:eastAsia="en-AU"/>
        </w:rPr>
        <w:t xml:space="preserve"> </w:t>
      </w:r>
      <w:r w:rsidR="0070798F">
        <w:rPr>
          <w:lang w:eastAsia="en-AU"/>
        </w:rPr>
        <w:t xml:space="preserve">Some </w:t>
      </w:r>
      <w:r w:rsidR="00AE77FF" w:rsidRPr="00DA479D">
        <w:rPr>
          <w:lang w:eastAsia="en-AU"/>
        </w:rPr>
        <w:t>Traditional Owners reasoned that since the information pertains to their heritage, native title claims and governance of land and waters post-determination, they should have access to it in some form</w:t>
      </w:r>
      <w:r w:rsidR="00AE77FF">
        <w:rPr>
          <w:lang w:eastAsia="en-AU"/>
        </w:rPr>
        <w:t xml:space="preserve">. </w:t>
      </w:r>
    </w:p>
    <w:p w14:paraId="1C263DAA" w14:textId="72E1B1B2" w:rsidR="008E6DEE" w:rsidRPr="00332359" w:rsidRDefault="003D1CE9" w:rsidP="008E6DEE">
      <w:pPr>
        <w:rPr>
          <w:lang w:eastAsia="en-AU"/>
        </w:rPr>
      </w:pPr>
      <w:r w:rsidRPr="00DA479D">
        <w:rPr>
          <w:lang w:eastAsia="en-AU"/>
        </w:rPr>
        <w:t xml:space="preserve">KLC staff acknowledged this concern </w:t>
      </w:r>
      <w:r w:rsidR="00C37D64">
        <w:rPr>
          <w:lang w:eastAsia="en-AU"/>
        </w:rPr>
        <w:t>but noted</w:t>
      </w:r>
      <w:r w:rsidRPr="00DA479D">
        <w:rPr>
          <w:lang w:eastAsia="en-AU"/>
        </w:rPr>
        <w:t xml:space="preserve"> that the release of the genealogies of other claimants is not possible due to privacy</w:t>
      </w:r>
      <w:r w:rsidR="003F23BD">
        <w:rPr>
          <w:lang w:eastAsia="en-AU"/>
        </w:rPr>
        <w:t xml:space="preserve"> issues</w:t>
      </w:r>
      <w:r w:rsidR="00F565AD">
        <w:rPr>
          <w:lang w:eastAsia="en-AU"/>
        </w:rPr>
        <w:t>.</w:t>
      </w:r>
      <w:r w:rsidR="008E6DEE">
        <w:rPr>
          <w:lang w:eastAsia="en-AU"/>
        </w:rPr>
        <w:t xml:space="preserve"> Given the distress that this issue can cause to Traditional Owners, the Review suggests that communication to Traditional Owners about the reasons for </w:t>
      </w:r>
      <w:r w:rsidR="001B31F1">
        <w:rPr>
          <w:lang w:eastAsia="en-AU"/>
        </w:rPr>
        <w:t>not sharing such materials</w:t>
      </w:r>
      <w:r w:rsidR="008E6DEE">
        <w:rPr>
          <w:lang w:eastAsia="en-AU"/>
        </w:rPr>
        <w:t xml:space="preserve"> </w:t>
      </w:r>
      <w:r w:rsidR="00462B11">
        <w:rPr>
          <w:lang w:eastAsia="en-AU"/>
        </w:rPr>
        <w:t>may require additional sensitivity in approach</w:t>
      </w:r>
      <w:r w:rsidR="008E6DEE">
        <w:rPr>
          <w:lang w:eastAsia="en-AU"/>
        </w:rPr>
        <w:t>.</w:t>
      </w:r>
      <w:r w:rsidR="00D757FD" w:rsidRPr="00D757FD">
        <w:rPr>
          <w:lang w:eastAsia="en-AU"/>
        </w:rPr>
        <w:t xml:space="preserve"> </w:t>
      </w:r>
      <w:r w:rsidR="00D757FD">
        <w:rPr>
          <w:lang w:eastAsia="en-AU"/>
        </w:rPr>
        <w:t xml:space="preserve">Information on the KLC’s progress in returning cultural materials to Traditional Owners is </w:t>
      </w:r>
      <w:r w:rsidR="00435483">
        <w:t xml:space="preserve">under </w:t>
      </w:r>
      <w:r w:rsidR="00D757FD">
        <w:rPr>
          <w:lang w:eastAsia="en-AU"/>
        </w:rPr>
        <w:t>TOR 6.</w:t>
      </w:r>
    </w:p>
    <w:p w14:paraId="119F00AC" w14:textId="77777777" w:rsidR="00446C8E" w:rsidRPr="002D4BCE" w:rsidRDefault="00446C8E" w:rsidP="00446C8E">
      <w:pPr>
        <w:pStyle w:val="Heading3"/>
        <w:numPr>
          <w:ilvl w:val="2"/>
          <w:numId w:val="2"/>
        </w:numPr>
      </w:pPr>
      <w:r>
        <w:t xml:space="preserve">TOR 3: </w:t>
      </w:r>
      <w:r w:rsidRPr="002D4BCE">
        <w:t>External factors</w:t>
      </w:r>
    </w:p>
    <w:p w14:paraId="1BE9753E" w14:textId="77777777" w:rsidR="00446C8E" w:rsidRDefault="00446C8E" w:rsidP="00446C8E">
      <w:pPr>
        <w:rPr>
          <w:lang w:eastAsia="en-AU"/>
        </w:rPr>
      </w:pPr>
      <w:r>
        <w:rPr>
          <w:lang w:eastAsia="en-AU"/>
        </w:rPr>
        <w:t>No external factors have been identified for TOR 3.</w:t>
      </w:r>
    </w:p>
    <w:p w14:paraId="66438C2F" w14:textId="77777777" w:rsidR="00446C8E" w:rsidRDefault="00446C8E" w:rsidP="00446C8E">
      <w:pPr>
        <w:pStyle w:val="Heading3"/>
        <w:numPr>
          <w:ilvl w:val="2"/>
          <w:numId w:val="2"/>
        </w:numPr>
      </w:pPr>
      <w:r>
        <w:t>TOR 3: Recommendations</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F222EA" w14:paraId="213B1424" w14:textId="77777777" w:rsidTr="00F222EA">
        <w:trPr>
          <w:trHeight w:val="360"/>
        </w:trPr>
        <w:tc>
          <w:tcPr>
            <w:tcW w:w="8223" w:type="dxa"/>
          </w:tcPr>
          <w:p w14:paraId="1FF529CE" w14:textId="77777777" w:rsidR="00F222EA" w:rsidRDefault="00F222EA" w:rsidP="00F222EA">
            <w:pPr>
              <w:rPr>
                <w:lang w:eastAsia="en-AU"/>
              </w:rPr>
            </w:pPr>
            <w:r w:rsidRPr="00F97AB5">
              <w:rPr>
                <w:noProof/>
                <w:lang w:eastAsia="en-AU"/>
              </w:rPr>
              <w:drawing>
                <wp:inline distT="0" distB="0" distL="0" distR="0" wp14:anchorId="7CF5BD09" wp14:editId="7A61FAFA">
                  <wp:extent cx="5114199" cy="287655"/>
                  <wp:effectExtent l="0" t="0" r="0" b="0"/>
                  <wp:docPr id="1159160336" name="Picture 115916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1B5183D4" w14:textId="77777777" w:rsidR="00F222EA" w:rsidRPr="00F97AB5" w:rsidRDefault="00F222EA" w:rsidP="00F222EA">
            <w:pPr>
              <w:spacing w:after="100" w:afterAutospacing="1"/>
              <w:jc w:val="center"/>
              <w:rPr>
                <w:sz w:val="30"/>
                <w:szCs w:val="30"/>
                <w:lang w:eastAsia="en-AU"/>
              </w:rPr>
            </w:pPr>
            <w:r>
              <w:rPr>
                <w:color w:val="FFFFFF" w:themeColor="background1"/>
                <w:sz w:val="30"/>
                <w:szCs w:val="30"/>
                <w:lang w:eastAsia="en-AU"/>
              </w:rPr>
              <w:t>3</w:t>
            </w:r>
          </w:p>
        </w:tc>
      </w:tr>
      <w:tr w:rsidR="00F222EA" w14:paraId="41B36206" w14:textId="77777777" w:rsidTr="00F222EA">
        <w:tc>
          <w:tcPr>
            <w:tcW w:w="8930" w:type="dxa"/>
            <w:gridSpan w:val="2"/>
            <w:tcBorders>
              <w:right w:val="single" w:sz="18" w:space="0" w:color="F8981D" w:themeColor="accent3"/>
            </w:tcBorders>
          </w:tcPr>
          <w:p w14:paraId="72805E6D" w14:textId="77777777" w:rsidR="00F222EA" w:rsidRPr="00BD37ED" w:rsidRDefault="00F222EA" w:rsidP="00F222EA">
            <w:bookmarkStart w:id="35" w:name="_Hlk167697017"/>
            <w:r>
              <w:rPr>
                <w:lang w:eastAsia="en-AU"/>
              </w:rPr>
              <w:t>Develop written protocols and guidelines to document the KLC’s culturally appropriate engagement strategies, including protocols by which meetings will be run.</w:t>
            </w:r>
            <w:bookmarkEnd w:id="35"/>
          </w:p>
        </w:tc>
      </w:tr>
      <w:tr w:rsidR="00F222EA" w14:paraId="7D1872BD" w14:textId="77777777" w:rsidTr="00F222EA">
        <w:trPr>
          <w:trHeight w:val="360"/>
        </w:trPr>
        <w:tc>
          <w:tcPr>
            <w:tcW w:w="8223" w:type="dxa"/>
          </w:tcPr>
          <w:p w14:paraId="19C465B6" w14:textId="77777777" w:rsidR="00F222EA" w:rsidRDefault="00F222EA" w:rsidP="00F222EA">
            <w:pPr>
              <w:rPr>
                <w:lang w:eastAsia="en-AU"/>
              </w:rPr>
            </w:pPr>
            <w:r w:rsidRPr="00F97AB5">
              <w:rPr>
                <w:noProof/>
                <w:lang w:eastAsia="en-AU"/>
              </w:rPr>
              <w:drawing>
                <wp:inline distT="0" distB="0" distL="0" distR="0" wp14:anchorId="1BE63AA4" wp14:editId="6A6455C1">
                  <wp:extent cx="5114199" cy="287655"/>
                  <wp:effectExtent l="0" t="0" r="0" b="0"/>
                  <wp:docPr id="840109710" name="Picture 84010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1E7EAF51" w14:textId="4C221116" w:rsidR="00F222EA" w:rsidRPr="00F97AB5" w:rsidRDefault="00F222EA" w:rsidP="00F222EA">
            <w:pPr>
              <w:spacing w:after="100" w:afterAutospacing="1"/>
              <w:jc w:val="center"/>
              <w:rPr>
                <w:sz w:val="30"/>
                <w:szCs w:val="30"/>
                <w:lang w:eastAsia="en-AU"/>
              </w:rPr>
            </w:pPr>
            <w:r>
              <w:rPr>
                <w:color w:val="FFFFFF" w:themeColor="background1"/>
                <w:sz w:val="30"/>
                <w:szCs w:val="30"/>
                <w:lang w:eastAsia="en-AU"/>
              </w:rPr>
              <w:t>4</w:t>
            </w:r>
          </w:p>
        </w:tc>
      </w:tr>
      <w:tr w:rsidR="00F222EA" w14:paraId="6EFD0D57" w14:textId="77777777" w:rsidTr="00F222EA">
        <w:tc>
          <w:tcPr>
            <w:tcW w:w="8930" w:type="dxa"/>
            <w:gridSpan w:val="2"/>
            <w:tcBorders>
              <w:bottom w:val="single" w:sz="8" w:space="0" w:color="F8981D" w:themeColor="accent3"/>
              <w:right w:val="single" w:sz="18" w:space="0" w:color="F8981D" w:themeColor="accent3"/>
            </w:tcBorders>
          </w:tcPr>
          <w:p w14:paraId="2DF6C555" w14:textId="1D59A1F7" w:rsidR="00F222EA" w:rsidRPr="00BD37ED" w:rsidRDefault="00F340FB" w:rsidP="00F222EA">
            <w:pPr>
              <w:rPr>
                <w:lang w:eastAsia="en-AU"/>
              </w:rPr>
            </w:pPr>
            <w:bookmarkStart w:id="36" w:name="_Hlk167697028"/>
            <w:r w:rsidRPr="0055330F">
              <w:rPr>
                <w:lang w:eastAsia="en-AU"/>
              </w:rPr>
              <w:t>Develop more culturally sensitive approaches to advising Traditional Owners on privacy considerations which may limit access to genealogical information.</w:t>
            </w:r>
            <w:bookmarkEnd w:id="36"/>
          </w:p>
        </w:tc>
      </w:tr>
    </w:tbl>
    <w:p w14:paraId="7456D930" w14:textId="77777777" w:rsidR="00F90528" w:rsidRDefault="00F90528" w:rsidP="00F90528"/>
    <w:p w14:paraId="4AA5BBAD" w14:textId="77777777" w:rsidR="00F90528" w:rsidRDefault="00F90528">
      <w:pPr>
        <w:spacing w:after="165"/>
        <w:rPr>
          <w:rFonts w:ascii="Segoe UI Semibold" w:eastAsia="Times New Roman" w:hAnsi="Segoe UI Semibold" w:cs="Times New Roman"/>
          <w:color w:val="00264D"/>
          <w:sz w:val="30"/>
          <w:szCs w:val="19"/>
          <w:lang w:eastAsia="en-AU"/>
        </w:rPr>
      </w:pPr>
      <w:r>
        <w:br w:type="page"/>
      </w:r>
    </w:p>
    <w:p w14:paraId="011C199A" w14:textId="42D6EF43" w:rsidR="00446C8E" w:rsidRDefault="00446C8E" w:rsidP="00446C8E">
      <w:pPr>
        <w:pStyle w:val="Heading2"/>
        <w:numPr>
          <w:ilvl w:val="1"/>
          <w:numId w:val="2"/>
        </w:numPr>
        <w:ind w:left="578" w:hanging="578"/>
      </w:pPr>
      <w:bookmarkStart w:id="37" w:name="_Toc170470104"/>
      <w:r w:rsidRPr="00C51C32">
        <w:lastRenderedPageBreak/>
        <w:t>TOR 4 | Extent to which each organisation performs its functions in a cost-effective manner, including by identifying the key cost drivers for the organisation.</w:t>
      </w:r>
      <w:bookmarkEnd w:id="37"/>
    </w:p>
    <w:tbl>
      <w:tblPr>
        <w:tblStyle w:val="TableGrid"/>
        <w:tblW w:w="0" w:type="auto"/>
        <w:tblLook w:val="04A0" w:firstRow="1" w:lastRow="0" w:firstColumn="1" w:lastColumn="0" w:noHBand="0" w:noVBand="1"/>
      </w:tblPr>
      <w:tblGrid>
        <w:gridCol w:w="8930"/>
      </w:tblGrid>
      <w:tr w:rsidR="00446C8E" w14:paraId="22E1479E"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2E0ED933" w14:textId="77777777" w:rsidR="00446C8E" w:rsidRPr="006F122A" w:rsidRDefault="00446C8E" w:rsidP="006F122A">
            <w:pPr>
              <w:pStyle w:val="Longformcallout"/>
              <w:rPr>
                <w:rFonts w:asciiTheme="majorHAnsi" w:hAnsiTheme="majorHAnsi" w:cstheme="majorHAnsi"/>
              </w:rPr>
            </w:pPr>
            <w:r w:rsidRPr="006F122A">
              <w:rPr>
                <w:rFonts w:asciiTheme="majorHAnsi" w:hAnsiTheme="majorHAnsi" w:cstheme="majorHAnsi"/>
              </w:rPr>
              <w:t>Summary</w:t>
            </w:r>
          </w:p>
          <w:p w14:paraId="0AAF5279" w14:textId="210FF44A" w:rsidR="00446C8E" w:rsidRDefault="00446C8E" w:rsidP="006F122A">
            <w:pPr>
              <w:pStyle w:val="Longformcallout"/>
            </w:pPr>
            <w:bookmarkStart w:id="38" w:name="_Hlk170308854"/>
            <w:r>
              <w:t xml:space="preserve">The KLC </w:t>
            </w:r>
            <w:r w:rsidR="00F87DD6">
              <w:t xml:space="preserve">adopted </w:t>
            </w:r>
            <w:r>
              <w:t>cost effective</w:t>
            </w:r>
            <w:r w:rsidR="00F87DD6">
              <w:t xml:space="preserve"> practices</w:t>
            </w:r>
            <w:r>
              <w:t xml:space="preserve"> over the Review period, showing year-on-year improvement against budget. </w:t>
            </w:r>
            <w:r w:rsidRPr="00A4167B">
              <w:t xml:space="preserve">This </w:t>
            </w:r>
            <w:r>
              <w:t>achievement</w:t>
            </w:r>
            <w:r w:rsidRPr="00A4167B">
              <w:t xml:space="preserve"> in cost effectiveness has been </w:t>
            </w:r>
            <w:r>
              <w:t>against an</w:t>
            </w:r>
            <w:r w:rsidRPr="00A4167B">
              <w:t xml:space="preserve"> environment that present</w:t>
            </w:r>
            <w:r w:rsidR="009E0E81">
              <w:t>ed</w:t>
            </w:r>
            <w:r w:rsidRPr="00A4167B">
              <w:t xml:space="preserve"> significant challenges to cost efficiencies, including </w:t>
            </w:r>
            <w:r>
              <w:t>the</w:t>
            </w:r>
            <w:r w:rsidRPr="00A4167B">
              <w:t xml:space="preserve"> very remote nature</w:t>
            </w:r>
            <w:r>
              <w:t xml:space="preserve"> of the</w:t>
            </w:r>
            <w:r w:rsidR="00F87DD6">
              <w:t xml:space="preserve"> region</w:t>
            </w:r>
            <w:r>
              <w:t>.</w:t>
            </w:r>
          </w:p>
          <w:p w14:paraId="02FB9BE1" w14:textId="60016BFC" w:rsidR="00446C8E" w:rsidRDefault="00446C8E" w:rsidP="006F122A">
            <w:pPr>
              <w:pStyle w:val="Longformcallout"/>
            </w:pPr>
            <w:r w:rsidRPr="005B115E">
              <w:t>Staff salaries ma</w:t>
            </w:r>
            <w:r w:rsidR="00F87DD6">
              <w:t>d</w:t>
            </w:r>
            <w:r w:rsidRPr="005B115E">
              <w:t xml:space="preserve">e up the greatest </w:t>
            </w:r>
            <w:r w:rsidR="003B62B0">
              <w:t xml:space="preserve">item of </w:t>
            </w:r>
            <w:r w:rsidRPr="005B115E">
              <w:t xml:space="preserve">spending for </w:t>
            </w:r>
            <w:r>
              <w:t>the K</w:t>
            </w:r>
            <w:r w:rsidRPr="005B115E">
              <w:t>LC</w:t>
            </w:r>
            <w:r w:rsidR="00D70AF5">
              <w:t>, with competition from the mining s</w:t>
            </w:r>
            <w:r w:rsidR="001E774A">
              <w:t>e</w:t>
            </w:r>
            <w:r w:rsidR="00D70AF5">
              <w:t>ctor in particular</w:t>
            </w:r>
            <w:r w:rsidR="00D047C4">
              <w:t xml:space="preserve"> </w:t>
            </w:r>
            <w:r w:rsidR="001E774A">
              <w:t>impacting on salary costs</w:t>
            </w:r>
            <w:r>
              <w:t xml:space="preserve">. Unfilled vacancies led to a need to contract </w:t>
            </w:r>
            <w:r w:rsidR="00F87DD6">
              <w:t xml:space="preserve">some </w:t>
            </w:r>
            <w:r>
              <w:t>work out, leading to spend</w:t>
            </w:r>
            <w:r w:rsidR="00D047C4">
              <w:t>i</w:t>
            </w:r>
            <w:r>
              <w:t xml:space="preserve">ng on corporate consultants </w:t>
            </w:r>
            <w:r w:rsidR="003E06EA">
              <w:t>significantly</w:t>
            </w:r>
            <w:r>
              <w:t xml:space="preserve"> exceeding budgeted amounts. </w:t>
            </w:r>
          </w:p>
          <w:p w14:paraId="0997AD25" w14:textId="4E293E31" w:rsidR="00446C8E" w:rsidRPr="00973FCF" w:rsidRDefault="00446C8E" w:rsidP="006F122A">
            <w:pPr>
              <w:pStyle w:val="Longformcallout"/>
              <w:rPr>
                <w:color w:val="auto"/>
              </w:rPr>
            </w:pPr>
            <w:r w:rsidRPr="00EE2EEF">
              <w:t xml:space="preserve">The </w:t>
            </w:r>
            <w:r>
              <w:t>K</w:t>
            </w:r>
            <w:r w:rsidRPr="00EE2EEF">
              <w:t>LC’s policies and processes for claim group meetings balance considerations of cost-effectiveness with the importance of supporting equitable participation</w:t>
            </w:r>
            <w:r w:rsidR="003E06EA">
              <w:t>.</w:t>
            </w:r>
          </w:p>
          <w:p w14:paraId="1ADA0839" w14:textId="2389E62F" w:rsidR="00446C8E" w:rsidRDefault="00446C8E" w:rsidP="006F122A">
            <w:pPr>
              <w:pStyle w:val="Longformcallout"/>
            </w:pPr>
            <w:r>
              <w:t xml:space="preserve">The use of external anthropology and legal consultants appears cost effective and has generally been on budget. These costs and other costs related to field work were impacted during the Review period by the COVID-19 pandemic and public health restrictions. </w:t>
            </w:r>
          </w:p>
          <w:p w14:paraId="397A4622" w14:textId="4548AC7D" w:rsidR="00446C8E" w:rsidRDefault="00446C8E" w:rsidP="006F122A">
            <w:pPr>
              <w:pStyle w:val="Longformcallout"/>
            </w:pPr>
            <w:r w:rsidRPr="00EE2EEF">
              <w:t xml:space="preserve">The </w:t>
            </w:r>
            <w:r>
              <w:t>KLC</w:t>
            </w:r>
            <w:r w:rsidRPr="00EE2EEF">
              <w:t xml:space="preserve"> </w:t>
            </w:r>
            <w:r>
              <w:t>used</w:t>
            </w:r>
            <w:r w:rsidRPr="00EE2EEF">
              <w:t xml:space="preserve"> a range of </w:t>
            </w:r>
            <w:r>
              <w:t>cost-</w:t>
            </w:r>
            <w:r w:rsidRPr="00EE2EEF">
              <w:t>saving measures during the Review period</w:t>
            </w:r>
            <w:r>
              <w:t>,</w:t>
            </w:r>
            <w:r w:rsidRPr="00EE2EEF">
              <w:t xml:space="preserve"> </w:t>
            </w:r>
            <w:r>
              <w:t>including r</w:t>
            </w:r>
            <w:r w:rsidRPr="00387D16">
              <w:t>educing travel costs through improved coordination</w:t>
            </w:r>
            <w:r>
              <w:t>, n</w:t>
            </w:r>
            <w:r w:rsidRPr="00387D16">
              <w:t>egotiating discounts through bigger professional contracts</w:t>
            </w:r>
            <w:r>
              <w:t xml:space="preserve"> and effectively m</w:t>
            </w:r>
            <w:r w:rsidRPr="00387D16">
              <w:t>anaging IT infrastructure</w:t>
            </w:r>
            <w:r>
              <w:t>.</w:t>
            </w:r>
            <w:bookmarkEnd w:id="38"/>
          </w:p>
        </w:tc>
      </w:tr>
    </w:tbl>
    <w:p w14:paraId="378533E4" w14:textId="77777777" w:rsidR="00446C8E" w:rsidRDefault="00446C8E" w:rsidP="007630C9">
      <w:pPr>
        <w:pStyle w:val="Heading3"/>
        <w:numPr>
          <w:ilvl w:val="2"/>
          <w:numId w:val="24"/>
        </w:numPr>
      </w:pPr>
      <w:r>
        <w:t>TOR 4: Assessment of performance</w:t>
      </w:r>
    </w:p>
    <w:p w14:paraId="72E1001F" w14:textId="56686F37" w:rsidR="00F12A45" w:rsidRPr="00F12A45" w:rsidRDefault="00F12A45" w:rsidP="00F12A45">
      <w:pPr>
        <w:rPr>
          <w:lang w:eastAsia="en-AU"/>
        </w:rPr>
      </w:pPr>
      <w:r w:rsidRPr="00F12A45">
        <w:rPr>
          <w:lang w:eastAsia="en-AU"/>
        </w:rPr>
        <w:t>This section presents an assessment of performance against the performance indicators for this TOR. To see the performance indicators please see</w:t>
      </w:r>
      <w:r>
        <w:rPr>
          <w:lang w:eastAsia="en-AU"/>
        </w:rPr>
        <w:t xml:space="preserve"> </w:t>
      </w:r>
      <w:r>
        <w:rPr>
          <w:lang w:eastAsia="en-AU"/>
        </w:rPr>
        <w:fldChar w:fldCharType="begin"/>
      </w:r>
      <w:r>
        <w:rPr>
          <w:lang w:eastAsia="en-AU"/>
        </w:rPr>
        <w:instrText xml:space="preserve"> REF _Ref163046335 \n \h </w:instrText>
      </w:r>
      <w:r>
        <w:rPr>
          <w:lang w:eastAsia="en-AU"/>
        </w:rPr>
      </w:r>
      <w:r>
        <w:rPr>
          <w:lang w:eastAsia="en-AU"/>
        </w:rPr>
        <w:fldChar w:fldCharType="separate"/>
      </w:r>
      <w:r w:rsidR="00291532">
        <w:rPr>
          <w:lang w:eastAsia="en-AU"/>
        </w:rPr>
        <w:t>Appendix A</w:t>
      </w:r>
      <w:r>
        <w:rPr>
          <w:lang w:eastAsia="en-AU"/>
        </w:rPr>
        <w:fldChar w:fldCharType="end"/>
      </w:r>
      <w:r w:rsidRPr="00F12A45">
        <w:rPr>
          <w:lang w:eastAsia="en-AU"/>
        </w:rPr>
        <w:t>.</w:t>
      </w:r>
    </w:p>
    <w:p w14:paraId="0C249436" w14:textId="24DA31C0" w:rsidR="00446C8E" w:rsidRDefault="00446C8E" w:rsidP="00446C8E">
      <w:pPr>
        <w:pStyle w:val="Heading4"/>
      </w:pPr>
      <w:r w:rsidRPr="00046737">
        <w:t xml:space="preserve">Expenditure on salaries (legal, anthropological, </w:t>
      </w:r>
      <w:r w:rsidR="009A2FB9">
        <w:t>B</w:t>
      </w:r>
      <w:r w:rsidRPr="00046737">
        <w:t>oard, CEO, HR, etc.), operations (travel, legal, offices, etc.) or other relevant items</w:t>
      </w:r>
    </w:p>
    <w:p w14:paraId="7256A20C" w14:textId="7839073C" w:rsidR="00446C8E" w:rsidRDefault="00446C8E" w:rsidP="00002064">
      <w:pPr>
        <w:pStyle w:val="Heading5"/>
      </w:pPr>
      <w:r>
        <w:t xml:space="preserve">NIAA </w:t>
      </w:r>
      <w:r w:rsidR="008C45F5">
        <w:t>f</w:t>
      </w:r>
      <w:r>
        <w:t>unding for the KLC was consistent over the Review period</w:t>
      </w:r>
    </w:p>
    <w:p w14:paraId="00939CAD" w14:textId="2FD0F451" w:rsidR="00446C8E" w:rsidRDefault="00446C8E" w:rsidP="00446C8E">
      <w:pPr>
        <w:rPr>
          <w:lang w:eastAsia="en-AU"/>
        </w:rPr>
      </w:pPr>
      <w:r>
        <w:rPr>
          <w:lang w:eastAsia="en-AU"/>
        </w:rPr>
        <w:t xml:space="preserve">The KLC received relatively consistent levels of funding from the NIAA between </w:t>
      </w:r>
      <w:r w:rsidR="000916F2">
        <w:rPr>
          <w:lang w:eastAsia="en-AU"/>
        </w:rPr>
        <w:t>FY</w:t>
      </w:r>
      <w:r>
        <w:rPr>
          <w:lang w:eastAsia="en-AU"/>
        </w:rPr>
        <w:t xml:space="preserve">2019-20 to </w:t>
      </w:r>
      <w:r w:rsidR="000916F2">
        <w:rPr>
          <w:lang w:eastAsia="en-AU"/>
        </w:rPr>
        <w:t>FY</w:t>
      </w:r>
      <w:r>
        <w:rPr>
          <w:lang w:eastAsia="en-AU"/>
        </w:rPr>
        <w:t xml:space="preserve">2021-22, at approximately $13 million each year, as shown in </w:t>
      </w:r>
      <w:r>
        <w:rPr>
          <w:lang w:eastAsia="en-AU"/>
        </w:rPr>
        <w:fldChar w:fldCharType="begin"/>
      </w:r>
      <w:r>
        <w:rPr>
          <w:lang w:eastAsia="en-AU"/>
        </w:rPr>
        <w:instrText xml:space="preserve"> REF _Ref143506080 \h </w:instrText>
      </w:r>
      <w:r>
        <w:rPr>
          <w:lang w:eastAsia="en-AU"/>
        </w:rPr>
      </w:r>
      <w:r>
        <w:rPr>
          <w:lang w:eastAsia="en-AU"/>
        </w:rPr>
        <w:fldChar w:fldCharType="separate"/>
      </w:r>
      <w:r w:rsidR="00291532">
        <w:t xml:space="preserve">Figure </w:t>
      </w:r>
      <w:r w:rsidR="00291532">
        <w:rPr>
          <w:noProof/>
        </w:rPr>
        <w:t>1</w:t>
      </w:r>
      <w:r>
        <w:rPr>
          <w:lang w:eastAsia="en-AU"/>
        </w:rPr>
        <w:fldChar w:fldCharType="end"/>
      </w:r>
      <w:r>
        <w:rPr>
          <w:lang w:eastAsia="en-AU"/>
        </w:rPr>
        <w:t>. There was little discrepancy between the budgeted and actual figures for NIAA income. The KLC received about 15</w:t>
      </w:r>
      <w:r w:rsidR="008C45F5">
        <w:rPr>
          <w:lang w:eastAsia="en-AU"/>
        </w:rPr>
        <w:t xml:space="preserve"> to </w:t>
      </w:r>
      <w:r>
        <w:rPr>
          <w:lang w:eastAsia="en-AU"/>
        </w:rPr>
        <w:t>20</w:t>
      </w:r>
      <w:r w:rsidR="008C45F5">
        <w:rPr>
          <w:lang w:eastAsia="en-AU"/>
        </w:rPr>
        <w:t xml:space="preserve"> per cent</w:t>
      </w:r>
      <w:r>
        <w:rPr>
          <w:lang w:eastAsia="en-AU"/>
        </w:rPr>
        <w:t xml:space="preserve"> of its income from other sources, including interest and </w:t>
      </w:r>
      <w:r w:rsidR="00E4466C">
        <w:rPr>
          <w:lang w:eastAsia="en-AU"/>
        </w:rPr>
        <w:t>Future Act</w:t>
      </w:r>
      <w:r>
        <w:rPr>
          <w:lang w:eastAsia="en-AU"/>
        </w:rPr>
        <w:t xml:space="preserve"> negotiations. </w:t>
      </w:r>
    </w:p>
    <w:p w14:paraId="39EE4522" w14:textId="76CE2C48" w:rsidR="00446C8E" w:rsidRDefault="00446C8E" w:rsidP="00446C8E">
      <w:pPr>
        <w:pStyle w:val="Caption"/>
        <w:rPr>
          <w:lang w:eastAsia="en-AU"/>
        </w:rPr>
      </w:pPr>
      <w:bookmarkStart w:id="39" w:name="_Ref143506080"/>
      <w:r>
        <w:lastRenderedPageBreak/>
        <w:t xml:space="preserve">Figure </w:t>
      </w:r>
      <w:r>
        <w:fldChar w:fldCharType="begin"/>
      </w:r>
      <w:r>
        <w:instrText xml:space="preserve"> SEQ Figure \* ARABIC </w:instrText>
      </w:r>
      <w:r>
        <w:fldChar w:fldCharType="separate"/>
      </w:r>
      <w:r w:rsidR="00291532">
        <w:rPr>
          <w:noProof/>
        </w:rPr>
        <w:t>1</w:t>
      </w:r>
      <w:r>
        <w:fldChar w:fldCharType="end"/>
      </w:r>
      <w:bookmarkEnd w:id="39"/>
      <w:r>
        <w:t xml:space="preserve"> | </w:t>
      </w:r>
      <w:r w:rsidRPr="00D86FC7">
        <w:t xml:space="preserve">KLC </w:t>
      </w:r>
      <w:r w:rsidR="008C45F5">
        <w:t>i</w:t>
      </w:r>
      <w:r w:rsidRPr="00D86FC7">
        <w:t xml:space="preserve">ncome, </w:t>
      </w:r>
      <w:r>
        <w:t>FY</w:t>
      </w:r>
      <w:r w:rsidRPr="00D86FC7">
        <w:t xml:space="preserve">2019-20 to </w:t>
      </w:r>
      <w:r>
        <w:t>FY</w:t>
      </w:r>
      <w:r w:rsidRPr="00D86FC7">
        <w:t>2021-22</w:t>
      </w:r>
      <w:r>
        <w:rPr>
          <w:rStyle w:val="FootnoteReference"/>
        </w:rPr>
        <w:footnoteReference w:id="20"/>
      </w:r>
    </w:p>
    <w:p w14:paraId="3155203C" w14:textId="6667BA81" w:rsidR="002943CA" w:rsidRDefault="002943CA" w:rsidP="00446C8E">
      <w:pPr>
        <w:rPr>
          <w:lang w:eastAsia="en-AU"/>
        </w:rPr>
      </w:pPr>
      <w:r>
        <w:rPr>
          <w:noProof/>
          <w:lang w:eastAsia="en-AU"/>
        </w:rPr>
        <w:drawing>
          <wp:inline distT="0" distB="0" distL="0" distR="0" wp14:anchorId="44081CF1" wp14:editId="0B35410F">
            <wp:extent cx="5670550" cy="2571115"/>
            <wp:effectExtent l="0" t="0" r="6350" b="635"/>
            <wp:docPr id="1953958632" name="Picture 6" descr="Bar chart comparing the Kimberley Land Council’s income categorised into NIAA funding and Other income across the fiscal years 2019-2020, 2020-2021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58632" name="Picture 6" descr="Bar chart comparing the Kimberley Land Council’s income categorised into NIAA funding and Other income across the fiscal years 2019-2020, 2020-2021 and 2021-2022.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50" cy="2571115"/>
                    </a:xfrm>
                    <a:prstGeom prst="rect">
                      <a:avLst/>
                    </a:prstGeom>
                  </pic:spPr>
                </pic:pic>
              </a:graphicData>
            </a:graphic>
          </wp:inline>
        </w:drawing>
      </w:r>
    </w:p>
    <w:p w14:paraId="76CD1700" w14:textId="77777777" w:rsidR="00446C8E" w:rsidRDefault="00446C8E" w:rsidP="00002064">
      <w:pPr>
        <w:pStyle w:val="Heading5"/>
        <w:rPr>
          <w:rFonts w:eastAsiaTheme="majorEastAsia" w:cstheme="majorBidi"/>
          <w:b w:val="0"/>
          <w:i/>
          <w:iCs/>
          <w:szCs w:val="19"/>
        </w:rPr>
      </w:pPr>
      <w:r w:rsidRPr="001B4C99">
        <w:rPr>
          <w:rFonts w:eastAsiaTheme="majorEastAsia"/>
        </w:rPr>
        <w:t xml:space="preserve">Total </w:t>
      </w:r>
      <w:r w:rsidRPr="00DB11B2">
        <w:rPr>
          <w:rFonts w:eastAsiaTheme="majorEastAsia"/>
        </w:rPr>
        <w:t xml:space="preserve">expenditure </w:t>
      </w:r>
      <w:r w:rsidRPr="00DB11B2">
        <w:rPr>
          <w:rFonts w:eastAsiaTheme="majorEastAsia" w:cstheme="majorBidi"/>
          <w:szCs w:val="19"/>
        </w:rPr>
        <w:t>reduced over the Review period</w:t>
      </w:r>
      <w:r w:rsidRPr="001B4C99">
        <w:rPr>
          <w:rFonts w:eastAsiaTheme="majorEastAsia" w:cstheme="majorBidi"/>
          <w:b w:val="0"/>
          <w:i/>
          <w:iCs/>
          <w:szCs w:val="19"/>
        </w:rPr>
        <w:t xml:space="preserve"> </w:t>
      </w:r>
    </w:p>
    <w:p w14:paraId="34F849F8" w14:textId="1319BF9F" w:rsidR="00446C8E" w:rsidRDefault="00446C8E" w:rsidP="00446C8E">
      <w:r>
        <w:t>Total KLC expenditure (ex</w:t>
      </w:r>
      <w:r w:rsidR="00ED64AB">
        <w:t>cluding</w:t>
      </w:r>
      <w:r>
        <w:t xml:space="preserve"> GST) in </w:t>
      </w:r>
      <w:r w:rsidR="00ED64AB">
        <w:t>FY</w:t>
      </w:r>
      <w:r>
        <w:t xml:space="preserve">2019-20 was about </w:t>
      </w:r>
      <w:r w:rsidR="00E9763D">
        <w:t>$14 million but</w:t>
      </w:r>
      <w:r>
        <w:t xml:space="preserve"> dropped almost </w:t>
      </w:r>
      <w:r w:rsidR="00ED64AB">
        <w:t>ten per cent</w:t>
      </w:r>
      <w:r>
        <w:t xml:space="preserve"> in </w:t>
      </w:r>
      <w:r w:rsidR="00ED64AB">
        <w:t>FY</w:t>
      </w:r>
      <w:r>
        <w:t xml:space="preserve">2020-21 to $12.7 million, then reduced again to $12.3 million in </w:t>
      </w:r>
      <w:r w:rsidR="00ED64AB">
        <w:t>FY</w:t>
      </w:r>
      <w:r>
        <w:t xml:space="preserve">2021-22. As shown in </w:t>
      </w:r>
      <w:r>
        <w:fldChar w:fldCharType="begin"/>
      </w:r>
      <w:r>
        <w:instrText xml:space="preserve"> REF _Ref143512376 \h </w:instrText>
      </w:r>
      <w:r>
        <w:fldChar w:fldCharType="separate"/>
      </w:r>
      <w:r w:rsidR="00291532">
        <w:t xml:space="preserve">Figure </w:t>
      </w:r>
      <w:r w:rsidR="00291532">
        <w:rPr>
          <w:noProof/>
        </w:rPr>
        <w:t>2</w:t>
      </w:r>
      <w:r>
        <w:fldChar w:fldCharType="end"/>
      </w:r>
      <w:r>
        <w:t xml:space="preserve">, expenditure </w:t>
      </w:r>
      <w:r w:rsidR="00E9763D">
        <w:t xml:space="preserve">was </w:t>
      </w:r>
      <w:r>
        <w:t>under budget every year</w:t>
      </w:r>
      <w:r w:rsidR="00E9763D">
        <w:t xml:space="preserve"> of the Review period</w:t>
      </w:r>
      <w:r>
        <w:t xml:space="preserve"> and has also decreased from year to year.</w:t>
      </w:r>
    </w:p>
    <w:p w14:paraId="343A8962" w14:textId="036BD087" w:rsidR="00446C8E" w:rsidRDefault="00446C8E" w:rsidP="00446C8E">
      <w:pPr>
        <w:pStyle w:val="Caption"/>
      </w:pPr>
      <w:bookmarkStart w:id="40" w:name="_Ref143512376"/>
      <w:r>
        <w:t xml:space="preserve">Figure </w:t>
      </w:r>
      <w:r>
        <w:fldChar w:fldCharType="begin"/>
      </w:r>
      <w:r>
        <w:instrText xml:space="preserve"> SEQ Figure \* ARABIC </w:instrText>
      </w:r>
      <w:r>
        <w:fldChar w:fldCharType="separate"/>
      </w:r>
      <w:r w:rsidR="00291532">
        <w:rPr>
          <w:noProof/>
        </w:rPr>
        <w:t>2</w:t>
      </w:r>
      <w:r>
        <w:fldChar w:fldCharType="end"/>
      </w:r>
      <w:bookmarkEnd w:id="40"/>
      <w:r>
        <w:t xml:space="preserve"> | KLC </w:t>
      </w:r>
      <w:r w:rsidR="00ED64AB">
        <w:t>e</w:t>
      </w:r>
      <w:r>
        <w:t xml:space="preserve">xpenditure, FY2019-20 to FY2021-22 </w:t>
      </w:r>
      <w:r>
        <w:rPr>
          <w:rStyle w:val="FootnoteReference"/>
        </w:rPr>
        <w:footnoteReference w:id="21"/>
      </w:r>
    </w:p>
    <w:p w14:paraId="3DE0595B" w14:textId="65DDFF93" w:rsidR="00E62C16" w:rsidRDefault="00E750C9" w:rsidP="00446C8E">
      <w:r>
        <w:rPr>
          <w:noProof/>
        </w:rPr>
        <w:drawing>
          <wp:inline distT="0" distB="0" distL="0" distR="0" wp14:anchorId="757ED67B" wp14:editId="06801D7C">
            <wp:extent cx="5670550" cy="2494280"/>
            <wp:effectExtent l="0" t="0" r="6350" b="1270"/>
            <wp:docPr id="415070760" name="Picture 4" descr="Bar chart comparing the Kimberley Land Council’s budgeted and actual expenditure across the fiscal years 2019-2020, 2020-2021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70760" name="Picture 4" descr="Bar chart comparing the Kimberley Land Council’s budgeted and actual expenditure across the fiscal years 2019-2020, 2020-2021 and 2021-2022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0550" cy="2494280"/>
                    </a:xfrm>
                    <a:prstGeom prst="rect">
                      <a:avLst/>
                    </a:prstGeom>
                  </pic:spPr>
                </pic:pic>
              </a:graphicData>
            </a:graphic>
          </wp:inline>
        </w:drawing>
      </w:r>
    </w:p>
    <w:p w14:paraId="79D9FEDE" w14:textId="4F8683AA" w:rsidR="00446C8E" w:rsidRDefault="00446C8E" w:rsidP="00446C8E">
      <w:r>
        <w:t xml:space="preserve">As shown in </w:t>
      </w:r>
      <w:r>
        <w:fldChar w:fldCharType="begin"/>
      </w:r>
      <w:r>
        <w:instrText xml:space="preserve"> REF _Ref143504588 \h </w:instrText>
      </w:r>
      <w:r>
        <w:fldChar w:fldCharType="separate"/>
      </w:r>
      <w:r w:rsidR="00291532">
        <w:t xml:space="preserve">Figure </w:t>
      </w:r>
      <w:r w:rsidR="00291532">
        <w:rPr>
          <w:noProof/>
        </w:rPr>
        <w:t>3</w:t>
      </w:r>
      <w:r>
        <w:fldChar w:fldCharType="end"/>
      </w:r>
      <w:r>
        <w:t xml:space="preserve">, the relative breakdown of key line items fluctuated across the </w:t>
      </w:r>
      <w:r w:rsidR="00E750C9">
        <w:t xml:space="preserve">Review </w:t>
      </w:r>
      <w:r>
        <w:t xml:space="preserve">period, in some instances due to the limiting effects of COVID-19 on certain travel and research engagements. For example, attributable costs for project consultants including legal and anthropological consultants decreased sharply after </w:t>
      </w:r>
      <w:r w:rsidR="00536EEE">
        <w:t>FY</w:t>
      </w:r>
      <w:r>
        <w:t xml:space="preserve">2019-20. The sharp drop in project staff salaries and sharp increase in PBC support expenditure for </w:t>
      </w:r>
      <w:r w:rsidR="00536EEE">
        <w:t>FY</w:t>
      </w:r>
      <w:r>
        <w:t xml:space="preserve">2021-22 seen in </w:t>
      </w:r>
      <w:r>
        <w:fldChar w:fldCharType="begin"/>
      </w:r>
      <w:r>
        <w:instrText xml:space="preserve"> REF _Ref143504588 \h </w:instrText>
      </w:r>
      <w:r>
        <w:fldChar w:fldCharType="separate"/>
      </w:r>
      <w:r w:rsidR="00291532">
        <w:t xml:space="preserve">Figure </w:t>
      </w:r>
      <w:r w:rsidR="00291532">
        <w:rPr>
          <w:noProof/>
        </w:rPr>
        <w:t>3</w:t>
      </w:r>
      <w:r>
        <w:fldChar w:fldCharType="end"/>
      </w:r>
      <w:r>
        <w:t xml:space="preserve"> is due to a change in the way the KLC allocated salaries in their accounting for PBCs. </w:t>
      </w:r>
    </w:p>
    <w:p w14:paraId="3B13817C" w14:textId="328F54DC" w:rsidR="00446C8E" w:rsidRPr="00050C8F" w:rsidRDefault="00446C8E" w:rsidP="00446C8E">
      <w:r>
        <w:lastRenderedPageBreak/>
        <w:t xml:space="preserve">Salaries consistently made up the greatest cost for the KLC. </w:t>
      </w:r>
      <w:r w:rsidRPr="00CB213E">
        <w:t>Many senior staff recognised that the level of staff salaries reflect</w:t>
      </w:r>
      <w:r w:rsidR="00536EEE">
        <w:t>ed</w:t>
      </w:r>
      <w:r w:rsidRPr="00CB213E">
        <w:t xml:space="preserve"> the difficulty in recruiting and maintaining staff with professional native title expertise in the very competitive market, especially in a regional area like </w:t>
      </w:r>
      <w:r>
        <w:t>the Kimberley</w:t>
      </w:r>
      <w:r w:rsidRPr="00CB213E">
        <w:t>.</w:t>
      </w:r>
      <w:r>
        <w:t xml:space="preserve"> The KLC also face</w:t>
      </w:r>
      <w:r w:rsidR="00950E8A">
        <w:t>d</w:t>
      </w:r>
      <w:r>
        <w:t xml:space="preserve"> strong competition from the resources sector for skilled professionals. </w:t>
      </w:r>
    </w:p>
    <w:p w14:paraId="765B4F2E" w14:textId="5E9534FD" w:rsidR="00446C8E" w:rsidRDefault="00446C8E" w:rsidP="00446C8E">
      <w:pPr>
        <w:pStyle w:val="Caption"/>
        <w:rPr>
          <w:lang w:eastAsia="en-AU"/>
        </w:rPr>
      </w:pPr>
      <w:bookmarkStart w:id="41" w:name="_Ref143504588"/>
      <w:r>
        <w:t xml:space="preserve">Figure </w:t>
      </w:r>
      <w:r>
        <w:fldChar w:fldCharType="begin"/>
      </w:r>
      <w:r>
        <w:instrText xml:space="preserve"> SEQ Figure \* ARABIC </w:instrText>
      </w:r>
      <w:r>
        <w:fldChar w:fldCharType="separate"/>
      </w:r>
      <w:r w:rsidR="00291532">
        <w:rPr>
          <w:noProof/>
        </w:rPr>
        <w:t>3</w:t>
      </w:r>
      <w:r>
        <w:fldChar w:fldCharType="end"/>
      </w:r>
      <w:bookmarkEnd w:id="41"/>
      <w:r>
        <w:t xml:space="preserve"> | Select KLC expenditure, FY2019-20 to FY2021-22</w:t>
      </w:r>
      <w:r>
        <w:rPr>
          <w:rStyle w:val="FootnoteReference"/>
        </w:rPr>
        <w:footnoteReference w:id="22"/>
      </w:r>
    </w:p>
    <w:p w14:paraId="6B8A672E" w14:textId="05B18EC7" w:rsidR="00E32BAD" w:rsidRDefault="00E32BAD" w:rsidP="00446C8E">
      <w:pPr>
        <w:rPr>
          <w:lang w:eastAsia="en-AU"/>
        </w:rPr>
      </w:pPr>
      <w:r>
        <w:rPr>
          <w:noProof/>
          <w:lang w:eastAsia="en-AU"/>
        </w:rPr>
        <w:drawing>
          <wp:inline distT="0" distB="0" distL="0" distR="0" wp14:anchorId="1230F72C" wp14:editId="7AE1F512">
            <wp:extent cx="5670550" cy="2585720"/>
            <wp:effectExtent l="0" t="0" r="6350" b="5080"/>
            <wp:docPr id="2019117606" name="Picture 5" descr="Bar chart comparing the Kimberley Land Council’s nine select expenditure categories across the fiscal years 2019-2020, 2020-2021 and 2021-2022. Project staff salaries and training display the highest and least expenditure across all fiscal years,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17606" name="Picture 5" descr="Bar chart comparing the Kimberley Land Council’s nine select expenditure categories across the fiscal years 2019-2020, 2020-2021 and 2021-2022. Project staff salaries and training display the highest and least expenditure across all fiscal years, respectively.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0550" cy="2585720"/>
                    </a:xfrm>
                    <a:prstGeom prst="rect">
                      <a:avLst/>
                    </a:prstGeom>
                  </pic:spPr>
                </pic:pic>
              </a:graphicData>
            </a:graphic>
          </wp:inline>
        </w:drawing>
      </w:r>
    </w:p>
    <w:p w14:paraId="2C00EC72" w14:textId="3C9CBB98" w:rsidR="00446C8E" w:rsidRDefault="00446C8E" w:rsidP="00002064">
      <w:pPr>
        <w:pStyle w:val="Heading5"/>
      </w:pPr>
      <w:r>
        <w:t>Total corporate expenditure was generally on budget, though costs for consultants considerably exceeded budget</w:t>
      </w:r>
    </w:p>
    <w:p w14:paraId="3A7B97B3" w14:textId="3F9D5A15" w:rsidR="00446C8E" w:rsidRDefault="00446C8E" w:rsidP="00446C8E">
      <w:pPr>
        <w:rPr>
          <w:lang w:eastAsia="en-AU"/>
        </w:rPr>
      </w:pPr>
      <w:r>
        <w:rPr>
          <w:lang w:eastAsia="en-AU"/>
        </w:rPr>
        <w:t xml:space="preserve">The KLC kept corporate expenditure to budget. The previous </w:t>
      </w:r>
      <w:r w:rsidR="002943CA">
        <w:rPr>
          <w:lang w:eastAsia="en-AU"/>
        </w:rPr>
        <w:t>R</w:t>
      </w:r>
      <w:r>
        <w:rPr>
          <w:lang w:eastAsia="en-AU"/>
        </w:rPr>
        <w:t xml:space="preserve">eview recommended that the KLC should continue to investigate ways to cut its corporate overspend through finding efficiencies across its corporate function, and as shown in </w:t>
      </w:r>
      <w:r>
        <w:rPr>
          <w:lang w:eastAsia="en-AU"/>
        </w:rPr>
        <w:fldChar w:fldCharType="begin"/>
      </w:r>
      <w:r>
        <w:rPr>
          <w:lang w:eastAsia="en-AU"/>
        </w:rPr>
        <w:instrText xml:space="preserve"> REF _Ref143509167 \h </w:instrText>
      </w:r>
      <w:r>
        <w:rPr>
          <w:lang w:eastAsia="en-AU"/>
        </w:rPr>
      </w:r>
      <w:r>
        <w:rPr>
          <w:lang w:eastAsia="en-AU"/>
        </w:rPr>
        <w:fldChar w:fldCharType="separate"/>
      </w:r>
      <w:r w:rsidR="00291532">
        <w:t xml:space="preserve">Table </w:t>
      </w:r>
      <w:r w:rsidR="00291532">
        <w:rPr>
          <w:noProof/>
        </w:rPr>
        <w:t>12</w:t>
      </w:r>
      <w:r>
        <w:rPr>
          <w:lang w:eastAsia="en-AU"/>
        </w:rPr>
        <w:fldChar w:fldCharType="end"/>
      </w:r>
      <w:r>
        <w:rPr>
          <w:lang w:eastAsia="en-AU"/>
        </w:rPr>
        <w:t>, corporate expenditure was within budget for all years of the Review.</w:t>
      </w:r>
      <w:r w:rsidR="008D67CB">
        <w:rPr>
          <w:lang w:eastAsia="en-AU"/>
        </w:rPr>
        <w:t xml:space="preserve"> </w:t>
      </w:r>
    </w:p>
    <w:p w14:paraId="3277700A" w14:textId="131CF652" w:rsidR="00446C8E" w:rsidRDefault="00446C8E" w:rsidP="00446C8E">
      <w:pPr>
        <w:pStyle w:val="Caption"/>
        <w:rPr>
          <w:lang w:eastAsia="en-AU"/>
        </w:rPr>
      </w:pPr>
      <w:bookmarkStart w:id="42" w:name="_Ref143509167"/>
      <w:r>
        <w:t xml:space="preserve">Table </w:t>
      </w:r>
      <w:r>
        <w:fldChar w:fldCharType="begin"/>
      </w:r>
      <w:r>
        <w:instrText xml:space="preserve"> SEQ Table \* ARABIC </w:instrText>
      </w:r>
      <w:r>
        <w:fldChar w:fldCharType="separate"/>
      </w:r>
      <w:r w:rsidR="00291532">
        <w:rPr>
          <w:noProof/>
        </w:rPr>
        <w:t>12</w:t>
      </w:r>
      <w:r>
        <w:fldChar w:fldCharType="end"/>
      </w:r>
      <w:bookmarkEnd w:id="42"/>
      <w:r>
        <w:t xml:space="preserve"> | KLC corporate expenditure, 2019-20 to 2021-22</w:t>
      </w:r>
    </w:p>
    <w:tbl>
      <w:tblPr>
        <w:tblStyle w:val="TableGrid"/>
        <w:tblpPr w:leftFromText="180" w:rightFromText="180" w:vertAnchor="text" w:horzAnchor="margin" w:tblpY="-1"/>
        <w:tblW w:w="5000" w:type="pct"/>
        <w:tblLook w:val="04A0" w:firstRow="1" w:lastRow="0" w:firstColumn="1" w:lastColumn="0" w:noHBand="0" w:noVBand="1"/>
      </w:tblPr>
      <w:tblGrid>
        <w:gridCol w:w="1786"/>
        <w:gridCol w:w="1786"/>
        <w:gridCol w:w="1786"/>
        <w:gridCol w:w="1786"/>
        <w:gridCol w:w="1786"/>
      </w:tblGrid>
      <w:tr w:rsidR="00E72929" w14:paraId="2F02AF76" w14:textId="77777777" w:rsidTr="000601C5">
        <w:trPr>
          <w:cnfStyle w:val="100000000000" w:firstRow="1" w:lastRow="0" w:firstColumn="0" w:lastColumn="0" w:oddVBand="0" w:evenVBand="0" w:oddHBand="0" w:evenHBand="0" w:firstRowFirstColumn="0" w:firstRowLastColumn="0" w:lastRowFirstColumn="0" w:lastRowLastColumn="0"/>
        </w:trPr>
        <w:tc>
          <w:tcPr>
            <w:tcW w:w="1000" w:type="pct"/>
          </w:tcPr>
          <w:p w14:paraId="2B120A73" w14:textId="3A6BB5C3" w:rsidR="00446C8E" w:rsidRDefault="00EE064C">
            <w:pPr>
              <w:pStyle w:val="TableNheader"/>
              <w:rPr>
                <w:lang w:eastAsia="en-AU"/>
              </w:rPr>
            </w:pPr>
            <w:r>
              <w:rPr>
                <w:lang w:eastAsia="en-AU"/>
              </w:rPr>
              <w:t>Financial y</w:t>
            </w:r>
            <w:r w:rsidR="00446C8E">
              <w:rPr>
                <w:lang w:eastAsia="en-AU"/>
              </w:rPr>
              <w:t>ear</w:t>
            </w:r>
          </w:p>
        </w:tc>
        <w:tc>
          <w:tcPr>
            <w:tcW w:w="1000" w:type="pct"/>
          </w:tcPr>
          <w:p w14:paraId="6E2796F2" w14:textId="77777777" w:rsidR="00446C8E" w:rsidRDefault="00446C8E">
            <w:pPr>
              <w:pStyle w:val="TableNheader"/>
              <w:rPr>
                <w:lang w:eastAsia="en-AU"/>
              </w:rPr>
            </w:pPr>
            <w:r>
              <w:rPr>
                <w:lang w:eastAsia="en-AU"/>
              </w:rPr>
              <w:t>Budget</w:t>
            </w:r>
          </w:p>
        </w:tc>
        <w:tc>
          <w:tcPr>
            <w:tcW w:w="1000" w:type="pct"/>
          </w:tcPr>
          <w:p w14:paraId="7FD6B274" w14:textId="77777777" w:rsidR="00446C8E" w:rsidRDefault="00446C8E">
            <w:pPr>
              <w:pStyle w:val="TableNheader"/>
              <w:rPr>
                <w:lang w:eastAsia="en-AU"/>
              </w:rPr>
            </w:pPr>
            <w:r>
              <w:rPr>
                <w:lang w:eastAsia="en-AU"/>
              </w:rPr>
              <w:t>Actual</w:t>
            </w:r>
          </w:p>
        </w:tc>
        <w:tc>
          <w:tcPr>
            <w:tcW w:w="1000" w:type="pct"/>
          </w:tcPr>
          <w:p w14:paraId="6A8905BF" w14:textId="77777777" w:rsidR="00446C8E" w:rsidRDefault="00446C8E">
            <w:pPr>
              <w:pStyle w:val="TableNheader"/>
              <w:rPr>
                <w:lang w:eastAsia="en-AU"/>
              </w:rPr>
            </w:pPr>
            <w:r>
              <w:rPr>
                <w:lang w:eastAsia="en-AU"/>
              </w:rPr>
              <w:t>Variance ($)</w:t>
            </w:r>
          </w:p>
        </w:tc>
        <w:tc>
          <w:tcPr>
            <w:tcW w:w="1000" w:type="pct"/>
          </w:tcPr>
          <w:p w14:paraId="25AE6919" w14:textId="77777777" w:rsidR="00446C8E" w:rsidRDefault="00446C8E">
            <w:pPr>
              <w:pStyle w:val="TableNheader"/>
              <w:rPr>
                <w:lang w:eastAsia="en-AU"/>
              </w:rPr>
            </w:pPr>
            <w:r>
              <w:rPr>
                <w:lang w:eastAsia="en-AU"/>
              </w:rPr>
              <w:t>Variance (%)</w:t>
            </w:r>
          </w:p>
        </w:tc>
      </w:tr>
      <w:tr w:rsidR="00446C8E" w14:paraId="5CA4F773" w14:textId="77777777" w:rsidTr="000601C5">
        <w:trPr>
          <w:cnfStyle w:val="000000100000" w:firstRow="0" w:lastRow="0" w:firstColumn="0" w:lastColumn="0" w:oddVBand="0" w:evenVBand="0" w:oddHBand="1" w:evenHBand="0" w:firstRowFirstColumn="0" w:firstRowLastColumn="0" w:lastRowFirstColumn="0" w:lastRowLastColumn="0"/>
        </w:trPr>
        <w:tc>
          <w:tcPr>
            <w:tcW w:w="1000" w:type="pct"/>
          </w:tcPr>
          <w:p w14:paraId="1512115E" w14:textId="77777777" w:rsidR="00446C8E" w:rsidRPr="007E5CB6" w:rsidRDefault="00446C8E" w:rsidP="00AE249F">
            <w:pPr>
              <w:pStyle w:val="TableNText"/>
              <w:rPr>
                <w:lang w:eastAsia="en-AU"/>
              </w:rPr>
            </w:pPr>
            <w:r w:rsidRPr="007E5CB6">
              <w:rPr>
                <w:lang w:eastAsia="en-AU"/>
              </w:rPr>
              <w:t>2019-20</w:t>
            </w:r>
          </w:p>
        </w:tc>
        <w:tc>
          <w:tcPr>
            <w:tcW w:w="1000" w:type="pct"/>
            <w:vAlign w:val="bottom"/>
          </w:tcPr>
          <w:p w14:paraId="71311245" w14:textId="77777777" w:rsidR="00446C8E" w:rsidRPr="00E40E20" w:rsidRDefault="00446C8E" w:rsidP="00AE249F">
            <w:pPr>
              <w:pStyle w:val="TableNText"/>
            </w:pPr>
            <w:r w:rsidRPr="00E40E20">
              <w:t xml:space="preserve">$4,624,846 </w:t>
            </w:r>
          </w:p>
        </w:tc>
        <w:tc>
          <w:tcPr>
            <w:tcW w:w="1000" w:type="pct"/>
            <w:vAlign w:val="bottom"/>
          </w:tcPr>
          <w:p w14:paraId="0296DA14" w14:textId="77777777" w:rsidR="00446C8E" w:rsidRPr="00E40E20" w:rsidRDefault="00446C8E" w:rsidP="00AE249F">
            <w:pPr>
              <w:pStyle w:val="TableNText"/>
            </w:pPr>
            <w:r w:rsidRPr="00E40E20">
              <w:t xml:space="preserve">$4,586,083 </w:t>
            </w:r>
          </w:p>
        </w:tc>
        <w:tc>
          <w:tcPr>
            <w:tcW w:w="1000" w:type="pct"/>
          </w:tcPr>
          <w:p w14:paraId="7038F23A" w14:textId="77777777" w:rsidR="00446C8E" w:rsidRPr="007E5CB6" w:rsidRDefault="00446C8E" w:rsidP="00AE249F">
            <w:pPr>
              <w:pStyle w:val="TableNText"/>
              <w:rPr>
                <w:color w:val="00B050"/>
                <w:lang w:eastAsia="en-AU"/>
              </w:rPr>
            </w:pPr>
            <w:r w:rsidRPr="007E5CB6">
              <w:rPr>
                <w:color w:val="00B050"/>
                <w:lang w:eastAsia="en-AU"/>
              </w:rPr>
              <w:t>$</w:t>
            </w:r>
            <w:r w:rsidRPr="001A51A0">
              <w:rPr>
                <w:color w:val="00B050"/>
                <w:lang w:eastAsia="en-AU"/>
              </w:rPr>
              <w:t>38,763</w:t>
            </w:r>
          </w:p>
        </w:tc>
        <w:tc>
          <w:tcPr>
            <w:tcW w:w="1000" w:type="pct"/>
          </w:tcPr>
          <w:p w14:paraId="53B1876B" w14:textId="77777777" w:rsidR="00446C8E" w:rsidRPr="007E5CB6" w:rsidRDefault="00446C8E" w:rsidP="00AE249F">
            <w:pPr>
              <w:pStyle w:val="TableNText"/>
              <w:rPr>
                <w:color w:val="00B050"/>
                <w:lang w:eastAsia="en-AU"/>
              </w:rPr>
            </w:pPr>
            <w:r w:rsidRPr="007E5CB6">
              <w:rPr>
                <w:color w:val="00B050"/>
                <w:lang w:eastAsia="en-AU"/>
              </w:rPr>
              <w:t>-</w:t>
            </w:r>
            <w:r>
              <w:rPr>
                <w:color w:val="00B050"/>
                <w:lang w:eastAsia="en-AU"/>
              </w:rPr>
              <w:t>0.8%</w:t>
            </w:r>
          </w:p>
        </w:tc>
      </w:tr>
      <w:tr w:rsidR="00446C8E" w14:paraId="4129B319" w14:textId="77777777" w:rsidTr="000601C5">
        <w:trPr>
          <w:cnfStyle w:val="000000010000" w:firstRow="0" w:lastRow="0" w:firstColumn="0" w:lastColumn="0" w:oddVBand="0" w:evenVBand="0" w:oddHBand="0" w:evenHBand="1" w:firstRowFirstColumn="0" w:firstRowLastColumn="0" w:lastRowFirstColumn="0" w:lastRowLastColumn="0"/>
        </w:trPr>
        <w:tc>
          <w:tcPr>
            <w:tcW w:w="1000" w:type="pct"/>
          </w:tcPr>
          <w:p w14:paraId="3FB5DFFA" w14:textId="77777777" w:rsidR="00446C8E" w:rsidRPr="007E5CB6" w:rsidRDefault="00446C8E" w:rsidP="00AE249F">
            <w:pPr>
              <w:pStyle w:val="TableNText"/>
              <w:rPr>
                <w:lang w:eastAsia="en-AU"/>
              </w:rPr>
            </w:pPr>
            <w:r w:rsidRPr="007E5CB6">
              <w:rPr>
                <w:lang w:eastAsia="en-AU"/>
              </w:rPr>
              <w:t>2020-21</w:t>
            </w:r>
          </w:p>
        </w:tc>
        <w:tc>
          <w:tcPr>
            <w:tcW w:w="1000" w:type="pct"/>
            <w:vAlign w:val="bottom"/>
          </w:tcPr>
          <w:p w14:paraId="3F5E548F" w14:textId="77777777" w:rsidR="00446C8E" w:rsidRPr="00E40E20" w:rsidRDefault="00446C8E" w:rsidP="00AE249F">
            <w:pPr>
              <w:pStyle w:val="TableNText"/>
            </w:pPr>
            <w:r w:rsidRPr="00E40E20">
              <w:t xml:space="preserve">$5,055,851 </w:t>
            </w:r>
          </w:p>
        </w:tc>
        <w:tc>
          <w:tcPr>
            <w:tcW w:w="1000" w:type="pct"/>
            <w:vAlign w:val="bottom"/>
          </w:tcPr>
          <w:p w14:paraId="20DECA84" w14:textId="77777777" w:rsidR="00446C8E" w:rsidRPr="00E40E20" w:rsidRDefault="00446C8E" w:rsidP="00AE249F">
            <w:pPr>
              <w:pStyle w:val="TableNText"/>
            </w:pPr>
            <w:r w:rsidRPr="00E40E20">
              <w:t xml:space="preserve">$4,772,882 </w:t>
            </w:r>
          </w:p>
        </w:tc>
        <w:tc>
          <w:tcPr>
            <w:tcW w:w="1000" w:type="pct"/>
          </w:tcPr>
          <w:p w14:paraId="1E0BF841" w14:textId="77777777" w:rsidR="00446C8E" w:rsidRPr="007E5CB6" w:rsidRDefault="00446C8E" w:rsidP="00AE249F">
            <w:pPr>
              <w:pStyle w:val="TableNText"/>
              <w:rPr>
                <w:color w:val="00B050"/>
                <w:lang w:eastAsia="en-AU"/>
              </w:rPr>
            </w:pPr>
            <w:r w:rsidRPr="007E5CB6">
              <w:rPr>
                <w:color w:val="00B050"/>
                <w:lang w:eastAsia="en-AU"/>
              </w:rPr>
              <w:t>$</w:t>
            </w:r>
            <w:r>
              <w:rPr>
                <w:color w:val="00B050"/>
                <w:lang w:eastAsia="en-AU"/>
              </w:rPr>
              <w:t>282,969</w:t>
            </w:r>
          </w:p>
        </w:tc>
        <w:tc>
          <w:tcPr>
            <w:tcW w:w="1000" w:type="pct"/>
          </w:tcPr>
          <w:p w14:paraId="4C3FA855" w14:textId="77777777" w:rsidR="00446C8E" w:rsidRPr="007E5CB6" w:rsidRDefault="00446C8E" w:rsidP="00AE249F">
            <w:pPr>
              <w:pStyle w:val="TableNText"/>
              <w:rPr>
                <w:color w:val="00B050"/>
                <w:lang w:eastAsia="en-AU"/>
              </w:rPr>
            </w:pPr>
            <w:r w:rsidRPr="007E5CB6">
              <w:rPr>
                <w:color w:val="00B050"/>
                <w:lang w:eastAsia="en-AU"/>
              </w:rPr>
              <w:t>-5.</w:t>
            </w:r>
            <w:r>
              <w:rPr>
                <w:color w:val="00B050"/>
                <w:lang w:eastAsia="en-AU"/>
              </w:rPr>
              <w:t>6</w:t>
            </w:r>
            <w:r w:rsidRPr="007E5CB6">
              <w:rPr>
                <w:color w:val="00B050"/>
                <w:lang w:eastAsia="en-AU"/>
              </w:rPr>
              <w:t>%</w:t>
            </w:r>
          </w:p>
        </w:tc>
      </w:tr>
      <w:tr w:rsidR="00446C8E" w14:paraId="38C9826E" w14:textId="77777777" w:rsidTr="000601C5">
        <w:trPr>
          <w:cnfStyle w:val="000000100000" w:firstRow="0" w:lastRow="0" w:firstColumn="0" w:lastColumn="0" w:oddVBand="0" w:evenVBand="0" w:oddHBand="1" w:evenHBand="0" w:firstRowFirstColumn="0" w:firstRowLastColumn="0" w:lastRowFirstColumn="0" w:lastRowLastColumn="0"/>
        </w:trPr>
        <w:tc>
          <w:tcPr>
            <w:tcW w:w="1000" w:type="pct"/>
          </w:tcPr>
          <w:p w14:paraId="77C8A756" w14:textId="77777777" w:rsidR="00446C8E" w:rsidRPr="007E5CB6" w:rsidRDefault="00446C8E" w:rsidP="00AE249F">
            <w:pPr>
              <w:pStyle w:val="TableNText"/>
              <w:rPr>
                <w:lang w:eastAsia="en-AU"/>
              </w:rPr>
            </w:pPr>
            <w:r w:rsidRPr="007E5CB6">
              <w:rPr>
                <w:lang w:eastAsia="en-AU"/>
              </w:rPr>
              <w:t>2021-22</w:t>
            </w:r>
          </w:p>
        </w:tc>
        <w:tc>
          <w:tcPr>
            <w:tcW w:w="1000" w:type="pct"/>
            <w:vAlign w:val="bottom"/>
          </w:tcPr>
          <w:p w14:paraId="67C8859A" w14:textId="77777777" w:rsidR="00446C8E" w:rsidRPr="00E40E20" w:rsidRDefault="00446C8E" w:rsidP="00AE249F">
            <w:pPr>
              <w:pStyle w:val="TableNText"/>
            </w:pPr>
            <w:r w:rsidRPr="00E40E20">
              <w:t>$5,554,285</w:t>
            </w:r>
          </w:p>
        </w:tc>
        <w:tc>
          <w:tcPr>
            <w:tcW w:w="1000" w:type="pct"/>
            <w:vAlign w:val="bottom"/>
          </w:tcPr>
          <w:p w14:paraId="12BA4C6D" w14:textId="77777777" w:rsidR="00446C8E" w:rsidRPr="00E40E20" w:rsidRDefault="00446C8E" w:rsidP="00AE249F">
            <w:pPr>
              <w:pStyle w:val="TableNText"/>
            </w:pPr>
            <w:r w:rsidRPr="00E40E20">
              <w:t>$5,179,613</w:t>
            </w:r>
          </w:p>
        </w:tc>
        <w:tc>
          <w:tcPr>
            <w:tcW w:w="1000" w:type="pct"/>
          </w:tcPr>
          <w:p w14:paraId="10129F28" w14:textId="77777777" w:rsidR="00446C8E" w:rsidRPr="007E5CB6" w:rsidRDefault="00446C8E" w:rsidP="00AE249F">
            <w:pPr>
              <w:pStyle w:val="TableNText"/>
              <w:rPr>
                <w:color w:val="FF3A40" w:themeColor="accent1"/>
                <w:lang w:eastAsia="en-AU"/>
              </w:rPr>
            </w:pPr>
            <w:r w:rsidRPr="007E5CB6">
              <w:rPr>
                <w:color w:val="00B050"/>
                <w:lang w:eastAsia="en-AU"/>
              </w:rPr>
              <w:t>$</w:t>
            </w:r>
            <w:r>
              <w:rPr>
                <w:color w:val="00B050"/>
                <w:lang w:eastAsia="en-AU"/>
              </w:rPr>
              <w:t>374,672</w:t>
            </w:r>
          </w:p>
        </w:tc>
        <w:tc>
          <w:tcPr>
            <w:tcW w:w="1000" w:type="pct"/>
          </w:tcPr>
          <w:p w14:paraId="357085CB" w14:textId="77777777" w:rsidR="00446C8E" w:rsidRPr="007E5CB6" w:rsidRDefault="00446C8E" w:rsidP="00AE249F">
            <w:pPr>
              <w:pStyle w:val="TableNText"/>
              <w:rPr>
                <w:color w:val="FF3A40" w:themeColor="accent1"/>
                <w:lang w:eastAsia="en-AU"/>
              </w:rPr>
            </w:pPr>
            <w:r w:rsidRPr="007E5CB6">
              <w:rPr>
                <w:color w:val="00B050"/>
                <w:lang w:eastAsia="en-AU"/>
              </w:rPr>
              <w:t>-</w:t>
            </w:r>
            <w:r>
              <w:rPr>
                <w:color w:val="00B050"/>
                <w:lang w:eastAsia="en-AU"/>
              </w:rPr>
              <w:t>6.7</w:t>
            </w:r>
            <w:r w:rsidRPr="007E5CB6">
              <w:rPr>
                <w:color w:val="00B050"/>
                <w:lang w:eastAsia="en-AU"/>
              </w:rPr>
              <w:t>%</w:t>
            </w:r>
          </w:p>
        </w:tc>
      </w:tr>
    </w:tbl>
    <w:p w14:paraId="28354210" w14:textId="1C75CF1B" w:rsidR="00446C8E" w:rsidRDefault="00CA4E80" w:rsidP="00446C8E">
      <w:pPr>
        <w:rPr>
          <w:lang w:eastAsia="en-AU"/>
        </w:rPr>
      </w:pPr>
      <w:r>
        <w:rPr>
          <w:lang w:eastAsia="en-AU"/>
        </w:rPr>
        <w:br/>
      </w:r>
      <w:r w:rsidR="00446C8E">
        <w:rPr>
          <w:lang w:eastAsia="en-AU"/>
        </w:rPr>
        <w:t xml:space="preserve">The largest discrepancy between budget and actual values was for consultants, as shown in </w:t>
      </w:r>
      <w:r w:rsidR="00446C8E">
        <w:rPr>
          <w:lang w:eastAsia="en-AU"/>
        </w:rPr>
        <w:fldChar w:fldCharType="begin"/>
      </w:r>
      <w:r w:rsidR="00446C8E">
        <w:rPr>
          <w:lang w:eastAsia="en-AU"/>
        </w:rPr>
        <w:instrText xml:space="preserve"> REF _Ref143508884 \h </w:instrText>
      </w:r>
      <w:r w:rsidR="00446C8E">
        <w:rPr>
          <w:lang w:eastAsia="en-AU"/>
        </w:rPr>
      </w:r>
      <w:r w:rsidR="00446C8E">
        <w:rPr>
          <w:lang w:eastAsia="en-AU"/>
        </w:rPr>
        <w:fldChar w:fldCharType="separate"/>
      </w:r>
      <w:r w:rsidR="00291532">
        <w:t xml:space="preserve">Table </w:t>
      </w:r>
      <w:r w:rsidR="00291532">
        <w:rPr>
          <w:noProof/>
        </w:rPr>
        <w:t>13</w:t>
      </w:r>
      <w:r w:rsidR="00446C8E">
        <w:rPr>
          <w:lang w:eastAsia="en-AU"/>
        </w:rPr>
        <w:fldChar w:fldCharType="end"/>
      </w:r>
      <w:r w:rsidR="00446C8E">
        <w:rPr>
          <w:lang w:eastAsia="en-AU"/>
        </w:rPr>
        <w:t>.</w:t>
      </w:r>
      <w:r w:rsidR="00617D26">
        <w:rPr>
          <w:lang w:eastAsia="en-AU"/>
        </w:rPr>
        <w:t xml:space="preserve"> The</w:t>
      </w:r>
      <w:r w:rsidR="00446C8E">
        <w:rPr>
          <w:lang w:eastAsia="en-AU"/>
        </w:rPr>
        <w:t xml:space="preserve"> </w:t>
      </w:r>
      <w:r w:rsidR="00617D26">
        <w:t>KLC advised that its</w:t>
      </w:r>
      <w:r w:rsidR="00617D26" w:rsidRPr="003148FD">
        <w:rPr>
          <w:lang w:eastAsia="en-AU"/>
        </w:rPr>
        <w:t xml:space="preserve"> budget for corporate consultants</w:t>
      </w:r>
      <w:r w:rsidR="00617D26">
        <w:rPr>
          <w:lang w:eastAsia="en-AU"/>
        </w:rPr>
        <w:t xml:space="preserve"> throughout the Review period </w:t>
      </w:r>
      <w:r w:rsidR="00617D26" w:rsidRPr="003148FD">
        <w:rPr>
          <w:lang w:eastAsia="en-AU"/>
        </w:rPr>
        <w:t>ha</w:t>
      </w:r>
      <w:r w:rsidR="00617D26">
        <w:rPr>
          <w:lang w:eastAsia="en-AU"/>
        </w:rPr>
        <w:t>d</w:t>
      </w:r>
      <w:r w:rsidR="00617D26" w:rsidRPr="003148FD">
        <w:rPr>
          <w:lang w:eastAsia="en-AU"/>
        </w:rPr>
        <w:t xml:space="preserve"> limited or no contingency for unforeseen events</w:t>
      </w:r>
      <w:r w:rsidR="00617D26">
        <w:rPr>
          <w:lang w:eastAsia="en-AU"/>
        </w:rPr>
        <w:t>, in recognition of the</w:t>
      </w:r>
      <w:r w:rsidR="00617D26" w:rsidRPr="003148FD">
        <w:rPr>
          <w:lang w:eastAsia="en-AU"/>
        </w:rPr>
        <w:t xml:space="preserve"> pressure to maintain low overhead expenditure. </w:t>
      </w:r>
      <w:r w:rsidR="00DD69DE" w:rsidRPr="003148FD">
        <w:rPr>
          <w:lang w:eastAsia="en-AU"/>
        </w:rPr>
        <w:t>In FY</w:t>
      </w:r>
      <w:r w:rsidR="00DD69DE">
        <w:rPr>
          <w:lang w:eastAsia="en-AU"/>
        </w:rPr>
        <w:t>20</w:t>
      </w:r>
      <w:r w:rsidR="00DD69DE" w:rsidRPr="003148FD">
        <w:rPr>
          <w:lang w:eastAsia="en-AU"/>
        </w:rPr>
        <w:t>19</w:t>
      </w:r>
      <w:r w:rsidR="00DD69DE">
        <w:rPr>
          <w:lang w:eastAsia="en-AU"/>
        </w:rPr>
        <w:t>-</w:t>
      </w:r>
      <w:r w:rsidR="00DD69DE" w:rsidRPr="003148FD">
        <w:rPr>
          <w:lang w:eastAsia="en-AU"/>
        </w:rPr>
        <w:t>20 the increase resulted from unforeseen costs relating to the negotiation of an Enterprise Agreement. </w:t>
      </w:r>
      <w:r w:rsidR="00DD69DE">
        <w:rPr>
          <w:lang w:eastAsia="en-AU"/>
        </w:rPr>
        <w:t xml:space="preserve">In the latter two years </w:t>
      </w:r>
      <w:r w:rsidR="00866690">
        <w:rPr>
          <w:lang w:eastAsia="en-AU"/>
        </w:rPr>
        <w:t>the increase was</w:t>
      </w:r>
      <w:r w:rsidR="00446C8E">
        <w:rPr>
          <w:lang w:eastAsia="en-AU"/>
        </w:rPr>
        <w:t xml:space="preserve"> due to using consultants/contractors to manage work for unfilled</w:t>
      </w:r>
      <w:r w:rsidR="008B52D4">
        <w:rPr>
          <w:lang w:eastAsia="en-AU"/>
        </w:rPr>
        <w:t xml:space="preserve"> staff</w:t>
      </w:r>
      <w:r w:rsidR="00446C8E">
        <w:rPr>
          <w:lang w:eastAsia="en-AU"/>
        </w:rPr>
        <w:t xml:space="preserve"> vacancies</w:t>
      </w:r>
      <w:r w:rsidR="00D04F87">
        <w:rPr>
          <w:lang w:eastAsia="en-AU"/>
        </w:rPr>
        <w:t xml:space="preserve">, particularly given the </w:t>
      </w:r>
      <w:r w:rsidR="00617D26">
        <w:rPr>
          <w:lang w:eastAsia="en-AU"/>
        </w:rPr>
        <w:t>impact of COVID</w:t>
      </w:r>
      <w:r w:rsidR="00EE064C">
        <w:rPr>
          <w:lang w:eastAsia="en-AU"/>
        </w:rPr>
        <w:t>-19</w:t>
      </w:r>
      <w:r w:rsidR="00617D26">
        <w:rPr>
          <w:lang w:eastAsia="en-AU"/>
        </w:rPr>
        <w:t xml:space="preserve"> on staff retention and attraction</w:t>
      </w:r>
      <w:r w:rsidR="00446C8E">
        <w:rPr>
          <w:lang w:eastAsia="en-AU"/>
        </w:rPr>
        <w:t xml:space="preserve">. </w:t>
      </w:r>
      <w:r w:rsidR="00EE064C">
        <w:rPr>
          <w:lang w:eastAsia="en-AU"/>
        </w:rPr>
        <w:t xml:space="preserve">The </w:t>
      </w:r>
      <w:r w:rsidR="003148FD" w:rsidRPr="003148FD">
        <w:rPr>
          <w:lang w:eastAsia="en-AU"/>
        </w:rPr>
        <w:t xml:space="preserve">KLC had underspends in corporate staffing of $200K in </w:t>
      </w:r>
      <w:r w:rsidR="00D8081B">
        <w:rPr>
          <w:lang w:eastAsia="en-AU"/>
        </w:rPr>
        <w:t>FY2020-21</w:t>
      </w:r>
      <w:r w:rsidR="003148FD" w:rsidRPr="003148FD">
        <w:rPr>
          <w:lang w:eastAsia="en-AU"/>
        </w:rPr>
        <w:t xml:space="preserve"> and further underspends of $500K in </w:t>
      </w:r>
      <w:r w:rsidR="00EF69D8">
        <w:rPr>
          <w:lang w:eastAsia="en-AU"/>
        </w:rPr>
        <w:t>FY2021-22</w:t>
      </w:r>
      <w:r w:rsidR="003148FD" w:rsidRPr="003148FD">
        <w:rPr>
          <w:lang w:eastAsia="en-AU"/>
        </w:rPr>
        <w:t>, resulting in the need to draw upon corporate consultant services.</w:t>
      </w:r>
    </w:p>
    <w:p w14:paraId="1E3415FD" w14:textId="3C6C2D25" w:rsidR="00446C8E" w:rsidRDefault="00446C8E" w:rsidP="00446C8E">
      <w:pPr>
        <w:pStyle w:val="Caption"/>
        <w:rPr>
          <w:lang w:eastAsia="en-AU"/>
        </w:rPr>
      </w:pPr>
      <w:bookmarkStart w:id="43" w:name="_Ref143508884"/>
      <w:bookmarkStart w:id="44" w:name="_Ref143508873"/>
      <w:r>
        <w:lastRenderedPageBreak/>
        <w:t xml:space="preserve">Table </w:t>
      </w:r>
      <w:r>
        <w:fldChar w:fldCharType="begin"/>
      </w:r>
      <w:r>
        <w:instrText xml:space="preserve"> SEQ Table \* ARABIC </w:instrText>
      </w:r>
      <w:r>
        <w:fldChar w:fldCharType="separate"/>
      </w:r>
      <w:r w:rsidR="00291532">
        <w:rPr>
          <w:noProof/>
        </w:rPr>
        <w:t>13</w:t>
      </w:r>
      <w:r>
        <w:fldChar w:fldCharType="end"/>
      </w:r>
      <w:bookmarkEnd w:id="43"/>
      <w:r>
        <w:t xml:space="preserve"> | KLC expenditure on corporate consultants</w:t>
      </w:r>
      <w:r>
        <w:rPr>
          <w:noProof/>
        </w:rPr>
        <w:t>, 2019-20 to 2021-22</w:t>
      </w:r>
      <w:bookmarkEnd w:id="44"/>
    </w:p>
    <w:tbl>
      <w:tblPr>
        <w:tblStyle w:val="TableGrid"/>
        <w:tblpPr w:leftFromText="180" w:rightFromText="180" w:vertAnchor="text" w:horzAnchor="margin" w:tblpY="60"/>
        <w:tblW w:w="5000" w:type="pct"/>
        <w:tblLook w:val="04A0" w:firstRow="1" w:lastRow="0" w:firstColumn="1" w:lastColumn="0" w:noHBand="0" w:noVBand="1"/>
      </w:tblPr>
      <w:tblGrid>
        <w:gridCol w:w="1786"/>
        <w:gridCol w:w="1786"/>
        <w:gridCol w:w="1786"/>
        <w:gridCol w:w="1786"/>
        <w:gridCol w:w="1786"/>
      </w:tblGrid>
      <w:tr w:rsidR="00E72929" w14:paraId="3AF4EFE7" w14:textId="77777777" w:rsidTr="000601C5">
        <w:trPr>
          <w:cnfStyle w:val="100000000000" w:firstRow="1" w:lastRow="0" w:firstColumn="0" w:lastColumn="0" w:oddVBand="0" w:evenVBand="0" w:oddHBand="0" w:evenHBand="0" w:firstRowFirstColumn="0" w:firstRowLastColumn="0" w:lastRowFirstColumn="0" w:lastRowLastColumn="0"/>
        </w:trPr>
        <w:tc>
          <w:tcPr>
            <w:tcW w:w="1000" w:type="pct"/>
          </w:tcPr>
          <w:p w14:paraId="4F3C4AE6" w14:textId="5F8BDB32" w:rsidR="00446C8E" w:rsidRDefault="00EE064C">
            <w:pPr>
              <w:pStyle w:val="TableNheader"/>
              <w:rPr>
                <w:lang w:eastAsia="en-AU"/>
              </w:rPr>
            </w:pPr>
            <w:r>
              <w:rPr>
                <w:lang w:eastAsia="en-AU"/>
              </w:rPr>
              <w:t>Financial y</w:t>
            </w:r>
            <w:r w:rsidR="00446C8E">
              <w:rPr>
                <w:lang w:eastAsia="en-AU"/>
              </w:rPr>
              <w:t>ear</w:t>
            </w:r>
          </w:p>
        </w:tc>
        <w:tc>
          <w:tcPr>
            <w:tcW w:w="1000" w:type="pct"/>
          </w:tcPr>
          <w:p w14:paraId="5712380A" w14:textId="77777777" w:rsidR="00446C8E" w:rsidRDefault="00446C8E">
            <w:pPr>
              <w:pStyle w:val="TableNheader"/>
              <w:rPr>
                <w:lang w:eastAsia="en-AU"/>
              </w:rPr>
            </w:pPr>
            <w:r>
              <w:rPr>
                <w:lang w:eastAsia="en-AU"/>
              </w:rPr>
              <w:t>Budget</w:t>
            </w:r>
          </w:p>
        </w:tc>
        <w:tc>
          <w:tcPr>
            <w:tcW w:w="1000" w:type="pct"/>
          </w:tcPr>
          <w:p w14:paraId="70FCB358" w14:textId="77777777" w:rsidR="00446C8E" w:rsidRDefault="00446C8E">
            <w:pPr>
              <w:pStyle w:val="TableNheader"/>
              <w:rPr>
                <w:lang w:eastAsia="en-AU"/>
              </w:rPr>
            </w:pPr>
            <w:r>
              <w:rPr>
                <w:lang w:eastAsia="en-AU"/>
              </w:rPr>
              <w:t>Actual</w:t>
            </w:r>
          </w:p>
        </w:tc>
        <w:tc>
          <w:tcPr>
            <w:tcW w:w="1000" w:type="pct"/>
          </w:tcPr>
          <w:p w14:paraId="29791D66" w14:textId="77777777" w:rsidR="00446C8E" w:rsidRDefault="00446C8E">
            <w:pPr>
              <w:pStyle w:val="TableNheader"/>
              <w:rPr>
                <w:lang w:eastAsia="en-AU"/>
              </w:rPr>
            </w:pPr>
            <w:r>
              <w:rPr>
                <w:lang w:eastAsia="en-AU"/>
              </w:rPr>
              <w:t>Variance ($)</w:t>
            </w:r>
          </w:p>
        </w:tc>
        <w:tc>
          <w:tcPr>
            <w:tcW w:w="1000" w:type="pct"/>
          </w:tcPr>
          <w:p w14:paraId="26699139" w14:textId="77777777" w:rsidR="00446C8E" w:rsidRDefault="00446C8E">
            <w:pPr>
              <w:pStyle w:val="TableNheader"/>
              <w:rPr>
                <w:lang w:eastAsia="en-AU"/>
              </w:rPr>
            </w:pPr>
            <w:r>
              <w:rPr>
                <w:lang w:eastAsia="en-AU"/>
              </w:rPr>
              <w:t>Variance (%)</w:t>
            </w:r>
          </w:p>
        </w:tc>
      </w:tr>
      <w:tr w:rsidR="00446C8E" w14:paraId="48A0E375" w14:textId="77777777" w:rsidTr="000601C5">
        <w:trPr>
          <w:cnfStyle w:val="000000100000" w:firstRow="0" w:lastRow="0" w:firstColumn="0" w:lastColumn="0" w:oddVBand="0" w:evenVBand="0" w:oddHBand="1" w:evenHBand="0" w:firstRowFirstColumn="0" w:firstRowLastColumn="0" w:lastRowFirstColumn="0" w:lastRowLastColumn="0"/>
        </w:trPr>
        <w:tc>
          <w:tcPr>
            <w:tcW w:w="1000" w:type="pct"/>
          </w:tcPr>
          <w:p w14:paraId="61A45399" w14:textId="77777777" w:rsidR="00446C8E" w:rsidRDefault="00446C8E" w:rsidP="00AE249F">
            <w:pPr>
              <w:pStyle w:val="TableNText"/>
              <w:rPr>
                <w:lang w:eastAsia="en-AU"/>
              </w:rPr>
            </w:pPr>
            <w:r>
              <w:rPr>
                <w:lang w:eastAsia="en-AU"/>
              </w:rPr>
              <w:t>2019-20</w:t>
            </w:r>
          </w:p>
        </w:tc>
        <w:tc>
          <w:tcPr>
            <w:tcW w:w="1000" w:type="pct"/>
          </w:tcPr>
          <w:p w14:paraId="7827F6E3" w14:textId="77777777" w:rsidR="00446C8E" w:rsidRDefault="00446C8E" w:rsidP="00AE249F">
            <w:pPr>
              <w:pStyle w:val="TableNText"/>
              <w:rPr>
                <w:lang w:eastAsia="en-AU"/>
              </w:rPr>
            </w:pPr>
            <w:r w:rsidRPr="00C12EAF">
              <w:rPr>
                <w:lang w:eastAsia="en-AU"/>
              </w:rPr>
              <w:t xml:space="preserve">$30,000 </w:t>
            </w:r>
          </w:p>
        </w:tc>
        <w:tc>
          <w:tcPr>
            <w:tcW w:w="1000" w:type="pct"/>
          </w:tcPr>
          <w:p w14:paraId="3037484B" w14:textId="77777777" w:rsidR="00446C8E" w:rsidRDefault="00446C8E" w:rsidP="00AE249F">
            <w:pPr>
              <w:pStyle w:val="TableNText"/>
              <w:rPr>
                <w:lang w:eastAsia="en-AU"/>
              </w:rPr>
            </w:pPr>
            <w:r w:rsidRPr="00C12EAF">
              <w:rPr>
                <w:lang w:eastAsia="en-AU"/>
              </w:rPr>
              <w:t>$53,076</w:t>
            </w:r>
          </w:p>
        </w:tc>
        <w:tc>
          <w:tcPr>
            <w:tcW w:w="1000" w:type="pct"/>
          </w:tcPr>
          <w:p w14:paraId="53DD3964" w14:textId="77777777" w:rsidR="00446C8E" w:rsidRPr="002A365A" w:rsidRDefault="00446C8E" w:rsidP="00AE249F">
            <w:pPr>
              <w:pStyle w:val="TableNText"/>
              <w:rPr>
                <w:color w:val="FF0000"/>
                <w:lang w:eastAsia="en-AU"/>
              </w:rPr>
            </w:pPr>
            <w:r>
              <w:rPr>
                <w:color w:val="FF0000"/>
                <w:lang w:eastAsia="en-AU"/>
              </w:rPr>
              <w:t>(</w:t>
            </w:r>
            <w:r w:rsidRPr="002A365A">
              <w:rPr>
                <w:color w:val="FF0000"/>
                <w:lang w:eastAsia="en-AU"/>
              </w:rPr>
              <w:t>$23,076</w:t>
            </w:r>
            <w:r>
              <w:rPr>
                <w:color w:val="FF0000"/>
                <w:lang w:eastAsia="en-AU"/>
              </w:rPr>
              <w:t>)</w:t>
            </w:r>
          </w:p>
        </w:tc>
        <w:tc>
          <w:tcPr>
            <w:tcW w:w="1000" w:type="pct"/>
          </w:tcPr>
          <w:p w14:paraId="68EF8A7E" w14:textId="77777777" w:rsidR="00446C8E" w:rsidRPr="002A365A" w:rsidRDefault="00446C8E" w:rsidP="00AE249F">
            <w:pPr>
              <w:pStyle w:val="TableNText"/>
              <w:rPr>
                <w:color w:val="FF0000"/>
                <w:lang w:eastAsia="en-AU"/>
              </w:rPr>
            </w:pPr>
            <w:r w:rsidRPr="002A365A">
              <w:rPr>
                <w:color w:val="FF0000"/>
                <w:lang w:eastAsia="en-AU"/>
              </w:rPr>
              <w:t>+76.9%</w:t>
            </w:r>
          </w:p>
        </w:tc>
      </w:tr>
      <w:tr w:rsidR="00446C8E" w14:paraId="367EA87F" w14:textId="77777777" w:rsidTr="000601C5">
        <w:trPr>
          <w:cnfStyle w:val="000000010000" w:firstRow="0" w:lastRow="0" w:firstColumn="0" w:lastColumn="0" w:oddVBand="0" w:evenVBand="0" w:oddHBand="0" w:evenHBand="1" w:firstRowFirstColumn="0" w:firstRowLastColumn="0" w:lastRowFirstColumn="0" w:lastRowLastColumn="0"/>
        </w:trPr>
        <w:tc>
          <w:tcPr>
            <w:tcW w:w="1000" w:type="pct"/>
          </w:tcPr>
          <w:p w14:paraId="5F42D79E" w14:textId="77777777" w:rsidR="00446C8E" w:rsidRDefault="00446C8E" w:rsidP="00AE249F">
            <w:pPr>
              <w:pStyle w:val="TableNText"/>
              <w:rPr>
                <w:lang w:eastAsia="en-AU"/>
              </w:rPr>
            </w:pPr>
            <w:r>
              <w:rPr>
                <w:lang w:eastAsia="en-AU"/>
              </w:rPr>
              <w:t>2020-21</w:t>
            </w:r>
          </w:p>
        </w:tc>
        <w:tc>
          <w:tcPr>
            <w:tcW w:w="1000" w:type="pct"/>
          </w:tcPr>
          <w:p w14:paraId="2256B99E" w14:textId="77777777" w:rsidR="00446C8E" w:rsidRDefault="00446C8E" w:rsidP="00AE249F">
            <w:pPr>
              <w:pStyle w:val="TableNText"/>
              <w:rPr>
                <w:lang w:eastAsia="en-AU"/>
              </w:rPr>
            </w:pPr>
            <w:r w:rsidRPr="007F402B">
              <w:rPr>
                <w:lang w:eastAsia="en-AU"/>
              </w:rPr>
              <w:t xml:space="preserve">$30,000 </w:t>
            </w:r>
            <w:r w:rsidRPr="007F402B">
              <w:rPr>
                <w:lang w:eastAsia="en-AU"/>
              </w:rPr>
              <w:tab/>
            </w:r>
          </w:p>
        </w:tc>
        <w:tc>
          <w:tcPr>
            <w:tcW w:w="1000" w:type="pct"/>
          </w:tcPr>
          <w:p w14:paraId="741BA77B" w14:textId="77777777" w:rsidR="00446C8E" w:rsidRDefault="00446C8E" w:rsidP="00AE249F">
            <w:pPr>
              <w:pStyle w:val="TableNText"/>
              <w:rPr>
                <w:lang w:eastAsia="en-AU"/>
              </w:rPr>
            </w:pPr>
            <w:r w:rsidRPr="007F402B">
              <w:rPr>
                <w:lang w:eastAsia="en-AU"/>
              </w:rPr>
              <w:t>$82,471</w:t>
            </w:r>
          </w:p>
        </w:tc>
        <w:tc>
          <w:tcPr>
            <w:tcW w:w="1000" w:type="pct"/>
          </w:tcPr>
          <w:p w14:paraId="63F505A7" w14:textId="77777777" w:rsidR="00446C8E" w:rsidRPr="002A365A" w:rsidRDefault="00446C8E" w:rsidP="00AE249F">
            <w:pPr>
              <w:pStyle w:val="TableNText"/>
              <w:rPr>
                <w:color w:val="FF0000"/>
                <w:lang w:eastAsia="en-AU"/>
              </w:rPr>
            </w:pPr>
            <w:r>
              <w:rPr>
                <w:color w:val="FF0000"/>
                <w:lang w:eastAsia="en-AU"/>
              </w:rPr>
              <w:t>(</w:t>
            </w:r>
            <w:r w:rsidRPr="002A365A">
              <w:rPr>
                <w:color w:val="FF0000"/>
                <w:lang w:eastAsia="en-AU"/>
              </w:rPr>
              <w:t>$52,471</w:t>
            </w:r>
            <w:r>
              <w:rPr>
                <w:color w:val="FF0000"/>
                <w:lang w:eastAsia="en-AU"/>
              </w:rPr>
              <w:t>)</w:t>
            </w:r>
          </w:p>
        </w:tc>
        <w:tc>
          <w:tcPr>
            <w:tcW w:w="1000" w:type="pct"/>
          </w:tcPr>
          <w:p w14:paraId="49E6CE21" w14:textId="77777777" w:rsidR="00446C8E" w:rsidRPr="002A365A" w:rsidRDefault="00446C8E" w:rsidP="00AE249F">
            <w:pPr>
              <w:pStyle w:val="TableNText"/>
              <w:rPr>
                <w:color w:val="FF0000"/>
                <w:lang w:eastAsia="en-AU"/>
              </w:rPr>
            </w:pPr>
            <w:r w:rsidRPr="002A365A">
              <w:rPr>
                <w:color w:val="FF0000"/>
                <w:lang w:eastAsia="en-AU"/>
              </w:rPr>
              <w:t>+174.9%</w:t>
            </w:r>
          </w:p>
        </w:tc>
      </w:tr>
      <w:tr w:rsidR="00446C8E" w14:paraId="2F07E3B2" w14:textId="77777777" w:rsidTr="000601C5">
        <w:trPr>
          <w:cnfStyle w:val="000000100000" w:firstRow="0" w:lastRow="0" w:firstColumn="0" w:lastColumn="0" w:oddVBand="0" w:evenVBand="0" w:oddHBand="1" w:evenHBand="0" w:firstRowFirstColumn="0" w:firstRowLastColumn="0" w:lastRowFirstColumn="0" w:lastRowLastColumn="0"/>
        </w:trPr>
        <w:tc>
          <w:tcPr>
            <w:tcW w:w="1000" w:type="pct"/>
          </w:tcPr>
          <w:p w14:paraId="3412E82E" w14:textId="77777777" w:rsidR="00446C8E" w:rsidRDefault="00446C8E" w:rsidP="00AE249F">
            <w:pPr>
              <w:pStyle w:val="TableNText"/>
              <w:rPr>
                <w:lang w:eastAsia="en-AU"/>
              </w:rPr>
            </w:pPr>
            <w:r>
              <w:rPr>
                <w:lang w:eastAsia="en-AU"/>
              </w:rPr>
              <w:t>2021-22</w:t>
            </w:r>
          </w:p>
        </w:tc>
        <w:tc>
          <w:tcPr>
            <w:tcW w:w="1000" w:type="pct"/>
          </w:tcPr>
          <w:p w14:paraId="5461F098" w14:textId="77777777" w:rsidR="00446C8E" w:rsidRDefault="00446C8E" w:rsidP="00AE249F">
            <w:pPr>
              <w:pStyle w:val="TableNText"/>
              <w:rPr>
                <w:lang w:eastAsia="en-AU"/>
              </w:rPr>
            </w:pPr>
            <w:r>
              <w:rPr>
                <w:lang w:eastAsia="en-AU"/>
              </w:rPr>
              <w:t>$20,000</w:t>
            </w:r>
          </w:p>
        </w:tc>
        <w:tc>
          <w:tcPr>
            <w:tcW w:w="1000" w:type="pct"/>
          </w:tcPr>
          <w:p w14:paraId="4C57E6C9" w14:textId="77777777" w:rsidR="00446C8E" w:rsidRDefault="00446C8E" w:rsidP="00AE249F">
            <w:pPr>
              <w:pStyle w:val="TableNText"/>
              <w:rPr>
                <w:lang w:eastAsia="en-AU"/>
              </w:rPr>
            </w:pPr>
            <w:r>
              <w:rPr>
                <w:lang w:eastAsia="en-AU"/>
              </w:rPr>
              <w:t>$</w:t>
            </w:r>
            <w:r w:rsidRPr="00F864CD">
              <w:rPr>
                <w:lang w:eastAsia="en-AU"/>
              </w:rPr>
              <w:t>142</w:t>
            </w:r>
            <w:r>
              <w:rPr>
                <w:lang w:eastAsia="en-AU"/>
              </w:rPr>
              <w:t>,</w:t>
            </w:r>
            <w:r w:rsidRPr="00F864CD">
              <w:rPr>
                <w:lang w:eastAsia="en-AU"/>
              </w:rPr>
              <w:t>949</w:t>
            </w:r>
          </w:p>
        </w:tc>
        <w:tc>
          <w:tcPr>
            <w:tcW w:w="1000" w:type="pct"/>
          </w:tcPr>
          <w:p w14:paraId="633D989D" w14:textId="77777777" w:rsidR="00446C8E" w:rsidRPr="002A365A" w:rsidRDefault="00446C8E" w:rsidP="00AE249F">
            <w:pPr>
              <w:pStyle w:val="TableNText"/>
              <w:rPr>
                <w:color w:val="FF0000"/>
                <w:lang w:eastAsia="en-AU"/>
              </w:rPr>
            </w:pPr>
            <w:r>
              <w:rPr>
                <w:color w:val="FF0000"/>
                <w:lang w:eastAsia="en-AU"/>
              </w:rPr>
              <w:t>(</w:t>
            </w:r>
            <w:r w:rsidRPr="002A365A">
              <w:rPr>
                <w:color w:val="FF0000"/>
                <w:lang w:eastAsia="en-AU"/>
              </w:rPr>
              <w:t>$122,949</w:t>
            </w:r>
            <w:r>
              <w:rPr>
                <w:color w:val="FF0000"/>
                <w:lang w:eastAsia="en-AU"/>
              </w:rPr>
              <w:t>)</w:t>
            </w:r>
          </w:p>
        </w:tc>
        <w:tc>
          <w:tcPr>
            <w:tcW w:w="1000" w:type="pct"/>
          </w:tcPr>
          <w:p w14:paraId="4D14B8F1" w14:textId="77777777" w:rsidR="00446C8E" w:rsidRPr="002A365A" w:rsidRDefault="00446C8E" w:rsidP="00AE249F">
            <w:pPr>
              <w:pStyle w:val="TableNText"/>
              <w:rPr>
                <w:color w:val="FF0000"/>
                <w:lang w:eastAsia="en-AU"/>
              </w:rPr>
            </w:pPr>
            <w:r w:rsidRPr="002A365A">
              <w:rPr>
                <w:color w:val="FF0000"/>
                <w:lang w:eastAsia="en-AU"/>
              </w:rPr>
              <w:t>+614.7%</w:t>
            </w:r>
          </w:p>
        </w:tc>
      </w:tr>
    </w:tbl>
    <w:p w14:paraId="5CB6FDF4" w14:textId="77777777" w:rsidR="00446C8E" w:rsidRDefault="00446C8E" w:rsidP="00446C8E">
      <w:pPr>
        <w:pStyle w:val="Heading4"/>
      </w:pPr>
      <w:r w:rsidRPr="00046737">
        <w:t>Cost-saving actions, strategies and/or discussions</w:t>
      </w:r>
    </w:p>
    <w:p w14:paraId="73394EC2" w14:textId="39CF0522" w:rsidR="00446C8E" w:rsidRPr="007635BC" w:rsidRDefault="00446C8E" w:rsidP="00002064">
      <w:pPr>
        <w:pStyle w:val="Heading5"/>
      </w:pPr>
      <w:r>
        <w:t>Savings</w:t>
      </w:r>
      <w:r w:rsidRPr="00693C18">
        <w:t xml:space="preserve"> measures</w:t>
      </w:r>
      <w:r>
        <w:t xml:space="preserve"> </w:t>
      </w:r>
      <w:r w:rsidR="003509C9">
        <w:t xml:space="preserve">were </w:t>
      </w:r>
      <w:r>
        <w:t>implemented in all parts of the KLC’s business</w:t>
      </w:r>
    </w:p>
    <w:p w14:paraId="788F4F80" w14:textId="3BCAFEEA" w:rsidR="00446C8E" w:rsidRDefault="00446C8E" w:rsidP="00446C8E">
      <w:pPr>
        <w:tabs>
          <w:tab w:val="left" w:pos="442"/>
        </w:tabs>
        <w:spacing w:before="62"/>
        <w:rPr>
          <w:b/>
          <w:spacing w:val="-4"/>
        </w:rPr>
      </w:pPr>
      <w:r>
        <w:rPr>
          <w:bCs/>
          <w:spacing w:val="-4"/>
        </w:rPr>
        <w:t>In its 2020-24 Strategic Plan, the KLC state</w:t>
      </w:r>
      <w:r w:rsidR="003509C9">
        <w:rPr>
          <w:bCs/>
          <w:spacing w:val="-4"/>
        </w:rPr>
        <w:t>d</w:t>
      </w:r>
      <w:r>
        <w:rPr>
          <w:bCs/>
          <w:spacing w:val="-4"/>
        </w:rPr>
        <w:t xml:space="preserve"> that it</w:t>
      </w:r>
      <w:r w:rsidDel="003509C9">
        <w:rPr>
          <w:bCs/>
          <w:spacing w:val="-4"/>
        </w:rPr>
        <w:t xml:space="preserve"> </w:t>
      </w:r>
      <w:r w:rsidR="003509C9">
        <w:rPr>
          <w:bCs/>
          <w:spacing w:val="-4"/>
        </w:rPr>
        <w:t xml:space="preserve">would </w:t>
      </w:r>
      <w:r>
        <w:rPr>
          <w:bCs/>
          <w:spacing w:val="-4"/>
        </w:rPr>
        <w:t xml:space="preserve">continue to “build and implement measures and structures for efficient and effective KLC operations” as part of its broader objective of achieving financially sustainable operations. Staff who spoke with the Review </w:t>
      </w:r>
      <w:r w:rsidRPr="005E13BD">
        <w:rPr>
          <w:bCs/>
          <w:spacing w:val="-4"/>
        </w:rPr>
        <w:t xml:space="preserve">identified a number of savings measures the </w:t>
      </w:r>
      <w:r>
        <w:rPr>
          <w:bCs/>
          <w:spacing w:val="-4"/>
        </w:rPr>
        <w:t>K</w:t>
      </w:r>
      <w:r w:rsidRPr="005E13BD">
        <w:rPr>
          <w:bCs/>
          <w:spacing w:val="-4"/>
        </w:rPr>
        <w:t>LC implemented during the Review period. Th</w:t>
      </w:r>
      <w:r w:rsidR="00226E22">
        <w:rPr>
          <w:bCs/>
          <w:spacing w:val="-4"/>
        </w:rPr>
        <w:t>ese</w:t>
      </w:r>
      <w:r w:rsidRPr="005E13BD">
        <w:rPr>
          <w:bCs/>
          <w:spacing w:val="-4"/>
        </w:rPr>
        <w:t xml:space="preserve"> included:</w:t>
      </w:r>
    </w:p>
    <w:p w14:paraId="2CE9D86A" w14:textId="44B22356" w:rsidR="00446C8E" w:rsidRDefault="00446C8E" w:rsidP="00446C8E">
      <w:pPr>
        <w:pStyle w:val="Bullet"/>
      </w:pPr>
      <w:r>
        <w:t>Reducing travel costs where possible through improved coordination – including arranging meetings at one location to be on the same day</w:t>
      </w:r>
      <w:r w:rsidR="00CA4E80">
        <w:t>.</w:t>
      </w:r>
      <w:r w:rsidR="00CC25E0">
        <w:t xml:space="preserve"> </w:t>
      </w:r>
    </w:p>
    <w:p w14:paraId="58C41D6D" w14:textId="102B0D15" w:rsidR="008704F4" w:rsidRDefault="00AF5B8D" w:rsidP="00446C8E">
      <w:pPr>
        <w:pStyle w:val="Bullet"/>
      </w:pPr>
      <w:r>
        <w:t xml:space="preserve">Leveraging support </w:t>
      </w:r>
      <w:r w:rsidR="002026C2">
        <w:t>from private corporations</w:t>
      </w:r>
      <w:r w:rsidR="00396237">
        <w:t xml:space="preserve"> across </w:t>
      </w:r>
      <w:r w:rsidR="00C94785">
        <w:t xml:space="preserve">the native title and Land and Sea Management </w:t>
      </w:r>
      <w:r w:rsidR="004A3DDC">
        <w:t>programs</w:t>
      </w:r>
      <w:r w:rsidR="009261CC">
        <w:t>.</w:t>
      </w:r>
    </w:p>
    <w:p w14:paraId="04580E76" w14:textId="7D790191" w:rsidR="00E14769" w:rsidRDefault="00F34848" w:rsidP="00446C8E">
      <w:pPr>
        <w:pStyle w:val="Bullet"/>
      </w:pPr>
      <w:r>
        <w:t xml:space="preserve">Arranging </w:t>
      </w:r>
      <w:r w:rsidR="000D1245">
        <w:t xml:space="preserve">for funding from proponents </w:t>
      </w:r>
      <w:r w:rsidR="008A1370">
        <w:t xml:space="preserve">where </w:t>
      </w:r>
      <w:r w:rsidR="009C39AE">
        <w:t xml:space="preserve">relevant and </w:t>
      </w:r>
      <w:r w:rsidR="008A1370">
        <w:t>possible</w:t>
      </w:r>
      <w:r w:rsidR="009C39AE">
        <w:t>.</w:t>
      </w:r>
    </w:p>
    <w:p w14:paraId="2220182D" w14:textId="49B25C61" w:rsidR="00446C8E" w:rsidRDefault="00446C8E" w:rsidP="00446C8E">
      <w:pPr>
        <w:pStyle w:val="Bullet"/>
      </w:pPr>
      <w:r>
        <w:t>Using the fleet coordinator role to manage the availability of vehicles, maintain vehicle servicing and extend the useful life of vehicles</w:t>
      </w:r>
      <w:r w:rsidR="00CA4E80">
        <w:t>.</w:t>
      </w:r>
    </w:p>
    <w:p w14:paraId="444C3CA1" w14:textId="75A2254E" w:rsidR="00446C8E" w:rsidRDefault="00446C8E" w:rsidP="00446C8E">
      <w:pPr>
        <w:pStyle w:val="Bullet"/>
      </w:pPr>
      <w:r>
        <w:t xml:space="preserve">Negotiating discounts through bigger professional contracts – including for finance and payroll systems, the local fuel service provider, shared business mobile phone plans and airlines to ensure credits </w:t>
      </w:r>
      <w:r w:rsidR="009261CC">
        <w:t xml:space="preserve">could </w:t>
      </w:r>
      <w:r>
        <w:t>be recovered when travel is cancelled</w:t>
      </w:r>
      <w:r w:rsidR="00CA4E80">
        <w:t>.</w:t>
      </w:r>
    </w:p>
    <w:p w14:paraId="3BBED4DD" w14:textId="0F14B9B6" w:rsidR="00446C8E" w:rsidRDefault="00446C8E" w:rsidP="00446C8E">
      <w:pPr>
        <w:pStyle w:val="Bullet"/>
      </w:pPr>
      <w:r>
        <w:t>Reducing use of chartered flights</w:t>
      </w:r>
      <w:r w:rsidR="00CA4E80">
        <w:t>.</w:t>
      </w:r>
    </w:p>
    <w:p w14:paraId="22F8FD1A" w14:textId="687E1A6B" w:rsidR="00446C8E" w:rsidRDefault="00446C8E" w:rsidP="00446C8E">
      <w:pPr>
        <w:pStyle w:val="Bullet"/>
      </w:pPr>
      <w:r>
        <w:t xml:space="preserve">Enforcing </w:t>
      </w:r>
      <w:r w:rsidRPr="00AD3358">
        <w:t>upper limits</w:t>
      </w:r>
      <w:r>
        <w:t xml:space="preserve"> for client travel and not paying travel allowances for </w:t>
      </w:r>
      <w:r w:rsidR="00C23C12">
        <w:t xml:space="preserve">Board </w:t>
      </w:r>
      <w:r>
        <w:t xml:space="preserve">meetings until after meetings when attendance </w:t>
      </w:r>
      <w:r w:rsidR="00C23C12">
        <w:t xml:space="preserve">was </w:t>
      </w:r>
      <w:r>
        <w:t>accounted for</w:t>
      </w:r>
      <w:r w:rsidR="00CA4E80">
        <w:t>.</w:t>
      </w:r>
    </w:p>
    <w:p w14:paraId="4512879E" w14:textId="6CBE2767" w:rsidR="00446C8E" w:rsidRPr="0059566A" w:rsidRDefault="00446C8E" w:rsidP="00446C8E">
      <w:pPr>
        <w:pStyle w:val="Bullet"/>
      </w:pPr>
      <w:r>
        <w:rPr>
          <w:bCs/>
          <w:spacing w:val="-4"/>
        </w:rPr>
        <w:t>Consolidation of physical records into one location to reduce the considerable physical support and cataloguing required</w:t>
      </w:r>
      <w:r w:rsidR="002E1283">
        <w:rPr>
          <w:bCs/>
          <w:spacing w:val="-4"/>
        </w:rPr>
        <w:t>.</w:t>
      </w:r>
    </w:p>
    <w:p w14:paraId="72E98293" w14:textId="1BF7B7EE" w:rsidR="00446C8E" w:rsidRDefault="00446C8E" w:rsidP="00446C8E">
      <w:pPr>
        <w:pStyle w:val="Bullet"/>
      </w:pPr>
      <w:r>
        <w:t>S</w:t>
      </w:r>
      <w:r w:rsidRPr="0059566A">
        <w:t xml:space="preserve">elf-managing a new </w:t>
      </w:r>
      <w:r>
        <w:t xml:space="preserve">software </w:t>
      </w:r>
      <w:r w:rsidRPr="0059566A">
        <w:t>upgrade in-house</w:t>
      </w:r>
      <w:r>
        <w:t xml:space="preserve">, which brought in savings of about </w:t>
      </w:r>
      <w:r w:rsidRPr="0059566A">
        <w:t>$15,000</w:t>
      </w:r>
      <w:r w:rsidR="003C57E8">
        <w:t>.</w:t>
      </w:r>
    </w:p>
    <w:p w14:paraId="03433ADD" w14:textId="77777777" w:rsidR="00446C8E" w:rsidRDefault="00446C8E" w:rsidP="00446C8E">
      <w:pPr>
        <w:pStyle w:val="Bullet"/>
      </w:pPr>
      <w:r>
        <w:t>Managing IT infrastructure efficiently and keeping a close eye on particulars such as hardware warranties.</w:t>
      </w:r>
    </w:p>
    <w:p w14:paraId="4535F4B2" w14:textId="48C86917" w:rsidR="00446C8E" w:rsidRDefault="00446C8E" w:rsidP="00446C8E">
      <w:pPr>
        <w:pStyle w:val="Bullet"/>
        <w:numPr>
          <w:ilvl w:val="0"/>
          <w:numId w:val="0"/>
        </w:numPr>
      </w:pPr>
      <w:r>
        <w:t xml:space="preserve">Staff </w:t>
      </w:r>
      <w:r w:rsidR="00226E22">
        <w:t>also</w:t>
      </w:r>
      <w:r>
        <w:t xml:space="preserve"> particularly </w:t>
      </w:r>
      <w:r w:rsidR="00226E22">
        <w:t>highlighted</w:t>
      </w:r>
      <w:r>
        <w:t xml:space="preserve"> their negotiations with </w:t>
      </w:r>
      <w:r w:rsidR="006264AE" w:rsidRPr="75CE137A">
        <w:t xml:space="preserve">an </w:t>
      </w:r>
      <w:r w:rsidR="004411D2" w:rsidRPr="75CE137A">
        <w:t>airline</w:t>
      </w:r>
      <w:r w:rsidR="006264AE" w:rsidRPr="75CE137A">
        <w:t>’s</w:t>
      </w:r>
      <w:r>
        <w:t xml:space="preserve"> Frequent Flyer division and </w:t>
      </w:r>
      <w:r w:rsidR="00B4511C">
        <w:t xml:space="preserve">the </w:t>
      </w:r>
      <w:r>
        <w:t xml:space="preserve">KLC’s partnership with </w:t>
      </w:r>
      <w:r w:rsidR="006264AE" w:rsidRPr="75CE137A">
        <w:t>a</w:t>
      </w:r>
      <w:r>
        <w:t xml:space="preserve"> program</w:t>
      </w:r>
      <w:r w:rsidR="006264AE" w:rsidRPr="75CE137A">
        <w:t xml:space="preserve"> that</w:t>
      </w:r>
      <w:r>
        <w:t xml:space="preserve"> facilitates </w:t>
      </w:r>
      <w:r w:rsidRPr="006C0285">
        <w:t xml:space="preserve">Frequent Flyers </w:t>
      </w:r>
      <w:r>
        <w:t>donating to</w:t>
      </w:r>
      <w:r w:rsidRPr="006C0285">
        <w:t xml:space="preserve"> </w:t>
      </w:r>
      <w:r>
        <w:t>fund the KLC’s</w:t>
      </w:r>
      <w:r w:rsidRPr="006C0285">
        <w:t xml:space="preserve"> conservation</w:t>
      </w:r>
      <w:r>
        <w:t xml:space="preserve"> programs</w:t>
      </w:r>
      <w:r w:rsidR="008D67CB">
        <w:t xml:space="preserve"> </w:t>
      </w:r>
      <w:r>
        <w:t xml:space="preserve">(although this </w:t>
      </w:r>
      <w:r w:rsidR="00FA463D">
        <w:t xml:space="preserve">was </w:t>
      </w:r>
      <w:r>
        <w:t>not directly related to KLC’s native title functions</w:t>
      </w:r>
      <w:r w:rsidR="00226E22">
        <w:t>).</w:t>
      </w:r>
    </w:p>
    <w:p w14:paraId="41F92449" w14:textId="058A073D" w:rsidR="00446C8E" w:rsidRDefault="00446C8E" w:rsidP="00002064">
      <w:pPr>
        <w:pStyle w:val="Heading5"/>
      </w:pPr>
      <w:r>
        <w:t xml:space="preserve">Staff </w:t>
      </w:r>
      <w:r w:rsidR="00FA463D">
        <w:t xml:space="preserve">were </w:t>
      </w:r>
      <w:r>
        <w:t>aware of costs and tr</w:t>
      </w:r>
      <w:r w:rsidR="00FA463D">
        <w:t>ied</w:t>
      </w:r>
      <w:r>
        <w:t xml:space="preserve"> to minimise </w:t>
      </w:r>
      <w:r w:rsidR="00226E22">
        <w:t xml:space="preserve">them </w:t>
      </w:r>
      <w:r>
        <w:t>wherever possible</w:t>
      </w:r>
    </w:p>
    <w:p w14:paraId="0DF1EA47" w14:textId="1B44608A" w:rsidR="00446C8E" w:rsidRDefault="00446C8E" w:rsidP="00446C8E">
      <w:pPr>
        <w:tabs>
          <w:tab w:val="left" w:pos="442"/>
        </w:tabs>
        <w:spacing w:before="62"/>
        <w:rPr>
          <w:bCs/>
          <w:spacing w:val="-4"/>
        </w:rPr>
      </w:pPr>
      <w:r>
        <w:rPr>
          <w:bCs/>
          <w:spacing w:val="-4"/>
        </w:rPr>
        <w:t xml:space="preserve">Staff across the KLC appeared to be cognisant of costs for the organisation and actively tried to minimise these wherever possible. They noted that certain cost drivers </w:t>
      </w:r>
      <w:r w:rsidR="00FA463D">
        <w:rPr>
          <w:bCs/>
          <w:spacing w:val="-4"/>
        </w:rPr>
        <w:t xml:space="preserve">were </w:t>
      </w:r>
      <w:r>
        <w:rPr>
          <w:bCs/>
          <w:spacing w:val="-4"/>
        </w:rPr>
        <w:t>essential for business and beyond their control. These include</w:t>
      </w:r>
      <w:r w:rsidR="007403A9">
        <w:rPr>
          <w:bCs/>
          <w:spacing w:val="-4"/>
        </w:rPr>
        <w:t>d</w:t>
      </w:r>
      <w:r>
        <w:rPr>
          <w:bCs/>
          <w:spacing w:val="-4"/>
        </w:rPr>
        <w:t xml:space="preserve">: </w:t>
      </w:r>
    </w:p>
    <w:p w14:paraId="14B54C89" w14:textId="0DE48BDD" w:rsidR="00446C8E" w:rsidRDefault="00446C8E" w:rsidP="00446C8E">
      <w:pPr>
        <w:pStyle w:val="Bullet"/>
      </w:pPr>
      <w:r>
        <w:t>Staff salaries</w:t>
      </w:r>
      <w:r w:rsidR="00A81BE6">
        <w:t>.</w:t>
      </w:r>
    </w:p>
    <w:p w14:paraId="0A45D3BA" w14:textId="29385C82" w:rsidR="00446C8E" w:rsidRPr="009819B7" w:rsidRDefault="00446C8E" w:rsidP="00446C8E">
      <w:pPr>
        <w:pStyle w:val="Bullet"/>
      </w:pPr>
      <w:r>
        <w:lastRenderedPageBreak/>
        <w:t>C</w:t>
      </w:r>
      <w:r w:rsidRPr="009819B7">
        <w:t>ompliance requirements</w:t>
      </w:r>
      <w:r w:rsidR="00071FA5">
        <w:t>,</w:t>
      </w:r>
      <w:r w:rsidRPr="009819B7">
        <w:t xml:space="preserve"> </w:t>
      </w:r>
      <w:r>
        <w:t xml:space="preserve">including work health and safety, risk mitigation and </w:t>
      </w:r>
      <w:r w:rsidRPr="009819B7">
        <w:t>governance</w:t>
      </w:r>
      <w:r>
        <w:t xml:space="preserve">. Staff commented that the latter </w:t>
      </w:r>
      <w:r w:rsidR="007403A9">
        <w:t xml:space="preserve">was </w:t>
      </w:r>
      <w:r w:rsidRPr="009819B7">
        <w:t>increasingly expensive</w:t>
      </w:r>
      <w:r>
        <w:t>, i</w:t>
      </w:r>
      <w:r w:rsidRPr="009819B7">
        <w:t xml:space="preserve">n line with </w:t>
      </w:r>
      <w:r>
        <w:t xml:space="preserve">the increasing complexity and </w:t>
      </w:r>
      <w:r w:rsidRPr="009819B7">
        <w:t>sophistication</w:t>
      </w:r>
      <w:r>
        <w:t xml:space="preserve"> of </w:t>
      </w:r>
      <w:r w:rsidR="002C5CC8">
        <w:t>relevant legislation</w:t>
      </w:r>
      <w:r>
        <w:t>.</w:t>
      </w:r>
    </w:p>
    <w:p w14:paraId="33D843A3" w14:textId="77777777" w:rsidR="00446C8E" w:rsidRPr="00276827" w:rsidRDefault="00446C8E" w:rsidP="00446C8E">
      <w:pPr>
        <w:pStyle w:val="Bullet"/>
      </w:pPr>
      <w:r>
        <w:t>Maintenance of up-to-date and contemporary information management systems and IT infrastructure.</w:t>
      </w:r>
    </w:p>
    <w:p w14:paraId="0AA79F7B" w14:textId="77777777" w:rsidR="00446C8E" w:rsidRDefault="00446C8E" w:rsidP="00446C8E">
      <w:pPr>
        <w:pStyle w:val="Heading4"/>
      </w:pPr>
      <w:r w:rsidRPr="00A81BE6">
        <w:t>Appropriate processes for claim group meetings</w:t>
      </w:r>
    </w:p>
    <w:p w14:paraId="5B9DEE4D" w14:textId="77777777" w:rsidR="00446C8E" w:rsidRDefault="00446C8E" w:rsidP="00002064">
      <w:pPr>
        <w:pStyle w:val="Heading5"/>
      </w:pPr>
      <w:r>
        <w:t>Claim group meeting processes were generally appropriate despite some client concerns</w:t>
      </w:r>
    </w:p>
    <w:p w14:paraId="54CBD7CA" w14:textId="122E9A06" w:rsidR="00446C8E" w:rsidRDefault="00446C8E" w:rsidP="00446C8E">
      <w:pPr>
        <w:rPr>
          <w:lang w:eastAsia="en-AU"/>
        </w:rPr>
      </w:pPr>
      <w:r>
        <w:rPr>
          <w:lang w:eastAsia="en-AU"/>
        </w:rPr>
        <w:t xml:space="preserve">In its </w:t>
      </w:r>
      <w:r w:rsidR="00A81BE6">
        <w:rPr>
          <w:lang w:eastAsia="en-AU"/>
        </w:rPr>
        <w:t xml:space="preserve">annual reports </w:t>
      </w:r>
      <w:r>
        <w:rPr>
          <w:lang w:eastAsia="en-AU"/>
        </w:rPr>
        <w:t>the KLC noted that holding on-</w:t>
      </w:r>
      <w:r w:rsidR="00323C5D">
        <w:rPr>
          <w:lang w:eastAsia="en-AU"/>
        </w:rPr>
        <w:t xml:space="preserve">Country </w:t>
      </w:r>
      <w:r>
        <w:rPr>
          <w:lang w:eastAsia="en-AU"/>
        </w:rPr>
        <w:t>meetings and providing travel and accommodation arrangements for Traditional Owners, Directors and staff continued to be challenging, particularly when working in very remote parts of the Kimberley.</w:t>
      </w:r>
    </w:p>
    <w:p w14:paraId="2B2235BA" w14:textId="0C88FA3A" w:rsidR="00446C8E" w:rsidRDefault="00446C8E" w:rsidP="00446C8E">
      <w:pPr>
        <w:rPr>
          <w:lang w:eastAsia="en-AU"/>
        </w:rPr>
      </w:pPr>
      <w:r>
        <w:rPr>
          <w:lang w:eastAsia="en-AU"/>
        </w:rPr>
        <w:t>The KLC reported that i</w:t>
      </w:r>
      <w:r w:rsidR="00C8339C">
        <w:rPr>
          <w:lang w:eastAsia="en-AU"/>
        </w:rPr>
        <w:t>t</w:t>
      </w:r>
      <w:r>
        <w:rPr>
          <w:lang w:eastAsia="en-AU"/>
        </w:rPr>
        <w:t xml:space="preserve"> employed a number of strategies to</w:t>
      </w:r>
      <w:r w:rsidRPr="00AC7093">
        <w:rPr>
          <w:lang w:eastAsia="en-AU"/>
        </w:rPr>
        <w:t xml:space="preserve"> </w:t>
      </w:r>
      <w:r>
        <w:rPr>
          <w:lang w:eastAsia="en-AU"/>
        </w:rPr>
        <w:t>enhance</w:t>
      </w:r>
      <w:r w:rsidRPr="00AC7093">
        <w:rPr>
          <w:lang w:eastAsia="en-AU"/>
        </w:rPr>
        <w:t xml:space="preserve"> the effectiveness and efficiency of claim group meetings</w:t>
      </w:r>
      <w:r>
        <w:rPr>
          <w:lang w:eastAsia="en-AU"/>
        </w:rPr>
        <w:t xml:space="preserve">, including: </w:t>
      </w:r>
    </w:p>
    <w:p w14:paraId="5A73F623" w14:textId="7241C0EA" w:rsidR="00446C8E" w:rsidRDefault="00446C8E" w:rsidP="00CB5926">
      <w:pPr>
        <w:pStyle w:val="Bullet"/>
      </w:pPr>
      <w:r>
        <w:t xml:space="preserve">Having its own internal notification process for informing native title holders and claimants of claim group meetings through maintaining extensive and up-to-date claim group member lists and contact details. Native title holders and claimants </w:t>
      </w:r>
      <w:r w:rsidR="000B4316">
        <w:t xml:space="preserve">were </w:t>
      </w:r>
      <w:r>
        <w:t>notified of meetings through posted and hand-delivered letters, emails, phone calls, the posting of notices on public boards throughout the Kimberley, Facebook, posting of notices on the KLC website and advertising in local newspapers.</w:t>
      </w:r>
    </w:p>
    <w:p w14:paraId="2DB68730" w14:textId="1B20DC71" w:rsidR="00446C8E" w:rsidRPr="00BE05C2" w:rsidRDefault="00446C8E" w:rsidP="00CB5926">
      <w:pPr>
        <w:pStyle w:val="Bullet"/>
      </w:pPr>
      <w:r w:rsidRPr="00BE05C2">
        <w:rPr>
          <w:bCs/>
          <w:spacing w:val="-4"/>
        </w:rPr>
        <w:t xml:space="preserve">Trying to coordinate meetings so that attendees only </w:t>
      </w:r>
      <w:r w:rsidR="00E252F2">
        <w:rPr>
          <w:bCs/>
          <w:spacing w:val="-4"/>
        </w:rPr>
        <w:t xml:space="preserve">had </w:t>
      </w:r>
      <w:r w:rsidRPr="00BE05C2">
        <w:rPr>
          <w:bCs/>
          <w:spacing w:val="-4"/>
        </w:rPr>
        <w:t xml:space="preserve">to travel once and that cost-savings </w:t>
      </w:r>
      <w:r w:rsidR="00295354">
        <w:rPr>
          <w:bCs/>
          <w:spacing w:val="-4"/>
        </w:rPr>
        <w:t>were</w:t>
      </w:r>
      <w:r w:rsidR="00295354" w:rsidRPr="00BE05C2">
        <w:rPr>
          <w:bCs/>
          <w:spacing w:val="-4"/>
        </w:rPr>
        <w:t xml:space="preserve"> </w:t>
      </w:r>
      <w:r w:rsidRPr="00BE05C2">
        <w:rPr>
          <w:bCs/>
          <w:spacing w:val="-4"/>
        </w:rPr>
        <w:t xml:space="preserve">made on venue bookings. Having an open meeting calendar has helped this be successful. </w:t>
      </w:r>
    </w:p>
    <w:p w14:paraId="4E6D1A8C" w14:textId="67C5A7EE" w:rsidR="00446C8E" w:rsidRDefault="00446C8E" w:rsidP="00CB5926">
      <w:pPr>
        <w:pStyle w:val="Bullet"/>
      </w:pPr>
      <w:r>
        <w:t xml:space="preserve">Trying to </w:t>
      </w:r>
      <w:r w:rsidR="00B34A6D">
        <w:t>make as much</w:t>
      </w:r>
      <w:r>
        <w:t xml:space="preserve"> claim</w:t>
      </w:r>
      <w:r w:rsidR="00B34A6D">
        <w:t xml:space="preserve"> progress</w:t>
      </w:r>
      <w:r>
        <w:t xml:space="preserve"> </w:t>
      </w:r>
      <w:r w:rsidDel="004A460F">
        <w:t xml:space="preserve">as </w:t>
      </w:r>
      <w:r>
        <w:t>possible during meetings. For example, wherever possible, resolv</w:t>
      </w:r>
      <w:r w:rsidR="004A460F">
        <w:t>ing</w:t>
      </w:r>
      <w:r>
        <w:t xml:space="preserve"> disputes relating to native title applications by consultation at claimant meetings.</w:t>
      </w:r>
    </w:p>
    <w:p w14:paraId="4AA04C18" w14:textId="77777777" w:rsidR="00446C8E" w:rsidRPr="00343CB9" w:rsidRDefault="00446C8E" w:rsidP="00446C8E">
      <w:pPr>
        <w:tabs>
          <w:tab w:val="left" w:pos="442"/>
        </w:tabs>
        <w:spacing w:before="62"/>
        <w:rPr>
          <w:bCs/>
          <w:spacing w:val="-4"/>
        </w:rPr>
      </w:pPr>
      <w:r>
        <w:rPr>
          <w:bCs/>
          <w:spacing w:val="-4"/>
        </w:rPr>
        <w:t>The Native Title Update section of each annual report provides a brief summary of outcomes or decisions forthcoming from authorisation and claim group meetings.</w:t>
      </w:r>
    </w:p>
    <w:p w14:paraId="0438FE8C" w14:textId="5C68774E" w:rsidR="00446C8E" w:rsidRDefault="00446C8E" w:rsidP="0074164B">
      <w:pPr>
        <w:rPr>
          <w:lang w:eastAsia="en-AU"/>
        </w:rPr>
      </w:pPr>
      <w:r>
        <w:rPr>
          <w:lang w:eastAsia="en-AU"/>
        </w:rPr>
        <w:t>A small number of Traditional Owners criticised the way in which the KLC conducted claim group or authorisation meetings. These cases centred around</w:t>
      </w:r>
      <w:r w:rsidR="0074164B">
        <w:rPr>
          <w:lang w:eastAsia="en-AU"/>
        </w:rPr>
        <w:t xml:space="preserve"> </w:t>
      </w:r>
      <w:r w:rsidR="00F060FA">
        <w:rPr>
          <w:lang w:eastAsia="en-AU"/>
        </w:rPr>
        <w:t xml:space="preserve">a view that the KLC did </w:t>
      </w:r>
      <w:r>
        <w:t>not mak</w:t>
      </w:r>
      <w:r w:rsidR="00F060FA">
        <w:t>e</w:t>
      </w:r>
      <w:r>
        <w:t xml:space="preserve"> processes such as travel reimbursement for attending meetings understandable to the community, therefore creating a barrier to attendance</w:t>
      </w:r>
      <w:r w:rsidR="00F060FA">
        <w:t>.</w:t>
      </w:r>
      <w:r w:rsidR="00DE7FC2">
        <w:t xml:space="preserve"> As noted</w:t>
      </w:r>
      <w:r w:rsidR="000E2621">
        <w:t xml:space="preserve"> later, the Review </w:t>
      </w:r>
      <w:r w:rsidR="003A6643">
        <w:t xml:space="preserve">found that the KLC had clearly </w:t>
      </w:r>
      <w:r w:rsidR="00645283">
        <w:t xml:space="preserve">written travel assistance guidance </w:t>
      </w:r>
      <w:r w:rsidR="00712CA1">
        <w:t>that was made available to Traditional Owners.</w:t>
      </w:r>
    </w:p>
    <w:p w14:paraId="5C68F5FD" w14:textId="77777777" w:rsidR="00446C8E" w:rsidRDefault="00446C8E" w:rsidP="00446C8E">
      <w:pPr>
        <w:pStyle w:val="Heading4"/>
      </w:pPr>
      <w:r w:rsidRPr="00046737">
        <w:t>Annual yearly expenditure per claimant group</w:t>
      </w:r>
    </w:p>
    <w:p w14:paraId="41B1DB14" w14:textId="77777777" w:rsidR="00446C8E" w:rsidRDefault="00446C8E" w:rsidP="00002064">
      <w:pPr>
        <w:pStyle w:val="Heading5"/>
      </w:pPr>
      <w:r>
        <w:t>Annual expenditure varied greatly between claimant groups but was consistently below budget</w:t>
      </w:r>
    </w:p>
    <w:p w14:paraId="5F2E64E2" w14:textId="02E341BE" w:rsidR="00446C8E" w:rsidRDefault="00446C8E" w:rsidP="00446C8E">
      <w:pPr>
        <w:rPr>
          <w:lang w:eastAsia="en-AU"/>
        </w:rPr>
      </w:pPr>
      <w:r>
        <w:rPr>
          <w:lang w:eastAsia="en-AU"/>
        </w:rPr>
        <w:t>Over the Review period, costs</w:t>
      </w:r>
      <w:r w:rsidRPr="00C85FD1">
        <w:rPr>
          <w:lang w:eastAsia="en-AU"/>
        </w:rPr>
        <w:t xml:space="preserve"> between claims </w:t>
      </w:r>
      <w:r>
        <w:rPr>
          <w:lang w:eastAsia="en-AU"/>
        </w:rPr>
        <w:t xml:space="preserve">and for the same claim from year to year </w:t>
      </w:r>
      <w:r w:rsidRPr="00C85FD1">
        <w:rPr>
          <w:lang w:eastAsia="en-AU"/>
        </w:rPr>
        <w:t>w</w:t>
      </w:r>
      <w:r>
        <w:rPr>
          <w:lang w:eastAsia="en-AU"/>
        </w:rPr>
        <w:t>ere</w:t>
      </w:r>
      <w:r w:rsidRPr="00C85FD1">
        <w:rPr>
          <w:lang w:eastAsia="en-AU"/>
        </w:rPr>
        <w:t xml:space="preserve"> highly variable,</w:t>
      </w:r>
      <w:r>
        <w:rPr>
          <w:lang w:eastAsia="en-AU"/>
        </w:rPr>
        <w:t xml:space="preserve"> with the progress of some also impacted by COVID-19 and flooding (see </w:t>
      </w:r>
      <w:r>
        <w:rPr>
          <w:lang w:eastAsia="en-AU"/>
        </w:rPr>
        <w:fldChar w:fldCharType="begin"/>
      </w:r>
      <w:r>
        <w:rPr>
          <w:lang w:eastAsia="en-AU"/>
        </w:rPr>
        <w:instrText xml:space="preserve"> REF _Ref143163039 \h </w:instrText>
      </w:r>
      <w:r>
        <w:rPr>
          <w:lang w:eastAsia="en-AU"/>
        </w:rPr>
      </w:r>
      <w:r>
        <w:rPr>
          <w:lang w:eastAsia="en-AU"/>
        </w:rPr>
        <w:fldChar w:fldCharType="separate"/>
      </w:r>
      <w:r w:rsidR="00291532">
        <w:t xml:space="preserve">Figure </w:t>
      </w:r>
      <w:r w:rsidR="00291532">
        <w:rPr>
          <w:noProof/>
        </w:rPr>
        <w:t>4</w:t>
      </w:r>
      <w:r>
        <w:rPr>
          <w:lang w:eastAsia="en-AU"/>
        </w:rPr>
        <w:fldChar w:fldCharType="end"/>
      </w:r>
      <w:r w:rsidR="002D6DC1">
        <w:rPr>
          <w:lang w:eastAsia="en-AU"/>
        </w:rPr>
        <w:t>).</w:t>
      </w:r>
      <w:r>
        <w:rPr>
          <w:lang w:eastAsia="en-AU"/>
        </w:rPr>
        <w:t xml:space="preserve"> </w:t>
      </w:r>
    </w:p>
    <w:p w14:paraId="11E10B0B" w14:textId="3494E85B" w:rsidR="00446C8E" w:rsidRDefault="00446C8E" w:rsidP="00446C8E">
      <w:pPr>
        <w:pStyle w:val="Caption"/>
        <w:rPr>
          <w:lang w:eastAsia="en-AU"/>
        </w:rPr>
      </w:pPr>
      <w:bookmarkStart w:id="45" w:name="_Ref143163039"/>
      <w:r>
        <w:lastRenderedPageBreak/>
        <w:t xml:space="preserve">Figure </w:t>
      </w:r>
      <w:r>
        <w:fldChar w:fldCharType="begin"/>
      </w:r>
      <w:r>
        <w:instrText xml:space="preserve"> SEQ Figure \* ARABIC </w:instrText>
      </w:r>
      <w:r>
        <w:fldChar w:fldCharType="separate"/>
      </w:r>
      <w:r w:rsidR="00291532">
        <w:rPr>
          <w:noProof/>
        </w:rPr>
        <w:t>4</w:t>
      </w:r>
      <w:r>
        <w:fldChar w:fldCharType="end"/>
      </w:r>
      <w:bookmarkEnd w:id="45"/>
      <w:r>
        <w:t xml:space="preserve"> | Annual yearly expenditure per claimant group</w:t>
      </w:r>
      <w:r>
        <w:rPr>
          <w:rStyle w:val="FootnoteReference"/>
        </w:rPr>
        <w:footnoteReference w:id="23"/>
      </w:r>
    </w:p>
    <w:p w14:paraId="4CBC8BF6" w14:textId="37916F8A" w:rsidR="00EC2760" w:rsidRDefault="00EC2760" w:rsidP="00446C8E">
      <w:pPr>
        <w:rPr>
          <w:lang w:eastAsia="en-AU"/>
        </w:rPr>
      </w:pPr>
      <w:r>
        <w:rPr>
          <w:noProof/>
          <w:lang w:eastAsia="en-AU"/>
        </w:rPr>
        <w:drawing>
          <wp:inline distT="0" distB="0" distL="0" distR="0" wp14:anchorId="7377A938" wp14:editId="677CCF1E">
            <wp:extent cx="5670000" cy="2854950"/>
            <wp:effectExtent l="0" t="0" r="6985" b="3175"/>
            <wp:docPr id="1646832411" name="Picture 7" descr="Scatter plot showing expenditure claims for fiscal years 2019-2020, 2020-2021 and 2021-2022. Each circle represents a separate claim, and the mean expenditure for each year is highlighted with a red diam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32411" name="Picture 7" descr="Scatter plot showing expenditure claims for fiscal years 2019-2020, 2020-2021 and 2021-2022. Each circle represents a separate claim, and the mean expenditure for each year is highlighted with a red diamond. "/>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5670000" cy="2854950"/>
                    </a:xfrm>
                    <a:prstGeom prst="rect">
                      <a:avLst/>
                    </a:prstGeom>
                    <a:ln>
                      <a:noFill/>
                    </a:ln>
                    <a:extLst>
                      <a:ext uri="{53640926-AAD7-44D8-BBD7-CCE9431645EC}">
                        <a14:shadowObscured xmlns:a14="http://schemas.microsoft.com/office/drawing/2010/main"/>
                      </a:ext>
                    </a:extLst>
                  </pic:spPr>
                </pic:pic>
              </a:graphicData>
            </a:graphic>
          </wp:inline>
        </w:drawing>
      </w:r>
    </w:p>
    <w:p w14:paraId="77D9E368" w14:textId="21FE2204" w:rsidR="00446C8E" w:rsidRDefault="00446C8E" w:rsidP="00446C8E">
      <w:pPr>
        <w:rPr>
          <w:lang w:eastAsia="en-AU"/>
        </w:rPr>
      </w:pPr>
      <w:r>
        <w:rPr>
          <w:lang w:eastAsia="en-AU"/>
        </w:rPr>
        <w:t xml:space="preserve">As shown in </w:t>
      </w:r>
      <w:r>
        <w:rPr>
          <w:lang w:eastAsia="en-AU"/>
        </w:rPr>
        <w:fldChar w:fldCharType="begin"/>
      </w:r>
      <w:r>
        <w:rPr>
          <w:lang w:eastAsia="en-AU"/>
        </w:rPr>
        <w:instrText xml:space="preserve"> REF _Ref143163864 \h </w:instrText>
      </w:r>
      <w:r>
        <w:rPr>
          <w:lang w:eastAsia="en-AU"/>
        </w:rPr>
      </w:r>
      <w:r>
        <w:rPr>
          <w:lang w:eastAsia="en-AU"/>
        </w:rPr>
        <w:fldChar w:fldCharType="separate"/>
      </w:r>
      <w:r w:rsidR="00291532">
        <w:t xml:space="preserve">Table </w:t>
      </w:r>
      <w:r w:rsidR="00291532">
        <w:rPr>
          <w:noProof/>
        </w:rPr>
        <w:t>14</w:t>
      </w:r>
      <w:r>
        <w:rPr>
          <w:lang w:eastAsia="en-AU"/>
        </w:rPr>
        <w:fldChar w:fldCharType="end"/>
      </w:r>
      <w:r>
        <w:rPr>
          <w:lang w:eastAsia="en-AU"/>
        </w:rPr>
        <w:t>, actual expenditure for claims and claims related matters was consistently below budget during every year of the Review period.</w:t>
      </w:r>
    </w:p>
    <w:p w14:paraId="7CF5FCDF" w14:textId="04CD5A7E" w:rsidR="00446C8E" w:rsidRDefault="00446C8E" w:rsidP="00446C8E">
      <w:pPr>
        <w:pStyle w:val="Caption"/>
        <w:rPr>
          <w:lang w:eastAsia="en-AU"/>
        </w:rPr>
      </w:pPr>
      <w:bookmarkStart w:id="46" w:name="_Ref143163864"/>
      <w:r>
        <w:t xml:space="preserve">Table </w:t>
      </w:r>
      <w:r>
        <w:fldChar w:fldCharType="begin"/>
      </w:r>
      <w:r>
        <w:instrText xml:space="preserve"> SEQ Table \* ARABIC </w:instrText>
      </w:r>
      <w:r>
        <w:fldChar w:fldCharType="separate"/>
      </w:r>
      <w:r w:rsidR="00291532">
        <w:rPr>
          <w:noProof/>
        </w:rPr>
        <w:t>14</w:t>
      </w:r>
      <w:r>
        <w:fldChar w:fldCharType="end"/>
      </w:r>
      <w:bookmarkEnd w:id="46"/>
      <w:r>
        <w:t xml:space="preserve"> | KLC claims related costs over the Review period</w:t>
      </w:r>
      <w:r>
        <w:rPr>
          <w:rStyle w:val="FootnoteReference"/>
        </w:rPr>
        <w:footnoteReference w:id="24"/>
      </w:r>
    </w:p>
    <w:tbl>
      <w:tblPr>
        <w:tblStyle w:val="TableGrid"/>
        <w:tblW w:w="5000" w:type="pct"/>
        <w:tblLook w:val="04A0" w:firstRow="1" w:lastRow="0" w:firstColumn="1" w:lastColumn="0" w:noHBand="0" w:noVBand="1"/>
      </w:tblPr>
      <w:tblGrid>
        <w:gridCol w:w="1786"/>
        <w:gridCol w:w="1786"/>
        <w:gridCol w:w="1786"/>
        <w:gridCol w:w="1786"/>
        <w:gridCol w:w="1786"/>
      </w:tblGrid>
      <w:tr w:rsidR="00E72929" w14:paraId="0F0AC29C" w14:textId="77777777" w:rsidTr="000601C5">
        <w:trPr>
          <w:cnfStyle w:val="100000000000" w:firstRow="1" w:lastRow="0" w:firstColumn="0" w:lastColumn="0" w:oddVBand="0" w:evenVBand="0" w:oddHBand="0" w:evenHBand="0" w:firstRowFirstColumn="0" w:firstRowLastColumn="0" w:lastRowFirstColumn="0" w:lastRowLastColumn="0"/>
        </w:trPr>
        <w:tc>
          <w:tcPr>
            <w:tcW w:w="1000" w:type="pct"/>
          </w:tcPr>
          <w:p w14:paraId="03F2F891" w14:textId="77777777" w:rsidR="00446C8E" w:rsidRDefault="00446C8E">
            <w:pPr>
              <w:pStyle w:val="TableNheader"/>
              <w:rPr>
                <w:lang w:eastAsia="en-AU"/>
              </w:rPr>
            </w:pPr>
            <w:r>
              <w:rPr>
                <w:lang w:eastAsia="en-AU"/>
              </w:rPr>
              <w:t>Financial year</w:t>
            </w:r>
          </w:p>
        </w:tc>
        <w:tc>
          <w:tcPr>
            <w:tcW w:w="1000" w:type="pct"/>
          </w:tcPr>
          <w:p w14:paraId="1B368867" w14:textId="77777777" w:rsidR="00446C8E" w:rsidRDefault="00446C8E">
            <w:pPr>
              <w:pStyle w:val="TableNheader"/>
              <w:rPr>
                <w:lang w:eastAsia="en-AU"/>
              </w:rPr>
            </w:pPr>
            <w:r>
              <w:rPr>
                <w:lang w:eastAsia="en-AU"/>
              </w:rPr>
              <w:t xml:space="preserve">Agreed budget </w:t>
            </w:r>
          </w:p>
        </w:tc>
        <w:tc>
          <w:tcPr>
            <w:tcW w:w="1000" w:type="pct"/>
          </w:tcPr>
          <w:p w14:paraId="161B93F7" w14:textId="77777777" w:rsidR="00446C8E" w:rsidRDefault="00446C8E">
            <w:pPr>
              <w:pStyle w:val="TableNheader"/>
              <w:rPr>
                <w:lang w:eastAsia="en-AU"/>
              </w:rPr>
            </w:pPr>
            <w:r>
              <w:rPr>
                <w:lang w:eastAsia="en-AU"/>
              </w:rPr>
              <w:t>Actual expenditure</w:t>
            </w:r>
          </w:p>
        </w:tc>
        <w:tc>
          <w:tcPr>
            <w:tcW w:w="1000" w:type="pct"/>
          </w:tcPr>
          <w:p w14:paraId="3B081537" w14:textId="77777777" w:rsidR="00446C8E" w:rsidRDefault="00446C8E">
            <w:pPr>
              <w:pStyle w:val="TableNheader"/>
              <w:rPr>
                <w:lang w:eastAsia="en-AU"/>
              </w:rPr>
            </w:pPr>
            <w:r>
              <w:rPr>
                <w:lang w:eastAsia="en-AU"/>
              </w:rPr>
              <w:t>Variance against budget ($)</w:t>
            </w:r>
          </w:p>
        </w:tc>
        <w:tc>
          <w:tcPr>
            <w:tcW w:w="1000" w:type="pct"/>
          </w:tcPr>
          <w:p w14:paraId="4022B872" w14:textId="77777777" w:rsidR="00446C8E" w:rsidRDefault="00446C8E">
            <w:pPr>
              <w:pStyle w:val="TableNheader"/>
              <w:rPr>
                <w:lang w:eastAsia="en-AU"/>
              </w:rPr>
            </w:pPr>
            <w:r>
              <w:rPr>
                <w:lang w:eastAsia="en-AU"/>
              </w:rPr>
              <w:t>Variance against budget (%)</w:t>
            </w:r>
          </w:p>
        </w:tc>
      </w:tr>
      <w:tr w:rsidR="00446C8E" w14:paraId="6783C404" w14:textId="77777777" w:rsidTr="000601C5">
        <w:trPr>
          <w:cnfStyle w:val="000000100000" w:firstRow="0" w:lastRow="0" w:firstColumn="0" w:lastColumn="0" w:oddVBand="0" w:evenVBand="0" w:oddHBand="1" w:evenHBand="0" w:firstRowFirstColumn="0" w:firstRowLastColumn="0" w:lastRowFirstColumn="0" w:lastRowLastColumn="0"/>
        </w:trPr>
        <w:tc>
          <w:tcPr>
            <w:tcW w:w="1000" w:type="pct"/>
          </w:tcPr>
          <w:p w14:paraId="2AD8A24E" w14:textId="77777777" w:rsidR="00446C8E" w:rsidRDefault="00446C8E">
            <w:pPr>
              <w:pStyle w:val="TableNText"/>
              <w:rPr>
                <w:lang w:eastAsia="en-AU"/>
              </w:rPr>
            </w:pPr>
            <w:r>
              <w:rPr>
                <w:lang w:eastAsia="en-AU"/>
              </w:rPr>
              <w:t>2019-20</w:t>
            </w:r>
          </w:p>
        </w:tc>
        <w:tc>
          <w:tcPr>
            <w:tcW w:w="1000" w:type="pct"/>
          </w:tcPr>
          <w:p w14:paraId="53D756B0" w14:textId="77777777" w:rsidR="00446C8E" w:rsidRDefault="00446C8E">
            <w:pPr>
              <w:pStyle w:val="TableNText"/>
              <w:rPr>
                <w:lang w:eastAsia="en-AU"/>
              </w:rPr>
            </w:pPr>
            <w:r>
              <w:rPr>
                <w:lang w:eastAsia="en-AU"/>
              </w:rPr>
              <w:t>$7,156,311</w:t>
            </w:r>
          </w:p>
        </w:tc>
        <w:tc>
          <w:tcPr>
            <w:tcW w:w="1000" w:type="pct"/>
          </w:tcPr>
          <w:p w14:paraId="07257B4D" w14:textId="77777777" w:rsidR="00446C8E" w:rsidRDefault="00446C8E">
            <w:pPr>
              <w:pStyle w:val="TableNText"/>
              <w:rPr>
                <w:lang w:eastAsia="en-AU"/>
              </w:rPr>
            </w:pPr>
            <w:r>
              <w:rPr>
                <w:lang w:eastAsia="en-AU"/>
              </w:rPr>
              <w:t>$5,578,304</w:t>
            </w:r>
          </w:p>
        </w:tc>
        <w:tc>
          <w:tcPr>
            <w:tcW w:w="1000" w:type="pct"/>
          </w:tcPr>
          <w:p w14:paraId="43F7F8E3" w14:textId="77777777" w:rsidR="00446C8E" w:rsidRPr="00400EFB" w:rsidRDefault="00446C8E">
            <w:pPr>
              <w:pStyle w:val="TableNText"/>
              <w:rPr>
                <w:color w:val="00B050"/>
                <w:lang w:eastAsia="en-AU"/>
              </w:rPr>
            </w:pPr>
            <w:r w:rsidRPr="00400EFB">
              <w:rPr>
                <w:color w:val="00B050"/>
                <w:lang w:eastAsia="en-AU"/>
              </w:rPr>
              <w:t>$1,578,006</w:t>
            </w:r>
          </w:p>
        </w:tc>
        <w:tc>
          <w:tcPr>
            <w:tcW w:w="1000" w:type="pct"/>
          </w:tcPr>
          <w:p w14:paraId="1B13F3FC" w14:textId="77777777" w:rsidR="00446C8E" w:rsidRPr="00400EFB" w:rsidRDefault="00446C8E">
            <w:pPr>
              <w:pStyle w:val="TableNText"/>
              <w:rPr>
                <w:color w:val="00B050"/>
                <w:lang w:eastAsia="en-AU"/>
              </w:rPr>
            </w:pPr>
            <w:r w:rsidRPr="00400EFB">
              <w:rPr>
                <w:color w:val="00B050"/>
                <w:lang w:eastAsia="en-AU"/>
              </w:rPr>
              <w:t>-22.1%</w:t>
            </w:r>
          </w:p>
        </w:tc>
      </w:tr>
      <w:tr w:rsidR="00446C8E" w14:paraId="49AF8330" w14:textId="77777777" w:rsidTr="000601C5">
        <w:trPr>
          <w:cnfStyle w:val="000000010000" w:firstRow="0" w:lastRow="0" w:firstColumn="0" w:lastColumn="0" w:oddVBand="0" w:evenVBand="0" w:oddHBand="0" w:evenHBand="1" w:firstRowFirstColumn="0" w:firstRowLastColumn="0" w:lastRowFirstColumn="0" w:lastRowLastColumn="0"/>
        </w:trPr>
        <w:tc>
          <w:tcPr>
            <w:tcW w:w="1000" w:type="pct"/>
          </w:tcPr>
          <w:p w14:paraId="4503B381" w14:textId="77777777" w:rsidR="00446C8E" w:rsidRDefault="00446C8E">
            <w:pPr>
              <w:pStyle w:val="TableNText"/>
              <w:rPr>
                <w:lang w:eastAsia="en-AU"/>
              </w:rPr>
            </w:pPr>
            <w:r>
              <w:rPr>
                <w:lang w:eastAsia="en-AU"/>
              </w:rPr>
              <w:t>2020-21</w:t>
            </w:r>
          </w:p>
        </w:tc>
        <w:tc>
          <w:tcPr>
            <w:tcW w:w="1000" w:type="pct"/>
          </w:tcPr>
          <w:p w14:paraId="3A0A44D7" w14:textId="77777777" w:rsidR="00446C8E" w:rsidRDefault="00446C8E">
            <w:pPr>
              <w:pStyle w:val="TableNText"/>
              <w:rPr>
                <w:lang w:eastAsia="en-AU"/>
              </w:rPr>
            </w:pPr>
            <w:r>
              <w:rPr>
                <w:lang w:eastAsia="en-AU"/>
              </w:rPr>
              <w:t>$6,596,281</w:t>
            </w:r>
          </w:p>
        </w:tc>
        <w:tc>
          <w:tcPr>
            <w:tcW w:w="1000" w:type="pct"/>
          </w:tcPr>
          <w:p w14:paraId="36FFB1F1" w14:textId="77777777" w:rsidR="00446C8E" w:rsidRDefault="00446C8E">
            <w:pPr>
              <w:pStyle w:val="TableNText"/>
              <w:rPr>
                <w:lang w:eastAsia="en-AU"/>
              </w:rPr>
            </w:pPr>
            <w:r>
              <w:rPr>
                <w:lang w:eastAsia="en-AU"/>
              </w:rPr>
              <w:t>$5,008,880</w:t>
            </w:r>
          </w:p>
        </w:tc>
        <w:tc>
          <w:tcPr>
            <w:tcW w:w="1000" w:type="pct"/>
          </w:tcPr>
          <w:p w14:paraId="0A5A291F" w14:textId="77777777" w:rsidR="00446C8E" w:rsidRPr="00400EFB" w:rsidRDefault="00446C8E">
            <w:pPr>
              <w:pStyle w:val="TableNText"/>
              <w:rPr>
                <w:color w:val="00B050"/>
                <w:lang w:eastAsia="en-AU"/>
              </w:rPr>
            </w:pPr>
            <w:r w:rsidRPr="00400EFB">
              <w:rPr>
                <w:color w:val="00B050"/>
                <w:lang w:eastAsia="en-AU"/>
              </w:rPr>
              <w:t>$1,587,400</w:t>
            </w:r>
          </w:p>
        </w:tc>
        <w:tc>
          <w:tcPr>
            <w:tcW w:w="1000" w:type="pct"/>
          </w:tcPr>
          <w:p w14:paraId="3FE83113" w14:textId="77777777" w:rsidR="00446C8E" w:rsidRPr="00400EFB" w:rsidRDefault="00446C8E">
            <w:pPr>
              <w:pStyle w:val="TableNText"/>
              <w:rPr>
                <w:color w:val="00B050"/>
                <w:lang w:eastAsia="en-AU"/>
              </w:rPr>
            </w:pPr>
            <w:r w:rsidRPr="00400EFB">
              <w:rPr>
                <w:color w:val="00B050"/>
                <w:lang w:eastAsia="en-AU"/>
              </w:rPr>
              <w:t>-24.1%</w:t>
            </w:r>
          </w:p>
        </w:tc>
      </w:tr>
      <w:tr w:rsidR="00446C8E" w14:paraId="5C7DB91B" w14:textId="77777777" w:rsidTr="000601C5">
        <w:trPr>
          <w:cnfStyle w:val="000000100000" w:firstRow="0" w:lastRow="0" w:firstColumn="0" w:lastColumn="0" w:oddVBand="0" w:evenVBand="0" w:oddHBand="1" w:evenHBand="0" w:firstRowFirstColumn="0" w:firstRowLastColumn="0" w:lastRowFirstColumn="0" w:lastRowLastColumn="0"/>
        </w:trPr>
        <w:tc>
          <w:tcPr>
            <w:tcW w:w="1000" w:type="pct"/>
          </w:tcPr>
          <w:p w14:paraId="6D48A7BE" w14:textId="77777777" w:rsidR="00446C8E" w:rsidRDefault="00446C8E">
            <w:pPr>
              <w:pStyle w:val="TableNText"/>
              <w:rPr>
                <w:lang w:eastAsia="en-AU"/>
              </w:rPr>
            </w:pPr>
            <w:r>
              <w:rPr>
                <w:lang w:eastAsia="en-AU"/>
              </w:rPr>
              <w:t>2021-22</w:t>
            </w:r>
          </w:p>
        </w:tc>
        <w:tc>
          <w:tcPr>
            <w:tcW w:w="1000" w:type="pct"/>
          </w:tcPr>
          <w:p w14:paraId="17582607" w14:textId="77777777" w:rsidR="00446C8E" w:rsidRDefault="00446C8E">
            <w:pPr>
              <w:pStyle w:val="TableNText"/>
              <w:rPr>
                <w:lang w:eastAsia="en-AU"/>
              </w:rPr>
            </w:pPr>
            <w:r>
              <w:rPr>
                <w:lang w:eastAsia="en-AU"/>
              </w:rPr>
              <w:t>$6,642,877</w:t>
            </w:r>
          </w:p>
        </w:tc>
        <w:tc>
          <w:tcPr>
            <w:tcW w:w="1000" w:type="pct"/>
          </w:tcPr>
          <w:p w14:paraId="2BB793B7" w14:textId="77777777" w:rsidR="00446C8E" w:rsidRDefault="00446C8E">
            <w:pPr>
              <w:pStyle w:val="TableNText"/>
              <w:rPr>
                <w:lang w:eastAsia="en-AU"/>
              </w:rPr>
            </w:pPr>
            <w:r>
              <w:rPr>
                <w:lang w:eastAsia="en-AU"/>
              </w:rPr>
              <w:t>$3,001,824</w:t>
            </w:r>
          </w:p>
        </w:tc>
        <w:tc>
          <w:tcPr>
            <w:tcW w:w="1000" w:type="pct"/>
          </w:tcPr>
          <w:p w14:paraId="3CAA9DA9" w14:textId="77777777" w:rsidR="00446C8E" w:rsidRPr="00400EFB" w:rsidRDefault="00446C8E">
            <w:pPr>
              <w:pStyle w:val="TableNText"/>
              <w:rPr>
                <w:color w:val="00B050"/>
                <w:lang w:eastAsia="en-AU"/>
              </w:rPr>
            </w:pPr>
            <w:r w:rsidRPr="00400EFB">
              <w:rPr>
                <w:color w:val="00B050"/>
                <w:lang w:eastAsia="en-AU"/>
              </w:rPr>
              <w:t>$3,641,054</w:t>
            </w:r>
          </w:p>
        </w:tc>
        <w:tc>
          <w:tcPr>
            <w:tcW w:w="1000" w:type="pct"/>
          </w:tcPr>
          <w:p w14:paraId="786F2F7D" w14:textId="77777777" w:rsidR="00446C8E" w:rsidRPr="00400EFB" w:rsidRDefault="00446C8E">
            <w:pPr>
              <w:pStyle w:val="TableNText"/>
              <w:rPr>
                <w:color w:val="00B050"/>
                <w:lang w:eastAsia="en-AU"/>
              </w:rPr>
            </w:pPr>
            <w:r w:rsidRPr="00400EFB">
              <w:rPr>
                <w:color w:val="00B050"/>
                <w:lang w:eastAsia="en-AU"/>
              </w:rPr>
              <w:t>-54.8%</w:t>
            </w:r>
          </w:p>
        </w:tc>
      </w:tr>
    </w:tbl>
    <w:p w14:paraId="6D57F885" w14:textId="77777777" w:rsidR="00446C8E" w:rsidRDefault="00446C8E" w:rsidP="00446C8E">
      <w:pPr>
        <w:pStyle w:val="Heading4"/>
      </w:pPr>
      <w:r w:rsidRPr="00046737">
        <w:t>Travel assistance policies for claim group meetings</w:t>
      </w:r>
    </w:p>
    <w:p w14:paraId="62E60279" w14:textId="7335A635" w:rsidR="00446C8E" w:rsidRDefault="00446C8E" w:rsidP="00446C8E">
      <w:pPr>
        <w:rPr>
          <w:lang w:eastAsia="en-AU"/>
        </w:rPr>
      </w:pPr>
      <w:r>
        <w:rPr>
          <w:lang w:eastAsia="en-AU"/>
        </w:rPr>
        <w:t>The KLC had a detailed travel and travel expenses policy that applied to all staff. It also</w:t>
      </w:r>
      <w:r w:rsidDel="00EC2760">
        <w:rPr>
          <w:lang w:eastAsia="en-AU"/>
        </w:rPr>
        <w:t xml:space="preserve"> </w:t>
      </w:r>
      <w:r w:rsidR="00EC2760">
        <w:rPr>
          <w:lang w:eastAsia="en-AU"/>
        </w:rPr>
        <w:t xml:space="preserve">had </w:t>
      </w:r>
      <w:r>
        <w:rPr>
          <w:lang w:eastAsia="en-AU"/>
        </w:rPr>
        <w:t xml:space="preserve">a separate document containing information regarding travel assistance for claim group or native title related meetings that </w:t>
      </w:r>
      <w:r w:rsidR="00C44CBA">
        <w:rPr>
          <w:lang w:eastAsia="en-AU"/>
        </w:rPr>
        <w:t xml:space="preserve">was </w:t>
      </w:r>
      <w:r>
        <w:rPr>
          <w:lang w:eastAsia="en-AU"/>
        </w:rPr>
        <w:t xml:space="preserve">shared with Traditional Owners. This document </w:t>
      </w:r>
      <w:r w:rsidR="00C44CBA">
        <w:rPr>
          <w:lang w:eastAsia="en-AU"/>
        </w:rPr>
        <w:t xml:space="preserve">was </w:t>
      </w:r>
      <w:r>
        <w:rPr>
          <w:lang w:eastAsia="en-AU"/>
        </w:rPr>
        <w:t>written in plain language and clearly detail</w:t>
      </w:r>
      <w:r w:rsidR="00C44CBA">
        <w:rPr>
          <w:lang w:eastAsia="en-AU"/>
        </w:rPr>
        <w:t>ed</w:t>
      </w:r>
      <w:r>
        <w:rPr>
          <w:lang w:eastAsia="en-AU"/>
        </w:rPr>
        <w:t xml:space="preserve"> the circumstances in which the KLC </w:t>
      </w:r>
      <w:r w:rsidR="00C44CBA">
        <w:rPr>
          <w:lang w:eastAsia="en-AU"/>
        </w:rPr>
        <w:t xml:space="preserve">would </w:t>
      </w:r>
      <w:r>
        <w:rPr>
          <w:lang w:eastAsia="en-AU"/>
        </w:rPr>
        <w:t>fund travel, transport, accommodation and meals</w:t>
      </w:r>
      <w:r w:rsidR="0000199E">
        <w:rPr>
          <w:lang w:eastAsia="en-AU"/>
        </w:rPr>
        <w:t>,</w:t>
      </w:r>
      <w:r>
        <w:rPr>
          <w:lang w:eastAsia="en-AU"/>
        </w:rPr>
        <w:t xml:space="preserve"> and when payments </w:t>
      </w:r>
      <w:r w:rsidR="00C44CBA">
        <w:rPr>
          <w:lang w:eastAsia="en-AU"/>
        </w:rPr>
        <w:t xml:space="preserve">would </w:t>
      </w:r>
      <w:r>
        <w:rPr>
          <w:lang w:eastAsia="en-AU"/>
        </w:rPr>
        <w:t>be made</w:t>
      </w:r>
      <w:r w:rsidRPr="7A1ED70D">
        <w:rPr>
          <w:lang w:eastAsia="en-AU"/>
        </w:rPr>
        <w:t>.</w:t>
      </w:r>
      <w:r>
        <w:rPr>
          <w:lang w:eastAsia="en-AU"/>
        </w:rPr>
        <w:t xml:space="preserve"> It contain</w:t>
      </w:r>
      <w:r w:rsidR="00A54621">
        <w:rPr>
          <w:lang w:eastAsia="en-AU"/>
        </w:rPr>
        <w:t>ed</w:t>
      </w:r>
      <w:r>
        <w:rPr>
          <w:lang w:eastAsia="en-AU"/>
        </w:rPr>
        <w:t xml:space="preserve"> information on who to contact in case Traditional Owners require</w:t>
      </w:r>
      <w:r w:rsidR="00A54621">
        <w:rPr>
          <w:lang w:eastAsia="en-AU"/>
        </w:rPr>
        <w:t>d</w:t>
      </w:r>
      <w:r>
        <w:rPr>
          <w:lang w:eastAsia="en-AU"/>
        </w:rPr>
        <w:t xml:space="preserve"> assistance.</w:t>
      </w:r>
      <w:r w:rsidR="008D67CB">
        <w:rPr>
          <w:lang w:eastAsia="en-AU"/>
        </w:rPr>
        <w:t xml:space="preserve"> </w:t>
      </w:r>
    </w:p>
    <w:p w14:paraId="2CF9B50C" w14:textId="727E4B73" w:rsidR="00446C8E" w:rsidRDefault="00446C8E" w:rsidP="00446C8E">
      <w:pPr>
        <w:rPr>
          <w:lang w:eastAsia="en-AU"/>
        </w:rPr>
      </w:pPr>
      <w:r>
        <w:rPr>
          <w:lang w:eastAsia="en-AU"/>
        </w:rPr>
        <w:t>Over the Review period, budgeted claim group meetings and associated travel costs for</w:t>
      </w:r>
      <w:r w:rsidR="00A54621">
        <w:rPr>
          <w:lang w:eastAsia="en-AU"/>
        </w:rPr>
        <w:t xml:space="preserve"> the</w:t>
      </w:r>
      <w:r>
        <w:rPr>
          <w:lang w:eastAsia="en-AU"/>
        </w:rPr>
        <w:t xml:space="preserve"> KLC reduced from year to year, as shown in </w:t>
      </w:r>
      <w:r>
        <w:rPr>
          <w:lang w:eastAsia="en-AU"/>
        </w:rPr>
        <w:fldChar w:fldCharType="begin"/>
      </w:r>
      <w:r>
        <w:rPr>
          <w:lang w:eastAsia="en-AU"/>
        </w:rPr>
        <w:instrText xml:space="preserve"> REF _Ref143170601 \h </w:instrText>
      </w:r>
      <w:r>
        <w:rPr>
          <w:lang w:eastAsia="en-AU"/>
        </w:rPr>
      </w:r>
      <w:r>
        <w:rPr>
          <w:lang w:eastAsia="en-AU"/>
        </w:rPr>
        <w:fldChar w:fldCharType="separate"/>
      </w:r>
      <w:r w:rsidR="00291532">
        <w:t xml:space="preserve">Figure </w:t>
      </w:r>
      <w:r w:rsidR="00291532">
        <w:rPr>
          <w:noProof/>
        </w:rPr>
        <w:t>5</w:t>
      </w:r>
      <w:r>
        <w:rPr>
          <w:lang w:eastAsia="en-AU"/>
        </w:rPr>
        <w:fldChar w:fldCharType="end"/>
      </w:r>
      <w:r>
        <w:rPr>
          <w:lang w:eastAsia="en-AU"/>
        </w:rPr>
        <w:t>. Actual spending was even lower due to the effects of the COVID-19 pandemic</w:t>
      </w:r>
      <w:r w:rsidR="00A54621">
        <w:rPr>
          <w:lang w:eastAsia="en-AU"/>
        </w:rPr>
        <w:t xml:space="preserve">, </w:t>
      </w:r>
      <w:r>
        <w:rPr>
          <w:lang w:eastAsia="en-AU"/>
        </w:rPr>
        <w:t xml:space="preserve">public health lockdowns and travel restrictions, particularly in </w:t>
      </w:r>
      <w:r w:rsidR="00A54621">
        <w:rPr>
          <w:lang w:eastAsia="en-AU"/>
        </w:rPr>
        <w:t>FY</w:t>
      </w:r>
      <w:r>
        <w:rPr>
          <w:lang w:eastAsia="en-AU"/>
        </w:rPr>
        <w:t xml:space="preserve">2019-20 and </w:t>
      </w:r>
      <w:r w:rsidR="00A54621">
        <w:rPr>
          <w:lang w:eastAsia="en-AU"/>
        </w:rPr>
        <w:t>FY</w:t>
      </w:r>
      <w:r>
        <w:rPr>
          <w:lang w:eastAsia="en-AU"/>
        </w:rPr>
        <w:t>2021-22 where actual expenditure was less than half of the sum budgeted.</w:t>
      </w:r>
    </w:p>
    <w:p w14:paraId="02A36614" w14:textId="10CD29C6" w:rsidR="00446C8E" w:rsidRDefault="00446C8E" w:rsidP="00446C8E">
      <w:pPr>
        <w:pStyle w:val="Caption"/>
        <w:rPr>
          <w:lang w:eastAsia="en-AU"/>
        </w:rPr>
      </w:pPr>
      <w:bookmarkStart w:id="47" w:name="_Ref143170601"/>
      <w:r>
        <w:lastRenderedPageBreak/>
        <w:t xml:space="preserve">Figure </w:t>
      </w:r>
      <w:r>
        <w:fldChar w:fldCharType="begin"/>
      </w:r>
      <w:r>
        <w:instrText xml:space="preserve"> SEQ Figure \* ARABIC </w:instrText>
      </w:r>
      <w:r>
        <w:fldChar w:fldCharType="separate"/>
      </w:r>
      <w:r w:rsidR="00291532">
        <w:rPr>
          <w:noProof/>
        </w:rPr>
        <w:t>5</w:t>
      </w:r>
      <w:r>
        <w:fldChar w:fldCharType="end"/>
      </w:r>
      <w:bookmarkEnd w:id="47"/>
      <w:r>
        <w:t xml:space="preserve"> | KLC claim group meeting expenditure</w:t>
      </w:r>
      <w:r>
        <w:rPr>
          <w:rStyle w:val="FootnoteReference"/>
        </w:rPr>
        <w:footnoteReference w:id="25"/>
      </w:r>
    </w:p>
    <w:p w14:paraId="3008B30F" w14:textId="1E827B4B" w:rsidR="0002523A" w:rsidRDefault="0002523A" w:rsidP="00446C8E">
      <w:pPr>
        <w:rPr>
          <w:lang w:eastAsia="en-AU"/>
        </w:rPr>
      </w:pPr>
      <w:r>
        <w:rPr>
          <w:noProof/>
          <w:lang w:eastAsia="en-AU"/>
        </w:rPr>
        <w:drawing>
          <wp:inline distT="0" distB="0" distL="0" distR="0" wp14:anchorId="2A45D18C" wp14:editId="677AA534">
            <wp:extent cx="5670550" cy="2632668"/>
            <wp:effectExtent l="0" t="0" r="6350" b="0"/>
            <wp:docPr id="1367719992" name="Picture 8" descr="Bar chart comparing the Kimberley Land Council’s budgeted and actual claim group meeting expenditure categories across the fiscal years 2019-2020, 2020-2021 and 2021-2022. Categories include Fares, Staff (travel) – attributable, Claimants (travel) and Claimants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19992" name="Picture 8" descr="Bar chart comparing the Kimberley Land Council’s budgeted and actual claim group meeting expenditure categories across the fiscal years 2019-2020, 2020-2021 and 2021-2022. Categories include Fares, Staff (travel) – attributable, Claimants (travel) and Claimants (meetings)"/>
                    <pic:cNvPicPr/>
                  </pic:nvPicPr>
                  <pic:blipFill rotWithShape="1">
                    <a:blip r:embed="rId22" cstate="print">
                      <a:extLst>
                        <a:ext uri="{28A0092B-C50C-407E-A947-70E740481C1C}">
                          <a14:useLocalDpi xmlns:a14="http://schemas.microsoft.com/office/drawing/2010/main" val="0"/>
                        </a:ext>
                      </a:extLst>
                    </a:blip>
                    <a:srcRect b="6328"/>
                    <a:stretch/>
                  </pic:blipFill>
                  <pic:spPr bwMode="auto">
                    <a:xfrm>
                      <a:off x="0" y="0"/>
                      <a:ext cx="5670550" cy="2632668"/>
                    </a:xfrm>
                    <a:prstGeom prst="rect">
                      <a:avLst/>
                    </a:prstGeom>
                    <a:ln>
                      <a:noFill/>
                    </a:ln>
                    <a:extLst>
                      <a:ext uri="{53640926-AAD7-44D8-BBD7-CCE9431645EC}">
                        <a14:shadowObscured xmlns:a14="http://schemas.microsoft.com/office/drawing/2010/main"/>
                      </a:ext>
                    </a:extLst>
                  </pic:spPr>
                </pic:pic>
              </a:graphicData>
            </a:graphic>
          </wp:inline>
        </w:drawing>
      </w:r>
    </w:p>
    <w:p w14:paraId="133E0690" w14:textId="77777777" w:rsidR="00446C8E" w:rsidRDefault="00446C8E" w:rsidP="00446C8E">
      <w:pPr>
        <w:pStyle w:val="Heading4"/>
      </w:pPr>
      <w:r w:rsidRPr="00046737">
        <w:t>Appropriate rationale for use of external consultants</w:t>
      </w:r>
    </w:p>
    <w:p w14:paraId="4D8E7B8F" w14:textId="239A3BE8" w:rsidR="00446C8E" w:rsidRDefault="00446C8E" w:rsidP="00002064">
      <w:pPr>
        <w:pStyle w:val="Heading5"/>
      </w:pPr>
      <w:r>
        <w:t>The K</w:t>
      </w:r>
      <w:r w:rsidRPr="00A90D4E">
        <w:t xml:space="preserve">LC </w:t>
      </w:r>
      <w:r>
        <w:t>was appropriately careful in its use of</w:t>
      </w:r>
      <w:r w:rsidRPr="00A90D4E">
        <w:t xml:space="preserve"> external consultants </w:t>
      </w:r>
    </w:p>
    <w:p w14:paraId="6E26EE18" w14:textId="3E1CFA25" w:rsidR="00446C8E" w:rsidRDefault="00446C8E" w:rsidP="00446C8E">
      <w:pPr>
        <w:rPr>
          <w:lang w:eastAsia="en-AU"/>
        </w:rPr>
      </w:pPr>
      <w:r>
        <w:rPr>
          <w:lang w:eastAsia="en-AU"/>
        </w:rPr>
        <w:t xml:space="preserve">The KLC’s brief out policy is provided in Section 3.8 of </w:t>
      </w:r>
      <w:r w:rsidR="004F737B">
        <w:rPr>
          <w:lang w:eastAsia="en-AU"/>
        </w:rPr>
        <w:t xml:space="preserve">the Assistance Guidelines </w:t>
      </w:r>
      <w:r>
        <w:rPr>
          <w:lang w:eastAsia="en-AU"/>
        </w:rPr>
        <w:t>document</w:t>
      </w:r>
      <w:r w:rsidR="000D1245">
        <w:rPr>
          <w:lang w:eastAsia="en-AU"/>
        </w:rPr>
        <w:t>:</w:t>
      </w:r>
      <w:r>
        <w:rPr>
          <w:lang w:eastAsia="en-AU"/>
        </w:rPr>
        <w:t xml:space="preserve"> </w:t>
      </w:r>
    </w:p>
    <w:p w14:paraId="6689040E" w14:textId="77777777" w:rsidR="00446C8E" w:rsidRPr="007E728E" w:rsidRDefault="00446C8E" w:rsidP="00446C8E">
      <w:pPr>
        <w:pStyle w:val="ListParagraph"/>
        <w:rPr>
          <w:i/>
          <w:iCs/>
          <w:lang w:eastAsia="en-AU"/>
        </w:rPr>
      </w:pPr>
      <w:r w:rsidRPr="007E728E">
        <w:rPr>
          <w:i/>
          <w:iCs/>
          <w:lang w:eastAsia="en-AU"/>
        </w:rPr>
        <w:t>The KLC will only brief out in exceptional circumstances. There must be urgent matters to justify consideration by the KLC of briefing out. If the KLC is unable to act for the applicants because of lack of staff or lack of resources or for any other reason and the KLC has sufficient funds, then the Board may decide that all or part of the claim should be briefed out to private lawyers, consultants or researchers.</w:t>
      </w:r>
    </w:p>
    <w:p w14:paraId="316D784F" w14:textId="59566FFC" w:rsidR="00446C8E" w:rsidRDefault="000817F5" w:rsidP="00446C8E">
      <w:pPr>
        <w:rPr>
          <w:lang w:eastAsia="en-AU"/>
        </w:rPr>
      </w:pPr>
      <w:r>
        <w:rPr>
          <w:lang w:eastAsia="en-AU"/>
        </w:rPr>
        <w:t>KLC s</w:t>
      </w:r>
      <w:r w:rsidR="00446C8E">
        <w:rPr>
          <w:lang w:eastAsia="en-AU"/>
        </w:rPr>
        <w:t xml:space="preserve">taff reported that </w:t>
      </w:r>
      <w:r w:rsidR="00914D60">
        <w:rPr>
          <w:lang w:eastAsia="en-AU"/>
        </w:rPr>
        <w:t>when</w:t>
      </w:r>
      <w:r w:rsidR="00837139">
        <w:rPr>
          <w:lang w:eastAsia="en-AU"/>
        </w:rPr>
        <w:t xml:space="preserve"> </w:t>
      </w:r>
      <w:r w:rsidR="00837139" w:rsidRPr="00914D60">
        <w:rPr>
          <w:lang w:eastAsia="en-AU"/>
        </w:rPr>
        <w:t>matters</w:t>
      </w:r>
      <w:r w:rsidR="00797FED">
        <w:rPr>
          <w:lang w:eastAsia="en-AU"/>
        </w:rPr>
        <w:t xml:space="preserve"> </w:t>
      </w:r>
      <w:r>
        <w:rPr>
          <w:lang w:eastAsia="en-AU"/>
        </w:rPr>
        <w:t xml:space="preserve">were </w:t>
      </w:r>
      <w:r w:rsidR="00797FED">
        <w:rPr>
          <w:lang w:eastAsia="en-AU"/>
        </w:rPr>
        <w:t>briefed out to external legal firms</w:t>
      </w:r>
      <w:r w:rsidR="00914D60">
        <w:rPr>
          <w:lang w:eastAsia="en-AU"/>
        </w:rPr>
        <w:t xml:space="preserve"> </w:t>
      </w:r>
      <w:r w:rsidR="003D789E">
        <w:rPr>
          <w:lang w:eastAsia="en-AU"/>
        </w:rPr>
        <w:t xml:space="preserve">(due to KLC lawyers representing another party to the claim) </w:t>
      </w:r>
      <w:r w:rsidR="00446C8E">
        <w:rPr>
          <w:lang w:eastAsia="en-AU"/>
        </w:rPr>
        <w:t xml:space="preserve">the KLC </w:t>
      </w:r>
      <w:r>
        <w:rPr>
          <w:lang w:eastAsia="en-AU"/>
        </w:rPr>
        <w:t xml:space="preserve">had </w:t>
      </w:r>
      <w:r w:rsidR="00FF0D2A">
        <w:rPr>
          <w:lang w:eastAsia="en-AU"/>
        </w:rPr>
        <w:t>limited input into</w:t>
      </w:r>
      <w:r w:rsidR="00446C8E">
        <w:rPr>
          <w:lang w:eastAsia="en-AU"/>
        </w:rPr>
        <w:t xml:space="preserve"> the cost of a claim or how efficiently work </w:t>
      </w:r>
      <w:r>
        <w:rPr>
          <w:lang w:eastAsia="en-AU"/>
        </w:rPr>
        <w:t xml:space="preserve">was </w:t>
      </w:r>
      <w:r w:rsidR="00446C8E">
        <w:rPr>
          <w:lang w:eastAsia="en-AU"/>
        </w:rPr>
        <w:t xml:space="preserve">done. However, </w:t>
      </w:r>
      <w:r w:rsidR="003D789E">
        <w:rPr>
          <w:lang w:eastAsia="en-AU"/>
        </w:rPr>
        <w:t xml:space="preserve">this </w:t>
      </w:r>
      <w:r w:rsidR="00446C8E">
        <w:rPr>
          <w:lang w:eastAsia="en-AU"/>
        </w:rPr>
        <w:t xml:space="preserve">use of external </w:t>
      </w:r>
      <w:r w:rsidR="003D789E">
        <w:rPr>
          <w:lang w:eastAsia="en-AU"/>
        </w:rPr>
        <w:t>firms</w:t>
      </w:r>
      <w:r w:rsidR="00446C8E">
        <w:rPr>
          <w:lang w:eastAsia="en-AU"/>
        </w:rPr>
        <w:t xml:space="preserve"> </w:t>
      </w:r>
      <w:r>
        <w:rPr>
          <w:lang w:eastAsia="en-AU"/>
        </w:rPr>
        <w:t xml:space="preserve">was </w:t>
      </w:r>
      <w:r w:rsidR="00446C8E">
        <w:rPr>
          <w:lang w:eastAsia="en-AU"/>
        </w:rPr>
        <w:t xml:space="preserve">unavoidable in </w:t>
      </w:r>
      <w:r w:rsidR="00271EC9">
        <w:rPr>
          <w:lang w:eastAsia="en-AU"/>
        </w:rPr>
        <w:t xml:space="preserve">some </w:t>
      </w:r>
      <w:r w:rsidR="00446C8E">
        <w:rPr>
          <w:lang w:eastAsia="en-AU"/>
        </w:rPr>
        <w:t xml:space="preserve">native title work. The KLC recognised this issue </w:t>
      </w:r>
      <w:r>
        <w:rPr>
          <w:lang w:eastAsia="en-AU"/>
        </w:rPr>
        <w:t xml:space="preserve">was </w:t>
      </w:r>
      <w:r w:rsidR="00446C8E">
        <w:rPr>
          <w:lang w:eastAsia="en-AU"/>
        </w:rPr>
        <w:t xml:space="preserve">also faced by other NTRB-SPs and had discussed it frequently with the NIAA. In these cases, the KLC tried to contain costs where possible by </w:t>
      </w:r>
      <w:r w:rsidR="00C0036F">
        <w:rPr>
          <w:lang w:eastAsia="en-AU"/>
        </w:rPr>
        <w:t>establishing</w:t>
      </w:r>
      <w:r w:rsidR="00C10DB6">
        <w:rPr>
          <w:lang w:eastAsia="en-AU"/>
        </w:rPr>
        <w:t xml:space="preserve"> a tender process to </w:t>
      </w:r>
      <w:r w:rsidR="00C0036F">
        <w:rPr>
          <w:lang w:eastAsia="en-AU"/>
        </w:rPr>
        <w:t xml:space="preserve">independently </w:t>
      </w:r>
      <w:r w:rsidR="00C10DB6">
        <w:rPr>
          <w:lang w:eastAsia="en-AU"/>
        </w:rPr>
        <w:t xml:space="preserve">vet the quality </w:t>
      </w:r>
      <w:r w:rsidR="006178DC">
        <w:rPr>
          <w:lang w:eastAsia="en-AU"/>
        </w:rPr>
        <w:t xml:space="preserve">of legal firms to whom they </w:t>
      </w:r>
      <w:r>
        <w:rPr>
          <w:lang w:eastAsia="en-AU"/>
        </w:rPr>
        <w:t xml:space="preserve">would </w:t>
      </w:r>
      <w:r w:rsidR="006178DC">
        <w:rPr>
          <w:lang w:eastAsia="en-AU"/>
        </w:rPr>
        <w:t xml:space="preserve">refer and by </w:t>
      </w:r>
      <w:r w:rsidR="00446C8E">
        <w:rPr>
          <w:lang w:eastAsia="en-AU"/>
        </w:rPr>
        <w:t xml:space="preserve">having a clear funding agreement in place. </w:t>
      </w:r>
    </w:p>
    <w:p w14:paraId="4FAD45C4" w14:textId="410DCAC7" w:rsidR="00446C8E" w:rsidRDefault="00446C8E" w:rsidP="00446C8E">
      <w:pPr>
        <w:rPr>
          <w:lang w:eastAsia="en-AU"/>
        </w:rPr>
      </w:pPr>
      <w:r>
        <w:rPr>
          <w:lang w:eastAsia="en-AU"/>
        </w:rPr>
        <w:t xml:space="preserve">Projected consultant expenditure (attributable to native title work) varied significantly between years, from less than $1 million in </w:t>
      </w:r>
      <w:r w:rsidR="00D25A8A">
        <w:rPr>
          <w:lang w:eastAsia="en-AU"/>
        </w:rPr>
        <w:t>FY</w:t>
      </w:r>
      <w:r>
        <w:rPr>
          <w:lang w:eastAsia="en-AU"/>
        </w:rPr>
        <w:t xml:space="preserve">2020-21 to almost $3 million in </w:t>
      </w:r>
      <w:r w:rsidR="00D25A8A">
        <w:rPr>
          <w:lang w:eastAsia="en-AU"/>
        </w:rPr>
        <w:t>FY</w:t>
      </w:r>
      <w:r>
        <w:rPr>
          <w:lang w:eastAsia="en-AU"/>
        </w:rPr>
        <w:t xml:space="preserve">2021-22. Actual expenditure also varied significantly from budgeted amounts, as shown in </w:t>
      </w:r>
      <w:r>
        <w:rPr>
          <w:lang w:eastAsia="en-AU"/>
        </w:rPr>
        <w:fldChar w:fldCharType="begin"/>
      </w:r>
      <w:r>
        <w:rPr>
          <w:lang w:eastAsia="en-AU"/>
        </w:rPr>
        <w:instrText xml:space="preserve"> REF _Ref143252301 \h </w:instrText>
      </w:r>
      <w:r>
        <w:rPr>
          <w:lang w:eastAsia="en-AU"/>
        </w:rPr>
      </w:r>
      <w:r>
        <w:rPr>
          <w:lang w:eastAsia="en-AU"/>
        </w:rPr>
        <w:fldChar w:fldCharType="separate"/>
      </w:r>
      <w:r w:rsidR="00291532">
        <w:t xml:space="preserve">Figure </w:t>
      </w:r>
      <w:r w:rsidR="00291532">
        <w:rPr>
          <w:noProof/>
        </w:rPr>
        <w:t>6</w:t>
      </w:r>
      <w:r>
        <w:rPr>
          <w:lang w:eastAsia="en-AU"/>
        </w:rPr>
        <w:fldChar w:fldCharType="end"/>
      </w:r>
      <w:r>
        <w:rPr>
          <w:lang w:eastAsia="en-AU"/>
        </w:rPr>
        <w:t xml:space="preserve">. </w:t>
      </w:r>
    </w:p>
    <w:p w14:paraId="455A4C97" w14:textId="74712F3B" w:rsidR="00446C8E" w:rsidRDefault="00446C8E" w:rsidP="00446C8E">
      <w:pPr>
        <w:pStyle w:val="Caption"/>
        <w:rPr>
          <w:lang w:eastAsia="en-AU"/>
        </w:rPr>
      </w:pPr>
      <w:bookmarkStart w:id="48" w:name="_Ref143252301"/>
      <w:r>
        <w:lastRenderedPageBreak/>
        <w:t xml:space="preserve">Figure </w:t>
      </w:r>
      <w:r>
        <w:fldChar w:fldCharType="begin"/>
      </w:r>
      <w:r>
        <w:instrText xml:space="preserve"> SEQ Figure \* ARABIC </w:instrText>
      </w:r>
      <w:r>
        <w:fldChar w:fldCharType="separate"/>
      </w:r>
      <w:r w:rsidR="00291532">
        <w:rPr>
          <w:noProof/>
        </w:rPr>
        <w:t>6</w:t>
      </w:r>
      <w:r>
        <w:fldChar w:fldCharType="end"/>
      </w:r>
      <w:bookmarkEnd w:id="48"/>
      <w:r>
        <w:t xml:space="preserve"> | KLC consultant expenditure (attributable to </w:t>
      </w:r>
      <w:r w:rsidR="005A6C52">
        <w:t>native titl</w:t>
      </w:r>
      <w:r>
        <w:t>e work)</w:t>
      </w:r>
      <w:r>
        <w:rPr>
          <w:rStyle w:val="FootnoteReference"/>
        </w:rPr>
        <w:footnoteReference w:id="26"/>
      </w:r>
    </w:p>
    <w:p w14:paraId="289A30A7" w14:textId="53972A9E" w:rsidR="00014362" w:rsidRDefault="00014362" w:rsidP="00446C8E">
      <w:pPr>
        <w:rPr>
          <w:lang w:eastAsia="en-AU"/>
        </w:rPr>
      </w:pPr>
      <w:r>
        <w:rPr>
          <w:noProof/>
          <w:lang w:eastAsia="en-AU"/>
        </w:rPr>
        <w:drawing>
          <wp:inline distT="0" distB="0" distL="0" distR="0" wp14:anchorId="437D2350" wp14:editId="2F229901">
            <wp:extent cx="5670550" cy="2358390"/>
            <wp:effectExtent l="0" t="0" r="6350" b="3810"/>
            <wp:docPr id="850914075" name="Picture 9" descr="Bar chart comparing the Kimberley Land Council’s budgeted and actual consultant expenditure attributable to native title work across the fiscal years 2019-2020, 2020-2021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14075" name="Picture 9" descr="Bar chart comparing the Kimberley Land Council’s budgeted and actual consultant expenditure attributable to native title work across the fiscal years 2019-2020, 2020-2021 and 2021-2022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0550" cy="2358390"/>
                    </a:xfrm>
                    <a:prstGeom prst="rect">
                      <a:avLst/>
                    </a:prstGeom>
                  </pic:spPr>
                </pic:pic>
              </a:graphicData>
            </a:graphic>
          </wp:inline>
        </w:drawing>
      </w:r>
    </w:p>
    <w:p w14:paraId="0CF1DECC" w14:textId="694E4AA7" w:rsidR="00446C8E" w:rsidRDefault="00446C8E" w:rsidP="00446C8E">
      <w:pPr>
        <w:rPr>
          <w:lang w:eastAsia="en-AU"/>
        </w:rPr>
      </w:pPr>
      <w:r>
        <w:rPr>
          <w:lang w:eastAsia="en-AU"/>
        </w:rPr>
        <w:t>The KLC noted that the reason</w:t>
      </w:r>
      <w:r w:rsidRPr="0069630D">
        <w:rPr>
          <w:lang w:eastAsia="en-AU"/>
        </w:rPr>
        <w:t xml:space="preserve"> </w:t>
      </w:r>
      <w:r>
        <w:rPr>
          <w:lang w:eastAsia="en-AU"/>
        </w:rPr>
        <w:t xml:space="preserve">for </w:t>
      </w:r>
      <w:r w:rsidR="00014362">
        <w:rPr>
          <w:lang w:eastAsia="en-AU"/>
        </w:rPr>
        <w:t xml:space="preserve">the variation in consultant expenditure </w:t>
      </w:r>
      <w:r w:rsidRPr="0069630D">
        <w:rPr>
          <w:lang w:eastAsia="en-AU"/>
        </w:rPr>
        <w:t>include</w:t>
      </w:r>
      <w:r>
        <w:rPr>
          <w:lang w:eastAsia="en-AU"/>
        </w:rPr>
        <w:t xml:space="preserve">d the impact of </w:t>
      </w:r>
      <w:r w:rsidRPr="0069630D">
        <w:rPr>
          <w:lang w:eastAsia="en-AU"/>
        </w:rPr>
        <w:t>COVID</w:t>
      </w:r>
      <w:r>
        <w:rPr>
          <w:lang w:eastAsia="en-AU"/>
        </w:rPr>
        <w:t>-19</w:t>
      </w:r>
      <w:r w:rsidRPr="0069630D">
        <w:rPr>
          <w:lang w:eastAsia="en-AU"/>
        </w:rPr>
        <w:t xml:space="preserve"> restrictions </w:t>
      </w:r>
      <w:r>
        <w:rPr>
          <w:lang w:eastAsia="en-AU"/>
        </w:rPr>
        <w:t>on consultant field work, in addition to the</w:t>
      </w:r>
      <w:r w:rsidRPr="0069630D">
        <w:rPr>
          <w:lang w:eastAsia="en-AU"/>
        </w:rPr>
        <w:t xml:space="preserve"> cance</w:t>
      </w:r>
      <w:r>
        <w:rPr>
          <w:lang w:eastAsia="en-AU"/>
        </w:rPr>
        <w:t>l</w:t>
      </w:r>
      <w:r w:rsidRPr="0069630D">
        <w:rPr>
          <w:lang w:eastAsia="en-AU"/>
        </w:rPr>
        <w:t xml:space="preserve">lation of some consultant commitments </w:t>
      </w:r>
      <w:r>
        <w:rPr>
          <w:lang w:eastAsia="en-AU"/>
        </w:rPr>
        <w:t>due to</w:t>
      </w:r>
      <w:r w:rsidRPr="0069630D">
        <w:rPr>
          <w:lang w:eastAsia="en-AU"/>
        </w:rPr>
        <w:t xml:space="preserve"> Federal Court </w:t>
      </w:r>
      <w:r>
        <w:rPr>
          <w:lang w:eastAsia="en-AU"/>
        </w:rPr>
        <w:t xml:space="preserve">scheduling. </w:t>
      </w:r>
    </w:p>
    <w:p w14:paraId="35FCECB6" w14:textId="0383F62F" w:rsidR="00446C8E" w:rsidRDefault="00446C8E" w:rsidP="00446C8E">
      <w:pPr>
        <w:pStyle w:val="Heading3"/>
        <w:numPr>
          <w:ilvl w:val="2"/>
          <w:numId w:val="2"/>
        </w:numPr>
      </w:pPr>
      <w:r>
        <w:t xml:space="preserve">TOR 4: External </w:t>
      </w:r>
      <w:r w:rsidR="005A6C52">
        <w:t>f</w:t>
      </w:r>
      <w:r>
        <w:t>actors</w:t>
      </w:r>
    </w:p>
    <w:p w14:paraId="7AC4CED1" w14:textId="2DADBCFE" w:rsidR="00FE7367" w:rsidRPr="00FE7367" w:rsidRDefault="00FE7367" w:rsidP="00FE7367">
      <w:pPr>
        <w:rPr>
          <w:lang w:eastAsia="en-AU"/>
        </w:rPr>
      </w:pPr>
      <w:r w:rsidRPr="00FE7367">
        <w:rPr>
          <w:lang w:eastAsia="en-AU"/>
        </w:rPr>
        <w:t xml:space="preserve">This section presents an analysis of factors that impacted on performance that were beyond </w:t>
      </w:r>
      <w:r w:rsidR="00536474">
        <w:rPr>
          <w:lang w:eastAsia="en-AU"/>
        </w:rPr>
        <w:t xml:space="preserve">the </w:t>
      </w:r>
      <w:r>
        <w:rPr>
          <w:lang w:eastAsia="en-AU"/>
        </w:rPr>
        <w:t>KLC</w:t>
      </w:r>
      <w:r w:rsidRPr="00FE7367">
        <w:rPr>
          <w:lang w:eastAsia="en-AU"/>
        </w:rPr>
        <w:t>'s control.</w:t>
      </w:r>
    </w:p>
    <w:p w14:paraId="4311C939" w14:textId="77777777" w:rsidR="00446C8E" w:rsidRDefault="00446C8E" w:rsidP="00446C8E">
      <w:pPr>
        <w:pStyle w:val="Heading4"/>
      </w:pPr>
      <w:r w:rsidRPr="00046737">
        <w:t>Size of RATSIB area</w:t>
      </w:r>
    </w:p>
    <w:p w14:paraId="1C617802" w14:textId="77777777" w:rsidR="00446C8E" w:rsidRDefault="00446C8E" w:rsidP="00002064">
      <w:pPr>
        <w:pStyle w:val="Heading5"/>
      </w:pPr>
      <w:r>
        <w:t xml:space="preserve">The KLC’s RATSIB area is moderate in size and can be subject to extreme weather </w:t>
      </w:r>
    </w:p>
    <w:p w14:paraId="6245B892" w14:textId="7BEAD189" w:rsidR="00446C8E" w:rsidRDefault="00446C8E" w:rsidP="00446C8E">
      <w:pPr>
        <w:rPr>
          <w:lang w:eastAsia="en-AU"/>
        </w:rPr>
      </w:pPr>
      <w:r>
        <w:rPr>
          <w:lang w:eastAsia="en-AU"/>
        </w:rPr>
        <w:t xml:space="preserve">The KLC RATSIB land area covers approximately </w:t>
      </w:r>
      <w:r w:rsidRPr="00BA5C35">
        <w:rPr>
          <w:lang w:eastAsia="en-AU"/>
        </w:rPr>
        <w:t>423,000</w:t>
      </w:r>
      <w:r>
        <w:rPr>
          <w:lang w:eastAsia="en-AU"/>
        </w:rPr>
        <w:t xml:space="preserve"> square kilometres, which </w:t>
      </w:r>
      <w:r w:rsidRPr="00C37CC6">
        <w:rPr>
          <w:lang w:eastAsia="en-AU"/>
        </w:rPr>
        <w:t>accounts for a</w:t>
      </w:r>
      <w:r>
        <w:rPr>
          <w:lang w:eastAsia="en-AU"/>
        </w:rPr>
        <w:t xml:space="preserve">bout 16 </w:t>
      </w:r>
      <w:r w:rsidRPr="00C37CC6">
        <w:rPr>
          <w:lang w:eastAsia="en-AU"/>
        </w:rPr>
        <w:t xml:space="preserve">per cent of the land area of the state of </w:t>
      </w:r>
      <w:r w:rsidR="00E57D84" w:rsidRPr="00983B3D">
        <w:t>Western Australia</w:t>
      </w:r>
      <w:r>
        <w:rPr>
          <w:lang w:eastAsia="en-AU"/>
        </w:rPr>
        <w:t xml:space="preserve">. This area is comparable to other RATSIB areas in </w:t>
      </w:r>
      <w:r w:rsidR="00E57D84" w:rsidRPr="00983B3D">
        <w:t>Western Australia</w:t>
      </w:r>
      <w:r w:rsidR="00E57D84">
        <w:rPr>
          <w:lang w:eastAsia="en-AU"/>
        </w:rPr>
        <w:t xml:space="preserve"> </w:t>
      </w:r>
      <w:r>
        <w:rPr>
          <w:lang w:eastAsia="en-AU"/>
        </w:rPr>
        <w:t xml:space="preserve">and Queensland in size. </w:t>
      </w:r>
      <w:r w:rsidRPr="003E6A45">
        <w:rPr>
          <w:lang w:eastAsia="en-AU"/>
        </w:rPr>
        <w:t>The terrain is rugged and the climate monsoonal, which impacts travel time and costs, particularly during the wet season.</w:t>
      </w:r>
      <w:r w:rsidR="008D67CB">
        <w:rPr>
          <w:lang w:eastAsia="en-AU"/>
        </w:rPr>
        <w:t xml:space="preserve"> </w:t>
      </w:r>
    </w:p>
    <w:p w14:paraId="27C69CB2" w14:textId="77777777" w:rsidR="00446C8E" w:rsidRDefault="00446C8E" w:rsidP="00446C8E">
      <w:pPr>
        <w:pStyle w:val="Heading4"/>
      </w:pPr>
      <w:r w:rsidRPr="00046737">
        <w:t xml:space="preserve">Remoteness of RATSIB area </w:t>
      </w:r>
    </w:p>
    <w:p w14:paraId="09762279" w14:textId="77777777" w:rsidR="00446C8E" w:rsidRDefault="00446C8E" w:rsidP="00002064">
      <w:pPr>
        <w:pStyle w:val="Heading5"/>
      </w:pPr>
      <w:r>
        <w:t>The high level of remoteness has a significant impact on organisational cost-effectiveness</w:t>
      </w:r>
    </w:p>
    <w:p w14:paraId="14152C37" w14:textId="068A9EFC" w:rsidR="00446C8E" w:rsidRDefault="00446C8E" w:rsidP="00446C8E">
      <w:pPr>
        <w:rPr>
          <w:lang w:eastAsia="en-AU"/>
        </w:rPr>
      </w:pPr>
      <w:r>
        <w:rPr>
          <w:lang w:eastAsia="en-AU"/>
        </w:rPr>
        <w:t xml:space="preserve">Under </w:t>
      </w:r>
      <w:r w:rsidR="00D53957">
        <w:rPr>
          <w:lang w:eastAsia="en-AU"/>
        </w:rPr>
        <w:t xml:space="preserve">the </w:t>
      </w:r>
      <w:r w:rsidR="00D53957" w:rsidRPr="00D53957">
        <w:rPr>
          <w:lang w:eastAsia="en-AU"/>
        </w:rPr>
        <w:t>Australian Bureau of Statistics</w:t>
      </w:r>
      <w:r w:rsidR="00D53957">
        <w:rPr>
          <w:lang w:eastAsia="en-AU"/>
        </w:rPr>
        <w:t xml:space="preserve"> </w:t>
      </w:r>
      <w:r>
        <w:rPr>
          <w:lang w:eastAsia="en-AU"/>
        </w:rPr>
        <w:t xml:space="preserve">remoteness classifications (ASGS 2016), with the exception of Broome which is classified as </w:t>
      </w:r>
      <w:r w:rsidR="009F5DE6">
        <w:rPr>
          <w:lang w:eastAsia="en-AU"/>
        </w:rPr>
        <w:t>“</w:t>
      </w:r>
      <w:r>
        <w:rPr>
          <w:lang w:eastAsia="en-AU"/>
        </w:rPr>
        <w:t>remote</w:t>
      </w:r>
      <w:r w:rsidR="009F5DE6">
        <w:rPr>
          <w:lang w:eastAsia="en-AU"/>
        </w:rPr>
        <w:t>”</w:t>
      </w:r>
      <w:r>
        <w:rPr>
          <w:lang w:eastAsia="en-AU"/>
        </w:rPr>
        <w:t xml:space="preserve">, the whole KLC RATSIB area is classified as </w:t>
      </w:r>
      <w:r w:rsidR="009F5DE6">
        <w:rPr>
          <w:lang w:eastAsia="en-AU"/>
        </w:rPr>
        <w:t>“</w:t>
      </w:r>
      <w:r>
        <w:rPr>
          <w:lang w:eastAsia="en-AU"/>
        </w:rPr>
        <w:t>very remote</w:t>
      </w:r>
      <w:r w:rsidR="009F5DE6">
        <w:rPr>
          <w:lang w:eastAsia="en-AU"/>
        </w:rPr>
        <w:t>”</w:t>
      </w:r>
      <w:r>
        <w:rPr>
          <w:lang w:eastAsia="en-AU"/>
        </w:rPr>
        <w:t xml:space="preserve">, as shown in </w:t>
      </w:r>
      <w:r>
        <w:rPr>
          <w:lang w:eastAsia="en-AU"/>
        </w:rPr>
        <w:fldChar w:fldCharType="begin"/>
      </w:r>
      <w:r>
        <w:rPr>
          <w:lang w:eastAsia="en-AU"/>
        </w:rPr>
        <w:instrText xml:space="preserve"> REF _Ref143083808 \h </w:instrText>
      </w:r>
      <w:r>
        <w:rPr>
          <w:lang w:eastAsia="en-AU"/>
        </w:rPr>
      </w:r>
      <w:r>
        <w:rPr>
          <w:lang w:eastAsia="en-AU"/>
        </w:rPr>
        <w:fldChar w:fldCharType="separate"/>
      </w:r>
      <w:r w:rsidR="00291532">
        <w:t xml:space="preserve">Figure </w:t>
      </w:r>
      <w:r w:rsidR="00291532">
        <w:rPr>
          <w:noProof/>
        </w:rPr>
        <w:t>7</w:t>
      </w:r>
      <w:r>
        <w:rPr>
          <w:lang w:eastAsia="en-AU"/>
        </w:rPr>
        <w:fldChar w:fldCharType="end"/>
      </w:r>
      <w:r>
        <w:rPr>
          <w:lang w:eastAsia="en-AU"/>
        </w:rPr>
        <w:t>.</w:t>
      </w:r>
    </w:p>
    <w:p w14:paraId="0B4DEC90" w14:textId="4583833B" w:rsidR="00446C8E" w:rsidRDefault="00446C8E" w:rsidP="00446C8E">
      <w:pPr>
        <w:pStyle w:val="Caption"/>
        <w:rPr>
          <w:lang w:eastAsia="en-AU"/>
        </w:rPr>
      </w:pPr>
      <w:bookmarkStart w:id="49" w:name="_Ref143083808"/>
      <w:r>
        <w:lastRenderedPageBreak/>
        <w:t xml:space="preserve">Figure </w:t>
      </w:r>
      <w:r>
        <w:fldChar w:fldCharType="begin"/>
      </w:r>
      <w:r>
        <w:instrText xml:space="preserve"> SEQ Figure \* ARABIC </w:instrText>
      </w:r>
      <w:r>
        <w:fldChar w:fldCharType="separate"/>
      </w:r>
      <w:r w:rsidR="00291532">
        <w:rPr>
          <w:noProof/>
        </w:rPr>
        <w:t>7</w:t>
      </w:r>
      <w:r>
        <w:fldChar w:fldCharType="end"/>
      </w:r>
      <w:bookmarkEnd w:id="49"/>
      <w:r>
        <w:t xml:space="preserve"> | </w:t>
      </w:r>
      <w:r w:rsidRPr="00374AB5">
        <w:t xml:space="preserve">Remoteness of </w:t>
      </w:r>
      <w:r>
        <w:t>KLC RATSIB area</w:t>
      </w:r>
      <w:r>
        <w:rPr>
          <w:rStyle w:val="FootnoteReference"/>
        </w:rPr>
        <w:footnoteReference w:id="27"/>
      </w:r>
    </w:p>
    <w:p w14:paraId="4778F4BA" w14:textId="77777777" w:rsidR="00446C8E" w:rsidRDefault="00446C8E" w:rsidP="00446C8E">
      <w:pPr>
        <w:rPr>
          <w:lang w:eastAsia="en-AU"/>
        </w:rPr>
      </w:pPr>
      <w:r>
        <w:rPr>
          <w:noProof/>
          <w:lang w:eastAsia="en-AU"/>
        </w:rPr>
        <w:drawing>
          <wp:inline distT="0" distB="0" distL="0" distR="0" wp14:anchorId="717749BA" wp14:editId="5FBD5EBE">
            <wp:extent cx="5670550" cy="3376107"/>
            <wp:effectExtent l="0" t="0" r="6350" b="0"/>
            <wp:docPr id="8" name="Picture 8" descr="Map of the Kimberley and Pilbara region of Western Australia highlighting the remoteness of the Kimberley Land Council Representative Aboriginal/Torres Strait Islander body areas. The map includes a legend with purple indicating very remote areas. All areas shown on the map are classified as very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the Kimberley and Pilbara region of Western Australia highlighting the remoteness of the Kimberley Land Council Representative Aboriginal/Torres Strait Islander body areas. The map includes a legend with purple indicating very remote areas. All areas shown on the map are classified as very remote.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70550" cy="3376107"/>
                    </a:xfrm>
                    <a:prstGeom prst="rect">
                      <a:avLst/>
                    </a:prstGeom>
                  </pic:spPr>
                </pic:pic>
              </a:graphicData>
            </a:graphic>
          </wp:inline>
        </w:drawing>
      </w:r>
    </w:p>
    <w:p w14:paraId="0651680E" w14:textId="77777777" w:rsidR="00446C8E" w:rsidRDefault="00446C8E" w:rsidP="00446C8E">
      <w:pPr>
        <w:rPr>
          <w:lang w:eastAsia="en-AU"/>
        </w:rPr>
      </w:pPr>
      <w:r>
        <w:rPr>
          <w:lang w:eastAsia="en-AU"/>
        </w:rPr>
        <w:t xml:space="preserve">Remoteness impacts the cost-efficiency of an NTRB-SP’s operations, as some costs are higher in remote areas than in regional or metropolitan areas, including: </w:t>
      </w:r>
    </w:p>
    <w:p w14:paraId="7C118473" w14:textId="77777777" w:rsidR="00446C8E" w:rsidRDefault="00446C8E" w:rsidP="00AB1413">
      <w:pPr>
        <w:pStyle w:val="Bullet"/>
      </w:pPr>
      <w:r>
        <w:t>claim meeting costs because of high claimant travel expenses, high accommodation costs and the inflated price of food and other incidentals in remote areas</w:t>
      </w:r>
    </w:p>
    <w:p w14:paraId="471325CA" w14:textId="77777777" w:rsidR="00446C8E" w:rsidRDefault="00446C8E" w:rsidP="00AB1413">
      <w:pPr>
        <w:pStyle w:val="Bullet"/>
      </w:pPr>
      <w:r>
        <w:t>field costs for staff travel in remote areas</w:t>
      </w:r>
    </w:p>
    <w:p w14:paraId="449D9385" w14:textId="512DDAB0" w:rsidR="00446C8E" w:rsidRDefault="00446C8E" w:rsidP="00AB1413">
      <w:pPr>
        <w:pStyle w:val="Bullet"/>
      </w:pPr>
      <w:r>
        <w:t xml:space="preserve">vehicle maintenance costs and items such as GPS systems or </w:t>
      </w:r>
      <w:r w:rsidR="009F5DE6">
        <w:t>s</w:t>
      </w:r>
      <w:r>
        <w:t>atellite phones for ensuring staff safety</w:t>
      </w:r>
    </w:p>
    <w:p w14:paraId="6C3126B0" w14:textId="77777777" w:rsidR="00446C8E" w:rsidRDefault="00446C8E" w:rsidP="00AB1413">
      <w:pPr>
        <w:pStyle w:val="Bullet"/>
      </w:pPr>
      <w:r>
        <w:t>training costs, such as regular refresher courses on first aid for staff working in remote areas</w:t>
      </w:r>
    </w:p>
    <w:p w14:paraId="34A611D1" w14:textId="77777777" w:rsidR="00446C8E" w:rsidRPr="0020645A" w:rsidRDefault="00446C8E" w:rsidP="00AB1413">
      <w:pPr>
        <w:pStyle w:val="Bullet"/>
      </w:pPr>
      <w:r>
        <w:t>recruitment costs generated by difficulty in sourcing and retaining skilled candidates.</w:t>
      </w:r>
    </w:p>
    <w:p w14:paraId="62065DB5" w14:textId="77777777" w:rsidR="00446C8E" w:rsidRPr="002F2289" w:rsidRDefault="00446C8E" w:rsidP="00446C8E">
      <w:pPr>
        <w:rPr>
          <w:lang w:eastAsia="en-AU"/>
        </w:rPr>
      </w:pPr>
      <w:r>
        <w:rPr>
          <w:lang w:eastAsia="en-AU"/>
        </w:rPr>
        <w:t>For this reason, the Review assesses that the remoteness of the region has had a significant impact on the ability of the KLC to achieve native title outcomes in a cost-effective manner.</w:t>
      </w:r>
    </w:p>
    <w:p w14:paraId="2945E057" w14:textId="77777777" w:rsidR="00446C8E" w:rsidRPr="00046737" w:rsidRDefault="00446C8E" w:rsidP="00446C8E">
      <w:pPr>
        <w:pStyle w:val="Heading4"/>
      </w:pPr>
      <w:r w:rsidRPr="00046737">
        <w:t>Average number of people within a claim group</w:t>
      </w:r>
    </w:p>
    <w:p w14:paraId="78BC3F8C" w14:textId="2C571389" w:rsidR="00446C8E" w:rsidRDefault="00446C8E" w:rsidP="00446C8E">
      <w:r>
        <w:t xml:space="preserve">It was not possible to report the average number of people within a claim group </w:t>
      </w:r>
      <w:r w:rsidRPr="00A32AF1">
        <w:t>as this is not recorded during the claim process and native title identity is not part of the current Australian Census.</w:t>
      </w:r>
      <w:r>
        <w:t xml:space="preserve"> The KLC reported that</w:t>
      </w:r>
      <w:r w:rsidRPr="00A32AF1">
        <w:t xml:space="preserve"> the size of native title claim groups var</w:t>
      </w:r>
      <w:r w:rsidR="000E0589">
        <w:t>ie</w:t>
      </w:r>
      <w:r w:rsidR="00AE1095">
        <w:t>d</w:t>
      </w:r>
      <w:r w:rsidRPr="00A32AF1">
        <w:t xml:space="preserve"> greatly and averaging across all native title groups in the Kimberley (even if this data was available) would not provide any real indication of the number of people in each native title holding group.</w:t>
      </w:r>
    </w:p>
    <w:p w14:paraId="68DEC4CF" w14:textId="77777777" w:rsidR="00446C8E" w:rsidRDefault="00446C8E" w:rsidP="00446C8E">
      <w:pPr>
        <w:pStyle w:val="Heading4"/>
      </w:pPr>
      <w:r w:rsidRPr="00046737">
        <w:lastRenderedPageBreak/>
        <w:t>Interpreters</w:t>
      </w:r>
    </w:p>
    <w:p w14:paraId="45312938" w14:textId="77777777" w:rsidR="00446C8E" w:rsidRDefault="00446C8E" w:rsidP="00002064">
      <w:pPr>
        <w:pStyle w:val="Heading5"/>
      </w:pPr>
      <w:r>
        <w:t xml:space="preserve">Interpreter services </w:t>
      </w:r>
      <w:r w:rsidRPr="004E748B">
        <w:t xml:space="preserve">had limited effect on cost effectiveness for the </w:t>
      </w:r>
      <w:r>
        <w:t>K</w:t>
      </w:r>
      <w:r w:rsidRPr="004E748B">
        <w:t>LC</w:t>
      </w:r>
    </w:p>
    <w:p w14:paraId="0A071207" w14:textId="23952FF6" w:rsidR="00446C8E" w:rsidRPr="00AF4F82" w:rsidRDefault="00446C8E" w:rsidP="00446C8E">
      <w:pPr>
        <w:rPr>
          <w:lang w:eastAsia="en-AU"/>
        </w:rPr>
      </w:pPr>
      <w:r>
        <w:rPr>
          <w:lang w:eastAsia="en-AU"/>
        </w:rPr>
        <w:t>The KLC include</w:t>
      </w:r>
      <w:r w:rsidR="00AE1095">
        <w:rPr>
          <w:lang w:eastAsia="en-AU"/>
        </w:rPr>
        <w:t>d</w:t>
      </w:r>
      <w:r>
        <w:rPr>
          <w:lang w:eastAsia="en-AU"/>
        </w:rPr>
        <w:t xml:space="preserve"> language interpreters at native title meetings where needed, particularly in the East Kimberley region. E</w:t>
      </w:r>
      <w:r w:rsidRPr="00AF4F82">
        <w:rPr>
          <w:lang w:eastAsia="en-AU"/>
        </w:rPr>
        <w:t xml:space="preserve">xpenses related to having an interpreter </w:t>
      </w:r>
      <w:r>
        <w:rPr>
          <w:lang w:eastAsia="en-AU"/>
        </w:rPr>
        <w:t>totalled approximately $19,000 over the Review</w:t>
      </w:r>
      <w:r w:rsidR="00992D78">
        <w:rPr>
          <w:lang w:eastAsia="en-AU"/>
        </w:rPr>
        <w:t xml:space="preserve"> period</w:t>
      </w:r>
      <w:r>
        <w:rPr>
          <w:lang w:eastAsia="en-AU"/>
        </w:rPr>
        <w:t>. This is less than 0.5</w:t>
      </w:r>
      <w:r w:rsidR="00B23873">
        <w:rPr>
          <w:lang w:eastAsia="en-AU"/>
        </w:rPr>
        <w:t xml:space="preserve"> per cent</w:t>
      </w:r>
      <w:r>
        <w:rPr>
          <w:lang w:eastAsia="en-AU"/>
        </w:rPr>
        <w:t xml:space="preserve"> of total consultant expenditure for the KLC during that time.</w:t>
      </w:r>
      <w:r>
        <w:rPr>
          <w:rStyle w:val="FootnoteReference"/>
          <w:lang w:eastAsia="en-AU"/>
        </w:rPr>
        <w:footnoteReference w:id="28"/>
      </w:r>
    </w:p>
    <w:p w14:paraId="05C6F49F" w14:textId="77777777" w:rsidR="00F90528" w:rsidRDefault="00F90528">
      <w:pPr>
        <w:spacing w:after="165"/>
        <w:rPr>
          <w:rFonts w:ascii="Segoe UI Semibold" w:eastAsia="Times New Roman" w:hAnsi="Segoe UI Semibold" w:cs="Times New Roman"/>
          <w:color w:val="00264D"/>
          <w:sz w:val="30"/>
          <w:szCs w:val="19"/>
          <w:lang w:eastAsia="en-AU"/>
        </w:rPr>
      </w:pPr>
      <w:r>
        <w:br w:type="page"/>
      </w:r>
    </w:p>
    <w:p w14:paraId="7E8CA319" w14:textId="59DCC6E4" w:rsidR="00446C8E" w:rsidRPr="00C62E0F" w:rsidRDefault="00446C8E" w:rsidP="00446C8E">
      <w:pPr>
        <w:pStyle w:val="Heading2"/>
        <w:numPr>
          <w:ilvl w:val="1"/>
          <w:numId w:val="2"/>
        </w:numPr>
        <w:ind w:left="578" w:hanging="578"/>
      </w:pPr>
      <w:bookmarkStart w:id="50" w:name="_Toc170470105"/>
      <w:r w:rsidRPr="00C62E0F" w:rsidDel="00BE3181">
        <w:lastRenderedPageBreak/>
        <w:t xml:space="preserve">TOR </w:t>
      </w:r>
      <w:r w:rsidRPr="00C62E0F">
        <w:t>5 | Extent to which each organisation has governance and management structures, and organisational policies and an organisational culture that support efficient and effective project delivery.</w:t>
      </w:r>
      <w:bookmarkEnd w:id="50"/>
    </w:p>
    <w:tbl>
      <w:tblPr>
        <w:tblStyle w:val="TableGrid"/>
        <w:tblW w:w="0" w:type="auto"/>
        <w:tblLook w:val="04A0" w:firstRow="1" w:lastRow="0" w:firstColumn="1" w:lastColumn="0" w:noHBand="0" w:noVBand="1"/>
      </w:tblPr>
      <w:tblGrid>
        <w:gridCol w:w="8930"/>
      </w:tblGrid>
      <w:tr w:rsidR="00446C8E" w:rsidRPr="00C62E0F" w14:paraId="0F509220" w14:textId="77777777" w:rsidTr="231D041B">
        <w:trPr>
          <w:cnfStyle w:val="100000000000" w:firstRow="1" w:lastRow="0" w:firstColumn="0" w:lastColumn="0" w:oddVBand="0" w:evenVBand="0" w:oddHBand="0" w:evenHBand="0" w:firstRowFirstColumn="0" w:firstRowLastColumn="0" w:lastRowFirstColumn="0" w:lastRowLastColumn="0"/>
        </w:trPr>
        <w:tc>
          <w:tcPr>
            <w:tcW w:w="8930" w:type="dxa"/>
          </w:tcPr>
          <w:p w14:paraId="745A0498" w14:textId="68B6870A" w:rsidR="00446C8E" w:rsidRPr="00B23873" w:rsidRDefault="00446C8E" w:rsidP="00B23873">
            <w:pPr>
              <w:pStyle w:val="Longformcallout"/>
              <w:rPr>
                <w:rFonts w:asciiTheme="majorHAnsi" w:hAnsiTheme="majorHAnsi" w:cstheme="majorHAnsi"/>
              </w:rPr>
            </w:pPr>
            <w:r w:rsidRPr="00B23873">
              <w:rPr>
                <w:rFonts w:asciiTheme="majorHAnsi" w:hAnsiTheme="majorHAnsi" w:cstheme="majorHAnsi"/>
              </w:rPr>
              <w:t>Summary</w:t>
            </w:r>
          </w:p>
          <w:p w14:paraId="77348607" w14:textId="6A7B2403" w:rsidR="001F3E24" w:rsidRDefault="004E70A7" w:rsidP="001F3E24">
            <w:pPr>
              <w:rPr>
                <w:lang w:eastAsia="en-AU"/>
              </w:rPr>
            </w:pPr>
            <w:r>
              <w:rPr>
                <w:lang w:eastAsia="en-AU"/>
              </w:rPr>
              <w:t xml:space="preserve">The KLC’s </w:t>
            </w:r>
            <w:r w:rsidR="00581173">
              <w:rPr>
                <w:lang w:eastAsia="en-AU"/>
              </w:rPr>
              <w:t xml:space="preserve">governance structure </w:t>
            </w:r>
            <w:r w:rsidR="00A01187">
              <w:rPr>
                <w:lang w:eastAsia="en-AU"/>
              </w:rPr>
              <w:t>underwent significant reform</w:t>
            </w:r>
            <w:r w:rsidR="00631735">
              <w:rPr>
                <w:lang w:eastAsia="en-AU"/>
              </w:rPr>
              <w:t xml:space="preserve"> towards the end of the Review period, with </w:t>
            </w:r>
            <w:r w:rsidR="003B3D29">
              <w:rPr>
                <w:lang w:eastAsia="en-AU"/>
              </w:rPr>
              <w:t xml:space="preserve">the introduction of a more streamlined </w:t>
            </w:r>
            <w:r w:rsidR="00E2030A">
              <w:rPr>
                <w:lang w:eastAsia="en-AU"/>
              </w:rPr>
              <w:t xml:space="preserve">Executive </w:t>
            </w:r>
            <w:r w:rsidR="003B3D29">
              <w:rPr>
                <w:lang w:eastAsia="en-AU"/>
              </w:rPr>
              <w:t>Board</w:t>
            </w:r>
            <w:r w:rsidR="00E2030A">
              <w:rPr>
                <w:lang w:eastAsia="en-AU"/>
              </w:rPr>
              <w:t xml:space="preserve"> of </w:t>
            </w:r>
            <w:r w:rsidR="00CE1BDB">
              <w:rPr>
                <w:lang w:eastAsia="en-AU"/>
              </w:rPr>
              <w:t>12</w:t>
            </w:r>
            <w:r w:rsidR="00E2030A">
              <w:rPr>
                <w:lang w:eastAsia="en-AU"/>
              </w:rPr>
              <w:t xml:space="preserve"> Directors and Cultural Advisers </w:t>
            </w:r>
            <w:r w:rsidR="00CE1BDB">
              <w:rPr>
                <w:lang w:eastAsia="en-AU"/>
              </w:rPr>
              <w:t>together with</w:t>
            </w:r>
            <w:r w:rsidR="00E2030A">
              <w:rPr>
                <w:lang w:eastAsia="en-AU"/>
              </w:rPr>
              <w:t xml:space="preserve"> a large </w:t>
            </w:r>
            <w:r w:rsidR="003B26C2">
              <w:rPr>
                <w:lang w:eastAsia="en-AU"/>
              </w:rPr>
              <w:t>60-member</w:t>
            </w:r>
            <w:r w:rsidR="00B00FEE">
              <w:rPr>
                <w:lang w:eastAsia="en-AU"/>
              </w:rPr>
              <w:t xml:space="preserve"> </w:t>
            </w:r>
            <w:r w:rsidR="00E2030A">
              <w:rPr>
                <w:lang w:eastAsia="en-AU"/>
              </w:rPr>
              <w:t>Representative Council</w:t>
            </w:r>
            <w:r w:rsidR="00B00FEE">
              <w:rPr>
                <w:lang w:eastAsia="en-AU"/>
              </w:rPr>
              <w:t>.</w:t>
            </w:r>
            <w:r w:rsidR="00A37179">
              <w:rPr>
                <w:lang w:eastAsia="en-AU"/>
              </w:rPr>
              <w:t xml:space="preserve"> </w:t>
            </w:r>
            <w:r w:rsidR="001F3E24">
              <w:rPr>
                <w:lang w:eastAsia="en-AU"/>
              </w:rPr>
              <w:t>This restructure, introduced at the 2022 AGM</w:t>
            </w:r>
            <w:r w:rsidR="006D5A5B">
              <w:rPr>
                <w:lang w:eastAsia="en-AU"/>
              </w:rPr>
              <w:t>,</w:t>
            </w:r>
            <w:r w:rsidR="001F3E24">
              <w:rPr>
                <w:lang w:eastAsia="en-AU"/>
              </w:rPr>
              <w:t xml:space="preserve"> was strongly supported across the Kimberley and has led to a more manageable governance structure for the KLC.</w:t>
            </w:r>
          </w:p>
          <w:p w14:paraId="3506B1D4" w14:textId="612E7AC9" w:rsidR="001F3E24" w:rsidRDefault="7EAB5507" w:rsidP="001F3E24">
            <w:pPr>
              <w:rPr>
                <w:lang w:eastAsia="en-AU"/>
              </w:rPr>
            </w:pPr>
            <w:r w:rsidRPr="231D041B">
              <w:rPr>
                <w:lang w:eastAsia="en-AU"/>
              </w:rPr>
              <w:t xml:space="preserve">The restructure will need careful ongoing management however, as it was seen by some Traditional Owners as diminishing decision-making power for regional representatives across the Kimberley and a way of entrenching what they perceived as “a small core of influential </w:t>
            </w:r>
            <w:r w:rsidR="0097070C" w:rsidRPr="231D041B">
              <w:rPr>
                <w:lang w:eastAsia="en-AU"/>
              </w:rPr>
              <w:t>powerbrokers</w:t>
            </w:r>
            <w:r w:rsidRPr="231D041B">
              <w:rPr>
                <w:lang w:eastAsia="en-AU"/>
              </w:rPr>
              <w:t xml:space="preserve"> within the KLC”. Cross-membership of individuals on various related Boards was also highlighted by some commentators as an over-concentration of power in too few people. The Review found that KLC adopted consistent use of </w:t>
            </w:r>
            <w:r w:rsidR="74DB1D2B" w:rsidRPr="231D041B">
              <w:rPr>
                <w:lang w:eastAsia="en-AU"/>
              </w:rPr>
              <w:t>conflict</w:t>
            </w:r>
            <w:r w:rsidR="0097070C">
              <w:rPr>
                <w:lang w:eastAsia="en-AU"/>
              </w:rPr>
              <w:t xml:space="preserve"> </w:t>
            </w:r>
            <w:r w:rsidR="74DB1D2B" w:rsidRPr="231D041B">
              <w:rPr>
                <w:lang w:eastAsia="en-AU"/>
              </w:rPr>
              <w:t>of</w:t>
            </w:r>
            <w:r w:rsidR="0097070C">
              <w:rPr>
                <w:lang w:eastAsia="en-AU"/>
              </w:rPr>
              <w:t xml:space="preserve"> </w:t>
            </w:r>
            <w:r w:rsidR="74DB1D2B" w:rsidRPr="231D041B">
              <w:rPr>
                <w:lang w:eastAsia="en-AU"/>
              </w:rPr>
              <w:t>interest</w:t>
            </w:r>
            <w:r w:rsidRPr="231D041B">
              <w:rPr>
                <w:lang w:eastAsia="en-AU"/>
              </w:rPr>
              <w:t xml:space="preserve"> policies and processes. </w:t>
            </w:r>
          </w:p>
          <w:p w14:paraId="5CE0F272" w14:textId="0D26A863" w:rsidR="001F3E24" w:rsidRDefault="001F3E24" w:rsidP="001F3E24">
            <w:pPr>
              <w:rPr>
                <w:lang w:eastAsia="en-AU"/>
              </w:rPr>
            </w:pPr>
            <w:r>
              <w:rPr>
                <w:lang w:eastAsia="en-AU"/>
              </w:rPr>
              <w:t xml:space="preserve">Despite the upheaval caused by the early </w:t>
            </w:r>
            <w:r w:rsidR="005935ED">
              <w:rPr>
                <w:lang w:eastAsia="en-AU"/>
              </w:rPr>
              <w:t>termination</w:t>
            </w:r>
            <w:r>
              <w:rPr>
                <w:lang w:eastAsia="en-AU"/>
              </w:rPr>
              <w:t xml:space="preserve"> of the newly appointed CEO in early 2021, the KLC has maintained strong executive leadership and its organisational structure and financial management continued to be sound. </w:t>
            </w:r>
          </w:p>
          <w:p w14:paraId="3C6F27A4" w14:textId="068DCC50" w:rsidR="00446C8E" w:rsidRPr="00434F79" w:rsidRDefault="001F3E24" w:rsidP="00D60AE2">
            <w:r>
              <w:rPr>
                <w:lang w:eastAsia="en-AU"/>
              </w:rPr>
              <w:t xml:space="preserve">Concerns were raised by some Directors in May 2021 about potential fraudulent mismanagement of the KSDCT, which is managed by a wholly owned subsidiary of the KLC, KSD. These concerns led to the KLC commissioning an independent inquiry into the </w:t>
            </w:r>
            <w:r w:rsidR="0092629C">
              <w:rPr>
                <w:lang w:eastAsia="en-AU"/>
              </w:rPr>
              <w:t>KSDCT</w:t>
            </w:r>
            <w:r>
              <w:rPr>
                <w:lang w:eastAsia="en-AU"/>
              </w:rPr>
              <w:t xml:space="preserve">. The high-profile inquiry found no evidence of wrongdoing by the </w:t>
            </w:r>
            <w:r w:rsidR="0092629C">
              <w:rPr>
                <w:lang w:eastAsia="en-AU"/>
              </w:rPr>
              <w:t>KSDCT</w:t>
            </w:r>
            <w:r>
              <w:rPr>
                <w:lang w:eastAsia="en-AU"/>
              </w:rPr>
              <w:t>, or by the KLC, in the management of the native title funds held by native title holders in the region.</w:t>
            </w:r>
          </w:p>
        </w:tc>
      </w:tr>
    </w:tbl>
    <w:p w14:paraId="21029D69" w14:textId="77777777" w:rsidR="00446C8E" w:rsidRDefault="00446C8E" w:rsidP="007630C9">
      <w:pPr>
        <w:pStyle w:val="Heading3"/>
        <w:numPr>
          <w:ilvl w:val="2"/>
          <w:numId w:val="24"/>
        </w:numPr>
        <w:ind w:left="341" w:hanging="341"/>
      </w:pPr>
      <w:r>
        <w:t>TOR 5: Assessment of performance</w:t>
      </w:r>
    </w:p>
    <w:p w14:paraId="65D0FA69" w14:textId="14F62C24" w:rsidR="00F12A45" w:rsidRPr="00F12A45" w:rsidRDefault="00F12A45" w:rsidP="00F12A45">
      <w:pPr>
        <w:rPr>
          <w:lang w:eastAsia="en-AU"/>
        </w:rPr>
      </w:pPr>
      <w:r w:rsidRPr="00F12A45">
        <w:rPr>
          <w:lang w:eastAsia="en-AU"/>
        </w:rPr>
        <w:t>This section presents an assessment of performance against the performance indicators for this TOR. To see the performance indicators please see</w:t>
      </w:r>
      <w:r>
        <w:rPr>
          <w:lang w:eastAsia="en-AU"/>
        </w:rPr>
        <w:t xml:space="preserve"> </w:t>
      </w:r>
      <w:r>
        <w:rPr>
          <w:lang w:eastAsia="en-AU"/>
        </w:rPr>
        <w:fldChar w:fldCharType="begin"/>
      </w:r>
      <w:r>
        <w:rPr>
          <w:lang w:eastAsia="en-AU"/>
        </w:rPr>
        <w:instrText xml:space="preserve"> REF _Ref163046335 \n \h </w:instrText>
      </w:r>
      <w:r>
        <w:rPr>
          <w:lang w:eastAsia="en-AU"/>
        </w:rPr>
      </w:r>
      <w:r>
        <w:rPr>
          <w:lang w:eastAsia="en-AU"/>
        </w:rPr>
        <w:fldChar w:fldCharType="separate"/>
      </w:r>
      <w:r w:rsidR="00291532">
        <w:rPr>
          <w:lang w:eastAsia="en-AU"/>
        </w:rPr>
        <w:t>Appendix A</w:t>
      </w:r>
      <w:r>
        <w:rPr>
          <w:lang w:eastAsia="en-AU"/>
        </w:rPr>
        <w:fldChar w:fldCharType="end"/>
      </w:r>
      <w:r w:rsidRPr="00F12A45">
        <w:rPr>
          <w:lang w:eastAsia="en-AU"/>
        </w:rPr>
        <w:t>.</w:t>
      </w:r>
    </w:p>
    <w:p w14:paraId="7C5D7911" w14:textId="654C5D88" w:rsidR="00446C8E" w:rsidRDefault="00446C8E" w:rsidP="00446C8E">
      <w:pPr>
        <w:pStyle w:val="Heading4"/>
      </w:pPr>
      <w:r w:rsidRPr="00C62E0F">
        <w:t xml:space="preserve">Breakdown of roles, responsibilities and decision making between the organisation’s </w:t>
      </w:r>
      <w:r w:rsidR="0036361E" w:rsidRPr="75CE137A">
        <w:t xml:space="preserve">Executive </w:t>
      </w:r>
      <w:r w:rsidRPr="00C62E0F">
        <w:t>Board, Chairperson, CEO and senior staff</w:t>
      </w:r>
    </w:p>
    <w:p w14:paraId="1088F57B" w14:textId="77777777" w:rsidR="005B6C05" w:rsidRPr="007314DC" w:rsidRDefault="005B6C05" w:rsidP="005B6C05">
      <w:pPr>
        <w:pStyle w:val="Heading5"/>
        <w:numPr>
          <w:ilvl w:val="4"/>
          <w:numId w:val="2"/>
        </w:numPr>
      </w:pPr>
      <w:r>
        <w:t xml:space="preserve">The KLC’s governance structure underwent significant reform at the end of the Review period </w:t>
      </w:r>
    </w:p>
    <w:p w14:paraId="713E2375" w14:textId="134AE485" w:rsidR="005B6C05" w:rsidRDefault="005B6C05" w:rsidP="0088054E">
      <w:r w:rsidRPr="00C62E0F">
        <w:rPr>
          <w:lang w:eastAsia="en-AU"/>
        </w:rPr>
        <w:t>While</w:t>
      </w:r>
      <w:r w:rsidRPr="00C62E0F">
        <w:t xml:space="preserve"> </w:t>
      </w:r>
      <w:r w:rsidRPr="00C62E0F">
        <w:rPr>
          <w:lang w:eastAsia="en-AU"/>
        </w:rPr>
        <w:t xml:space="preserve">the </w:t>
      </w:r>
      <w:r w:rsidRPr="00C62E0F">
        <w:t xml:space="preserve">KLC’s </w:t>
      </w:r>
      <w:r>
        <w:t xml:space="preserve">organisation </w:t>
      </w:r>
      <w:r w:rsidRPr="00C62E0F">
        <w:t>structure was stable throughout most of the Review period,</w:t>
      </w:r>
      <w:r>
        <w:t xml:space="preserve"> </w:t>
      </w:r>
      <w:r w:rsidRPr="00C62E0F">
        <w:rPr>
          <w:lang w:eastAsia="en-AU"/>
        </w:rPr>
        <w:t xml:space="preserve">top-level governance </w:t>
      </w:r>
      <w:r>
        <w:rPr>
          <w:lang w:eastAsia="en-AU"/>
        </w:rPr>
        <w:t xml:space="preserve">was re-structured </w:t>
      </w:r>
      <w:r w:rsidRPr="00C62E0F">
        <w:rPr>
          <w:lang w:eastAsia="en-AU"/>
        </w:rPr>
        <w:t xml:space="preserve">to </w:t>
      </w:r>
      <w:r>
        <w:rPr>
          <w:lang w:eastAsia="en-AU"/>
        </w:rPr>
        <w:t xml:space="preserve">streamline the Board and create </w:t>
      </w:r>
      <w:r w:rsidRPr="00C62E0F">
        <w:rPr>
          <w:lang w:eastAsia="en-AU"/>
        </w:rPr>
        <w:t>a</w:t>
      </w:r>
      <w:r w:rsidR="00F53A08">
        <w:rPr>
          <w:lang w:eastAsia="en-AU"/>
        </w:rPr>
        <w:t xml:space="preserve">n </w:t>
      </w:r>
      <w:r>
        <w:rPr>
          <w:lang w:eastAsia="en-AU"/>
        </w:rPr>
        <w:t xml:space="preserve">Executive Board and </w:t>
      </w:r>
      <w:r w:rsidRPr="00C62E0F">
        <w:rPr>
          <w:lang w:eastAsia="en-AU"/>
        </w:rPr>
        <w:t>a Representative Council</w:t>
      </w:r>
      <w:r>
        <w:rPr>
          <w:lang w:eastAsia="en-AU"/>
        </w:rPr>
        <w:t xml:space="preserve">, </w:t>
      </w:r>
      <w:r w:rsidR="00442047">
        <w:rPr>
          <w:lang w:eastAsia="en-AU"/>
        </w:rPr>
        <w:t xml:space="preserve">with effect </w:t>
      </w:r>
      <w:r w:rsidR="001E70CF">
        <w:rPr>
          <w:lang w:eastAsia="en-AU"/>
        </w:rPr>
        <w:t>from</w:t>
      </w:r>
      <w:r w:rsidR="00442047">
        <w:rPr>
          <w:lang w:eastAsia="en-AU"/>
        </w:rPr>
        <w:t xml:space="preserve"> August 2022.</w:t>
      </w:r>
    </w:p>
    <w:p w14:paraId="77E32D0C" w14:textId="51C219E9" w:rsidR="005B6C05" w:rsidRDefault="005B6C05" w:rsidP="0088054E">
      <w:r>
        <w:t>At the start of the Review period, the Board consisted of 32 Directors. Of these, 26 Directors were</w:t>
      </w:r>
      <w:r w:rsidRPr="0089396F">
        <w:t xml:space="preserve"> elected by the KLC’s members to represent most of the native title claim groups and PBCs across the Kimberley</w:t>
      </w:r>
      <w:r>
        <w:t>,</w:t>
      </w:r>
      <w:r w:rsidRPr="0089396F">
        <w:t xml:space="preserve"> each for a term of two years</w:t>
      </w:r>
      <w:r>
        <w:t xml:space="preserve">. In </w:t>
      </w:r>
      <w:r w:rsidR="00C80A6A">
        <w:t>addition,</w:t>
      </w:r>
      <w:r>
        <w:t xml:space="preserve"> there were </w:t>
      </w:r>
      <w:r w:rsidRPr="0089396F">
        <w:t>four cultural advisors who provide</w:t>
      </w:r>
      <w:r>
        <w:t>d</w:t>
      </w:r>
      <w:r w:rsidRPr="0089396F">
        <w:t xml:space="preserve"> expert cultural guidance to </w:t>
      </w:r>
      <w:r>
        <w:t>D</w:t>
      </w:r>
      <w:r w:rsidRPr="0089396F">
        <w:t>irectors, members and Traditional Owners.</w:t>
      </w:r>
      <w:r>
        <w:t xml:space="preserve"> The CEO </w:t>
      </w:r>
      <w:r w:rsidR="00762A00">
        <w:t xml:space="preserve">was </w:t>
      </w:r>
      <w:r>
        <w:t xml:space="preserve">also on the Board. While the </w:t>
      </w:r>
      <w:r w:rsidR="006B78AE">
        <w:t xml:space="preserve">principle of </w:t>
      </w:r>
      <w:r>
        <w:t xml:space="preserve">regional representation was important, it produced a large Board which could be difficult to manage effectively and to keep focussed on the organisation itself. </w:t>
      </w:r>
      <w:r>
        <w:rPr>
          <w:rFonts w:eastAsia="Times New Roman" w:cs="Times New Roman"/>
          <w:bCs/>
          <w:szCs w:val="19"/>
          <w:lang w:eastAsia="en-AU"/>
        </w:rPr>
        <w:t>The previous Review of the KLC noted that t</w:t>
      </w:r>
      <w:r w:rsidRPr="00053F0B">
        <w:rPr>
          <w:rFonts w:eastAsia="Times New Roman" w:cs="Times New Roman"/>
          <w:bCs/>
          <w:szCs w:val="19"/>
          <w:lang w:eastAsia="en-AU"/>
        </w:rPr>
        <w:t xml:space="preserve">his structure </w:t>
      </w:r>
      <w:r>
        <w:rPr>
          <w:rFonts w:eastAsia="Times New Roman" w:cs="Times New Roman"/>
          <w:bCs/>
          <w:szCs w:val="19"/>
          <w:lang w:eastAsia="en-AU"/>
        </w:rPr>
        <w:t>gave</w:t>
      </w:r>
      <w:r w:rsidRPr="00053F0B">
        <w:rPr>
          <w:rFonts w:eastAsia="Times New Roman" w:cs="Times New Roman"/>
          <w:bCs/>
          <w:szCs w:val="19"/>
          <w:lang w:eastAsia="en-AU"/>
        </w:rPr>
        <w:t xml:space="preserve"> KLC a very large Board which could be unwieldy and make governance of the organisation difficult.</w:t>
      </w:r>
      <w:r w:rsidR="001E70CF">
        <w:rPr>
          <w:rFonts w:eastAsia="Times New Roman" w:cs="Times New Roman"/>
          <w:bCs/>
          <w:szCs w:val="19"/>
          <w:lang w:eastAsia="en-AU"/>
        </w:rPr>
        <w:t xml:space="preserve"> </w:t>
      </w:r>
    </w:p>
    <w:p w14:paraId="614414C7" w14:textId="0124EC0A" w:rsidR="005B6C05" w:rsidRDefault="005B6C05" w:rsidP="0088054E">
      <w:r>
        <w:lastRenderedPageBreak/>
        <w:t xml:space="preserve">The restructure was </w:t>
      </w:r>
      <w:r w:rsidR="001E70CF">
        <w:t>agreed</w:t>
      </w:r>
      <w:r>
        <w:t xml:space="preserve"> w</w:t>
      </w:r>
      <w:r w:rsidRPr="00C62E0F">
        <w:rPr>
          <w:lang w:eastAsia="en-AU"/>
        </w:rPr>
        <w:t xml:space="preserve">ith strong approval at </w:t>
      </w:r>
      <w:r>
        <w:rPr>
          <w:lang w:eastAsia="en-AU"/>
        </w:rPr>
        <w:t>a</w:t>
      </w:r>
      <w:r w:rsidRPr="00C62E0F">
        <w:rPr>
          <w:lang w:eastAsia="en-AU"/>
        </w:rPr>
        <w:t xml:space="preserve"> Special General Meeting</w:t>
      </w:r>
      <w:r w:rsidRPr="00C62E0F">
        <w:t xml:space="preserve"> </w:t>
      </w:r>
      <w:r>
        <w:t xml:space="preserve">held in </w:t>
      </w:r>
      <w:r w:rsidRPr="00C62E0F">
        <w:t>May 202</w:t>
      </w:r>
      <w:r w:rsidR="00B55AE2">
        <w:t>2</w:t>
      </w:r>
      <w:r>
        <w:t xml:space="preserve">. </w:t>
      </w:r>
      <w:r>
        <w:rPr>
          <w:rFonts w:eastAsia="Times New Roman" w:cs="Times New Roman"/>
          <w:szCs w:val="19"/>
          <w:lang w:eastAsia="en-AU"/>
        </w:rPr>
        <w:t>The KLC CEO and Executive Board explained that the restructure aimed to provide greater clarity in the governance of the o</w:t>
      </w:r>
      <w:r w:rsidRPr="00C62E0F">
        <w:rPr>
          <w:rFonts w:eastAsia="Times New Roman" w:cs="Times New Roman"/>
          <w:szCs w:val="19"/>
          <w:lang w:eastAsia="en-AU"/>
        </w:rPr>
        <w:t xml:space="preserve">rganisation </w:t>
      </w:r>
      <w:r>
        <w:rPr>
          <w:rFonts w:eastAsia="Times New Roman" w:cs="Times New Roman"/>
          <w:szCs w:val="19"/>
          <w:lang w:eastAsia="en-AU"/>
        </w:rPr>
        <w:t>by</w:t>
      </w:r>
      <w:r w:rsidRPr="00C62E0F">
        <w:rPr>
          <w:rFonts w:eastAsia="Times New Roman" w:cs="Times New Roman"/>
          <w:szCs w:val="19"/>
          <w:lang w:eastAsia="en-AU"/>
        </w:rPr>
        <w:t xml:space="preserve"> reducing the number of Directors</w:t>
      </w:r>
      <w:r>
        <w:rPr>
          <w:rFonts w:eastAsia="Times New Roman" w:cs="Times New Roman"/>
          <w:szCs w:val="19"/>
          <w:lang w:eastAsia="en-AU"/>
        </w:rPr>
        <w:t xml:space="preserve"> to make it more manageable</w:t>
      </w:r>
      <w:r w:rsidR="003A5A47">
        <w:rPr>
          <w:rFonts w:eastAsia="Times New Roman" w:cs="Times New Roman"/>
          <w:szCs w:val="19"/>
          <w:lang w:eastAsia="en-AU"/>
        </w:rPr>
        <w:t xml:space="preserve">, </w:t>
      </w:r>
      <w:r>
        <w:rPr>
          <w:rFonts w:eastAsia="Times New Roman" w:cs="Times New Roman"/>
          <w:szCs w:val="19"/>
          <w:lang w:eastAsia="en-AU"/>
        </w:rPr>
        <w:t>to focus it more on the organisation itself and on native title, and less on regional matters. T</w:t>
      </w:r>
      <w:r w:rsidRPr="00C62E0F">
        <w:rPr>
          <w:rFonts w:eastAsia="Times New Roman" w:cs="Times New Roman"/>
          <w:szCs w:val="19"/>
          <w:lang w:eastAsia="en-AU"/>
        </w:rPr>
        <w:t>he Representative Council</w:t>
      </w:r>
      <w:r>
        <w:rPr>
          <w:rFonts w:eastAsia="Times New Roman" w:cs="Times New Roman"/>
          <w:szCs w:val="19"/>
          <w:lang w:eastAsia="en-AU"/>
        </w:rPr>
        <w:t xml:space="preserve"> is intended to take up consideration of regional matters. </w:t>
      </w:r>
    </w:p>
    <w:p w14:paraId="0BDDF408" w14:textId="77777777" w:rsidR="005B6C05" w:rsidRPr="00EA59A5" w:rsidRDefault="005B6C05" w:rsidP="00644929">
      <w:pPr>
        <w:pStyle w:val="Heading5"/>
      </w:pPr>
      <w:r w:rsidRPr="00EA59A5">
        <w:t xml:space="preserve">The </w:t>
      </w:r>
      <w:r>
        <w:t xml:space="preserve">reform produced a smaller </w:t>
      </w:r>
      <w:r w:rsidRPr="00EA59A5">
        <w:t xml:space="preserve">Executive Board </w:t>
      </w:r>
    </w:p>
    <w:p w14:paraId="5CE7934C" w14:textId="77777777" w:rsidR="005B6C05" w:rsidRDefault="005B6C05" w:rsidP="0088054E">
      <w:pPr>
        <w:rPr>
          <w:rFonts w:eastAsia="Times New Roman" w:cs="Times New Roman"/>
          <w:szCs w:val="19"/>
          <w:lang w:eastAsia="en-AU"/>
        </w:rPr>
      </w:pPr>
      <w:r>
        <w:rPr>
          <w:rFonts w:eastAsia="Times New Roman" w:cs="Times New Roman"/>
          <w:szCs w:val="19"/>
          <w:lang w:eastAsia="en-AU"/>
        </w:rPr>
        <w:t>After the restructure, t</w:t>
      </w:r>
      <w:r w:rsidRPr="00C62E0F">
        <w:rPr>
          <w:rFonts w:eastAsia="Times New Roman" w:cs="Times New Roman"/>
          <w:szCs w:val="19"/>
          <w:lang w:eastAsia="en-AU"/>
        </w:rPr>
        <w:t>he Executive Board comprised</w:t>
      </w:r>
      <w:r>
        <w:rPr>
          <w:rFonts w:eastAsia="Times New Roman" w:cs="Times New Roman"/>
          <w:szCs w:val="19"/>
          <w:lang w:eastAsia="en-AU"/>
        </w:rPr>
        <w:t xml:space="preserve"> 12 Directors, seven of whom were chosen from the </w:t>
      </w:r>
      <w:r w:rsidRPr="00C62E0F">
        <w:rPr>
          <w:rFonts w:eastAsia="Times New Roman" w:cs="Times New Roman"/>
          <w:szCs w:val="19"/>
          <w:lang w:eastAsia="en-AU"/>
        </w:rPr>
        <w:t>Representative Council</w:t>
      </w:r>
      <w:r>
        <w:rPr>
          <w:rFonts w:eastAsia="Times New Roman" w:cs="Times New Roman"/>
          <w:szCs w:val="19"/>
          <w:lang w:eastAsia="en-AU"/>
        </w:rPr>
        <w:t>, together with</w:t>
      </w:r>
      <w:r w:rsidRPr="00C62E0F">
        <w:rPr>
          <w:rFonts w:eastAsia="Times New Roman" w:cs="Times New Roman"/>
          <w:szCs w:val="19"/>
          <w:lang w:eastAsia="en-AU"/>
        </w:rPr>
        <w:t xml:space="preserve"> four Cultural Advisors</w:t>
      </w:r>
      <w:r>
        <w:rPr>
          <w:rFonts w:eastAsia="Times New Roman" w:cs="Times New Roman"/>
          <w:szCs w:val="19"/>
          <w:lang w:eastAsia="en-AU"/>
        </w:rPr>
        <w:t xml:space="preserve"> (two men and two women)</w:t>
      </w:r>
      <w:r w:rsidRPr="00C62E0F">
        <w:rPr>
          <w:rFonts w:eastAsia="Times New Roman" w:cs="Times New Roman"/>
          <w:szCs w:val="19"/>
          <w:lang w:eastAsia="en-AU"/>
        </w:rPr>
        <w:t xml:space="preserve"> and</w:t>
      </w:r>
      <w:r>
        <w:rPr>
          <w:rFonts w:eastAsia="Times New Roman" w:cs="Times New Roman"/>
          <w:szCs w:val="19"/>
          <w:lang w:eastAsia="en-AU"/>
        </w:rPr>
        <w:t xml:space="preserve"> the CEO. </w:t>
      </w:r>
    </w:p>
    <w:p w14:paraId="3B0AB3E2" w14:textId="394BCDF8" w:rsidR="005B6C05" w:rsidRPr="00C62E0F" w:rsidRDefault="005B6C05" w:rsidP="0088054E">
      <w:pPr>
        <w:rPr>
          <w:rFonts w:eastAsia="Times New Roman" w:cs="Times New Roman"/>
          <w:szCs w:val="19"/>
          <w:lang w:eastAsia="en-AU"/>
        </w:rPr>
      </w:pPr>
      <w:r w:rsidRPr="00C62E0F">
        <w:rPr>
          <w:rFonts w:eastAsia="Times New Roman" w:cs="Times New Roman"/>
          <w:szCs w:val="19"/>
          <w:lang w:eastAsia="en-AU"/>
        </w:rPr>
        <w:t>General responsibilities for the different roles of the Executive Board include</w:t>
      </w:r>
      <w:r w:rsidR="0079636E">
        <w:rPr>
          <w:rFonts w:eastAsia="Times New Roman" w:cs="Times New Roman"/>
          <w:szCs w:val="19"/>
          <w:lang w:eastAsia="en-AU"/>
        </w:rPr>
        <w:t>d</w:t>
      </w:r>
      <w:r w:rsidRPr="00C62E0F">
        <w:rPr>
          <w:rFonts w:eastAsia="Times New Roman" w:cs="Times New Roman"/>
          <w:szCs w:val="19"/>
          <w:lang w:eastAsia="en-AU"/>
        </w:rPr>
        <w:t>:</w:t>
      </w:r>
    </w:p>
    <w:p w14:paraId="24A3C6CF" w14:textId="3E90481C" w:rsidR="005B6C05" w:rsidRPr="00C62E0F" w:rsidRDefault="005B6C05" w:rsidP="005B6C05">
      <w:pPr>
        <w:pStyle w:val="Bullet"/>
        <w:rPr>
          <w:bCs/>
        </w:rPr>
      </w:pPr>
      <w:r w:rsidRPr="75CE137A">
        <w:rPr>
          <w:rFonts w:asciiTheme="majorHAnsi" w:hAnsiTheme="majorHAnsi" w:cstheme="majorBidi"/>
        </w:rPr>
        <w:t>Executive Director</w:t>
      </w:r>
      <w:r w:rsidRPr="00C62E0F">
        <w:t xml:space="preserve"> </w:t>
      </w:r>
      <w:r w:rsidR="003A5A47">
        <w:t>|</w:t>
      </w:r>
      <w:r w:rsidRPr="00C62E0F">
        <w:t xml:space="preserve"> Setting the strategic direction of the KLC in line with Representative Council</w:t>
      </w:r>
      <w:r>
        <w:rPr>
          <w:bCs/>
        </w:rPr>
        <w:t xml:space="preserve"> and related client PBC</w:t>
      </w:r>
      <w:r w:rsidRPr="00C62E0F">
        <w:rPr>
          <w:bCs/>
        </w:rPr>
        <w:t xml:space="preserve"> objectives </w:t>
      </w:r>
      <w:r w:rsidR="0079636E">
        <w:rPr>
          <w:bCs/>
        </w:rPr>
        <w:t>and</w:t>
      </w:r>
      <w:r w:rsidRPr="00C62E0F">
        <w:rPr>
          <w:bCs/>
        </w:rPr>
        <w:t xml:space="preserve"> undertaking specific responsibilities under the </w:t>
      </w:r>
      <w:r w:rsidR="0075762D" w:rsidRPr="0075762D">
        <w:rPr>
          <w:bCs/>
          <w:i/>
          <w:iCs/>
        </w:rPr>
        <w:t xml:space="preserve">Corporations (Aboriginal and Torres Strait Islander) Act 2006 </w:t>
      </w:r>
      <w:r w:rsidR="0075762D" w:rsidRPr="0075762D">
        <w:rPr>
          <w:bCs/>
        </w:rPr>
        <w:t>(Cth)</w:t>
      </w:r>
      <w:r w:rsidR="0075762D" w:rsidRPr="0075762D">
        <w:rPr>
          <w:bCs/>
          <w:i/>
          <w:iCs/>
        </w:rPr>
        <w:t xml:space="preserve"> </w:t>
      </w:r>
      <w:r w:rsidR="0075762D" w:rsidRPr="0075762D">
        <w:rPr>
          <w:bCs/>
        </w:rPr>
        <w:t>(</w:t>
      </w:r>
      <w:r w:rsidR="0075762D" w:rsidRPr="003D67F0">
        <w:rPr>
          <w:bCs/>
        </w:rPr>
        <w:t>the CATSI Act)</w:t>
      </w:r>
      <w:r w:rsidRPr="003D67F0">
        <w:rPr>
          <w:bCs/>
        </w:rPr>
        <w:t>.</w:t>
      </w:r>
      <w:r w:rsidRPr="00C62E0F">
        <w:rPr>
          <w:bCs/>
        </w:rPr>
        <w:t xml:space="preserve"> </w:t>
      </w:r>
    </w:p>
    <w:p w14:paraId="3A0EC7A5" w14:textId="1B1982B2" w:rsidR="005B6C05" w:rsidRPr="00C62E0F" w:rsidRDefault="005B6C05" w:rsidP="005B6C05">
      <w:pPr>
        <w:pStyle w:val="Bullet"/>
        <w:rPr>
          <w:bCs/>
        </w:rPr>
      </w:pPr>
      <w:r w:rsidRPr="75CE137A">
        <w:rPr>
          <w:rFonts w:asciiTheme="majorHAnsi" w:hAnsiTheme="majorHAnsi" w:cstheme="majorBidi"/>
        </w:rPr>
        <w:t>Chairman</w:t>
      </w:r>
      <w:r w:rsidRPr="00C62E0F">
        <w:t xml:space="preserve"> </w:t>
      </w:r>
      <w:r w:rsidR="0075762D">
        <w:t>|</w:t>
      </w:r>
      <w:r w:rsidRPr="00C62E0F">
        <w:t xml:space="preserve"> In </w:t>
      </w:r>
      <w:r w:rsidRPr="00C62E0F">
        <w:rPr>
          <w:bCs/>
        </w:rPr>
        <w:t xml:space="preserve">addition to their general Executive Director capacity, oversee Executive Board </w:t>
      </w:r>
      <w:r w:rsidR="00DC0CF5">
        <w:rPr>
          <w:bCs/>
        </w:rPr>
        <w:t>tri</w:t>
      </w:r>
      <w:r w:rsidRPr="00C62E0F">
        <w:rPr>
          <w:bCs/>
        </w:rPr>
        <w:t xml:space="preserve">-annual </w:t>
      </w:r>
      <w:r w:rsidR="00DC0CF5">
        <w:rPr>
          <w:bCs/>
        </w:rPr>
        <w:t>Board</w:t>
      </w:r>
      <w:r w:rsidRPr="00C62E0F">
        <w:rPr>
          <w:bCs/>
        </w:rPr>
        <w:t xml:space="preserve"> meetings</w:t>
      </w:r>
      <w:r w:rsidR="00DC0CF5">
        <w:rPr>
          <w:bCs/>
        </w:rPr>
        <w:t xml:space="preserve"> and bi-annual </w:t>
      </w:r>
      <w:r w:rsidR="009605C3">
        <w:rPr>
          <w:bCs/>
        </w:rPr>
        <w:t xml:space="preserve">Representative Council </w:t>
      </w:r>
      <w:r w:rsidRPr="00C62E0F">
        <w:rPr>
          <w:bCs/>
        </w:rPr>
        <w:t>meetings, ensuring effective meeting governance and related oversight of management and setting of organisational objectives.</w:t>
      </w:r>
    </w:p>
    <w:p w14:paraId="640DD39D" w14:textId="789979C6" w:rsidR="005B6C05" w:rsidRPr="00C62E0F" w:rsidRDefault="005B6C05" w:rsidP="005B6C05">
      <w:pPr>
        <w:pStyle w:val="Bullet"/>
        <w:rPr>
          <w:bCs/>
        </w:rPr>
      </w:pPr>
      <w:r w:rsidRPr="75CE137A">
        <w:rPr>
          <w:rFonts w:asciiTheme="majorHAnsi" w:hAnsiTheme="majorHAnsi" w:cstheme="majorBidi"/>
        </w:rPr>
        <w:t>Deputy Chairman</w:t>
      </w:r>
      <w:r w:rsidRPr="00C62E0F">
        <w:t xml:space="preserve"> </w:t>
      </w:r>
      <w:r w:rsidR="0075762D">
        <w:t>|</w:t>
      </w:r>
      <w:r w:rsidRPr="00C62E0F">
        <w:t xml:space="preserve"> In addition to their general Executive Director capacity, assist the Chairman in their duties, stand in for the Chairman in the event of their absence</w:t>
      </w:r>
      <w:r w:rsidR="0075762D">
        <w:t xml:space="preserve"> </w:t>
      </w:r>
      <w:r w:rsidRPr="00C62E0F">
        <w:t>and conduct specific committees or initiatives as designated by the Board.</w:t>
      </w:r>
    </w:p>
    <w:p w14:paraId="017C239A" w14:textId="43005671" w:rsidR="005B6C05" w:rsidRPr="00C62E0F" w:rsidRDefault="005B6C05" w:rsidP="005B6C05">
      <w:pPr>
        <w:pStyle w:val="Bullet"/>
        <w:rPr>
          <w:bCs/>
        </w:rPr>
      </w:pPr>
      <w:r w:rsidRPr="0075762D">
        <w:rPr>
          <w:rFonts w:asciiTheme="majorHAnsi" w:hAnsiTheme="majorHAnsi" w:cstheme="majorHAnsi"/>
        </w:rPr>
        <w:t>Cultural Advisor</w:t>
      </w:r>
      <w:r w:rsidRPr="00C62E0F">
        <w:t xml:space="preserve"> </w:t>
      </w:r>
      <w:r w:rsidR="0075762D">
        <w:t>|</w:t>
      </w:r>
      <w:r w:rsidRPr="00C62E0F">
        <w:t xml:space="preserve"> Inform the </w:t>
      </w:r>
      <w:r w:rsidR="0083248E">
        <w:t xml:space="preserve">Executive </w:t>
      </w:r>
      <w:r w:rsidRPr="00C62E0F">
        <w:t>Board of cultural implications of its strategic decisions, assuring strategy alignment with traditional values and practices.</w:t>
      </w:r>
    </w:p>
    <w:p w14:paraId="126E7E33" w14:textId="4AC9C001" w:rsidR="005B6C05" w:rsidRPr="00C62E0F" w:rsidRDefault="005B6C05" w:rsidP="005B6C05">
      <w:pPr>
        <w:pStyle w:val="Bullet"/>
        <w:rPr>
          <w:bCs/>
        </w:rPr>
      </w:pPr>
      <w:r w:rsidRPr="75CE137A">
        <w:rPr>
          <w:rFonts w:asciiTheme="majorHAnsi" w:hAnsiTheme="majorHAnsi" w:cstheme="majorBidi"/>
        </w:rPr>
        <w:t>CEO</w:t>
      </w:r>
      <w:r w:rsidRPr="00C62E0F">
        <w:t xml:space="preserve"> </w:t>
      </w:r>
      <w:r w:rsidR="0075762D">
        <w:t>|</w:t>
      </w:r>
      <w:r w:rsidRPr="00C62E0F">
        <w:t xml:space="preserve"> Act as the interface between the </w:t>
      </w:r>
      <w:r w:rsidR="0083248E" w:rsidRPr="75CE137A">
        <w:t xml:space="preserve">Executive </w:t>
      </w:r>
      <w:r w:rsidRPr="00C62E0F">
        <w:t xml:space="preserve">Board and KLC staff, translating strategy to </w:t>
      </w:r>
      <w:r w:rsidR="001A1912">
        <w:t xml:space="preserve">the </w:t>
      </w:r>
      <w:r w:rsidRPr="00C62E0F">
        <w:t>KLC operational contexts and assisting organisation management in planning for attainment of objectives.</w:t>
      </w:r>
    </w:p>
    <w:p w14:paraId="33EC274C" w14:textId="1C3466EA" w:rsidR="005B6C05" w:rsidRPr="00C62E0F" w:rsidRDefault="00A90C2E" w:rsidP="0088054E">
      <w:pPr>
        <w:rPr>
          <w:rFonts w:eastAsia="Times New Roman" w:cs="Times New Roman"/>
          <w:szCs w:val="19"/>
          <w:lang w:eastAsia="en-AU"/>
        </w:rPr>
      </w:pPr>
      <w:r>
        <w:rPr>
          <w:lang w:eastAsia="en-AU"/>
        </w:rPr>
        <w:t xml:space="preserve">Board Directors </w:t>
      </w:r>
      <w:r w:rsidR="00050D7C">
        <w:rPr>
          <w:lang w:eastAsia="en-AU"/>
        </w:rPr>
        <w:t xml:space="preserve">were </w:t>
      </w:r>
      <w:r>
        <w:rPr>
          <w:lang w:eastAsia="en-AU"/>
        </w:rPr>
        <w:t xml:space="preserve">appointed for a </w:t>
      </w:r>
      <w:r w:rsidR="001A1912">
        <w:rPr>
          <w:lang w:eastAsia="en-AU"/>
        </w:rPr>
        <w:t>four-year</w:t>
      </w:r>
      <w:r>
        <w:rPr>
          <w:lang w:eastAsia="en-AU"/>
        </w:rPr>
        <w:t xml:space="preserve"> term. </w:t>
      </w:r>
      <w:r w:rsidR="005B6C05" w:rsidRPr="00C62E0F">
        <w:rPr>
          <w:rFonts w:eastAsia="Times New Roman" w:cs="Times New Roman"/>
          <w:szCs w:val="19"/>
          <w:lang w:eastAsia="en-AU"/>
        </w:rPr>
        <w:t xml:space="preserve">In addition to their specified duties, </w:t>
      </w:r>
      <w:r w:rsidR="005B6C05">
        <w:rPr>
          <w:rFonts w:eastAsia="Times New Roman" w:cs="Times New Roman"/>
          <w:szCs w:val="19"/>
          <w:lang w:eastAsia="en-AU"/>
        </w:rPr>
        <w:t>the restructure provide</w:t>
      </w:r>
      <w:r w:rsidR="00050D7C">
        <w:rPr>
          <w:rFonts w:eastAsia="Times New Roman" w:cs="Times New Roman"/>
          <w:szCs w:val="19"/>
          <w:lang w:eastAsia="en-AU"/>
        </w:rPr>
        <w:t>d</w:t>
      </w:r>
      <w:r w:rsidR="005B6C05">
        <w:rPr>
          <w:rFonts w:eastAsia="Times New Roman" w:cs="Times New Roman"/>
          <w:szCs w:val="19"/>
          <w:lang w:eastAsia="en-AU"/>
        </w:rPr>
        <w:t xml:space="preserve"> for </w:t>
      </w:r>
      <w:r w:rsidR="005B6C05" w:rsidRPr="00C62E0F">
        <w:rPr>
          <w:rFonts w:eastAsia="Times New Roman" w:cs="Times New Roman"/>
          <w:szCs w:val="19"/>
          <w:lang w:eastAsia="en-AU"/>
        </w:rPr>
        <w:t xml:space="preserve">Executive Board Directors </w:t>
      </w:r>
      <w:r w:rsidR="005B6C05">
        <w:rPr>
          <w:rFonts w:eastAsia="Times New Roman" w:cs="Times New Roman"/>
          <w:szCs w:val="19"/>
          <w:lang w:eastAsia="en-AU"/>
        </w:rPr>
        <w:t>to</w:t>
      </w:r>
      <w:r w:rsidR="005B6C05" w:rsidRPr="00C62E0F">
        <w:rPr>
          <w:rFonts w:eastAsia="Times New Roman" w:cs="Times New Roman"/>
          <w:szCs w:val="19"/>
          <w:lang w:eastAsia="en-AU"/>
        </w:rPr>
        <w:t xml:space="preserve"> form sub-committees for specific pieces of work, notably for decision-making related to Applications for Assistance. </w:t>
      </w:r>
      <w:r w:rsidR="00671A38">
        <w:rPr>
          <w:rFonts w:eastAsia="Times New Roman" w:cs="Times New Roman"/>
          <w:szCs w:val="19"/>
          <w:lang w:eastAsia="en-AU"/>
        </w:rPr>
        <w:t xml:space="preserve">As mentioned earlier </w:t>
      </w:r>
      <w:r w:rsidR="00435483">
        <w:t xml:space="preserve">under </w:t>
      </w:r>
      <w:r w:rsidR="00671A38">
        <w:rPr>
          <w:rFonts w:eastAsia="Times New Roman" w:cs="Times New Roman"/>
          <w:szCs w:val="19"/>
          <w:lang w:eastAsia="en-AU"/>
        </w:rPr>
        <w:t>TOR 2, t</w:t>
      </w:r>
      <w:r w:rsidR="005B6C05" w:rsidRPr="00C62E0F">
        <w:rPr>
          <w:rFonts w:eastAsia="Times New Roman" w:cs="Times New Roman"/>
          <w:szCs w:val="19"/>
          <w:lang w:eastAsia="en-AU"/>
        </w:rPr>
        <w:t xml:space="preserve">he KLC </w:t>
      </w:r>
      <w:r w:rsidR="00A63F46">
        <w:rPr>
          <w:rFonts w:eastAsia="Times New Roman" w:cs="Times New Roman"/>
          <w:szCs w:val="19"/>
          <w:lang w:eastAsia="en-AU"/>
        </w:rPr>
        <w:t>NTRB</w:t>
      </w:r>
      <w:r w:rsidR="005B6C05" w:rsidRPr="00C62E0F">
        <w:rPr>
          <w:rFonts w:eastAsia="Times New Roman" w:cs="Times New Roman"/>
          <w:szCs w:val="19"/>
          <w:lang w:eastAsia="en-AU"/>
        </w:rPr>
        <w:t xml:space="preserve"> Grants Committee consider</w:t>
      </w:r>
      <w:r w:rsidR="00E81750">
        <w:rPr>
          <w:rFonts w:eastAsia="Times New Roman" w:cs="Times New Roman"/>
          <w:szCs w:val="19"/>
          <w:lang w:eastAsia="en-AU"/>
        </w:rPr>
        <w:t>ed</w:t>
      </w:r>
      <w:r w:rsidR="005B6C05" w:rsidRPr="00C62E0F">
        <w:rPr>
          <w:rFonts w:eastAsia="Times New Roman" w:cs="Times New Roman"/>
          <w:szCs w:val="19"/>
          <w:lang w:eastAsia="en-AU"/>
        </w:rPr>
        <w:t xml:space="preserve"> individual or group requests for assistance </w:t>
      </w:r>
      <w:r w:rsidR="005B6C05">
        <w:rPr>
          <w:rFonts w:eastAsia="Times New Roman" w:cs="Times New Roman"/>
          <w:szCs w:val="19"/>
          <w:lang w:eastAsia="en-AU"/>
        </w:rPr>
        <w:t>in a native title m</w:t>
      </w:r>
      <w:r w:rsidR="005B6C05" w:rsidRPr="00C62E0F">
        <w:rPr>
          <w:rFonts w:eastAsia="Times New Roman" w:cs="Times New Roman"/>
          <w:szCs w:val="19"/>
          <w:lang w:eastAsia="en-AU"/>
        </w:rPr>
        <w:t>atter. Th</w:t>
      </w:r>
      <w:r w:rsidR="005B6C05">
        <w:rPr>
          <w:rFonts w:eastAsia="Times New Roman" w:cs="Times New Roman"/>
          <w:szCs w:val="19"/>
          <w:lang w:eastAsia="en-AU"/>
        </w:rPr>
        <w:t>is</w:t>
      </w:r>
      <w:r w:rsidR="005B6C05" w:rsidRPr="00C62E0F">
        <w:rPr>
          <w:rFonts w:eastAsia="Times New Roman" w:cs="Times New Roman"/>
          <w:szCs w:val="19"/>
          <w:lang w:eastAsia="en-AU"/>
        </w:rPr>
        <w:t xml:space="preserve"> sub-committee</w:t>
      </w:r>
      <w:r w:rsidR="005B6C05">
        <w:rPr>
          <w:rFonts w:eastAsia="Times New Roman" w:cs="Times New Roman"/>
          <w:szCs w:val="19"/>
          <w:lang w:eastAsia="en-AU"/>
        </w:rPr>
        <w:t xml:space="preserve"> of the Board</w:t>
      </w:r>
      <w:r w:rsidR="005B6C05" w:rsidRPr="00C62E0F">
        <w:rPr>
          <w:rFonts w:eastAsia="Times New Roman" w:cs="Times New Roman"/>
          <w:szCs w:val="19"/>
          <w:lang w:eastAsia="en-AU"/>
        </w:rPr>
        <w:t xml:space="preserve"> </w:t>
      </w:r>
      <w:r w:rsidR="00E81750">
        <w:rPr>
          <w:rFonts w:eastAsia="Times New Roman" w:cs="Times New Roman"/>
          <w:szCs w:val="19"/>
          <w:lang w:eastAsia="en-AU"/>
        </w:rPr>
        <w:t>was</w:t>
      </w:r>
      <w:r w:rsidR="005B6C05" w:rsidRPr="00C62E0F">
        <w:rPr>
          <w:rFonts w:eastAsia="Times New Roman" w:cs="Times New Roman"/>
          <w:szCs w:val="19"/>
          <w:lang w:eastAsia="en-AU"/>
        </w:rPr>
        <w:t xml:space="preserve"> made up of </w:t>
      </w:r>
      <w:r w:rsidR="00671A38" w:rsidRPr="00671A38">
        <w:rPr>
          <w:rFonts w:eastAsia="Times New Roman" w:cs="Times New Roman"/>
          <w:szCs w:val="19"/>
          <w:lang w:eastAsia="en-AU"/>
        </w:rPr>
        <w:t xml:space="preserve">not less than two </w:t>
      </w:r>
      <w:r w:rsidR="00671A38">
        <w:rPr>
          <w:rFonts w:eastAsia="Times New Roman" w:cs="Times New Roman"/>
          <w:szCs w:val="19"/>
          <w:lang w:eastAsia="en-AU"/>
        </w:rPr>
        <w:t>nominated</w:t>
      </w:r>
      <w:r w:rsidR="005B6C05">
        <w:rPr>
          <w:rFonts w:eastAsia="Times New Roman" w:cs="Times New Roman"/>
          <w:szCs w:val="19"/>
          <w:lang w:eastAsia="en-AU"/>
        </w:rPr>
        <w:t xml:space="preserve"> Board members</w:t>
      </w:r>
      <w:r w:rsidR="00671A38" w:rsidRPr="00671A38">
        <w:rPr>
          <w:rFonts w:eastAsia="Times New Roman" w:cs="Times New Roman"/>
          <w:szCs w:val="19"/>
          <w:lang w:eastAsia="en-AU"/>
        </w:rPr>
        <w:t xml:space="preserve"> </w:t>
      </w:r>
      <w:r w:rsidR="00671A38">
        <w:rPr>
          <w:rFonts w:eastAsia="Times New Roman" w:cs="Times New Roman"/>
          <w:szCs w:val="19"/>
          <w:lang w:eastAsia="en-AU"/>
        </w:rPr>
        <w:t>and the CEO or their delegate</w:t>
      </w:r>
      <w:r w:rsidR="005B6C05">
        <w:rPr>
          <w:rFonts w:eastAsia="Times New Roman" w:cs="Times New Roman"/>
          <w:szCs w:val="19"/>
          <w:lang w:eastAsia="en-AU"/>
        </w:rPr>
        <w:t xml:space="preserve">, who met as needed to make decisions in line with the </w:t>
      </w:r>
      <w:r w:rsidR="005B6C05" w:rsidRPr="00A14DE7">
        <w:rPr>
          <w:lang w:eastAsia="en-AU"/>
        </w:rPr>
        <w:t xml:space="preserve">Assistance </w:t>
      </w:r>
      <w:r w:rsidR="004F737B">
        <w:rPr>
          <w:lang w:eastAsia="en-AU"/>
        </w:rPr>
        <w:t xml:space="preserve">Guidelines </w:t>
      </w:r>
      <w:r w:rsidR="005B6C05">
        <w:rPr>
          <w:rFonts w:eastAsia="Times New Roman" w:cs="Times New Roman"/>
          <w:szCs w:val="19"/>
          <w:lang w:eastAsia="en-AU"/>
        </w:rPr>
        <w:t>documentation.</w:t>
      </w:r>
    </w:p>
    <w:p w14:paraId="05AC5981" w14:textId="77777777" w:rsidR="005B6C05" w:rsidRPr="007A0F47" w:rsidRDefault="005B6C05" w:rsidP="00644929">
      <w:pPr>
        <w:pStyle w:val="Heading5"/>
      </w:pPr>
      <w:r w:rsidRPr="007A0F47">
        <w:t xml:space="preserve">The Representative Council </w:t>
      </w:r>
      <w:r>
        <w:t xml:space="preserve">was intended to </w:t>
      </w:r>
      <w:r w:rsidRPr="007A0F47">
        <w:t>provide a voice from across the Kimberley</w:t>
      </w:r>
    </w:p>
    <w:p w14:paraId="3FF25F40" w14:textId="54AFD7AC" w:rsidR="005B6C05" w:rsidRPr="00C62E0F" w:rsidRDefault="005B6C05" w:rsidP="0088054E">
      <w:pPr>
        <w:rPr>
          <w:rFonts w:eastAsia="Times New Roman" w:cs="Times New Roman"/>
          <w:szCs w:val="19"/>
          <w:lang w:eastAsia="en-AU"/>
        </w:rPr>
      </w:pPr>
      <w:r w:rsidRPr="00C62E0F">
        <w:t xml:space="preserve">The Representative Council </w:t>
      </w:r>
      <w:r w:rsidR="00E81750">
        <w:rPr>
          <w:rFonts w:eastAsia="Times New Roman" w:cs="Times New Roman"/>
          <w:szCs w:val="19"/>
          <w:lang w:eastAsia="en-AU"/>
        </w:rPr>
        <w:t>was</w:t>
      </w:r>
      <w:r w:rsidRPr="00C62E0F">
        <w:rPr>
          <w:rFonts w:eastAsia="Times New Roman" w:cs="Times New Roman"/>
          <w:szCs w:val="19"/>
          <w:lang w:eastAsia="en-AU"/>
        </w:rPr>
        <w:t xml:space="preserve"> made up of two nominated members from every PBC, eligible corporation</w:t>
      </w:r>
      <w:r w:rsidR="00BC1BF8">
        <w:rPr>
          <w:rFonts w:eastAsia="Times New Roman" w:cs="Times New Roman"/>
          <w:szCs w:val="19"/>
          <w:lang w:eastAsia="en-AU"/>
        </w:rPr>
        <w:t xml:space="preserve"> </w:t>
      </w:r>
      <w:r w:rsidRPr="00C62E0F">
        <w:rPr>
          <w:rFonts w:eastAsia="Times New Roman" w:cs="Times New Roman"/>
          <w:szCs w:val="19"/>
          <w:lang w:eastAsia="en-AU"/>
        </w:rPr>
        <w:t xml:space="preserve">and claim group that the </w:t>
      </w:r>
      <w:r w:rsidRPr="00705F34">
        <w:rPr>
          <w:rFonts w:eastAsia="Times New Roman" w:cs="Times New Roman"/>
          <w:szCs w:val="19"/>
          <w:lang w:eastAsia="en-AU"/>
        </w:rPr>
        <w:t>KLC support</w:t>
      </w:r>
      <w:r w:rsidR="00E81750">
        <w:rPr>
          <w:rFonts w:eastAsia="Times New Roman" w:cs="Times New Roman"/>
          <w:szCs w:val="19"/>
          <w:lang w:eastAsia="en-AU"/>
        </w:rPr>
        <w:t>ed</w:t>
      </w:r>
      <w:r w:rsidRPr="00C62E0F">
        <w:rPr>
          <w:rFonts w:eastAsia="Times New Roman" w:cs="Times New Roman"/>
          <w:szCs w:val="19"/>
          <w:lang w:eastAsia="en-AU"/>
        </w:rPr>
        <w:t>, totalling 60 members at the time of Review consultations in August 2023.</w:t>
      </w:r>
      <w:r>
        <w:rPr>
          <w:rFonts w:eastAsia="Times New Roman" w:cs="Times New Roman"/>
          <w:szCs w:val="19"/>
          <w:lang w:eastAsia="en-AU"/>
        </w:rPr>
        <w:t xml:space="preserve"> It </w:t>
      </w:r>
      <w:r w:rsidRPr="00C62E0F">
        <w:t xml:space="preserve">has been referred to as the </w:t>
      </w:r>
      <w:r w:rsidR="003D352A">
        <w:t>“</w:t>
      </w:r>
      <w:r w:rsidRPr="00C62E0F">
        <w:t>Voice of the Kimberley</w:t>
      </w:r>
      <w:r w:rsidR="003D352A">
        <w:t>”</w:t>
      </w:r>
      <w:r>
        <w:rPr>
          <w:rStyle w:val="FootnoteReference"/>
        </w:rPr>
        <w:footnoteReference w:id="29"/>
      </w:r>
      <w:r w:rsidRPr="00C62E0F">
        <w:t xml:space="preserve">, </w:t>
      </w:r>
      <w:r>
        <w:t xml:space="preserve">and </w:t>
      </w:r>
      <w:r w:rsidR="00A47E7D">
        <w:t xml:space="preserve">was </w:t>
      </w:r>
      <w:r>
        <w:t>intended to meet</w:t>
      </w:r>
      <w:r w:rsidRPr="00C62E0F">
        <w:t xml:space="preserve"> bi-annually to table regional issues and give guidance on matters important to PBCs and the Kimberley</w:t>
      </w:r>
      <w:r w:rsidRPr="00C62E0F">
        <w:rPr>
          <w:rFonts w:eastAsia="Times New Roman" w:cs="Times New Roman"/>
          <w:szCs w:val="19"/>
          <w:lang w:eastAsia="en-AU"/>
        </w:rPr>
        <w:t xml:space="preserve"> Aboriginal people. </w:t>
      </w:r>
    </w:p>
    <w:p w14:paraId="503CF0FB" w14:textId="78F1BDA5" w:rsidR="005B6C05" w:rsidRDefault="005B6C05" w:rsidP="0088054E">
      <w:pPr>
        <w:rPr>
          <w:rFonts w:eastAsia="Times New Roman" w:cs="Times New Roman"/>
          <w:szCs w:val="19"/>
          <w:lang w:eastAsia="en-AU"/>
        </w:rPr>
      </w:pPr>
      <w:r>
        <w:rPr>
          <w:rFonts w:eastAsia="Times New Roman" w:cs="Times New Roman"/>
          <w:szCs w:val="19"/>
          <w:lang w:eastAsia="en-AU"/>
        </w:rPr>
        <w:t>F</w:t>
      </w:r>
      <w:r w:rsidRPr="00C62E0F">
        <w:rPr>
          <w:rFonts w:eastAsia="Times New Roman" w:cs="Times New Roman"/>
          <w:szCs w:val="19"/>
          <w:lang w:eastAsia="en-AU"/>
        </w:rPr>
        <w:t xml:space="preserve">urther work </w:t>
      </w:r>
      <w:r>
        <w:rPr>
          <w:rFonts w:eastAsia="Times New Roman" w:cs="Times New Roman"/>
          <w:szCs w:val="19"/>
          <w:lang w:eastAsia="en-AU"/>
        </w:rPr>
        <w:t xml:space="preserve">remained to be undertaken at the end of the Review period to </w:t>
      </w:r>
      <w:r w:rsidRPr="00C62E0F">
        <w:rPr>
          <w:rFonts w:eastAsia="Times New Roman" w:cs="Times New Roman"/>
          <w:szCs w:val="19"/>
          <w:lang w:eastAsia="en-AU"/>
        </w:rPr>
        <w:t xml:space="preserve">define the position and decision-making </w:t>
      </w:r>
      <w:r>
        <w:rPr>
          <w:rFonts w:eastAsia="Times New Roman" w:cs="Times New Roman"/>
          <w:szCs w:val="19"/>
          <w:lang w:eastAsia="en-AU"/>
        </w:rPr>
        <w:t xml:space="preserve">powers </w:t>
      </w:r>
      <w:r w:rsidRPr="00C62E0F">
        <w:rPr>
          <w:rFonts w:eastAsia="Times New Roman" w:cs="Times New Roman"/>
          <w:szCs w:val="19"/>
          <w:lang w:eastAsia="en-AU"/>
        </w:rPr>
        <w:t>of the Representative Council in relation to the operations of the KLC. This work include</w:t>
      </w:r>
      <w:r w:rsidR="008F7A23">
        <w:rPr>
          <w:rFonts w:eastAsia="Times New Roman" w:cs="Times New Roman"/>
          <w:szCs w:val="19"/>
          <w:lang w:eastAsia="en-AU"/>
        </w:rPr>
        <w:t>d</w:t>
      </w:r>
      <w:r w:rsidRPr="00C62E0F">
        <w:rPr>
          <w:rFonts w:eastAsia="Times New Roman" w:cs="Times New Roman"/>
          <w:szCs w:val="19"/>
          <w:lang w:eastAsia="en-AU"/>
        </w:rPr>
        <w:t xml:space="preserve"> demarcating the responsibilities of the Representative Council as distinct from the Executive Board. </w:t>
      </w:r>
    </w:p>
    <w:p w14:paraId="4CF59D5B" w14:textId="77777777" w:rsidR="005B6C05" w:rsidRPr="009C0608" w:rsidRDefault="005B6C05" w:rsidP="00CE702A">
      <w:pPr>
        <w:pStyle w:val="Heading5"/>
      </w:pPr>
      <w:r w:rsidRPr="009C0608">
        <w:lastRenderedPageBreak/>
        <w:t>The restructure of the Board was generally viewed as positive</w:t>
      </w:r>
      <w:r>
        <w:t xml:space="preserve"> but is not without risk</w:t>
      </w:r>
    </w:p>
    <w:p w14:paraId="05A2938A" w14:textId="1D66986C" w:rsidR="005B6C05" w:rsidRDefault="005B6C05" w:rsidP="0088054E">
      <w:pPr>
        <w:rPr>
          <w:rFonts w:eastAsia="Times New Roman" w:cs="Times New Roman"/>
          <w:szCs w:val="19"/>
          <w:lang w:eastAsia="en-AU"/>
        </w:rPr>
      </w:pPr>
      <w:r>
        <w:rPr>
          <w:rFonts w:eastAsia="Times New Roman" w:cs="Times New Roman"/>
          <w:szCs w:val="19"/>
          <w:lang w:eastAsia="en-AU"/>
        </w:rPr>
        <w:t xml:space="preserve">Although the reform was in its early stages during the Review period, stakeholders in </w:t>
      </w:r>
      <w:r w:rsidR="004935CE">
        <w:rPr>
          <w:rFonts w:eastAsia="Times New Roman" w:cs="Times New Roman"/>
          <w:szCs w:val="19"/>
          <w:lang w:eastAsia="en-AU"/>
        </w:rPr>
        <w:t xml:space="preserve">the </w:t>
      </w:r>
      <w:r>
        <w:rPr>
          <w:rFonts w:eastAsia="Times New Roman" w:cs="Times New Roman"/>
          <w:szCs w:val="19"/>
          <w:lang w:eastAsia="en-AU"/>
        </w:rPr>
        <w:t>KLC and the Board itself were of the view</w:t>
      </w:r>
      <w:r w:rsidRPr="00C62E0F">
        <w:rPr>
          <w:rFonts w:eastAsia="Times New Roman" w:cs="Times New Roman"/>
          <w:szCs w:val="19"/>
          <w:lang w:eastAsia="en-AU"/>
        </w:rPr>
        <w:t xml:space="preserve"> that the reform of governance </w:t>
      </w:r>
      <w:r>
        <w:rPr>
          <w:rFonts w:eastAsia="Times New Roman" w:cs="Times New Roman"/>
          <w:szCs w:val="19"/>
          <w:lang w:eastAsia="en-AU"/>
        </w:rPr>
        <w:t>had</w:t>
      </w:r>
      <w:r w:rsidRPr="00C62E0F">
        <w:rPr>
          <w:rFonts w:eastAsia="Times New Roman" w:cs="Times New Roman"/>
          <w:szCs w:val="19"/>
          <w:lang w:eastAsia="en-AU"/>
        </w:rPr>
        <w:t xml:space="preserve"> reinvigorated members of the Representative Council and the Executive Board alike.</w:t>
      </w:r>
      <w:r>
        <w:rPr>
          <w:rFonts w:eastAsia="Times New Roman" w:cs="Times New Roman"/>
          <w:szCs w:val="19"/>
          <w:lang w:eastAsia="en-AU"/>
        </w:rPr>
        <w:t xml:space="preserve"> </w:t>
      </w:r>
    </w:p>
    <w:p w14:paraId="4902C2B0" w14:textId="0EDA8DB0" w:rsidR="005B6C05" w:rsidRDefault="005B6C05" w:rsidP="0088054E">
      <w:pPr>
        <w:rPr>
          <w:rFonts w:eastAsia="Times New Roman" w:cs="Times New Roman"/>
          <w:szCs w:val="19"/>
          <w:lang w:eastAsia="en-AU"/>
        </w:rPr>
      </w:pPr>
      <w:r>
        <w:rPr>
          <w:rFonts w:eastAsia="Times New Roman" w:cs="Times New Roman"/>
          <w:szCs w:val="19"/>
          <w:lang w:eastAsia="en-AU"/>
        </w:rPr>
        <w:t xml:space="preserve">Conversely, a number of </w:t>
      </w:r>
      <w:r w:rsidRPr="00C62E0F">
        <w:rPr>
          <w:rFonts w:eastAsia="Times New Roman" w:cs="Times New Roman"/>
          <w:szCs w:val="19"/>
          <w:lang w:eastAsia="en-AU"/>
        </w:rPr>
        <w:t>Traditional Owner</w:t>
      </w:r>
      <w:r>
        <w:rPr>
          <w:rFonts w:eastAsia="Times New Roman" w:cs="Times New Roman"/>
          <w:szCs w:val="19"/>
          <w:lang w:eastAsia="en-AU"/>
        </w:rPr>
        <w:t>s who engaged with the Review</w:t>
      </w:r>
      <w:r w:rsidRPr="00C62E0F">
        <w:rPr>
          <w:rFonts w:eastAsia="Times New Roman" w:cs="Times New Roman"/>
          <w:szCs w:val="19"/>
          <w:lang w:eastAsia="en-AU"/>
        </w:rPr>
        <w:t xml:space="preserve"> </w:t>
      </w:r>
      <w:r>
        <w:rPr>
          <w:rFonts w:eastAsia="Times New Roman" w:cs="Times New Roman"/>
          <w:szCs w:val="19"/>
          <w:lang w:eastAsia="en-AU"/>
        </w:rPr>
        <w:t xml:space="preserve">were concerned that the reform would have the effect of </w:t>
      </w:r>
      <w:r w:rsidRPr="00C62E0F">
        <w:rPr>
          <w:rFonts w:eastAsia="Times New Roman" w:cs="Times New Roman"/>
          <w:szCs w:val="19"/>
          <w:lang w:eastAsia="en-AU"/>
        </w:rPr>
        <w:t xml:space="preserve">diminishing decision-making power </w:t>
      </w:r>
      <w:r>
        <w:rPr>
          <w:rFonts w:eastAsia="Times New Roman" w:cs="Times New Roman"/>
          <w:szCs w:val="19"/>
          <w:lang w:eastAsia="en-AU"/>
        </w:rPr>
        <w:t xml:space="preserve">for regional representatives </w:t>
      </w:r>
      <w:r w:rsidRPr="00C62E0F">
        <w:rPr>
          <w:rFonts w:eastAsia="Times New Roman" w:cs="Times New Roman"/>
          <w:szCs w:val="19"/>
          <w:lang w:eastAsia="en-AU"/>
        </w:rPr>
        <w:t>across the Kimberley</w:t>
      </w:r>
      <w:r>
        <w:rPr>
          <w:rFonts w:eastAsia="Times New Roman" w:cs="Times New Roman"/>
          <w:szCs w:val="19"/>
          <w:lang w:eastAsia="en-AU"/>
        </w:rPr>
        <w:t>,</w:t>
      </w:r>
      <w:r w:rsidRPr="00C62E0F">
        <w:rPr>
          <w:rFonts w:eastAsia="Times New Roman" w:cs="Times New Roman"/>
          <w:szCs w:val="19"/>
          <w:lang w:eastAsia="en-AU"/>
        </w:rPr>
        <w:t xml:space="preserve"> </w:t>
      </w:r>
      <w:r>
        <w:rPr>
          <w:rFonts w:eastAsia="Times New Roman" w:cs="Times New Roman"/>
          <w:szCs w:val="19"/>
          <w:lang w:eastAsia="en-AU"/>
        </w:rPr>
        <w:t>with a prospect that only tho</w:t>
      </w:r>
      <w:r w:rsidRPr="00C62E0F">
        <w:rPr>
          <w:rFonts w:eastAsia="Times New Roman" w:cs="Times New Roman"/>
          <w:szCs w:val="19"/>
          <w:lang w:eastAsia="en-AU"/>
        </w:rPr>
        <w:t>se on the Executive Board</w:t>
      </w:r>
      <w:r w:rsidRPr="006232F8">
        <w:rPr>
          <w:rFonts w:eastAsia="Times New Roman" w:cs="Times New Roman"/>
          <w:szCs w:val="19"/>
          <w:lang w:eastAsia="en-AU"/>
        </w:rPr>
        <w:t xml:space="preserve"> </w:t>
      </w:r>
      <w:r w:rsidRPr="00C62E0F">
        <w:rPr>
          <w:rFonts w:eastAsia="Times New Roman" w:cs="Times New Roman"/>
          <w:szCs w:val="19"/>
          <w:lang w:eastAsia="en-AU"/>
        </w:rPr>
        <w:t xml:space="preserve">(and their </w:t>
      </w:r>
      <w:r>
        <w:rPr>
          <w:rFonts w:eastAsia="Times New Roman" w:cs="Times New Roman"/>
          <w:szCs w:val="19"/>
          <w:lang w:eastAsia="en-AU"/>
        </w:rPr>
        <w:t>groups</w:t>
      </w:r>
      <w:r w:rsidRPr="00C62E0F">
        <w:rPr>
          <w:rFonts w:eastAsia="Times New Roman" w:cs="Times New Roman"/>
          <w:szCs w:val="19"/>
          <w:lang w:eastAsia="en-AU"/>
        </w:rPr>
        <w:t>)</w:t>
      </w:r>
      <w:r>
        <w:rPr>
          <w:rFonts w:eastAsia="Times New Roman" w:cs="Times New Roman"/>
          <w:szCs w:val="19"/>
          <w:lang w:eastAsia="en-AU"/>
        </w:rPr>
        <w:t xml:space="preserve"> would hold influence within the KLC</w:t>
      </w:r>
      <w:r>
        <w:t xml:space="preserve">. </w:t>
      </w:r>
      <w:r>
        <w:rPr>
          <w:rFonts w:eastAsia="Times New Roman" w:cs="Times New Roman"/>
          <w:szCs w:val="19"/>
          <w:lang w:eastAsia="en-AU"/>
        </w:rPr>
        <w:t>S</w:t>
      </w:r>
      <w:r w:rsidRPr="00DF6ACB">
        <w:rPr>
          <w:lang w:eastAsia="en-AU"/>
        </w:rPr>
        <w:t>ome Traditional Owners</w:t>
      </w:r>
      <w:r>
        <w:rPr>
          <w:lang w:eastAsia="en-AU"/>
        </w:rPr>
        <w:t xml:space="preserve"> </w:t>
      </w:r>
      <w:r w:rsidRPr="00DF6ACB">
        <w:rPr>
          <w:lang w:eastAsia="en-AU"/>
        </w:rPr>
        <w:t>viewed the creation of the Representative Council as tokenistic and detracting from appropriate cultural practices.</w:t>
      </w:r>
      <w:r>
        <w:rPr>
          <w:lang w:eastAsia="en-AU"/>
        </w:rPr>
        <w:t xml:space="preserve"> </w:t>
      </w:r>
      <w:r>
        <w:rPr>
          <w:rFonts w:eastAsia="Times New Roman" w:cs="Times New Roman"/>
          <w:szCs w:val="19"/>
          <w:lang w:eastAsia="en-AU"/>
        </w:rPr>
        <w:t>This will be a risk for the KLC to manage as the reform is further bedded down. A</w:t>
      </w:r>
      <w:r w:rsidRPr="00C62E0F">
        <w:rPr>
          <w:rFonts w:eastAsia="Times New Roman" w:cs="Times New Roman"/>
          <w:szCs w:val="19"/>
          <w:lang w:eastAsia="en-AU"/>
        </w:rPr>
        <w:t xml:space="preserve"> meaningful role for the Representative Council is central to ensuring that the Representative</w:t>
      </w:r>
      <w:r w:rsidR="0044540A">
        <w:rPr>
          <w:rFonts w:eastAsia="Times New Roman" w:cs="Times New Roman"/>
          <w:szCs w:val="19"/>
          <w:lang w:eastAsia="en-AU"/>
        </w:rPr>
        <w:t xml:space="preserve"> </w:t>
      </w:r>
      <w:r w:rsidR="0044540A" w:rsidRPr="00C62E0F">
        <w:rPr>
          <w:rFonts w:eastAsia="Times New Roman" w:cs="Times New Roman"/>
          <w:szCs w:val="19"/>
          <w:lang w:eastAsia="en-AU"/>
        </w:rPr>
        <w:t>Council</w:t>
      </w:r>
      <w:r w:rsidRPr="00C62E0F">
        <w:rPr>
          <w:rFonts w:eastAsia="Times New Roman" w:cs="Times New Roman"/>
          <w:szCs w:val="19"/>
          <w:lang w:eastAsia="en-AU"/>
        </w:rPr>
        <w:t xml:space="preserve"> and, by extension, Kimberley Aboriginal</w:t>
      </w:r>
      <w:r>
        <w:rPr>
          <w:rFonts w:eastAsia="Times New Roman" w:cs="Times New Roman"/>
          <w:szCs w:val="19"/>
          <w:lang w:eastAsia="en-AU"/>
        </w:rPr>
        <w:t xml:space="preserve"> people</w:t>
      </w:r>
      <w:r w:rsidRPr="00C62E0F">
        <w:rPr>
          <w:rFonts w:eastAsia="Times New Roman" w:cs="Times New Roman"/>
          <w:szCs w:val="19"/>
          <w:lang w:eastAsia="en-AU"/>
        </w:rPr>
        <w:t xml:space="preserve"> can have their voices heard and are confident in </w:t>
      </w:r>
      <w:r w:rsidR="00C957DB">
        <w:rPr>
          <w:rFonts w:eastAsia="Times New Roman" w:cs="Times New Roman"/>
          <w:szCs w:val="19"/>
          <w:lang w:eastAsia="en-AU"/>
        </w:rPr>
        <w:t xml:space="preserve">the </w:t>
      </w:r>
      <w:r w:rsidRPr="00C62E0F">
        <w:rPr>
          <w:rFonts w:eastAsia="Times New Roman" w:cs="Times New Roman"/>
          <w:szCs w:val="19"/>
          <w:lang w:eastAsia="en-AU"/>
        </w:rPr>
        <w:t xml:space="preserve">KLC serving their </w:t>
      </w:r>
      <w:r>
        <w:rPr>
          <w:rFonts w:eastAsia="Times New Roman" w:cs="Times New Roman"/>
          <w:szCs w:val="19"/>
          <w:lang w:eastAsia="en-AU"/>
        </w:rPr>
        <w:t>native title</w:t>
      </w:r>
      <w:r w:rsidRPr="00C62E0F">
        <w:rPr>
          <w:rFonts w:eastAsia="Times New Roman" w:cs="Times New Roman"/>
          <w:szCs w:val="19"/>
          <w:lang w:eastAsia="en-AU"/>
        </w:rPr>
        <w:t xml:space="preserve"> interests.</w:t>
      </w:r>
    </w:p>
    <w:p w14:paraId="2C8D200F" w14:textId="77777777" w:rsidR="00446C8E" w:rsidRPr="00C7793C" w:rsidRDefault="00446C8E" w:rsidP="00F73F44">
      <w:pPr>
        <w:pStyle w:val="Heading5"/>
      </w:pPr>
      <w:r w:rsidRPr="00C7793C">
        <w:t>Roles and responsibilities for decision making between the Board and Executive were clear</w:t>
      </w:r>
    </w:p>
    <w:p w14:paraId="3D13AFEC" w14:textId="717A50E8" w:rsidR="00446C8E" w:rsidRDefault="00446C8E" w:rsidP="0088054E">
      <w:pPr>
        <w:rPr>
          <w:lang w:eastAsia="en-AU"/>
        </w:rPr>
      </w:pPr>
      <w:r w:rsidRPr="000F4786">
        <w:rPr>
          <w:lang w:eastAsia="en-AU"/>
        </w:rPr>
        <w:t>During the Review period the Executive Board set the strategic direction for the KLC</w:t>
      </w:r>
      <w:r>
        <w:rPr>
          <w:lang w:eastAsia="en-AU"/>
        </w:rPr>
        <w:t xml:space="preserve"> through the KLC’s </w:t>
      </w:r>
      <w:r w:rsidRPr="000F4786">
        <w:rPr>
          <w:lang w:eastAsia="en-AU"/>
        </w:rPr>
        <w:t>strategic priorities</w:t>
      </w:r>
      <w:r>
        <w:rPr>
          <w:lang w:eastAsia="en-AU"/>
        </w:rPr>
        <w:t xml:space="preserve">. </w:t>
      </w:r>
      <w:r w:rsidRPr="00C62E0F">
        <w:rPr>
          <w:rFonts w:eastAsia="Times New Roman" w:cs="Times New Roman"/>
          <w:szCs w:val="19"/>
          <w:lang w:eastAsia="en-AU"/>
        </w:rPr>
        <w:t>KLC</w:t>
      </w:r>
      <w:r>
        <w:rPr>
          <w:rFonts w:eastAsia="Times New Roman" w:cs="Times New Roman"/>
          <w:szCs w:val="19"/>
          <w:lang w:eastAsia="en-AU"/>
        </w:rPr>
        <w:t xml:space="preserve"> </w:t>
      </w:r>
      <w:r w:rsidRPr="00C62E0F">
        <w:rPr>
          <w:rFonts w:eastAsia="Times New Roman" w:cs="Times New Roman"/>
          <w:szCs w:val="19"/>
          <w:lang w:eastAsia="en-AU"/>
        </w:rPr>
        <w:t>Board Directors</w:t>
      </w:r>
      <w:r>
        <w:rPr>
          <w:rFonts w:eastAsia="Times New Roman" w:cs="Times New Roman"/>
          <w:szCs w:val="19"/>
          <w:lang w:eastAsia="en-AU"/>
        </w:rPr>
        <w:t>, Executives and staff who engaged with the Review</w:t>
      </w:r>
      <w:r w:rsidRPr="00C62E0F">
        <w:rPr>
          <w:rFonts w:eastAsia="Times New Roman" w:cs="Times New Roman"/>
          <w:szCs w:val="19"/>
          <w:lang w:eastAsia="en-AU"/>
        </w:rPr>
        <w:t xml:space="preserve"> reported that the roles and responsibilities </w:t>
      </w:r>
      <w:r>
        <w:rPr>
          <w:rFonts w:eastAsia="Times New Roman" w:cs="Times New Roman"/>
          <w:szCs w:val="19"/>
          <w:lang w:eastAsia="en-AU"/>
        </w:rPr>
        <w:t>were</w:t>
      </w:r>
      <w:r w:rsidRPr="00C62E0F">
        <w:rPr>
          <w:rFonts w:eastAsia="Times New Roman" w:cs="Times New Roman"/>
          <w:szCs w:val="19"/>
          <w:lang w:eastAsia="en-AU"/>
        </w:rPr>
        <w:t xml:space="preserve"> generally clear, </w:t>
      </w:r>
      <w:r>
        <w:rPr>
          <w:rFonts w:eastAsia="Times New Roman" w:cs="Times New Roman"/>
          <w:szCs w:val="19"/>
          <w:lang w:eastAsia="en-AU"/>
        </w:rPr>
        <w:t>with</w:t>
      </w:r>
      <w:r w:rsidRPr="00C62E0F">
        <w:rPr>
          <w:rFonts w:eastAsia="Times New Roman" w:cs="Times New Roman"/>
          <w:szCs w:val="19"/>
          <w:lang w:eastAsia="en-AU"/>
        </w:rPr>
        <w:t xml:space="preserve"> overarching governance </w:t>
      </w:r>
      <w:r>
        <w:rPr>
          <w:rFonts w:eastAsia="Times New Roman" w:cs="Times New Roman"/>
          <w:szCs w:val="19"/>
          <w:lang w:eastAsia="en-AU"/>
        </w:rPr>
        <w:t>being distinct from management of the KLC’s operations</w:t>
      </w:r>
      <w:r w:rsidRPr="00C62E0F">
        <w:rPr>
          <w:rFonts w:eastAsia="Times New Roman" w:cs="Times New Roman"/>
          <w:szCs w:val="19"/>
          <w:lang w:eastAsia="en-AU"/>
        </w:rPr>
        <w:t xml:space="preserve">. This separation </w:t>
      </w:r>
      <w:r>
        <w:rPr>
          <w:rFonts w:eastAsia="Times New Roman" w:cs="Times New Roman"/>
          <w:szCs w:val="19"/>
          <w:lang w:eastAsia="en-AU"/>
        </w:rPr>
        <w:t>of</w:t>
      </w:r>
      <w:r w:rsidRPr="00C62E0F">
        <w:rPr>
          <w:rFonts w:eastAsia="Times New Roman" w:cs="Times New Roman"/>
          <w:szCs w:val="19"/>
          <w:lang w:eastAsia="en-AU"/>
        </w:rPr>
        <w:t xml:space="preserve"> roles and responsibilities </w:t>
      </w:r>
      <w:r w:rsidR="00E2380B">
        <w:rPr>
          <w:rFonts w:eastAsia="Times New Roman" w:cs="Times New Roman"/>
          <w:szCs w:val="19"/>
          <w:lang w:eastAsia="en-AU"/>
        </w:rPr>
        <w:t>was</w:t>
      </w:r>
      <w:r w:rsidR="00E2380B" w:rsidRPr="00C62E0F">
        <w:rPr>
          <w:rFonts w:eastAsia="Times New Roman" w:cs="Times New Roman"/>
          <w:szCs w:val="19"/>
          <w:lang w:eastAsia="en-AU"/>
        </w:rPr>
        <w:t xml:space="preserve"> </w:t>
      </w:r>
      <w:r>
        <w:rPr>
          <w:rFonts w:eastAsia="Times New Roman" w:cs="Times New Roman"/>
          <w:szCs w:val="19"/>
          <w:lang w:eastAsia="en-AU"/>
        </w:rPr>
        <w:t>clearly articulated</w:t>
      </w:r>
      <w:r w:rsidRPr="00C62E0F">
        <w:rPr>
          <w:rFonts w:eastAsia="Times New Roman" w:cs="Times New Roman"/>
          <w:szCs w:val="19"/>
          <w:lang w:eastAsia="en-AU"/>
        </w:rPr>
        <w:t xml:space="preserve"> in corporate documentation, </w:t>
      </w:r>
      <w:r>
        <w:rPr>
          <w:rFonts w:eastAsia="Times New Roman" w:cs="Times New Roman"/>
          <w:szCs w:val="19"/>
          <w:lang w:eastAsia="en-AU"/>
        </w:rPr>
        <w:t>including</w:t>
      </w:r>
      <w:r w:rsidRPr="00C62E0F">
        <w:rPr>
          <w:rFonts w:eastAsia="Times New Roman" w:cs="Times New Roman"/>
          <w:szCs w:val="19"/>
          <w:lang w:eastAsia="en-AU"/>
        </w:rPr>
        <w:t xml:space="preserve"> the KLC’s Constitution, role descriptions and the Corporate Governance section in annual reports.</w:t>
      </w:r>
      <w:r w:rsidRPr="00CF02A7">
        <w:rPr>
          <w:lang w:eastAsia="en-AU"/>
        </w:rPr>
        <w:t xml:space="preserve"> </w:t>
      </w:r>
    </w:p>
    <w:p w14:paraId="3B70A5C8" w14:textId="4D44EEF8" w:rsidR="00284E22" w:rsidRPr="00C7793C" w:rsidRDefault="00284E22" w:rsidP="00F73F44">
      <w:pPr>
        <w:pStyle w:val="Heading5"/>
      </w:pPr>
      <w:r w:rsidRPr="00A6381B">
        <w:t xml:space="preserve">Despite </w:t>
      </w:r>
      <w:r w:rsidR="001C210B" w:rsidRPr="00C7793C">
        <w:t xml:space="preserve">the upheaval caused by the </w:t>
      </w:r>
      <w:r w:rsidR="00CC25AA" w:rsidRPr="00C7793C">
        <w:t xml:space="preserve">early </w:t>
      </w:r>
      <w:r w:rsidR="00506E92" w:rsidRPr="75CE137A">
        <w:t>termination</w:t>
      </w:r>
      <w:r w:rsidR="00CC25AA" w:rsidRPr="75CE137A">
        <w:t xml:space="preserve"> </w:t>
      </w:r>
      <w:r w:rsidR="00CC25AA" w:rsidRPr="00C7793C">
        <w:t xml:space="preserve">of </w:t>
      </w:r>
      <w:r w:rsidR="001371B5" w:rsidRPr="00C7793C">
        <w:t xml:space="preserve">the newly appointed CEO </w:t>
      </w:r>
      <w:r w:rsidR="009A4F71" w:rsidRPr="00C7793C">
        <w:t xml:space="preserve">in early 2021, the </w:t>
      </w:r>
      <w:r w:rsidR="00C60DBB" w:rsidRPr="00C7793C">
        <w:t xml:space="preserve">KLC has maintained </w:t>
      </w:r>
      <w:r w:rsidR="001D6793" w:rsidRPr="00C7793C">
        <w:t xml:space="preserve">strong </w:t>
      </w:r>
      <w:r w:rsidR="00320BA2" w:rsidRPr="00C7793C">
        <w:t>executive leadership</w:t>
      </w:r>
    </w:p>
    <w:p w14:paraId="7872E53B" w14:textId="26436555" w:rsidR="0086616A" w:rsidRPr="0086616A" w:rsidRDefault="003E04CD" w:rsidP="0088054E">
      <w:pPr>
        <w:rPr>
          <w:rFonts w:eastAsia="Times New Roman" w:cs="Times New Roman"/>
          <w:szCs w:val="19"/>
          <w:lang w:eastAsia="en-AU"/>
        </w:rPr>
      </w:pPr>
      <w:r>
        <w:rPr>
          <w:lang w:eastAsia="en-AU"/>
        </w:rPr>
        <w:t xml:space="preserve">After the departure of </w:t>
      </w:r>
      <w:r w:rsidR="0050004A">
        <w:rPr>
          <w:lang w:eastAsia="en-AU"/>
        </w:rPr>
        <w:t xml:space="preserve">its </w:t>
      </w:r>
      <w:r>
        <w:rPr>
          <w:lang w:eastAsia="en-AU"/>
        </w:rPr>
        <w:t>long-</w:t>
      </w:r>
      <w:r w:rsidR="007313A9">
        <w:rPr>
          <w:lang w:eastAsia="en-AU"/>
        </w:rPr>
        <w:t>time CEO</w:t>
      </w:r>
      <w:r w:rsidR="002014AE">
        <w:rPr>
          <w:lang w:eastAsia="en-AU"/>
        </w:rPr>
        <w:t xml:space="preserve"> </w:t>
      </w:r>
      <w:r w:rsidR="0050004A">
        <w:rPr>
          <w:lang w:eastAsia="en-AU"/>
        </w:rPr>
        <w:t xml:space="preserve">in </w:t>
      </w:r>
      <w:r w:rsidR="003B421B">
        <w:rPr>
          <w:lang w:eastAsia="en-AU"/>
        </w:rPr>
        <w:t>November 2020</w:t>
      </w:r>
      <w:r w:rsidR="002014AE">
        <w:rPr>
          <w:lang w:eastAsia="en-AU"/>
        </w:rPr>
        <w:t xml:space="preserve">, the Board appointed a new CEO in </w:t>
      </w:r>
      <w:r w:rsidR="002957C7">
        <w:rPr>
          <w:lang w:eastAsia="en-AU"/>
        </w:rPr>
        <w:t>January</w:t>
      </w:r>
      <w:r w:rsidR="00C74C5B">
        <w:rPr>
          <w:lang w:eastAsia="en-AU"/>
        </w:rPr>
        <w:t xml:space="preserve"> 2021.</w:t>
      </w:r>
      <w:r w:rsidR="003C4DC1">
        <w:rPr>
          <w:lang w:eastAsia="en-AU"/>
        </w:rPr>
        <w:t xml:space="preserve"> </w:t>
      </w:r>
      <w:r w:rsidR="004F6E67">
        <w:rPr>
          <w:lang w:eastAsia="en-AU"/>
        </w:rPr>
        <w:t>However,</w:t>
      </w:r>
      <w:r w:rsidR="003B63B4">
        <w:rPr>
          <w:lang w:eastAsia="en-AU"/>
        </w:rPr>
        <w:t xml:space="preserve"> the new CEO was </w:t>
      </w:r>
      <w:r w:rsidR="00506E92">
        <w:rPr>
          <w:lang w:eastAsia="en-AU"/>
        </w:rPr>
        <w:t>terminated</w:t>
      </w:r>
      <w:r w:rsidR="003B63B4">
        <w:rPr>
          <w:lang w:eastAsia="en-AU"/>
        </w:rPr>
        <w:t xml:space="preserve"> by the Board after some three months in the role.</w:t>
      </w:r>
      <w:r w:rsidR="007F4643">
        <w:rPr>
          <w:lang w:eastAsia="en-AU"/>
        </w:rPr>
        <w:t xml:space="preserve"> </w:t>
      </w:r>
      <w:r w:rsidR="00727638">
        <w:rPr>
          <w:lang w:eastAsia="en-AU"/>
        </w:rPr>
        <w:t>The Board acted swiftly to appoint a new CEO</w:t>
      </w:r>
      <w:r w:rsidR="0098035D">
        <w:rPr>
          <w:lang w:eastAsia="en-AU"/>
        </w:rPr>
        <w:t xml:space="preserve"> </w:t>
      </w:r>
      <w:r w:rsidR="00C31ABB">
        <w:rPr>
          <w:lang w:eastAsia="en-AU"/>
        </w:rPr>
        <w:t>by July 2021</w:t>
      </w:r>
      <w:r w:rsidR="00720D77">
        <w:rPr>
          <w:lang w:eastAsia="en-AU"/>
        </w:rPr>
        <w:t>. The new CEO brough</w:t>
      </w:r>
      <w:r w:rsidR="00FB503E">
        <w:rPr>
          <w:lang w:eastAsia="en-AU"/>
        </w:rPr>
        <w:t>t</w:t>
      </w:r>
      <w:r w:rsidR="00720D77">
        <w:rPr>
          <w:lang w:eastAsia="en-AU"/>
        </w:rPr>
        <w:t xml:space="preserve"> continuity </w:t>
      </w:r>
      <w:r w:rsidR="00AC1655">
        <w:rPr>
          <w:lang w:eastAsia="en-AU"/>
        </w:rPr>
        <w:t xml:space="preserve">from his </w:t>
      </w:r>
      <w:r w:rsidR="00FC2F7D">
        <w:rPr>
          <w:lang w:eastAsia="en-AU"/>
        </w:rPr>
        <w:t xml:space="preserve">previous </w:t>
      </w:r>
      <w:r w:rsidR="00AC1655">
        <w:rPr>
          <w:lang w:eastAsia="en-AU"/>
        </w:rPr>
        <w:t>roles as Deputy CEO and Acting CEO</w:t>
      </w:r>
      <w:r w:rsidR="004667E7">
        <w:rPr>
          <w:lang w:eastAsia="en-AU"/>
        </w:rPr>
        <w:t xml:space="preserve"> during six years of previous employment at </w:t>
      </w:r>
      <w:r w:rsidR="00E2380B">
        <w:rPr>
          <w:lang w:eastAsia="en-AU"/>
        </w:rPr>
        <w:t xml:space="preserve">the </w:t>
      </w:r>
      <w:r w:rsidR="004667E7">
        <w:rPr>
          <w:lang w:eastAsia="en-AU"/>
        </w:rPr>
        <w:t>KLC.</w:t>
      </w:r>
      <w:r w:rsidR="003B63B4">
        <w:rPr>
          <w:lang w:eastAsia="en-AU"/>
        </w:rPr>
        <w:t xml:space="preserve"> </w:t>
      </w:r>
      <w:r w:rsidR="00BF2B2E">
        <w:rPr>
          <w:lang w:eastAsia="en-AU"/>
        </w:rPr>
        <w:t xml:space="preserve">This has ensured </w:t>
      </w:r>
      <w:r w:rsidR="00AC6978">
        <w:rPr>
          <w:lang w:eastAsia="en-AU"/>
        </w:rPr>
        <w:t>stability in the organisation</w:t>
      </w:r>
      <w:r w:rsidR="00FA271F">
        <w:rPr>
          <w:lang w:eastAsia="en-AU"/>
        </w:rPr>
        <w:t xml:space="preserve"> and </w:t>
      </w:r>
      <w:r w:rsidR="006163AE">
        <w:rPr>
          <w:lang w:eastAsia="en-AU"/>
        </w:rPr>
        <w:t xml:space="preserve">has </w:t>
      </w:r>
      <w:r w:rsidR="00E669D3">
        <w:rPr>
          <w:lang w:eastAsia="en-AU"/>
        </w:rPr>
        <w:t>solidified the KLC’s strong connections with the region.</w:t>
      </w:r>
    </w:p>
    <w:p w14:paraId="3750CDB9" w14:textId="7C7EC86B" w:rsidR="00446C8E" w:rsidRDefault="00446C8E" w:rsidP="00F73F44">
      <w:pPr>
        <w:pStyle w:val="Heading5"/>
      </w:pPr>
      <w:r>
        <w:t xml:space="preserve">Internal roles and responsibilities </w:t>
      </w:r>
      <w:r w:rsidR="00E2380B">
        <w:t xml:space="preserve">were </w:t>
      </w:r>
      <w:r>
        <w:t>clearly structured</w:t>
      </w:r>
    </w:p>
    <w:p w14:paraId="31F0F5A5" w14:textId="769E3BE8" w:rsidR="00446C8E" w:rsidRDefault="00446C8E" w:rsidP="0088054E">
      <w:pPr>
        <w:rPr>
          <w:rFonts w:eastAsia="Times New Roman" w:cs="Times New Roman"/>
          <w:szCs w:val="19"/>
          <w:lang w:eastAsia="en-AU"/>
        </w:rPr>
      </w:pPr>
      <w:r>
        <w:rPr>
          <w:lang w:eastAsia="en-AU"/>
        </w:rPr>
        <w:t>Within the KLC, roles and responsibilities between the</w:t>
      </w:r>
      <w:r w:rsidRPr="000F4786">
        <w:rPr>
          <w:lang w:eastAsia="en-AU"/>
        </w:rPr>
        <w:t xml:space="preserve"> CEO</w:t>
      </w:r>
      <w:r>
        <w:rPr>
          <w:lang w:eastAsia="en-AU"/>
        </w:rPr>
        <w:t>,</w:t>
      </w:r>
      <w:r w:rsidRPr="000F4786">
        <w:rPr>
          <w:lang w:eastAsia="en-AU"/>
        </w:rPr>
        <w:t xml:space="preserve"> Deputy CEO and </w:t>
      </w:r>
      <w:r>
        <w:rPr>
          <w:lang w:eastAsia="en-AU"/>
        </w:rPr>
        <w:t>five business</w:t>
      </w:r>
      <w:r w:rsidRPr="00D10D6D">
        <w:rPr>
          <w:lang w:eastAsia="en-AU"/>
        </w:rPr>
        <w:t xml:space="preserve"> </w:t>
      </w:r>
      <w:r w:rsidRPr="000F4786">
        <w:rPr>
          <w:lang w:eastAsia="en-AU"/>
        </w:rPr>
        <w:t>unit</w:t>
      </w:r>
      <w:r>
        <w:rPr>
          <w:lang w:eastAsia="en-AU"/>
        </w:rPr>
        <w:t xml:space="preserve">s were clearly articulated, </w:t>
      </w:r>
      <w:r w:rsidRPr="00C62E0F">
        <w:rPr>
          <w:rFonts w:eastAsia="Times New Roman" w:cs="Times New Roman"/>
          <w:bCs/>
          <w:szCs w:val="19"/>
          <w:lang w:eastAsia="en-AU"/>
        </w:rPr>
        <w:t xml:space="preserve">as illustrated in </w:t>
      </w:r>
      <w:r w:rsidR="00357E43">
        <w:rPr>
          <w:rFonts w:eastAsia="Times New Roman" w:cs="Times New Roman"/>
          <w:bCs/>
          <w:szCs w:val="19"/>
          <w:lang w:eastAsia="en-AU"/>
        </w:rPr>
        <w:fldChar w:fldCharType="begin"/>
      </w:r>
      <w:r w:rsidR="00357E43">
        <w:rPr>
          <w:rFonts w:eastAsia="Times New Roman" w:cs="Times New Roman"/>
          <w:bCs/>
          <w:szCs w:val="19"/>
          <w:lang w:eastAsia="en-AU"/>
        </w:rPr>
        <w:instrText xml:space="preserve"> REF _Ref153809423 \h </w:instrText>
      </w:r>
      <w:r w:rsidR="00357E43">
        <w:rPr>
          <w:rFonts w:eastAsia="Times New Roman" w:cs="Times New Roman"/>
          <w:bCs/>
          <w:szCs w:val="19"/>
          <w:lang w:eastAsia="en-AU"/>
        </w:rPr>
      </w:r>
      <w:r w:rsidR="00357E43">
        <w:rPr>
          <w:rFonts w:eastAsia="Times New Roman" w:cs="Times New Roman"/>
          <w:bCs/>
          <w:szCs w:val="19"/>
          <w:lang w:eastAsia="en-AU"/>
        </w:rPr>
        <w:fldChar w:fldCharType="separate"/>
      </w:r>
      <w:r w:rsidR="00291532">
        <w:t xml:space="preserve">Figure </w:t>
      </w:r>
      <w:r w:rsidR="00291532">
        <w:rPr>
          <w:noProof/>
        </w:rPr>
        <w:t>8</w:t>
      </w:r>
      <w:r w:rsidR="00357E43">
        <w:rPr>
          <w:rFonts w:eastAsia="Times New Roman" w:cs="Times New Roman"/>
          <w:bCs/>
          <w:szCs w:val="19"/>
          <w:lang w:eastAsia="en-AU"/>
        </w:rPr>
        <w:fldChar w:fldCharType="end"/>
      </w:r>
      <w:r w:rsidR="00C26794">
        <w:rPr>
          <w:rFonts w:eastAsia="Times New Roman" w:cs="Times New Roman"/>
          <w:bCs/>
          <w:szCs w:val="19"/>
          <w:lang w:eastAsia="en-AU"/>
        </w:rPr>
        <w:t xml:space="preserve">, which shows </w:t>
      </w:r>
      <w:r w:rsidR="003256A0">
        <w:rPr>
          <w:rFonts w:eastAsia="Times New Roman" w:cs="Times New Roman"/>
          <w:bCs/>
          <w:szCs w:val="19"/>
          <w:lang w:eastAsia="en-AU"/>
        </w:rPr>
        <w:t xml:space="preserve">the </w:t>
      </w:r>
      <w:r w:rsidR="00595C94">
        <w:rPr>
          <w:rFonts w:eastAsia="Times New Roman" w:cs="Times New Roman"/>
          <w:bCs/>
          <w:szCs w:val="19"/>
          <w:lang w:eastAsia="en-AU"/>
        </w:rPr>
        <w:t xml:space="preserve">KLC’s organisational structure as at </w:t>
      </w:r>
      <w:r w:rsidR="00E0336B">
        <w:rPr>
          <w:rFonts w:eastAsia="Times New Roman" w:cs="Times New Roman"/>
          <w:bCs/>
          <w:szCs w:val="19"/>
          <w:lang w:eastAsia="en-AU"/>
        </w:rPr>
        <w:t xml:space="preserve">30 June 2022. </w:t>
      </w:r>
    </w:p>
    <w:p w14:paraId="26F04B97" w14:textId="3DB02C5E" w:rsidR="00E0336B" w:rsidRDefault="00E0336B" w:rsidP="00E0336B">
      <w:pPr>
        <w:pStyle w:val="Caption"/>
      </w:pPr>
      <w:bookmarkStart w:id="51" w:name="_Ref153809423"/>
      <w:r>
        <w:lastRenderedPageBreak/>
        <w:t xml:space="preserve">Figure </w:t>
      </w:r>
      <w:r>
        <w:fldChar w:fldCharType="begin"/>
      </w:r>
      <w:r>
        <w:instrText xml:space="preserve"> SEQ Figure \* ARABIC </w:instrText>
      </w:r>
      <w:r>
        <w:fldChar w:fldCharType="separate"/>
      </w:r>
      <w:r w:rsidR="00291532">
        <w:rPr>
          <w:noProof/>
        </w:rPr>
        <w:t>8</w:t>
      </w:r>
      <w:r>
        <w:fldChar w:fldCharType="end"/>
      </w:r>
      <w:bookmarkEnd w:id="51"/>
      <w:r>
        <w:t xml:space="preserve"> | </w:t>
      </w:r>
      <w:r w:rsidRPr="001C470D">
        <w:t>KLC organisation structure</w:t>
      </w:r>
      <w:r>
        <w:t xml:space="preserve"> at 30 June 2022</w:t>
      </w:r>
      <w:r w:rsidR="00434F79">
        <w:rPr>
          <w:rStyle w:val="FootnoteReference"/>
        </w:rPr>
        <w:footnoteReference w:id="30"/>
      </w:r>
    </w:p>
    <w:p w14:paraId="6EB230FC" w14:textId="73156A28" w:rsidR="00446C8E" w:rsidRPr="000F4786" w:rsidRDefault="00357E43" w:rsidP="00446C8E">
      <w:pPr>
        <w:rPr>
          <w:lang w:eastAsia="en-AU"/>
        </w:rPr>
      </w:pPr>
      <w:r>
        <w:rPr>
          <w:noProof/>
          <w:lang w:eastAsia="en-AU"/>
        </w:rPr>
        <w:drawing>
          <wp:inline distT="0" distB="0" distL="0" distR="0" wp14:anchorId="5D9E6298" wp14:editId="3717A095">
            <wp:extent cx="5670550" cy="2101850"/>
            <wp:effectExtent l="0" t="0" r="6350" b="0"/>
            <wp:docPr id="410230031" name="Picture 410230031" descr="Chart of the Kimberley Land Council’s organisational structure at 30 June 2022. It consists of three levels. The CEO is at the highest level, followed by the Deputy CEO. The lowest level includes the Principal Legal Officer, Land and Sea Manager, Native Title Services Manager, Business Operations Manager and the HR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30031" name="Picture 410230031" descr="Chart of the Kimberley Land Council’s organisational structure at 30 June 2022. It consists of three levels. The CEO is at the highest level, followed by the Deputy CEO. The lowest level includes the Principal Legal Officer, Land and Sea Manager, Native Title Services Manager, Business Operations Manager and the HR Manager"/>
                    <pic:cNvPicPr/>
                  </pic:nvPicPr>
                  <pic:blipFill>
                    <a:blip r:embed="rId25">
                      <a:extLst>
                        <a:ext uri="{28A0092B-C50C-407E-A947-70E740481C1C}">
                          <a14:useLocalDpi xmlns:a14="http://schemas.microsoft.com/office/drawing/2010/main" val="0"/>
                        </a:ext>
                      </a:extLst>
                    </a:blip>
                    <a:stretch>
                      <a:fillRect/>
                    </a:stretch>
                  </pic:blipFill>
                  <pic:spPr>
                    <a:xfrm>
                      <a:off x="0" y="0"/>
                      <a:ext cx="5670550" cy="2101850"/>
                    </a:xfrm>
                    <a:prstGeom prst="rect">
                      <a:avLst/>
                    </a:prstGeom>
                  </pic:spPr>
                </pic:pic>
              </a:graphicData>
            </a:graphic>
          </wp:inline>
        </w:drawing>
      </w:r>
    </w:p>
    <w:p w14:paraId="7ED07AFC" w14:textId="77777777" w:rsidR="00CE702A" w:rsidRDefault="00CE702A" w:rsidP="00CE702A">
      <w:pPr>
        <w:pStyle w:val="Heading4"/>
      </w:pPr>
      <w:r>
        <w:t>Board integrity and capability</w:t>
      </w:r>
    </w:p>
    <w:p w14:paraId="1F0B0FAF" w14:textId="77777777" w:rsidR="00CE702A" w:rsidRDefault="00CE702A" w:rsidP="00CE702A">
      <w:pPr>
        <w:pStyle w:val="Heading5"/>
        <w:numPr>
          <w:ilvl w:val="4"/>
          <w:numId w:val="2"/>
        </w:numPr>
      </w:pPr>
      <w:r>
        <w:t>Responsibilities of Executive Board Directors were delineated in the KLC’s Rule Book and Code of Conduct</w:t>
      </w:r>
    </w:p>
    <w:p w14:paraId="0665630D" w14:textId="77777777" w:rsidR="00CE702A" w:rsidRDefault="00CE702A" w:rsidP="00CE702A">
      <w:pPr>
        <w:rPr>
          <w:lang w:eastAsia="en-AU"/>
        </w:rPr>
      </w:pPr>
      <w:r>
        <w:rPr>
          <w:lang w:eastAsia="en-AU"/>
        </w:rPr>
        <w:t xml:space="preserve">With the restructure of the Board towards the end of the Review period, a new Rule Book was approved and registered by ORIC. </w:t>
      </w:r>
    </w:p>
    <w:p w14:paraId="7A959F38" w14:textId="77777777" w:rsidR="00CE702A" w:rsidRDefault="00CE702A" w:rsidP="00CE702A">
      <w:pPr>
        <w:rPr>
          <w:lang w:eastAsia="en-AU"/>
        </w:rPr>
      </w:pPr>
      <w:r>
        <w:rPr>
          <w:lang w:eastAsia="en-AU"/>
        </w:rPr>
        <w:t>Directors undertook an induction program and robust governance training to ensure they understood their responsibilities as Board Directors.</w:t>
      </w:r>
    </w:p>
    <w:p w14:paraId="590A1BB5" w14:textId="77777777" w:rsidR="00CE702A" w:rsidRDefault="00CE702A" w:rsidP="00CE702A">
      <w:pPr>
        <w:rPr>
          <w:lang w:eastAsia="en-AU"/>
        </w:rPr>
      </w:pPr>
      <w:r>
        <w:rPr>
          <w:lang w:eastAsia="en-AU"/>
        </w:rPr>
        <w:t xml:space="preserve">Some Traditional Owners commented to the Review that they were pleased to see turnover among Board Directors as they had been concerned that some Directors had been embedded for too long, which had contributed to their concerns about excessive influence of some Directors. </w:t>
      </w:r>
    </w:p>
    <w:p w14:paraId="73D5CC09" w14:textId="77777777" w:rsidR="00CE702A" w:rsidRPr="002C4C27" w:rsidRDefault="00CE702A" w:rsidP="00CE702A">
      <w:pPr>
        <w:rPr>
          <w:iCs/>
          <w:lang w:eastAsia="en-AU"/>
        </w:rPr>
      </w:pPr>
      <w:r>
        <w:rPr>
          <w:lang w:eastAsia="en-AU"/>
        </w:rPr>
        <w:t xml:space="preserve">In their interactions with the Review, Board Directors demonstrated their deep understanding of the benefits and flaws of the native title system and their thoughtful consideration of the challenges for the future. There was a consistent theme from Board members about </w:t>
      </w:r>
      <w:r w:rsidRPr="002C4C27">
        <w:rPr>
          <w:iCs/>
          <w:lang w:eastAsia="en-AU"/>
        </w:rPr>
        <w:t>“How do we make change for our people”.</w:t>
      </w:r>
    </w:p>
    <w:p w14:paraId="7437D1B9" w14:textId="654F2BE2" w:rsidR="00446C8E" w:rsidRDefault="00446C8E" w:rsidP="00446C8E">
      <w:pPr>
        <w:keepNext/>
        <w:spacing w:before="240" w:after="60"/>
        <w:outlineLvl w:val="3"/>
        <w:rPr>
          <w:rFonts w:ascii="Segoe UI Semibold" w:eastAsia="Times New Roman" w:hAnsi="Segoe UI Semibold" w:cs="Times New Roman"/>
          <w:color w:val="00264D" w:themeColor="background2"/>
          <w:sz w:val="22"/>
          <w:szCs w:val="19"/>
          <w:lang w:eastAsia="en-AU"/>
        </w:rPr>
      </w:pPr>
      <w:r w:rsidRPr="00C62E0F">
        <w:rPr>
          <w:rFonts w:ascii="Segoe UI Semibold" w:eastAsia="Times New Roman" w:hAnsi="Segoe UI Semibold" w:cs="Times New Roman"/>
          <w:color w:val="00264D" w:themeColor="background2"/>
          <w:sz w:val="22"/>
          <w:szCs w:val="19"/>
          <w:lang w:eastAsia="en-AU"/>
        </w:rPr>
        <w:t>Conflicts of interest</w:t>
      </w:r>
    </w:p>
    <w:p w14:paraId="1C758FC9" w14:textId="77777777" w:rsidR="00446C8E" w:rsidRDefault="00446C8E" w:rsidP="00F73F44">
      <w:pPr>
        <w:pStyle w:val="Heading5"/>
      </w:pPr>
      <w:r>
        <w:t>The KLC had policies in place that aimed to address conflicts of interest across the organisation</w:t>
      </w:r>
    </w:p>
    <w:p w14:paraId="6519C2F2" w14:textId="23FECE3B" w:rsidR="00446C8E" w:rsidRDefault="00446C8E" w:rsidP="0088054E">
      <w:pPr>
        <w:rPr>
          <w:lang w:eastAsia="en-AU"/>
        </w:rPr>
      </w:pPr>
      <w:r>
        <w:rPr>
          <w:lang w:eastAsia="en-AU"/>
        </w:rPr>
        <w:t>The KLC‘s document</w:t>
      </w:r>
      <w:r w:rsidR="00F73F44">
        <w:rPr>
          <w:lang w:eastAsia="en-AU"/>
        </w:rPr>
        <w:t>ation</w:t>
      </w:r>
      <w:r>
        <w:rPr>
          <w:lang w:eastAsia="en-AU"/>
        </w:rPr>
        <w:t xml:space="preserve"> relating to declaring and managing conflicts of interest </w:t>
      </w:r>
      <w:r w:rsidR="00833D8B">
        <w:rPr>
          <w:lang w:eastAsia="en-AU"/>
        </w:rPr>
        <w:t>is</w:t>
      </w:r>
      <w:r>
        <w:rPr>
          <w:lang w:eastAsia="en-AU"/>
        </w:rPr>
        <w:t xml:space="preserve"> outlined in </w:t>
      </w:r>
      <w:r w:rsidR="00F73F44">
        <w:rPr>
          <w:lang w:eastAsia="en-AU"/>
        </w:rPr>
        <w:fldChar w:fldCharType="begin"/>
      </w:r>
      <w:r w:rsidR="00F73F44">
        <w:rPr>
          <w:lang w:eastAsia="en-AU"/>
        </w:rPr>
        <w:instrText xml:space="preserve"> REF _Ref153871881 \h </w:instrText>
      </w:r>
      <w:r w:rsidR="00F73F44">
        <w:rPr>
          <w:lang w:eastAsia="en-AU"/>
        </w:rPr>
      </w:r>
      <w:r w:rsidR="00F73F44">
        <w:rPr>
          <w:lang w:eastAsia="en-AU"/>
        </w:rPr>
        <w:fldChar w:fldCharType="separate"/>
      </w:r>
      <w:r w:rsidR="00291532">
        <w:t xml:space="preserve">Table </w:t>
      </w:r>
      <w:r w:rsidR="00291532">
        <w:rPr>
          <w:noProof/>
        </w:rPr>
        <w:t>15</w:t>
      </w:r>
      <w:r w:rsidR="00F73F44">
        <w:rPr>
          <w:lang w:eastAsia="en-AU"/>
        </w:rPr>
        <w:fldChar w:fldCharType="end"/>
      </w:r>
      <w:r w:rsidR="00F73F44">
        <w:rPr>
          <w:lang w:eastAsia="en-AU"/>
        </w:rPr>
        <w:t>.</w:t>
      </w:r>
    </w:p>
    <w:p w14:paraId="2858AF35" w14:textId="7C11AB5F" w:rsidR="00446C8E" w:rsidRPr="00831252" w:rsidRDefault="00446C8E" w:rsidP="00F73F44">
      <w:pPr>
        <w:pStyle w:val="Caption"/>
        <w:rPr>
          <w:b/>
          <w:bCs w:val="0"/>
          <w:lang w:eastAsia="en-AU"/>
        </w:rPr>
      </w:pPr>
      <w:bookmarkStart w:id="52" w:name="_Ref153871881"/>
      <w:r>
        <w:t xml:space="preserve">Table </w:t>
      </w:r>
      <w:r w:rsidR="00F73F44">
        <w:fldChar w:fldCharType="begin"/>
      </w:r>
      <w:r w:rsidR="00F73F44">
        <w:instrText xml:space="preserve"> SEQ Table \* ARABIC </w:instrText>
      </w:r>
      <w:r w:rsidR="00F73F44">
        <w:fldChar w:fldCharType="separate"/>
      </w:r>
      <w:r w:rsidR="00291532">
        <w:rPr>
          <w:noProof/>
        </w:rPr>
        <w:t>15</w:t>
      </w:r>
      <w:r w:rsidR="00F73F44">
        <w:fldChar w:fldCharType="end"/>
      </w:r>
      <w:bookmarkEnd w:id="52"/>
      <w:r>
        <w:t xml:space="preserve"> | </w:t>
      </w:r>
      <w:r w:rsidRPr="000F6C0F">
        <w:t xml:space="preserve">Conflict of Interest </w:t>
      </w:r>
      <w:r w:rsidR="00F25BE6">
        <w:t>d</w:t>
      </w:r>
      <w:r w:rsidRPr="000F6C0F">
        <w:t>ocumentation</w:t>
      </w:r>
    </w:p>
    <w:tbl>
      <w:tblPr>
        <w:tblStyle w:val="AEMO2"/>
        <w:tblW w:w="5000" w:type="pct"/>
        <w:tblLook w:val="04A0" w:firstRow="1" w:lastRow="0" w:firstColumn="1" w:lastColumn="0" w:noHBand="0" w:noVBand="1"/>
      </w:tblPr>
      <w:tblGrid>
        <w:gridCol w:w="2834"/>
        <w:gridCol w:w="6096"/>
      </w:tblGrid>
      <w:tr w:rsidR="00E72929" w:rsidRPr="006E6A6A" w14:paraId="7ED809FB" w14:textId="77777777" w:rsidTr="002C4C27">
        <w:trPr>
          <w:cnfStyle w:val="100000000000" w:firstRow="1" w:lastRow="0" w:firstColumn="0" w:lastColumn="0" w:oddVBand="0" w:evenVBand="0" w:oddHBand="0" w:evenHBand="0" w:firstRowFirstColumn="0" w:firstRowLastColumn="0" w:lastRowFirstColumn="0" w:lastRowLastColumn="0"/>
        </w:trPr>
        <w:tc>
          <w:tcPr>
            <w:tcW w:w="1587" w:type="pct"/>
            <w:hideMark/>
          </w:tcPr>
          <w:p w14:paraId="6D46504E" w14:textId="77777777" w:rsidR="00446C8E" w:rsidRPr="006E6A6A" w:rsidRDefault="00446C8E" w:rsidP="00F25BE6">
            <w:pPr>
              <w:pStyle w:val="TableNheader"/>
              <w:rPr>
                <w:lang w:eastAsia="en-AU"/>
              </w:rPr>
            </w:pPr>
            <w:r>
              <w:rPr>
                <w:lang w:eastAsia="en-AU"/>
              </w:rPr>
              <w:t>Documentation</w:t>
            </w:r>
          </w:p>
        </w:tc>
        <w:tc>
          <w:tcPr>
            <w:tcW w:w="3413" w:type="pct"/>
            <w:hideMark/>
          </w:tcPr>
          <w:p w14:paraId="3D83A830" w14:textId="77777777" w:rsidR="00446C8E" w:rsidRPr="006E6A6A" w:rsidRDefault="00446C8E" w:rsidP="00F25BE6">
            <w:pPr>
              <w:pStyle w:val="TableNheader"/>
              <w:rPr>
                <w:lang w:eastAsia="en-AU"/>
              </w:rPr>
            </w:pPr>
            <w:r w:rsidRPr="006E6A6A">
              <w:rPr>
                <w:lang w:eastAsia="en-AU"/>
              </w:rPr>
              <w:t>Description</w:t>
            </w:r>
          </w:p>
        </w:tc>
      </w:tr>
      <w:tr w:rsidR="00446C8E" w:rsidRPr="006E6A6A" w14:paraId="3E08FA96" w14:textId="77777777" w:rsidTr="002C4C27">
        <w:trPr>
          <w:cnfStyle w:val="000000100000" w:firstRow="0" w:lastRow="0" w:firstColumn="0" w:lastColumn="0" w:oddVBand="0" w:evenVBand="0" w:oddHBand="1" w:evenHBand="0" w:firstRowFirstColumn="0" w:firstRowLastColumn="0" w:lastRowFirstColumn="0" w:lastRowLastColumn="0"/>
        </w:trPr>
        <w:tc>
          <w:tcPr>
            <w:tcW w:w="1587" w:type="pct"/>
            <w:hideMark/>
          </w:tcPr>
          <w:p w14:paraId="4103EC80" w14:textId="77777777" w:rsidR="00446C8E" w:rsidRPr="006E6A6A" w:rsidRDefault="00446C8E" w:rsidP="00F25BE6">
            <w:pPr>
              <w:pStyle w:val="TableNText"/>
              <w:rPr>
                <w:lang w:eastAsia="en-AU"/>
              </w:rPr>
            </w:pPr>
            <w:r w:rsidRPr="006E6A6A">
              <w:rPr>
                <w:lang w:eastAsia="en-AU"/>
              </w:rPr>
              <w:t>Disclosure of Interest Policy</w:t>
            </w:r>
          </w:p>
        </w:tc>
        <w:tc>
          <w:tcPr>
            <w:tcW w:w="3413" w:type="pct"/>
            <w:hideMark/>
          </w:tcPr>
          <w:p w14:paraId="4E94D054" w14:textId="77777777" w:rsidR="00446C8E" w:rsidRPr="006E6A6A" w:rsidRDefault="00446C8E" w:rsidP="00F25BE6">
            <w:pPr>
              <w:pStyle w:val="TableNText"/>
              <w:rPr>
                <w:lang w:eastAsia="en-AU"/>
              </w:rPr>
            </w:pPr>
            <w:r>
              <w:rPr>
                <w:lang w:eastAsia="en-AU"/>
              </w:rPr>
              <w:t>Outlines</w:t>
            </w:r>
            <w:r w:rsidRPr="006E6A6A">
              <w:rPr>
                <w:lang w:eastAsia="en-AU"/>
              </w:rPr>
              <w:t xml:space="preserve"> the procedures for declaring any potential conflicts of interest</w:t>
            </w:r>
            <w:r>
              <w:rPr>
                <w:lang w:eastAsia="en-AU"/>
              </w:rPr>
              <w:t xml:space="preserve"> that arise as a result of participation in Executive Board Director or staff duties</w:t>
            </w:r>
            <w:r w:rsidRPr="006E6A6A">
              <w:rPr>
                <w:lang w:eastAsia="en-AU"/>
              </w:rPr>
              <w:t>.</w:t>
            </w:r>
          </w:p>
        </w:tc>
      </w:tr>
      <w:tr w:rsidR="00446C8E" w:rsidRPr="006E6A6A" w14:paraId="25AE35C4" w14:textId="77777777" w:rsidTr="002C4C27">
        <w:trPr>
          <w:cnfStyle w:val="000000010000" w:firstRow="0" w:lastRow="0" w:firstColumn="0" w:lastColumn="0" w:oddVBand="0" w:evenVBand="0" w:oddHBand="0" w:evenHBand="1" w:firstRowFirstColumn="0" w:firstRowLastColumn="0" w:lastRowFirstColumn="0" w:lastRowLastColumn="0"/>
        </w:trPr>
        <w:tc>
          <w:tcPr>
            <w:tcW w:w="1587" w:type="pct"/>
            <w:hideMark/>
          </w:tcPr>
          <w:p w14:paraId="79821EAF" w14:textId="77777777" w:rsidR="00446C8E" w:rsidRPr="006E6A6A" w:rsidRDefault="00446C8E" w:rsidP="00F25BE6">
            <w:pPr>
              <w:pStyle w:val="TableNText"/>
              <w:rPr>
                <w:lang w:eastAsia="en-AU"/>
              </w:rPr>
            </w:pPr>
            <w:r w:rsidRPr="006E6A6A">
              <w:rPr>
                <w:lang w:eastAsia="en-AU"/>
              </w:rPr>
              <w:t>Handling of Conflicts of Interest Policy</w:t>
            </w:r>
          </w:p>
        </w:tc>
        <w:tc>
          <w:tcPr>
            <w:tcW w:w="3413" w:type="pct"/>
            <w:hideMark/>
          </w:tcPr>
          <w:p w14:paraId="0FE029BF" w14:textId="77777777" w:rsidR="00446C8E" w:rsidRPr="006E6A6A" w:rsidRDefault="00446C8E" w:rsidP="00F25BE6">
            <w:pPr>
              <w:pStyle w:val="TableNText"/>
              <w:rPr>
                <w:lang w:eastAsia="en-AU"/>
              </w:rPr>
            </w:pPr>
            <w:r w:rsidRPr="006E6A6A">
              <w:rPr>
                <w:lang w:eastAsia="en-AU"/>
              </w:rPr>
              <w:t>Details the steps and processes for managing any conflicts of interest that arise.</w:t>
            </w:r>
          </w:p>
        </w:tc>
      </w:tr>
      <w:tr w:rsidR="00446C8E" w:rsidRPr="006E6A6A" w14:paraId="3907353D" w14:textId="77777777" w:rsidTr="002C4C27">
        <w:trPr>
          <w:cnfStyle w:val="000000100000" w:firstRow="0" w:lastRow="0" w:firstColumn="0" w:lastColumn="0" w:oddVBand="0" w:evenVBand="0" w:oddHBand="1" w:evenHBand="0" w:firstRowFirstColumn="0" w:firstRowLastColumn="0" w:lastRowFirstColumn="0" w:lastRowLastColumn="0"/>
        </w:trPr>
        <w:tc>
          <w:tcPr>
            <w:tcW w:w="1587" w:type="pct"/>
            <w:hideMark/>
          </w:tcPr>
          <w:p w14:paraId="27516E94" w14:textId="77777777" w:rsidR="00446C8E" w:rsidRPr="006E6A6A" w:rsidRDefault="00446C8E" w:rsidP="00F25BE6">
            <w:pPr>
              <w:pStyle w:val="TableNText"/>
              <w:rPr>
                <w:lang w:eastAsia="en-AU"/>
              </w:rPr>
            </w:pPr>
            <w:r w:rsidRPr="006E6A6A">
              <w:rPr>
                <w:lang w:eastAsia="en-AU"/>
              </w:rPr>
              <w:lastRenderedPageBreak/>
              <w:t>Directors</w:t>
            </w:r>
            <w:r>
              <w:rPr>
                <w:lang w:eastAsia="en-AU"/>
              </w:rPr>
              <w:t>’</w:t>
            </w:r>
            <w:r w:rsidRPr="006E6A6A">
              <w:rPr>
                <w:lang w:eastAsia="en-AU"/>
              </w:rPr>
              <w:t xml:space="preserve"> Declaration Form</w:t>
            </w:r>
          </w:p>
        </w:tc>
        <w:tc>
          <w:tcPr>
            <w:tcW w:w="3413" w:type="pct"/>
            <w:hideMark/>
          </w:tcPr>
          <w:p w14:paraId="7A0BFD74" w14:textId="77777777" w:rsidR="00446C8E" w:rsidRPr="006E6A6A" w:rsidRDefault="00446C8E" w:rsidP="00F25BE6">
            <w:pPr>
              <w:pStyle w:val="TableNText"/>
              <w:rPr>
                <w:lang w:eastAsia="en-AU"/>
              </w:rPr>
            </w:pPr>
            <w:r w:rsidRPr="006E6A6A">
              <w:rPr>
                <w:lang w:eastAsia="en-AU"/>
              </w:rPr>
              <w:t xml:space="preserve">A formal document for </w:t>
            </w:r>
            <w:r>
              <w:rPr>
                <w:lang w:eastAsia="en-AU"/>
              </w:rPr>
              <w:t xml:space="preserve">Executive Board Directors </w:t>
            </w:r>
            <w:r w:rsidRPr="006E6A6A">
              <w:rPr>
                <w:lang w:eastAsia="en-AU"/>
              </w:rPr>
              <w:t xml:space="preserve">to declare any </w:t>
            </w:r>
            <w:r>
              <w:rPr>
                <w:lang w:eastAsia="en-AU"/>
              </w:rPr>
              <w:t xml:space="preserve">conflict of </w:t>
            </w:r>
            <w:r w:rsidRPr="006E6A6A">
              <w:rPr>
                <w:lang w:eastAsia="en-AU"/>
              </w:rPr>
              <w:t>interests</w:t>
            </w:r>
            <w:r>
              <w:rPr>
                <w:lang w:eastAsia="en-AU"/>
              </w:rPr>
              <w:t>.</w:t>
            </w:r>
          </w:p>
        </w:tc>
      </w:tr>
      <w:tr w:rsidR="00446C8E" w:rsidRPr="006E6A6A" w14:paraId="12C60882" w14:textId="77777777" w:rsidTr="002C4C27">
        <w:trPr>
          <w:cnfStyle w:val="000000010000" w:firstRow="0" w:lastRow="0" w:firstColumn="0" w:lastColumn="0" w:oddVBand="0" w:evenVBand="0" w:oddHBand="0" w:evenHBand="1" w:firstRowFirstColumn="0" w:firstRowLastColumn="0" w:lastRowFirstColumn="0" w:lastRowLastColumn="0"/>
        </w:trPr>
        <w:tc>
          <w:tcPr>
            <w:tcW w:w="1587" w:type="pct"/>
            <w:hideMark/>
          </w:tcPr>
          <w:p w14:paraId="649246CA" w14:textId="5FDEEAAA" w:rsidR="00446C8E" w:rsidRPr="006E6A6A" w:rsidRDefault="00446C8E" w:rsidP="00F25BE6">
            <w:pPr>
              <w:pStyle w:val="TableNText"/>
              <w:rPr>
                <w:lang w:eastAsia="en-AU"/>
              </w:rPr>
            </w:pPr>
            <w:r w:rsidRPr="006E6A6A">
              <w:rPr>
                <w:lang w:eastAsia="en-AU"/>
              </w:rPr>
              <w:t>Directors</w:t>
            </w:r>
            <w:r w:rsidR="004C160C">
              <w:rPr>
                <w:lang w:eastAsia="en-AU"/>
              </w:rPr>
              <w:t>’</w:t>
            </w:r>
            <w:r w:rsidRPr="006E6A6A">
              <w:rPr>
                <w:lang w:eastAsia="en-AU"/>
              </w:rPr>
              <w:t xml:space="preserve"> Declaration of Private Interests Form</w:t>
            </w:r>
          </w:p>
        </w:tc>
        <w:tc>
          <w:tcPr>
            <w:tcW w:w="3413" w:type="pct"/>
            <w:hideMark/>
          </w:tcPr>
          <w:p w14:paraId="5AB2A738" w14:textId="054C1B77" w:rsidR="00446C8E" w:rsidRPr="006E6A6A" w:rsidRDefault="00446C8E" w:rsidP="00F25BE6">
            <w:pPr>
              <w:pStyle w:val="TableNText"/>
              <w:rPr>
                <w:lang w:eastAsia="en-AU"/>
              </w:rPr>
            </w:pPr>
            <w:r w:rsidRPr="006E6A6A">
              <w:rPr>
                <w:lang w:eastAsia="en-AU"/>
              </w:rPr>
              <w:t xml:space="preserve">Allows </w:t>
            </w:r>
            <w:r w:rsidR="001A7A6F">
              <w:rPr>
                <w:lang w:eastAsia="en-AU"/>
              </w:rPr>
              <w:t xml:space="preserve">Executive Board </w:t>
            </w:r>
            <w:r w:rsidR="004C160C">
              <w:rPr>
                <w:lang w:eastAsia="en-AU"/>
              </w:rPr>
              <w:t>Directors</w:t>
            </w:r>
            <w:r w:rsidRPr="006E6A6A">
              <w:rPr>
                <w:lang w:eastAsia="en-AU"/>
              </w:rPr>
              <w:t xml:space="preserve"> to declare private interests that could potentially conflict with their organi</w:t>
            </w:r>
            <w:r>
              <w:rPr>
                <w:lang w:eastAsia="en-AU"/>
              </w:rPr>
              <w:t>s</w:t>
            </w:r>
            <w:r w:rsidRPr="006E6A6A">
              <w:rPr>
                <w:lang w:eastAsia="en-AU"/>
              </w:rPr>
              <w:t>ational roles.</w:t>
            </w:r>
          </w:p>
        </w:tc>
      </w:tr>
    </w:tbl>
    <w:p w14:paraId="52410BB0" w14:textId="6ED951DE" w:rsidR="00446C8E" w:rsidRDefault="00F25BE6" w:rsidP="00446C8E">
      <w:pPr>
        <w:rPr>
          <w:lang w:eastAsia="en-AU"/>
        </w:rPr>
      </w:pPr>
      <w:r>
        <w:rPr>
          <w:lang w:eastAsia="en-AU"/>
        </w:rPr>
        <w:br/>
      </w:r>
      <w:r w:rsidR="00DD647A">
        <w:rPr>
          <w:lang w:eastAsia="en-AU"/>
        </w:rPr>
        <w:t>A</w:t>
      </w:r>
      <w:r w:rsidR="00DD647A" w:rsidRPr="009D598E">
        <w:rPr>
          <w:lang w:eastAsia="en-AU"/>
        </w:rPr>
        <w:t>t the time of consultation in August 2023</w:t>
      </w:r>
      <w:r w:rsidR="00DD647A">
        <w:rPr>
          <w:lang w:eastAsia="en-AU"/>
        </w:rPr>
        <w:t>,</w:t>
      </w:r>
      <w:r w:rsidR="00DD647A" w:rsidRPr="009D598E">
        <w:rPr>
          <w:lang w:eastAsia="en-AU"/>
        </w:rPr>
        <w:t xml:space="preserve"> </w:t>
      </w:r>
      <w:r w:rsidR="004C160C" w:rsidRPr="009D598E">
        <w:rPr>
          <w:lang w:eastAsia="en-AU"/>
        </w:rPr>
        <w:t>KLC staff and Executive Board Directors indicated that these policies had been strictly followed during the Review period</w:t>
      </w:r>
      <w:r w:rsidR="00110EF0">
        <w:rPr>
          <w:lang w:eastAsia="en-AU"/>
        </w:rPr>
        <w:t xml:space="preserve">; </w:t>
      </w:r>
      <w:r w:rsidR="000F5225">
        <w:rPr>
          <w:lang w:eastAsia="en-AU"/>
        </w:rPr>
        <w:t>t</w:t>
      </w:r>
      <w:r w:rsidR="00DA2901">
        <w:rPr>
          <w:lang w:eastAsia="en-AU"/>
        </w:rPr>
        <w:t>his</w:t>
      </w:r>
      <w:r w:rsidR="00DA2901" w:rsidDel="00DD647A">
        <w:rPr>
          <w:lang w:eastAsia="en-AU"/>
        </w:rPr>
        <w:t xml:space="preserve"> </w:t>
      </w:r>
      <w:r w:rsidR="00DD647A">
        <w:rPr>
          <w:lang w:eastAsia="en-AU"/>
        </w:rPr>
        <w:t xml:space="preserve">was </w:t>
      </w:r>
      <w:r w:rsidR="00DA2901">
        <w:rPr>
          <w:lang w:eastAsia="en-AU"/>
        </w:rPr>
        <w:t xml:space="preserve">supported by </w:t>
      </w:r>
      <w:r w:rsidR="0055790D">
        <w:rPr>
          <w:lang w:eastAsia="en-AU"/>
        </w:rPr>
        <w:t xml:space="preserve">documentation received </w:t>
      </w:r>
      <w:r w:rsidR="00DD647A">
        <w:rPr>
          <w:lang w:eastAsia="en-AU"/>
        </w:rPr>
        <w:t xml:space="preserve">by </w:t>
      </w:r>
      <w:r w:rsidR="0055790D">
        <w:rPr>
          <w:lang w:eastAsia="en-AU"/>
        </w:rPr>
        <w:t xml:space="preserve">the Review. </w:t>
      </w:r>
      <w:r w:rsidR="00DD647A">
        <w:rPr>
          <w:lang w:eastAsia="en-AU"/>
        </w:rPr>
        <w:t xml:space="preserve">However, </w:t>
      </w:r>
      <w:r w:rsidR="000F5225">
        <w:rPr>
          <w:lang w:eastAsia="en-AU"/>
        </w:rPr>
        <w:t>i</w:t>
      </w:r>
      <w:r w:rsidR="00690E8C">
        <w:rPr>
          <w:lang w:eastAsia="en-AU"/>
        </w:rPr>
        <w:t xml:space="preserve">t is not possible to identify whether </w:t>
      </w:r>
      <w:r w:rsidR="007C2591">
        <w:rPr>
          <w:lang w:eastAsia="en-AU"/>
        </w:rPr>
        <w:t>any undeclared conflicts were identified</w:t>
      </w:r>
      <w:r w:rsidR="00690E8C">
        <w:rPr>
          <w:lang w:eastAsia="en-AU"/>
        </w:rPr>
        <w:t>.</w:t>
      </w:r>
    </w:p>
    <w:p w14:paraId="7135B767" w14:textId="17B3A3A8" w:rsidR="00F82B50" w:rsidRPr="00A020C8" w:rsidRDefault="00E73428" w:rsidP="00A020C8">
      <w:pPr>
        <w:pStyle w:val="Heading5"/>
      </w:pPr>
      <w:r>
        <w:t xml:space="preserve">Some Traditional Owners </w:t>
      </w:r>
      <w:r w:rsidR="0034428E">
        <w:t>raised concerns about</w:t>
      </w:r>
      <w:r w:rsidR="00F82B50" w:rsidRPr="00A020C8">
        <w:t xml:space="preserve"> how well these policies limit inappropriate influence in decision-making</w:t>
      </w:r>
    </w:p>
    <w:p w14:paraId="79338A43" w14:textId="3D8293A7" w:rsidR="005A4684" w:rsidRDefault="00F82B50" w:rsidP="00B1039F">
      <w:pPr>
        <w:rPr>
          <w:lang w:eastAsia="en-AU"/>
        </w:rPr>
      </w:pPr>
      <w:r w:rsidRPr="231D041B">
        <w:rPr>
          <w:lang w:eastAsia="en-AU"/>
        </w:rPr>
        <w:t xml:space="preserve">Despite </w:t>
      </w:r>
      <w:r w:rsidR="004C075B" w:rsidRPr="231D041B">
        <w:rPr>
          <w:lang w:eastAsia="en-AU"/>
        </w:rPr>
        <w:t xml:space="preserve">the existence of these </w:t>
      </w:r>
      <w:r w:rsidR="00BC3DD2" w:rsidRPr="231D041B">
        <w:rPr>
          <w:lang w:eastAsia="en-AU"/>
        </w:rPr>
        <w:t xml:space="preserve">policies and processes, </w:t>
      </w:r>
      <w:r w:rsidR="00315A1B" w:rsidRPr="231D041B">
        <w:rPr>
          <w:lang w:eastAsia="en-AU"/>
        </w:rPr>
        <w:t>a</w:t>
      </w:r>
      <w:r w:rsidR="00315A1B" w:rsidRPr="231D041B">
        <w:rPr>
          <w:rFonts w:eastAsia="Times New Roman" w:cs="Times New Roman"/>
          <w:lang w:eastAsia="en-AU"/>
        </w:rPr>
        <w:t xml:space="preserve"> fairly common theme in conversations with Traditional Owners who contacted the Review was that Executive Board members appeared to them to </w:t>
      </w:r>
      <w:r w:rsidR="00506E92" w:rsidRPr="231D041B">
        <w:rPr>
          <w:rFonts w:eastAsia="Times New Roman" w:cs="Times New Roman"/>
          <w:lang w:eastAsia="en-AU"/>
        </w:rPr>
        <w:t>exert</w:t>
      </w:r>
      <w:r w:rsidR="00315A1B" w:rsidRPr="231D041B">
        <w:rPr>
          <w:rFonts w:eastAsia="Times New Roman" w:cs="Times New Roman"/>
          <w:lang w:eastAsia="en-AU"/>
        </w:rPr>
        <w:t xml:space="preserve"> significant inappropriate influence over operational decisions of the KLC. T</w:t>
      </w:r>
      <w:r w:rsidRPr="231D041B">
        <w:rPr>
          <w:lang w:eastAsia="en-AU"/>
        </w:rPr>
        <w:t xml:space="preserve">here was a general concern among </w:t>
      </w:r>
      <w:r w:rsidR="00315A1B" w:rsidRPr="231D041B">
        <w:rPr>
          <w:lang w:eastAsia="en-AU"/>
        </w:rPr>
        <w:t>these</w:t>
      </w:r>
      <w:r w:rsidRPr="231D041B">
        <w:rPr>
          <w:lang w:eastAsia="en-AU"/>
        </w:rPr>
        <w:t xml:space="preserve"> Traditional Owners that decisions</w:t>
      </w:r>
      <w:r w:rsidR="00E2422B" w:rsidRPr="231D041B">
        <w:rPr>
          <w:lang w:eastAsia="en-AU"/>
        </w:rPr>
        <w:t xml:space="preserve"> made by the KLC</w:t>
      </w:r>
      <w:r w:rsidRPr="231D041B">
        <w:rPr>
          <w:lang w:eastAsia="en-AU"/>
        </w:rPr>
        <w:t xml:space="preserve"> were influenced by favouritism towards those with close ties to Executive Board Director</w:t>
      </w:r>
      <w:r w:rsidR="00361D19" w:rsidRPr="231D041B">
        <w:rPr>
          <w:lang w:eastAsia="en-AU"/>
        </w:rPr>
        <w:t>s</w:t>
      </w:r>
      <w:r w:rsidRPr="231D041B">
        <w:rPr>
          <w:lang w:eastAsia="en-AU"/>
        </w:rPr>
        <w:t xml:space="preserve"> or staff. </w:t>
      </w:r>
      <w:r w:rsidR="00315A1B" w:rsidRPr="231D041B">
        <w:rPr>
          <w:lang w:eastAsia="en-AU"/>
        </w:rPr>
        <w:t>These Traditional Owners</w:t>
      </w:r>
      <w:r w:rsidR="004F583F" w:rsidRPr="231D041B">
        <w:rPr>
          <w:lang w:eastAsia="en-AU"/>
        </w:rPr>
        <w:t xml:space="preserve"> held the</w:t>
      </w:r>
      <w:r w:rsidR="0058707A" w:rsidRPr="231D041B">
        <w:rPr>
          <w:lang w:eastAsia="en-AU"/>
        </w:rPr>
        <w:t xml:space="preserve"> view that a core of powerful and influential people</w:t>
      </w:r>
      <w:r w:rsidR="00C63719" w:rsidRPr="231D041B">
        <w:rPr>
          <w:lang w:eastAsia="en-AU"/>
        </w:rPr>
        <w:t xml:space="preserve"> swayed the KLC’s decisions </w:t>
      </w:r>
      <w:r w:rsidR="001277AD" w:rsidRPr="231D041B">
        <w:rPr>
          <w:lang w:eastAsia="en-AU"/>
        </w:rPr>
        <w:t>to benefit</w:t>
      </w:r>
      <w:r w:rsidR="00C63719" w:rsidRPr="231D041B">
        <w:rPr>
          <w:lang w:eastAsia="en-AU"/>
        </w:rPr>
        <w:t xml:space="preserve"> themselves</w:t>
      </w:r>
      <w:r w:rsidR="001277AD" w:rsidRPr="231D041B">
        <w:rPr>
          <w:lang w:eastAsia="en-AU"/>
        </w:rPr>
        <w:t xml:space="preserve"> or </w:t>
      </w:r>
      <w:r w:rsidR="001A6C5B" w:rsidRPr="231D041B">
        <w:rPr>
          <w:lang w:eastAsia="en-AU"/>
        </w:rPr>
        <w:t>those close to them</w:t>
      </w:r>
      <w:r w:rsidR="001277AD" w:rsidRPr="231D041B">
        <w:rPr>
          <w:lang w:eastAsia="en-AU"/>
        </w:rPr>
        <w:t>.</w:t>
      </w:r>
      <w:r w:rsidR="005A4684" w:rsidRPr="231D041B">
        <w:rPr>
          <w:rFonts w:eastAsia="Times New Roman" w:cs="Times New Roman"/>
          <w:lang w:eastAsia="en-AU"/>
        </w:rPr>
        <w:t xml:space="preserve"> When this had been raised</w:t>
      </w:r>
      <w:r w:rsidR="004272D0" w:rsidRPr="231D041B">
        <w:rPr>
          <w:rFonts w:eastAsia="Times New Roman" w:cs="Times New Roman"/>
          <w:lang w:eastAsia="en-AU"/>
        </w:rPr>
        <w:t xml:space="preserve"> by them</w:t>
      </w:r>
      <w:r w:rsidR="005A4684" w:rsidRPr="231D041B">
        <w:rPr>
          <w:rFonts w:eastAsia="Times New Roman" w:cs="Times New Roman"/>
          <w:lang w:eastAsia="en-AU"/>
        </w:rPr>
        <w:t xml:space="preserve"> with KLC staff, </w:t>
      </w:r>
      <w:r w:rsidR="00C879FA" w:rsidRPr="231D041B">
        <w:rPr>
          <w:rFonts w:eastAsia="Times New Roman" w:cs="Times New Roman"/>
          <w:lang w:eastAsia="en-AU"/>
        </w:rPr>
        <w:t xml:space="preserve">these </w:t>
      </w:r>
      <w:r w:rsidR="005A4684" w:rsidRPr="231D041B">
        <w:rPr>
          <w:rFonts w:eastAsia="Times New Roman" w:cs="Times New Roman"/>
          <w:lang w:eastAsia="en-AU"/>
        </w:rPr>
        <w:t>Traditional Owners felt that staff had been reluctant to rectify these matters.</w:t>
      </w:r>
      <w:r w:rsidR="008D67CB" w:rsidRPr="231D041B">
        <w:rPr>
          <w:rFonts w:eastAsia="Times New Roman" w:cs="Times New Roman"/>
          <w:lang w:eastAsia="en-AU"/>
        </w:rPr>
        <w:t xml:space="preserve"> </w:t>
      </w:r>
      <w:r w:rsidR="000F5564" w:rsidRPr="231D041B">
        <w:rPr>
          <w:rFonts w:eastAsia="Times New Roman" w:cs="Times New Roman"/>
          <w:lang w:eastAsia="en-AU"/>
        </w:rPr>
        <w:t>T</w:t>
      </w:r>
      <w:r w:rsidR="000F7060" w:rsidRPr="231D041B">
        <w:rPr>
          <w:rFonts w:eastAsia="Times New Roman" w:cs="Times New Roman"/>
          <w:lang w:eastAsia="en-AU"/>
        </w:rPr>
        <w:t xml:space="preserve">he Review </w:t>
      </w:r>
      <w:r w:rsidR="00AE72FA" w:rsidRPr="231D041B">
        <w:rPr>
          <w:rFonts w:eastAsia="Times New Roman" w:cs="Times New Roman"/>
          <w:lang w:eastAsia="en-AU"/>
        </w:rPr>
        <w:t xml:space="preserve">notes that </w:t>
      </w:r>
      <w:r w:rsidR="00AE72FA" w:rsidRPr="00BC2814">
        <w:rPr>
          <w:lang w:eastAsia="en-AU"/>
        </w:rPr>
        <w:t>these concerns</w:t>
      </w:r>
      <w:r w:rsidR="0095231F" w:rsidRPr="00BC2814">
        <w:rPr>
          <w:lang w:eastAsia="en-AU"/>
        </w:rPr>
        <w:t xml:space="preserve"> were voiced by Traditional Owners </w:t>
      </w:r>
      <w:r w:rsidR="00FF7710" w:rsidRPr="00BC2814">
        <w:rPr>
          <w:lang w:eastAsia="en-AU"/>
        </w:rPr>
        <w:t xml:space="preserve">who were dissatisfied with </w:t>
      </w:r>
      <w:r w:rsidR="0033477D" w:rsidRPr="00BC2814">
        <w:rPr>
          <w:lang w:eastAsia="en-AU"/>
        </w:rPr>
        <w:t xml:space="preserve">decisions made by </w:t>
      </w:r>
      <w:r w:rsidR="0033477D" w:rsidRPr="005D17D6">
        <w:rPr>
          <w:lang w:eastAsia="en-AU"/>
        </w:rPr>
        <w:t>KLC</w:t>
      </w:r>
      <w:r w:rsidR="00BC2814">
        <w:rPr>
          <w:lang w:eastAsia="en-AU"/>
        </w:rPr>
        <w:t xml:space="preserve"> and as</w:t>
      </w:r>
      <w:r w:rsidR="001A3E2D" w:rsidRPr="005D17D6">
        <w:rPr>
          <w:lang w:eastAsia="en-AU"/>
        </w:rPr>
        <w:t xml:space="preserve"> noted elsewhere in this report, the Review did not verify the validity of these concerns</w:t>
      </w:r>
      <w:r w:rsidR="000F5564" w:rsidRPr="231D041B">
        <w:rPr>
          <w:rFonts w:eastAsia="Times New Roman" w:cs="Times New Roman"/>
          <w:lang w:eastAsia="en-AU"/>
        </w:rPr>
        <w:t xml:space="preserve">. </w:t>
      </w:r>
      <w:r w:rsidR="00110EF0" w:rsidRPr="231D041B">
        <w:rPr>
          <w:rFonts w:eastAsia="Times New Roman" w:cs="Times New Roman"/>
          <w:lang w:eastAsia="en-AU"/>
        </w:rPr>
        <w:t>Nevertheless,</w:t>
      </w:r>
      <w:r w:rsidR="007C3778" w:rsidRPr="231D041B">
        <w:rPr>
          <w:rFonts w:eastAsia="Times New Roman" w:cs="Times New Roman"/>
          <w:lang w:eastAsia="en-AU"/>
        </w:rPr>
        <w:t xml:space="preserve"> the existence of these perceptions </w:t>
      </w:r>
      <w:r w:rsidR="007C3778">
        <w:t xml:space="preserve">reinforces the </w:t>
      </w:r>
      <w:r w:rsidR="00AE72FA">
        <w:t xml:space="preserve">ongoing </w:t>
      </w:r>
      <w:r w:rsidR="007C3778">
        <w:t xml:space="preserve">need for decisions made by the Board and by </w:t>
      </w:r>
      <w:r w:rsidR="00110EF0">
        <w:t xml:space="preserve">KLC </w:t>
      </w:r>
      <w:r w:rsidR="007C3778">
        <w:t>staff to be as transparent and open as possible and communicated in a culturally appropriate manner.</w:t>
      </w:r>
    </w:p>
    <w:p w14:paraId="1CD1A235" w14:textId="2117829E" w:rsidR="00B269F8" w:rsidRDefault="006355F0" w:rsidP="00A34CFB">
      <w:pPr>
        <w:spacing w:after="0"/>
        <w:textAlignment w:val="baseline"/>
        <w:rPr>
          <w:rFonts w:cs="Segoe UI"/>
        </w:rPr>
      </w:pPr>
      <w:r w:rsidRPr="231D041B">
        <w:rPr>
          <w:rFonts w:cs="Segoe UI"/>
        </w:rPr>
        <w:t>A further concern raised with the Review by some Traditional Owners was t</w:t>
      </w:r>
      <w:r w:rsidR="007F2699" w:rsidRPr="231D041B">
        <w:rPr>
          <w:rFonts w:cs="Segoe UI"/>
        </w:rPr>
        <w:t xml:space="preserve">he cross-over of </w:t>
      </w:r>
      <w:r w:rsidR="00110EF0">
        <w:rPr>
          <w:rFonts w:cs="Segoe UI"/>
        </w:rPr>
        <w:t>B</w:t>
      </w:r>
      <w:r w:rsidR="0042217C" w:rsidRPr="231D041B">
        <w:rPr>
          <w:rFonts w:cs="Segoe UI"/>
        </w:rPr>
        <w:t>oard</w:t>
      </w:r>
      <w:r w:rsidR="007F2699" w:rsidRPr="231D041B">
        <w:rPr>
          <w:rFonts w:cs="Segoe UI"/>
        </w:rPr>
        <w:t xml:space="preserve"> membership </w:t>
      </w:r>
      <w:r w:rsidR="00FD42F3" w:rsidRPr="231D041B">
        <w:rPr>
          <w:rFonts w:cs="Segoe UI"/>
        </w:rPr>
        <w:t>with</w:t>
      </w:r>
      <w:r w:rsidR="007F2699" w:rsidRPr="231D041B">
        <w:rPr>
          <w:rFonts w:cs="Segoe UI"/>
        </w:rPr>
        <w:t xml:space="preserve"> </w:t>
      </w:r>
      <w:r w:rsidR="00D51E42" w:rsidRPr="231D041B">
        <w:rPr>
          <w:rFonts w:cs="Segoe UI"/>
        </w:rPr>
        <w:t xml:space="preserve">other </w:t>
      </w:r>
      <w:r w:rsidR="00114440" w:rsidRPr="231D041B">
        <w:rPr>
          <w:rFonts w:cs="Segoe UI"/>
        </w:rPr>
        <w:t xml:space="preserve">related </w:t>
      </w:r>
      <w:r w:rsidR="00D51E42" w:rsidRPr="231D041B">
        <w:rPr>
          <w:rFonts w:cs="Segoe UI"/>
        </w:rPr>
        <w:t>organisations</w:t>
      </w:r>
      <w:r w:rsidR="00FD42F3" w:rsidRPr="231D041B">
        <w:rPr>
          <w:rFonts w:cs="Segoe UI"/>
        </w:rPr>
        <w:t xml:space="preserve">, </w:t>
      </w:r>
      <w:r w:rsidR="00114440" w:rsidRPr="231D041B">
        <w:rPr>
          <w:rFonts w:cs="Segoe UI"/>
        </w:rPr>
        <w:t xml:space="preserve">including </w:t>
      </w:r>
      <w:r w:rsidR="002958D2" w:rsidRPr="231D041B">
        <w:rPr>
          <w:rFonts w:cs="Segoe UI"/>
        </w:rPr>
        <w:t>the KSDCT</w:t>
      </w:r>
      <w:r w:rsidR="005D2933" w:rsidRPr="231D041B">
        <w:rPr>
          <w:rFonts w:cs="Segoe UI"/>
        </w:rPr>
        <w:t>, KRED and PBC Boards</w:t>
      </w:r>
      <w:r w:rsidR="005502A7" w:rsidRPr="231D041B">
        <w:rPr>
          <w:rFonts w:cs="Segoe UI"/>
        </w:rPr>
        <w:t xml:space="preserve">, </w:t>
      </w:r>
      <w:r w:rsidR="00FD42F3" w:rsidRPr="231D041B">
        <w:rPr>
          <w:rFonts w:cs="Segoe UI"/>
        </w:rPr>
        <w:t>which was seen</w:t>
      </w:r>
      <w:r w:rsidR="002958D2" w:rsidRPr="231D041B">
        <w:rPr>
          <w:rFonts w:cs="Segoe UI"/>
        </w:rPr>
        <w:t xml:space="preserve"> by these commentators</w:t>
      </w:r>
      <w:r w:rsidR="00FD42F3" w:rsidRPr="231D041B">
        <w:rPr>
          <w:rFonts w:cs="Segoe UI"/>
        </w:rPr>
        <w:t xml:space="preserve"> to </w:t>
      </w:r>
      <w:r w:rsidR="00506E92" w:rsidRPr="231D041B">
        <w:rPr>
          <w:rFonts w:cs="Segoe UI"/>
        </w:rPr>
        <w:t>concentrate too many interests in</w:t>
      </w:r>
      <w:r w:rsidR="005502A7" w:rsidRPr="231D041B">
        <w:rPr>
          <w:rFonts w:cs="Segoe UI"/>
        </w:rPr>
        <w:t xml:space="preserve"> key players</w:t>
      </w:r>
      <w:r w:rsidR="00905BDA" w:rsidRPr="231D041B">
        <w:rPr>
          <w:rFonts w:cs="Segoe UI"/>
        </w:rPr>
        <w:t xml:space="preserve">. </w:t>
      </w:r>
      <w:r w:rsidR="0036558A" w:rsidRPr="231D041B">
        <w:rPr>
          <w:rFonts w:cs="Segoe UI"/>
        </w:rPr>
        <w:t xml:space="preserve">While these interests would be covered by </w:t>
      </w:r>
      <w:r w:rsidR="008A7C96" w:rsidRPr="231D041B">
        <w:rPr>
          <w:rFonts w:cs="Segoe UI"/>
        </w:rPr>
        <w:t xml:space="preserve">the KLC’s conflict of interest </w:t>
      </w:r>
      <w:r w:rsidR="003B0F21" w:rsidRPr="231D041B">
        <w:rPr>
          <w:rFonts w:cs="Segoe UI"/>
        </w:rPr>
        <w:t>policies and processes, the perceptions nevertheless lingered amongst some</w:t>
      </w:r>
      <w:r w:rsidR="00A34CFB" w:rsidRPr="231D041B">
        <w:rPr>
          <w:rFonts w:cs="Segoe UI"/>
        </w:rPr>
        <w:t xml:space="preserve"> Traditional Owners.</w:t>
      </w:r>
    </w:p>
    <w:p w14:paraId="666577A8" w14:textId="6CBAEF8F" w:rsidR="00B4771B" w:rsidRDefault="00C8584E" w:rsidP="00B4771B">
      <w:pPr>
        <w:pStyle w:val="Heading5"/>
      </w:pPr>
      <w:r w:rsidRPr="00B4771B">
        <w:t xml:space="preserve">Traditional Owner concerns led to an </w:t>
      </w:r>
      <w:r w:rsidR="00205A7A" w:rsidRPr="75CE137A">
        <w:t xml:space="preserve">independent </w:t>
      </w:r>
      <w:r w:rsidRPr="00B4771B">
        <w:t xml:space="preserve">investigation into </w:t>
      </w:r>
      <w:r w:rsidR="00921F4F">
        <w:t xml:space="preserve">the </w:t>
      </w:r>
      <w:r w:rsidR="00725AEE" w:rsidRPr="00B4771B">
        <w:t>KLC’s trustee subsidiary, the KSDCT</w:t>
      </w:r>
      <w:r w:rsidR="00F70D33" w:rsidRPr="00B4771B">
        <w:t xml:space="preserve">, which found no evidence </w:t>
      </w:r>
      <w:r w:rsidR="004D21DE" w:rsidRPr="00B4771B">
        <w:t>of wrong-doing</w:t>
      </w:r>
      <w:r w:rsidR="00F70D33" w:rsidRPr="00B4771B">
        <w:t xml:space="preserve"> </w:t>
      </w:r>
    </w:p>
    <w:p w14:paraId="49198046" w14:textId="55785139" w:rsidR="005E39DB" w:rsidRPr="00483C32" w:rsidRDefault="005E39DB" w:rsidP="00C82E75">
      <w:pPr>
        <w:rPr>
          <w:b/>
          <w:szCs w:val="19"/>
        </w:rPr>
      </w:pPr>
      <w:r w:rsidRPr="00483C32">
        <w:t xml:space="preserve">The KSDCT was established </w:t>
      </w:r>
      <w:r w:rsidR="00830251" w:rsidRPr="00483C32">
        <w:t xml:space="preserve">over </w:t>
      </w:r>
      <w:r w:rsidRPr="00483C32">
        <w:t xml:space="preserve">20 years ago as a low-cost alternative to commercial for-profit trustees. </w:t>
      </w:r>
      <w:r w:rsidR="00830251" w:rsidRPr="00483C32">
        <w:t xml:space="preserve">Its </w:t>
      </w:r>
      <w:r w:rsidRPr="00483C32">
        <w:t>primary purpose</w:t>
      </w:r>
      <w:r w:rsidR="00830251" w:rsidRPr="00483C32">
        <w:t xml:space="preserve"> </w:t>
      </w:r>
      <w:r w:rsidRPr="00483C32">
        <w:t>is to ensure that</w:t>
      </w:r>
      <w:r w:rsidRPr="00483C32" w:rsidDel="00506E92">
        <w:t xml:space="preserve"> </w:t>
      </w:r>
      <w:r w:rsidRPr="00483C32">
        <w:t xml:space="preserve">funds under management </w:t>
      </w:r>
      <w:r w:rsidR="005E4D9D" w:rsidRPr="00483C32">
        <w:t>(</w:t>
      </w:r>
      <w:r w:rsidR="000159EC">
        <w:t>native title funds from mining and exploration agreements</w:t>
      </w:r>
      <w:r w:rsidR="005E234F" w:rsidRPr="00483C32">
        <w:t xml:space="preserve">) </w:t>
      </w:r>
      <w:r w:rsidRPr="00483C32">
        <w:t xml:space="preserve">are preserved </w:t>
      </w:r>
      <w:r w:rsidR="000B7187">
        <w:t xml:space="preserve">– </w:t>
      </w:r>
      <w:r w:rsidRPr="00483C32">
        <w:t xml:space="preserve">and where possible </w:t>
      </w:r>
      <w:r w:rsidR="00830251" w:rsidRPr="00483C32">
        <w:t xml:space="preserve">grown </w:t>
      </w:r>
      <w:r w:rsidR="000B7187">
        <w:t xml:space="preserve">– </w:t>
      </w:r>
      <w:r w:rsidR="00830251" w:rsidRPr="00483C32">
        <w:rPr>
          <w:szCs w:val="19"/>
        </w:rPr>
        <w:t>and</w:t>
      </w:r>
      <w:r w:rsidRPr="00483C32">
        <w:rPr>
          <w:szCs w:val="19"/>
        </w:rPr>
        <w:t xml:space="preserve"> spent on beneficiaries of the trust rather than </w:t>
      </w:r>
      <w:r w:rsidR="00F8600F">
        <w:rPr>
          <w:szCs w:val="19"/>
        </w:rPr>
        <w:t xml:space="preserve">on </w:t>
      </w:r>
      <w:r w:rsidRPr="00483C32">
        <w:rPr>
          <w:szCs w:val="19"/>
        </w:rPr>
        <w:t>operating expenses.</w:t>
      </w:r>
      <w:r w:rsidR="00830251" w:rsidRPr="00483C32">
        <w:rPr>
          <w:szCs w:val="19"/>
        </w:rPr>
        <w:t xml:space="preserve"> The </w:t>
      </w:r>
      <w:r w:rsidR="009E5097" w:rsidRPr="00483C32">
        <w:t>KSDCT</w:t>
      </w:r>
      <w:r w:rsidR="00830251" w:rsidRPr="00483C32" w:rsidDel="009E5097">
        <w:t xml:space="preserve"> </w:t>
      </w:r>
      <w:r w:rsidR="00830251" w:rsidRPr="00483C32">
        <w:rPr>
          <w:szCs w:val="19"/>
        </w:rPr>
        <w:t xml:space="preserve">is </w:t>
      </w:r>
      <w:r w:rsidRPr="00483C32">
        <w:rPr>
          <w:szCs w:val="19"/>
        </w:rPr>
        <w:t>administered by a corporate trustee, KSD, which is a wholly owned subsidiary of the KLC.</w:t>
      </w:r>
      <w:r w:rsidR="009B6F78" w:rsidRPr="00483C32">
        <w:rPr>
          <w:szCs w:val="19"/>
        </w:rPr>
        <w:t xml:space="preserve"> The KS</w:t>
      </w:r>
      <w:r w:rsidR="00AD251C" w:rsidRPr="00483C32">
        <w:rPr>
          <w:szCs w:val="19"/>
        </w:rPr>
        <w:t xml:space="preserve">D </w:t>
      </w:r>
      <w:r w:rsidR="00FA450C">
        <w:rPr>
          <w:szCs w:val="19"/>
        </w:rPr>
        <w:t>administers the funds</w:t>
      </w:r>
      <w:r w:rsidR="00A4707E">
        <w:rPr>
          <w:szCs w:val="19"/>
        </w:rPr>
        <w:t xml:space="preserve"> </w:t>
      </w:r>
      <w:r w:rsidR="00FA4988" w:rsidRPr="00483C32">
        <w:rPr>
          <w:szCs w:val="19"/>
        </w:rPr>
        <w:t>on behalf of native title holders</w:t>
      </w:r>
      <w:r w:rsidR="006C5AC4" w:rsidRPr="00483C32">
        <w:rPr>
          <w:szCs w:val="19"/>
        </w:rPr>
        <w:t>.</w:t>
      </w:r>
      <w:r w:rsidRPr="00483C32">
        <w:rPr>
          <w:szCs w:val="19"/>
        </w:rPr>
        <w:t xml:space="preserve"> The trustee is governed by an independent Board</w:t>
      </w:r>
      <w:r w:rsidR="00842470" w:rsidRPr="00483C32">
        <w:rPr>
          <w:szCs w:val="19"/>
        </w:rPr>
        <w:t xml:space="preserve"> and the KLC</w:t>
      </w:r>
      <w:r w:rsidR="001C7A38" w:rsidRPr="00483C32">
        <w:rPr>
          <w:szCs w:val="19"/>
        </w:rPr>
        <w:t xml:space="preserve"> does not directly manage</w:t>
      </w:r>
      <w:r w:rsidR="00F648CF" w:rsidRPr="00483C32">
        <w:rPr>
          <w:szCs w:val="19"/>
        </w:rPr>
        <w:t xml:space="preserve"> </w:t>
      </w:r>
      <w:r w:rsidR="00C103E8" w:rsidRPr="00483C32">
        <w:rPr>
          <w:szCs w:val="19"/>
        </w:rPr>
        <w:t>either KSD</w:t>
      </w:r>
      <w:r w:rsidR="00F648CF" w:rsidRPr="00483C32">
        <w:rPr>
          <w:szCs w:val="19"/>
        </w:rPr>
        <w:t xml:space="preserve"> or the administration of the KSDCT.</w:t>
      </w:r>
    </w:p>
    <w:p w14:paraId="43B294C0" w14:textId="6FBC7DCA" w:rsidR="00476BB5" w:rsidRPr="001D611B" w:rsidRDefault="00476BB5" w:rsidP="00476BB5">
      <w:pPr>
        <w:rPr>
          <w:lang w:eastAsia="en-AU"/>
        </w:rPr>
      </w:pPr>
      <w:r>
        <w:rPr>
          <w:lang w:eastAsia="en-AU"/>
        </w:rPr>
        <w:t xml:space="preserve">As referenced earlier, Traditional Owners shared concerns that there may </w:t>
      </w:r>
      <w:r w:rsidR="009E5097">
        <w:rPr>
          <w:lang w:eastAsia="en-AU"/>
        </w:rPr>
        <w:t>have been</w:t>
      </w:r>
      <w:r>
        <w:rPr>
          <w:lang w:eastAsia="en-AU"/>
        </w:rPr>
        <w:t xml:space="preserve"> conflicts of interest resulting from the overlap of KLC and KSDCT </w:t>
      </w:r>
      <w:r w:rsidR="00B20CC0">
        <w:rPr>
          <w:lang w:eastAsia="en-AU"/>
        </w:rPr>
        <w:t xml:space="preserve">Board </w:t>
      </w:r>
      <w:r>
        <w:rPr>
          <w:lang w:eastAsia="en-AU"/>
        </w:rPr>
        <w:t xml:space="preserve">membership. While KLC has conflict of interest processes in place, </w:t>
      </w:r>
      <w:r w:rsidR="00CC3E99">
        <w:rPr>
          <w:lang w:eastAsia="en-AU"/>
        </w:rPr>
        <w:t xml:space="preserve">some </w:t>
      </w:r>
      <w:r>
        <w:rPr>
          <w:lang w:eastAsia="en-AU"/>
        </w:rPr>
        <w:t xml:space="preserve">Traditional Owners </w:t>
      </w:r>
      <w:r w:rsidR="00B20CC0">
        <w:rPr>
          <w:lang w:eastAsia="en-AU"/>
        </w:rPr>
        <w:t xml:space="preserve">were </w:t>
      </w:r>
      <w:r>
        <w:rPr>
          <w:lang w:eastAsia="en-AU"/>
        </w:rPr>
        <w:t xml:space="preserve">unsatisfied that all decisions made by the KSDCT </w:t>
      </w:r>
      <w:r w:rsidR="00B20CC0">
        <w:rPr>
          <w:lang w:eastAsia="en-AU"/>
        </w:rPr>
        <w:t xml:space="preserve">were </w:t>
      </w:r>
      <w:r w:rsidR="004A362C">
        <w:rPr>
          <w:lang w:eastAsia="en-AU"/>
        </w:rPr>
        <w:t>truly free of any conflicting interest.</w:t>
      </w:r>
    </w:p>
    <w:p w14:paraId="3CE810C8" w14:textId="736FC17E" w:rsidR="001A0264" w:rsidRPr="001D611B" w:rsidRDefault="00E73551" w:rsidP="00E73551">
      <w:pPr>
        <w:rPr>
          <w:lang w:eastAsia="en-AU"/>
        </w:rPr>
      </w:pPr>
      <w:r>
        <w:rPr>
          <w:lang w:eastAsia="en-AU"/>
        </w:rPr>
        <w:t>The KSD</w:t>
      </w:r>
      <w:r w:rsidR="00FD5BB7">
        <w:rPr>
          <w:lang w:eastAsia="en-AU"/>
        </w:rPr>
        <w:t>C</w:t>
      </w:r>
      <w:r>
        <w:rPr>
          <w:lang w:eastAsia="en-AU"/>
        </w:rPr>
        <w:t xml:space="preserve">T became </w:t>
      </w:r>
      <w:r w:rsidR="00E92872">
        <w:rPr>
          <w:lang w:eastAsia="en-AU"/>
        </w:rPr>
        <w:t>the subject of</w:t>
      </w:r>
      <w:r>
        <w:rPr>
          <w:lang w:eastAsia="en-AU"/>
        </w:rPr>
        <w:t xml:space="preserve"> controversy </w:t>
      </w:r>
      <w:r w:rsidR="00F16007">
        <w:rPr>
          <w:lang w:eastAsia="en-AU"/>
        </w:rPr>
        <w:t>in 2021</w:t>
      </w:r>
      <w:r>
        <w:rPr>
          <w:lang w:eastAsia="en-AU"/>
        </w:rPr>
        <w:t xml:space="preserve"> </w:t>
      </w:r>
      <w:r w:rsidR="00775A1C">
        <w:rPr>
          <w:lang w:eastAsia="en-AU"/>
        </w:rPr>
        <w:t>when</w:t>
      </w:r>
      <w:r>
        <w:rPr>
          <w:lang w:eastAsia="en-AU"/>
        </w:rPr>
        <w:t xml:space="preserve"> the </w:t>
      </w:r>
      <w:r w:rsidR="004C22E0">
        <w:rPr>
          <w:lang w:eastAsia="en-AU"/>
        </w:rPr>
        <w:t xml:space="preserve">newly appointed </w:t>
      </w:r>
      <w:r w:rsidR="009D01D3">
        <w:rPr>
          <w:lang w:eastAsia="en-AU"/>
        </w:rPr>
        <w:t>CEO of the KLC</w:t>
      </w:r>
      <w:r w:rsidR="00F168E1">
        <w:rPr>
          <w:lang w:eastAsia="en-AU"/>
        </w:rPr>
        <w:t xml:space="preserve"> was </w:t>
      </w:r>
      <w:r w:rsidR="00347E2B">
        <w:rPr>
          <w:lang w:eastAsia="en-AU"/>
        </w:rPr>
        <w:t>terminated</w:t>
      </w:r>
      <w:r w:rsidR="007617EA">
        <w:rPr>
          <w:lang w:eastAsia="en-AU"/>
        </w:rPr>
        <w:t xml:space="preserve"> by the KLC Board</w:t>
      </w:r>
      <w:r w:rsidR="002B426B">
        <w:rPr>
          <w:lang w:eastAsia="en-AU"/>
        </w:rPr>
        <w:t>.</w:t>
      </w:r>
      <w:r w:rsidR="0051770A">
        <w:rPr>
          <w:lang w:eastAsia="en-AU"/>
        </w:rPr>
        <w:t xml:space="preserve"> </w:t>
      </w:r>
      <w:r w:rsidR="004A3982">
        <w:rPr>
          <w:lang w:eastAsia="en-AU"/>
        </w:rPr>
        <w:t>Questions raised by the new CEO about the management of the KSDCT</w:t>
      </w:r>
      <w:r w:rsidR="001B0D76">
        <w:rPr>
          <w:lang w:eastAsia="en-AU"/>
        </w:rPr>
        <w:t xml:space="preserve"> </w:t>
      </w:r>
      <w:r>
        <w:rPr>
          <w:lang w:eastAsia="en-AU"/>
        </w:rPr>
        <w:lastRenderedPageBreak/>
        <w:t xml:space="preserve">sparked questions around the </w:t>
      </w:r>
      <w:r w:rsidR="00B20CC0">
        <w:rPr>
          <w:lang w:eastAsia="en-AU"/>
        </w:rPr>
        <w:t xml:space="preserve">KSDCT’s </w:t>
      </w:r>
      <w:r>
        <w:rPr>
          <w:lang w:eastAsia="en-AU"/>
        </w:rPr>
        <w:t>transparency</w:t>
      </w:r>
      <w:r w:rsidR="006404D1">
        <w:rPr>
          <w:lang w:eastAsia="en-AU"/>
        </w:rPr>
        <w:t xml:space="preserve">. </w:t>
      </w:r>
      <w:r w:rsidR="00B20CC0">
        <w:rPr>
          <w:lang w:eastAsia="en-AU"/>
        </w:rPr>
        <w:t xml:space="preserve">The CEO’s </w:t>
      </w:r>
      <w:r w:rsidR="00506E92">
        <w:rPr>
          <w:lang w:eastAsia="en-AU"/>
        </w:rPr>
        <w:t>termination</w:t>
      </w:r>
      <w:r w:rsidR="006404D1">
        <w:rPr>
          <w:lang w:eastAsia="en-AU"/>
        </w:rPr>
        <w:t xml:space="preserve"> then </w:t>
      </w:r>
      <w:r>
        <w:rPr>
          <w:lang w:eastAsia="en-AU"/>
        </w:rPr>
        <w:t xml:space="preserve">prompted a number of KLC's </w:t>
      </w:r>
      <w:r w:rsidR="009372E0">
        <w:rPr>
          <w:lang w:eastAsia="en-AU"/>
        </w:rPr>
        <w:t>D</w:t>
      </w:r>
      <w:r>
        <w:rPr>
          <w:lang w:eastAsia="en-AU"/>
        </w:rPr>
        <w:t xml:space="preserve">irectors to take their concerns to </w:t>
      </w:r>
      <w:r w:rsidR="008D23B4">
        <w:rPr>
          <w:lang w:eastAsia="en-AU"/>
        </w:rPr>
        <w:t xml:space="preserve">the </w:t>
      </w:r>
      <w:r w:rsidR="00E57D84" w:rsidRPr="00983B3D">
        <w:t>Western Australia</w:t>
      </w:r>
      <w:r w:rsidR="00E57D84">
        <w:rPr>
          <w:lang w:eastAsia="en-AU"/>
        </w:rPr>
        <w:t xml:space="preserve"> </w:t>
      </w:r>
      <w:r>
        <w:rPr>
          <w:lang w:eastAsia="en-AU"/>
        </w:rPr>
        <w:t>Attorney-General</w:t>
      </w:r>
      <w:r w:rsidR="009372E0">
        <w:rPr>
          <w:lang w:eastAsia="en-AU"/>
        </w:rPr>
        <w:t>.</w:t>
      </w:r>
      <w:r w:rsidR="008D23B4">
        <w:rPr>
          <w:lang w:eastAsia="en-AU"/>
        </w:rPr>
        <w:t xml:space="preserve"> </w:t>
      </w:r>
      <w:r w:rsidR="00B20CC0">
        <w:rPr>
          <w:lang w:eastAsia="en-AU"/>
        </w:rPr>
        <w:t xml:space="preserve">This </w:t>
      </w:r>
      <w:r w:rsidR="00154165">
        <w:rPr>
          <w:lang w:eastAsia="en-AU"/>
        </w:rPr>
        <w:t xml:space="preserve">also </w:t>
      </w:r>
      <w:r>
        <w:rPr>
          <w:lang w:eastAsia="en-AU"/>
        </w:rPr>
        <w:t xml:space="preserve">prompted the KLC to commission </w:t>
      </w:r>
      <w:r w:rsidR="00506E92">
        <w:rPr>
          <w:lang w:eastAsia="en-AU"/>
        </w:rPr>
        <w:t>an independent inquiry</w:t>
      </w:r>
      <w:r>
        <w:rPr>
          <w:lang w:eastAsia="en-AU"/>
        </w:rPr>
        <w:t xml:space="preserve"> into the </w:t>
      </w:r>
      <w:r w:rsidR="00B20CC0">
        <w:rPr>
          <w:lang w:eastAsia="en-AU"/>
        </w:rPr>
        <w:t xml:space="preserve">KSDCT </w:t>
      </w:r>
      <w:r>
        <w:rPr>
          <w:lang w:eastAsia="en-AU"/>
        </w:rPr>
        <w:t>by high-profile barrister Tony Power,</w:t>
      </w:r>
      <w:r w:rsidR="006230A7">
        <w:rPr>
          <w:lang w:eastAsia="en-AU"/>
        </w:rPr>
        <w:t xml:space="preserve"> </w:t>
      </w:r>
      <w:r w:rsidR="00AD2FAF">
        <w:rPr>
          <w:lang w:eastAsia="en-AU"/>
        </w:rPr>
        <w:t>i</w:t>
      </w:r>
      <w:r w:rsidR="001D611B" w:rsidRPr="001D611B">
        <w:rPr>
          <w:lang w:eastAsia="en-AU"/>
        </w:rPr>
        <w:t>n May 2021</w:t>
      </w:r>
      <w:r w:rsidR="00E92872">
        <w:rPr>
          <w:lang w:eastAsia="en-AU"/>
        </w:rPr>
        <w:t>.</w:t>
      </w:r>
      <w:r w:rsidR="00AB3A04">
        <w:rPr>
          <w:rStyle w:val="FootnoteReference"/>
          <w:lang w:eastAsia="en-AU"/>
        </w:rPr>
        <w:footnoteReference w:id="31"/>
      </w:r>
      <w:r w:rsidR="008A22A0">
        <w:rPr>
          <w:lang w:eastAsia="en-AU"/>
        </w:rPr>
        <w:t xml:space="preserve"> The </w:t>
      </w:r>
      <w:r w:rsidR="000B6EC3">
        <w:rPr>
          <w:lang w:eastAsia="en-AU"/>
        </w:rPr>
        <w:t>inq</w:t>
      </w:r>
      <w:r w:rsidR="00053742">
        <w:rPr>
          <w:lang w:eastAsia="en-AU"/>
        </w:rPr>
        <w:t xml:space="preserve">uiry made recommendations about management of the </w:t>
      </w:r>
      <w:r w:rsidR="00B20CC0">
        <w:rPr>
          <w:lang w:eastAsia="en-AU"/>
        </w:rPr>
        <w:t xml:space="preserve">KSDCT </w:t>
      </w:r>
      <w:r w:rsidR="00053742">
        <w:rPr>
          <w:lang w:eastAsia="en-AU"/>
        </w:rPr>
        <w:t xml:space="preserve">but </w:t>
      </w:r>
      <w:r w:rsidR="00506E92">
        <w:rPr>
          <w:lang w:eastAsia="en-AU"/>
        </w:rPr>
        <w:t>found no</w:t>
      </w:r>
      <w:r w:rsidR="00216A05">
        <w:rPr>
          <w:lang w:eastAsia="en-AU"/>
        </w:rPr>
        <w:t xml:space="preserve"> evidence of </w:t>
      </w:r>
      <w:r w:rsidR="00215B00">
        <w:rPr>
          <w:lang w:eastAsia="en-AU"/>
        </w:rPr>
        <w:t>wrongdoing</w:t>
      </w:r>
      <w:r w:rsidR="00216A05">
        <w:rPr>
          <w:lang w:eastAsia="en-AU"/>
        </w:rPr>
        <w:t>.</w:t>
      </w:r>
      <w:r w:rsidR="00E47978">
        <w:rPr>
          <w:lang w:eastAsia="en-AU"/>
        </w:rPr>
        <w:t xml:space="preserve"> </w:t>
      </w:r>
      <w:r w:rsidR="002C47F3">
        <w:rPr>
          <w:lang w:eastAsia="en-AU"/>
        </w:rPr>
        <w:t>The inquiry</w:t>
      </w:r>
      <w:r w:rsidR="00215B00" w:rsidRPr="00215B00">
        <w:t xml:space="preserve"> </w:t>
      </w:r>
      <w:r w:rsidR="00215B00" w:rsidRPr="00215B00">
        <w:rPr>
          <w:lang w:eastAsia="en-AU"/>
        </w:rPr>
        <w:t>found the KSDCT had discharged its primary roles and obligations remarkably well, and that its trustee acted independently of the KLC and in the best interests of the KSDCT and its beneficiaries, Kimberley Aboriginal people.</w:t>
      </w:r>
      <w:r w:rsidR="0068264E">
        <w:rPr>
          <w:lang w:eastAsia="en-AU"/>
        </w:rPr>
        <w:t xml:space="preserve"> </w:t>
      </w:r>
    </w:p>
    <w:p w14:paraId="0905393A" w14:textId="5898AFD9" w:rsidR="004D1D0A" w:rsidRPr="001D611B" w:rsidRDefault="000656F3" w:rsidP="00E73551">
      <w:pPr>
        <w:rPr>
          <w:lang w:eastAsia="en-AU"/>
        </w:rPr>
      </w:pPr>
      <w:r>
        <w:rPr>
          <w:lang w:eastAsia="en-AU"/>
        </w:rPr>
        <w:t xml:space="preserve">The Review acknowledges that there is a </w:t>
      </w:r>
      <w:r w:rsidR="00B57D78">
        <w:rPr>
          <w:lang w:eastAsia="en-AU"/>
        </w:rPr>
        <w:t>difficult</w:t>
      </w:r>
      <w:r>
        <w:rPr>
          <w:lang w:eastAsia="en-AU"/>
        </w:rPr>
        <w:t xml:space="preserve"> balance to be achieved between </w:t>
      </w:r>
      <w:r w:rsidR="001A7756">
        <w:rPr>
          <w:lang w:eastAsia="en-AU"/>
        </w:rPr>
        <w:t xml:space="preserve">maintaining sufficient </w:t>
      </w:r>
      <w:r w:rsidR="0063119D">
        <w:rPr>
          <w:lang w:eastAsia="en-AU"/>
        </w:rPr>
        <w:t xml:space="preserve">control of the subsidiary and concerns about cross-membership as discussed above. </w:t>
      </w:r>
      <w:r w:rsidR="00A37B8B">
        <w:rPr>
          <w:lang w:eastAsia="en-AU"/>
        </w:rPr>
        <w:t xml:space="preserve">It would be appropriate for the KLC to </w:t>
      </w:r>
      <w:r w:rsidR="00624BB6">
        <w:rPr>
          <w:lang w:eastAsia="en-AU"/>
        </w:rPr>
        <w:t xml:space="preserve">review </w:t>
      </w:r>
      <w:r w:rsidR="005C6D09">
        <w:rPr>
          <w:lang w:eastAsia="en-AU"/>
        </w:rPr>
        <w:t>membership</w:t>
      </w:r>
      <w:r w:rsidR="00CD40B3">
        <w:rPr>
          <w:lang w:eastAsia="en-AU"/>
        </w:rPr>
        <w:t xml:space="preserve"> of its subsidiary</w:t>
      </w:r>
      <w:r w:rsidR="005C6D09">
        <w:rPr>
          <w:lang w:eastAsia="en-AU"/>
        </w:rPr>
        <w:t xml:space="preserve"> to ensure the balance is appropriate.</w:t>
      </w:r>
    </w:p>
    <w:p w14:paraId="3DDC0339" w14:textId="215EF623" w:rsidR="00DD7E5D" w:rsidRPr="007E2F5D" w:rsidRDefault="00DD7E5D" w:rsidP="001535FA">
      <w:pPr>
        <w:pStyle w:val="Heading5"/>
      </w:pPr>
      <w:r w:rsidRPr="007E2F5D">
        <w:t xml:space="preserve">Some Traditional Owners who spoke to the Review remained concerned about the transparency of the </w:t>
      </w:r>
      <w:r w:rsidR="00B20CC0" w:rsidRPr="00B20CC0">
        <w:t>KSDCT</w:t>
      </w:r>
      <w:r w:rsidR="00B20CC0">
        <w:t xml:space="preserve">’s </w:t>
      </w:r>
      <w:r w:rsidRPr="007E2F5D">
        <w:t>arrangements</w:t>
      </w:r>
    </w:p>
    <w:p w14:paraId="3C6F195B" w14:textId="58E21989" w:rsidR="005B38C3" w:rsidRPr="007C7F5A" w:rsidRDefault="00B708E3" w:rsidP="005A334A">
      <w:pPr>
        <w:rPr>
          <w:b/>
          <w:szCs w:val="19"/>
        </w:rPr>
      </w:pPr>
      <w:r w:rsidRPr="007C7F5A">
        <w:t xml:space="preserve">Some Traditional Owners were unsure as to how the KSDCT funds were being </w:t>
      </w:r>
      <w:r w:rsidRPr="007C7F5A">
        <w:rPr>
          <w:szCs w:val="19"/>
        </w:rPr>
        <w:t>reinvested in the community</w:t>
      </w:r>
      <w:r w:rsidR="004E6A9A" w:rsidRPr="007C7F5A">
        <w:rPr>
          <w:szCs w:val="19"/>
        </w:rPr>
        <w:t xml:space="preserve"> and were</w:t>
      </w:r>
      <w:r w:rsidR="00781044" w:rsidRPr="007C7F5A">
        <w:rPr>
          <w:szCs w:val="19"/>
        </w:rPr>
        <w:t xml:space="preserve"> unclear whether there was a documented strategy for the reinvestment of funds from the KSDCT.</w:t>
      </w:r>
      <w:r w:rsidR="00C43A49" w:rsidRPr="007C7F5A">
        <w:rPr>
          <w:szCs w:val="19"/>
        </w:rPr>
        <w:t xml:space="preserve"> </w:t>
      </w:r>
      <w:r w:rsidR="00C667DD">
        <w:rPr>
          <w:szCs w:val="19"/>
        </w:rPr>
        <w:t xml:space="preserve">This led some </w:t>
      </w:r>
      <w:r w:rsidR="00E43C1B">
        <w:rPr>
          <w:szCs w:val="19"/>
        </w:rPr>
        <w:t>of those who spoke to the Review to wonder</w:t>
      </w:r>
      <w:r w:rsidR="00494B00">
        <w:rPr>
          <w:szCs w:val="19"/>
        </w:rPr>
        <w:t xml:space="preserve"> (without evidence)</w:t>
      </w:r>
      <w:r w:rsidR="00E43C1B">
        <w:rPr>
          <w:szCs w:val="19"/>
        </w:rPr>
        <w:t xml:space="preserve"> whether the KLC was accruing assets for itself instead of for the PBCs they support.</w:t>
      </w:r>
      <w:r w:rsidR="00640478" w:rsidRPr="00640478">
        <w:rPr>
          <w:lang w:eastAsia="en-AU"/>
        </w:rPr>
        <w:t xml:space="preserve"> </w:t>
      </w:r>
      <w:r w:rsidR="00640478">
        <w:rPr>
          <w:lang w:eastAsia="en-AU"/>
        </w:rPr>
        <w:t>Some PBC</w:t>
      </w:r>
      <w:r w:rsidR="00640478" w:rsidRPr="00067B98">
        <w:rPr>
          <w:lang w:eastAsia="en-AU"/>
        </w:rPr>
        <w:t xml:space="preserve"> </w:t>
      </w:r>
      <w:r w:rsidR="00F046AE">
        <w:rPr>
          <w:lang w:eastAsia="en-AU"/>
        </w:rPr>
        <w:t>D</w:t>
      </w:r>
      <w:r w:rsidR="00640478" w:rsidRPr="00067B98">
        <w:rPr>
          <w:lang w:eastAsia="en-AU"/>
        </w:rPr>
        <w:t>irectors</w:t>
      </w:r>
      <w:r w:rsidR="00640478">
        <w:rPr>
          <w:lang w:eastAsia="en-AU"/>
        </w:rPr>
        <w:t xml:space="preserve"> noted that the</w:t>
      </w:r>
      <w:r w:rsidR="00640478" w:rsidRPr="00067B98">
        <w:rPr>
          <w:lang w:eastAsia="en-AU"/>
        </w:rPr>
        <w:t xml:space="preserve"> financial benefits gained from the fund (provided to individuals who </w:t>
      </w:r>
      <w:r w:rsidR="00F046AE">
        <w:rPr>
          <w:lang w:eastAsia="en-AU"/>
        </w:rPr>
        <w:t>were</w:t>
      </w:r>
      <w:r w:rsidR="00F046AE" w:rsidRPr="00067B98">
        <w:rPr>
          <w:lang w:eastAsia="en-AU"/>
        </w:rPr>
        <w:t xml:space="preserve"> </w:t>
      </w:r>
      <w:r w:rsidR="00640478" w:rsidRPr="00067B98">
        <w:rPr>
          <w:lang w:eastAsia="en-AU"/>
        </w:rPr>
        <w:t xml:space="preserve">members of </w:t>
      </w:r>
      <w:r w:rsidR="00640478">
        <w:rPr>
          <w:lang w:eastAsia="en-AU"/>
        </w:rPr>
        <w:t xml:space="preserve">relevant </w:t>
      </w:r>
      <w:r w:rsidR="00640478" w:rsidRPr="00067B98">
        <w:rPr>
          <w:lang w:eastAsia="en-AU"/>
        </w:rPr>
        <w:t xml:space="preserve">PBCs) </w:t>
      </w:r>
      <w:r w:rsidR="00F046AE">
        <w:rPr>
          <w:lang w:eastAsia="en-AU"/>
        </w:rPr>
        <w:t>were</w:t>
      </w:r>
      <w:r w:rsidR="00F046AE" w:rsidRPr="00067B98">
        <w:rPr>
          <w:lang w:eastAsia="en-AU"/>
        </w:rPr>
        <w:t xml:space="preserve"> </w:t>
      </w:r>
      <w:r w:rsidR="00640478" w:rsidRPr="00067B98">
        <w:rPr>
          <w:lang w:eastAsia="en-AU"/>
        </w:rPr>
        <w:t>small in value</w:t>
      </w:r>
      <w:r w:rsidR="001F22A7">
        <w:rPr>
          <w:lang w:eastAsia="en-AU"/>
        </w:rPr>
        <w:t xml:space="preserve">, </w:t>
      </w:r>
      <w:r w:rsidR="00640478" w:rsidRPr="00067B98">
        <w:rPr>
          <w:lang w:eastAsia="en-AU"/>
        </w:rPr>
        <w:t>effectively reducing the amount received from the fund</w:t>
      </w:r>
      <w:r w:rsidR="00640478">
        <w:rPr>
          <w:lang w:eastAsia="en-AU"/>
        </w:rPr>
        <w:t xml:space="preserve"> “</w:t>
      </w:r>
      <w:r w:rsidR="00640478" w:rsidRPr="00067B98">
        <w:rPr>
          <w:lang w:eastAsia="en-AU"/>
        </w:rPr>
        <w:t>to a pittance</w:t>
      </w:r>
      <w:r w:rsidR="00640478">
        <w:rPr>
          <w:lang w:eastAsia="en-AU"/>
        </w:rPr>
        <w:t>”</w:t>
      </w:r>
      <w:r w:rsidR="00640478" w:rsidRPr="00067B98">
        <w:rPr>
          <w:lang w:eastAsia="en-AU"/>
        </w:rPr>
        <w:t>.</w:t>
      </w:r>
      <w:r w:rsidR="001F22A7" w:rsidRPr="001F22A7">
        <w:rPr>
          <w:lang w:eastAsia="en-AU"/>
        </w:rPr>
        <w:t xml:space="preserve"> </w:t>
      </w:r>
      <w:r w:rsidR="001F22A7">
        <w:rPr>
          <w:lang w:eastAsia="en-AU"/>
        </w:rPr>
        <w:t>They saw a lost opportunity in that KS</w:t>
      </w:r>
      <w:r w:rsidR="001F22A7" w:rsidRPr="00067B98">
        <w:rPr>
          <w:lang w:eastAsia="en-AU"/>
        </w:rPr>
        <w:t xml:space="preserve">DCT </w:t>
      </w:r>
      <w:r w:rsidR="001F22A7">
        <w:rPr>
          <w:lang w:eastAsia="en-AU"/>
        </w:rPr>
        <w:t>funds could be better used</w:t>
      </w:r>
      <w:r w:rsidR="001F22A7" w:rsidRPr="00067B98">
        <w:rPr>
          <w:lang w:eastAsia="en-AU"/>
        </w:rPr>
        <w:t xml:space="preserve"> for PBC development.</w:t>
      </w:r>
      <w:r w:rsidR="00711535">
        <w:rPr>
          <w:lang w:eastAsia="en-AU"/>
        </w:rPr>
        <w:t xml:space="preserve"> In response</w:t>
      </w:r>
      <w:r w:rsidR="00F046AE">
        <w:rPr>
          <w:lang w:eastAsia="en-AU"/>
        </w:rPr>
        <w:t>,</w:t>
      </w:r>
      <w:r w:rsidR="00711535">
        <w:rPr>
          <w:lang w:eastAsia="en-AU"/>
        </w:rPr>
        <w:t xml:space="preserve"> the KLC noted that </w:t>
      </w:r>
      <w:r w:rsidR="00D90243">
        <w:rPr>
          <w:lang w:eastAsia="en-AU"/>
        </w:rPr>
        <w:t>t</w:t>
      </w:r>
      <w:r w:rsidR="00711535" w:rsidRPr="00711535">
        <w:rPr>
          <w:lang w:eastAsia="en-AU"/>
        </w:rPr>
        <w:t xml:space="preserve">he funds </w:t>
      </w:r>
      <w:r w:rsidR="00F046AE">
        <w:rPr>
          <w:lang w:eastAsia="en-AU"/>
        </w:rPr>
        <w:t>could</w:t>
      </w:r>
      <w:r w:rsidR="00F046AE" w:rsidRPr="00711535">
        <w:rPr>
          <w:lang w:eastAsia="en-AU"/>
        </w:rPr>
        <w:t xml:space="preserve"> </w:t>
      </w:r>
      <w:r w:rsidR="00711535" w:rsidRPr="00711535">
        <w:rPr>
          <w:lang w:eastAsia="en-AU"/>
        </w:rPr>
        <w:t xml:space="preserve">be used for this purpose although the authorisation of the common law holders may be required if the funds </w:t>
      </w:r>
      <w:r w:rsidR="00F046AE">
        <w:rPr>
          <w:lang w:eastAsia="en-AU"/>
        </w:rPr>
        <w:t xml:space="preserve">were </w:t>
      </w:r>
      <w:r w:rsidR="00711535" w:rsidRPr="00711535">
        <w:rPr>
          <w:lang w:eastAsia="en-AU"/>
        </w:rPr>
        <w:t>native title trust funds.</w:t>
      </w:r>
    </w:p>
    <w:p w14:paraId="4D5490AB" w14:textId="7A06391B" w:rsidR="00B708E3" w:rsidRPr="007C7F5A" w:rsidRDefault="00C43A49" w:rsidP="00333623">
      <w:pPr>
        <w:rPr>
          <w:b/>
          <w:szCs w:val="19"/>
        </w:rPr>
      </w:pPr>
      <w:r w:rsidRPr="007C7F5A">
        <w:t>M</w:t>
      </w:r>
      <w:r w:rsidR="00B708E3" w:rsidRPr="007C7F5A">
        <w:rPr>
          <w:szCs w:val="19"/>
        </w:rPr>
        <w:t>ultiple Traditional Owners highlight</w:t>
      </w:r>
      <w:r w:rsidRPr="007C7F5A">
        <w:rPr>
          <w:szCs w:val="19"/>
        </w:rPr>
        <w:t>ed</w:t>
      </w:r>
      <w:r w:rsidR="00B708E3" w:rsidRPr="007C7F5A">
        <w:rPr>
          <w:szCs w:val="19"/>
        </w:rPr>
        <w:t xml:space="preserve"> that releasing more detailed KSDCT financial statements would go a long way in establishing transparency and consequently confidence in KLC, especially considering that the trust is for the benefit of the community. However</w:t>
      </w:r>
      <w:r w:rsidR="00CD3B5D" w:rsidRPr="007C7F5A">
        <w:rPr>
          <w:szCs w:val="19"/>
        </w:rPr>
        <w:t>,</w:t>
      </w:r>
      <w:r w:rsidR="00B708E3" w:rsidRPr="007C7F5A">
        <w:rPr>
          <w:szCs w:val="19"/>
        </w:rPr>
        <w:t xml:space="preserve"> </w:t>
      </w:r>
      <w:r w:rsidR="00671ACB" w:rsidRPr="007C7F5A">
        <w:rPr>
          <w:szCs w:val="19"/>
        </w:rPr>
        <w:t>K</w:t>
      </w:r>
      <w:r w:rsidR="00B708E3" w:rsidRPr="007C7F5A">
        <w:rPr>
          <w:szCs w:val="19"/>
        </w:rPr>
        <w:t xml:space="preserve">LC staff </w:t>
      </w:r>
      <w:r w:rsidR="00164F14">
        <w:rPr>
          <w:szCs w:val="19"/>
        </w:rPr>
        <w:t>felt</w:t>
      </w:r>
      <w:r w:rsidR="00671ACB" w:rsidRPr="007C7F5A">
        <w:rPr>
          <w:szCs w:val="19"/>
        </w:rPr>
        <w:t xml:space="preserve"> that</w:t>
      </w:r>
      <w:r w:rsidR="00B708E3" w:rsidRPr="007C7F5A">
        <w:rPr>
          <w:szCs w:val="19"/>
        </w:rPr>
        <w:t xml:space="preserve"> providing more detailed financial reports </w:t>
      </w:r>
      <w:r w:rsidR="00781044" w:rsidRPr="007C7F5A">
        <w:rPr>
          <w:szCs w:val="19"/>
        </w:rPr>
        <w:t>might</w:t>
      </w:r>
      <w:r w:rsidR="00B708E3" w:rsidRPr="007C7F5A">
        <w:rPr>
          <w:szCs w:val="19"/>
        </w:rPr>
        <w:t xml:space="preserve"> breach the privacy of trust beneficiaries. </w:t>
      </w:r>
    </w:p>
    <w:p w14:paraId="472CFB8B" w14:textId="3D39EA5A" w:rsidR="009550FF" w:rsidRPr="007C7F5A" w:rsidRDefault="009550FF" w:rsidP="231D041B">
      <w:pPr>
        <w:rPr>
          <w:b/>
          <w:bCs/>
        </w:rPr>
      </w:pPr>
      <w:r>
        <w:t xml:space="preserve">Traditional Owners </w:t>
      </w:r>
      <w:r w:rsidR="00E04AE1">
        <w:t xml:space="preserve">were also keen for the </w:t>
      </w:r>
      <w:r w:rsidR="004038E5">
        <w:t>KLC to provide</w:t>
      </w:r>
      <w:r>
        <w:t xml:space="preserve"> ongoing </w:t>
      </w:r>
      <w:r w:rsidR="009434F9">
        <w:t xml:space="preserve">reports on </w:t>
      </w:r>
      <w:r>
        <w:t xml:space="preserve">progress </w:t>
      </w:r>
      <w:r w:rsidR="009434F9">
        <w:t>towards the</w:t>
      </w:r>
      <w:r>
        <w:t xml:space="preserve"> adoption of recommendations made by the independent </w:t>
      </w:r>
      <w:r w:rsidR="005775BB">
        <w:t>inquiry</w:t>
      </w:r>
      <w:r w:rsidR="00D13167">
        <w:t>.</w:t>
      </w:r>
      <w:r>
        <w:t xml:space="preserve"> </w:t>
      </w:r>
    </w:p>
    <w:p w14:paraId="5414C5E0" w14:textId="77777777" w:rsidR="00446C8E" w:rsidRPr="00C62E0F" w:rsidRDefault="00446C8E" w:rsidP="00446C8E">
      <w:pPr>
        <w:keepNext/>
        <w:spacing w:before="240" w:after="60"/>
        <w:outlineLvl w:val="3"/>
        <w:rPr>
          <w:rFonts w:ascii="Segoe UI Semibold" w:eastAsia="Times New Roman" w:hAnsi="Segoe UI Semibold" w:cs="Times New Roman"/>
          <w:color w:val="00264D" w:themeColor="background2"/>
          <w:sz w:val="22"/>
          <w:szCs w:val="19"/>
          <w:lang w:eastAsia="en-AU"/>
        </w:rPr>
      </w:pPr>
      <w:r w:rsidRPr="00C62E0F">
        <w:rPr>
          <w:rFonts w:ascii="Segoe UI Semibold" w:eastAsia="Times New Roman" w:hAnsi="Segoe UI Semibold" w:cs="Times New Roman"/>
          <w:color w:val="00264D" w:themeColor="background2"/>
          <w:sz w:val="22"/>
          <w:szCs w:val="19"/>
          <w:lang w:eastAsia="en-AU"/>
        </w:rPr>
        <w:t>Culture and values</w:t>
      </w:r>
    </w:p>
    <w:p w14:paraId="3BF816D0" w14:textId="77777777" w:rsidR="00446C8E" w:rsidRPr="00C62E0F" w:rsidRDefault="00446C8E" w:rsidP="00DA2C81">
      <w:pPr>
        <w:pStyle w:val="Heading5"/>
      </w:pPr>
      <w:r w:rsidRPr="00C62E0F">
        <w:t xml:space="preserve">KLC staff </w:t>
      </w:r>
      <w:r>
        <w:t xml:space="preserve">showed commitment to their </w:t>
      </w:r>
      <w:r w:rsidRPr="00C62E0F">
        <w:t>common mission</w:t>
      </w:r>
    </w:p>
    <w:p w14:paraId="37900DBE" w14:textId="4846091A" w:rsidR="00446C8E" w:rsidRPr="00C62E0F" w:rsidRDefault="00446C8E" w:rsidP="0088054E">
      <w:pPr>
        <w:rPr>
          <w:lang w:eastAsia="en-AU"/>
        </w:rPr>
      </w:pPr>
      <w:r w:rsidRPr="00C62E0F">
        <w:rPr>
          <w:lang w:eastAsia="en-AU"/>
        </w:rPr>
        <w:t xml:space="preserve">The KLC organisational culture </w:t>
      </w:r>
      <w:r>
        <w:rPr>
          <w:lang w:eastAsia="en-AU"/>
        </w:rPr>
        <w:t>is centred on</w:t>
      </w:r>
      <w:r w:rsidRPr="00C62E0F">
        <w:rPr>
          <w:lang w:eastAsia="en-AU"/>
        </w:rPr>
        <w:t xml:space="preserve"> the KLC’s mission of “Get back </w:t>
      </w:r>
      <w:r w:rsidR="00F046AE">
        <w:rPr>
          <w:lang w:eastAsia="en-AU"/>
        </w:rPr>
        <w:t>C</w:t>
      </w:r>
      <w:r w:rsidRPr="00C62E0F">
        <w:rPr>
          <w:lang w:eastAsia="en-AU"/>
        </w:rPr>
        <w:t xml:space="preserve">ountry, look after </w:t>
      </w:r>
      <w:r w:rsidR="00F046AE">
        <w:rPr>
          <w:lang w:eastAsia="en-AU"/>
        </w:rPr>
        <w:t>C</w:t>
      </w:r>
      <w:r w:rsidRPr="00C62E0F">
        <w:rPr>
          <w:lang w:eastAsia="en-AU"/>
        </w:rPr>
        <w:t>ountry and get control of our future”</w:t>
      </w:r>
      <w:r>
        <w:rPr>
          <w:rStyle w:val="FootnoteReference"/>
          <w:lang w:eastAsia="en-AU"/>
        </w:rPr>
        <w:footnoteReference w:id="32"/>
      </w:r>
      <w:r w:rsidR="006337DF">
        <w:rPr>
          <w:lang w:eastAsia="en-AU"/>
        </w:rPr>
        <w:t>.</w:t>
      </w:r>
      <w:r w:rsidRPr="00C62E0F">
        <w:rPr>
          <w:lang w:eastAsia="en-AU"/>
        </w:rPr>
        <w:t xml:space="preserve"> </w:t>
      </w:r>
      <w:r w:rsidR="00853862">
        <w:rPr>
          <w:lang w:eastAsia="en-AU"/>
        </w:rPr>
        <w:t>T</w:t>
      </w:r>
      <w:r w:rsidRPr="00C62E0F">
        <w:rPr>
          <w:lang w:eastAsia="en-AU"/>
        </w:rPr>
        <w:t xml:space="preserve">he high rate of retention of 40 per cent for </w:t>
      </w:r>
      <w:r w:rsidR="003B7369">
        <w:rPr>
          <w:lang w:eastAsia="en-AU"/>
        </w:rPr>
        <w:t xml:space="preserve">KLC </w:t>
      </w:r>
      <w:r w:rsidRPr="00C62E0F">
        <w:rPr>
          <w:lang w:eastAsia="en-AU"/>
        </w:rPr>
        <w:t>staff who have been with the organisation for at least five years</w:t>
      </w:r>
      <w:r w:rsidR="00853862" w:rsidRPr="00853862">
        <w:rPr>
          <w:lang w:eastAsia="en-AU"/>
        </w:rPr>
        <w:t xml:space="preserve"> </w:t>
      </w:r>
      <w:r w:rsidR="00853862">
        <w:rPr>
          <w:lang w:eastAsia="en-AU"/>
        </w:rPr>
        <w:t>is a</w:t>
      </w:r>
      <w:r w:rsidR="00853862" w:rsidRPr="00C62E0F">
        <w:rPr>
          <w:lang w:eastAsia="en-AU"/>
        </w:rPr>
        <w:t xml:space="preserve"> testament to </w:t>
      </w:r>
      <w:r w:rsidR="00853862">
        <w:rPr>
          <w:lang w:eastAsia="en-AU"/>
        </w:rPr>
        <w:t xml:space="preserve">staff commitment to the </w:t>
      </w:r>
      <w:r w:rsidR="00853862" w:rsidRPr="00C62E0F">
        <w:rPr>
          <w:lang w:eastAsia="en-AU"/>
        </w:rPr>
        <w:t>organisation</w:t>
      </w:r>
      <w:r w:rsidRPr="00C62E0F">
        <w:rPr>
          <w:lang w:eastAsia="en-AU"/>
        </w:rPr>
        <w:t>.</w:t>
      </w:r>
      <w:r w:rsidR="00FF52E3">
        <w:rPr>
          <w:rStyle w:val="FootnoteReference"/>
          <w:lang w:eastAsia="en-AU"/>
        </w:rPr>
        <w:footnoteReference w:id="33"/>
      </w:r>
    </w:p>
    <w:p w14:paraId="473858A8" w14:textId="337C0889" w:rsidR="00446C8E" w:rsidRDefault="003B7369" w:rsidP="00F361DB">
      <w:pPr>
        <w:rPr>
          <w:lang w:eastAsia="en-AU"/>
        </w:rPr>
      </w:pPr>
      <w:r>
        <w:rPr>
          <w:lang w:eastAsia="en-AU"/>
        </w:rPr>
        <w:t>KLC s</w:t>
      </w:r>
      <w:r w:rsidR="00446C8E">
        <w:rPr>
          <w:lang w:eastAsia="en-AU"/>
        </w:rPr>
        <w:t>taff who responded to the Review survey commented that</w:t>
      </w:r>
      <w:r w:rsidR="00446C8E" w:rsidRPr="00C62E0F">
        <w:rPr>
          <w:lang w:eastAsia="en-AU"/>
        </w:rPr>
        <w:t xml:space="preserve"> working conditions </w:t>
      </w:r>
      <w:r w:rsidR="00446C8E">
        <w:rPr>
          <w:lang w:eastAsia="en-AU"/>
        </w:rPr>
        <w:t>were</w:t>
      </w:r>
      <w:r w:rsidR="00446C8E" w:rsidRPr="00C62E0F">
        <w:rPr>
          <w:lang w:eastAsia="en-AU"/>
        </w:rPr>
        <w:t xml:space="preserve"> favourable</w:t>
      </w:r>
      <w:r w:rsidR="00446C8E">
        <w:rPr>
          <w:lang w:eastAsia="en-AU"/>
        </w:rPr>
        <w:t>. These staff indicated they had h</w:t>
      </w:r>
      <w:r w:rsidR="00446C8E" w:rsidRPr="00C62E0F">
        <w:rPr>
          <w:lang w:eastAsia="en-AU"/>
        </w:rPr>
        <w:t xml:space="preserve">igh confidence in </w:t>
      </w:r>
      <w:r w:rsidR="00446C8E">
        <w:rPr>
          <w:lang w:eastAsia="en-AU"/>
        </w:rPr>
        <w:t xml:space="preserve">the effectiveness of the </w:t>
      </w:r>
      <w:r w:rsidR="00446C8E" w:rsidRPr="00C62E0F">
        <w:rPr>
          <w:lang w:eastAsia="en-AU"/>
        </w:rPr>
        <w:t>organisation</w:t>
      </w:r>
      <w:r w:rsidR="00446C8E">
        <w:rPr>
          <w:lang w:eastAsia="en-AU"/>
        </w:rPr>
        <w:t>’s</w:t>
      </w:r>
      <w:r w:rsidR="00446C8E" w:rsidRPr="00C62E0F">
        <w:rPr>
          <w:lang w:eastAsia="en-AU"/>
        </w:rPr>
        <w:t xml:space="preserve"> management </w:t>
      </w:r>
      <w:r w:rsidR="00446C8E">
        <w:rPr>
          <w:lang w:eastAsia="en-AU"/>
        </w:rPr>
        <w:t>and observed that the KLC performed highly in delivering its strategic objectives. They also indicated that the KLC has generally f</w:t>
      </w:r>
      <w:r w:rsidR="00446C8E" w:rsidRPr="00C62E0F">
        <w:rPr>
          <w:lang w:eastAsia="en-AU"/>
        </w:rPr>
        <w:t>lexibl</w:t>
      </w:r>
      <w:r w:rsidR="00446C8E">
        <w:rPr>
          <w:lang w:eastAsia="en-AU"/>
        </w:rPr>
        <w:t>e</w:t>
      </w:r>
      <w:r w:rsidR="00446C8E" w:rsidRPr="00C62E0F">
        <w:rPr>
          <w:lang w:eastAsia="en-AU"/>
        </w:rPr>
        <w:t xml:space="preserve"> directive or collaborative leadership approaches that are applied proactively most of the time</w:t>
      </w:r>
      <w:r w:rsidR="00446C8E">
        <w:rPr>
          <w:lang w:eastAsia="en-AU"/>
        </w:rPr>
        <w:t>.</w:t>
      </w:r>
    </w:p>
    <w:p w14:paraId="133E921C" w14:textId="1706B7BF" w:rsidR="000F34D2" w:rsidRPr="00C62E0F" w:rsidRDefault="000F34D2" w:rsidP="00F361DB">
      <w:pPr>
        <w:rPr>
          <w:lang w:eastAsia="en-AU"/>
        </w:rPr>
      </w:pPr>
      <w:r>
        <w:rPr>
          <w:lang w:eastAsia="en-AU"/>
        </w:rPr>
        <w:lastRenderedPageBreak/>
        <w:t xml:space="preserve">The Review notes that Individual Performance Plans </w:t>
      </w:r>
      <w:r w:rsidR="003B7369">
        <w:rPr>
          <w:lang w:eastAsia="en-AU"/>
        </w:rPr>
        <w:t xml:space="preserve">were </w:t>
      </w:r>
      <w:r>
        <w:rPr>
          <w:lang w:eastAsia="en-AU"/>
        </w:rPr>
        <w:t xml:space="preserve">undertaken every year for all staff, with a new electronic system for managing performance implemented during the Review period. Performance Plans </w:t>
      </w:r>
      <w:r w:rsidR="007454D2">
        <w:rPr>
          <w:lang w:eastAsia="en-AU"/>
        </w:rPr>
        <w:t xml:space="preserve">were </w:t>
      </w:r>
      <w:r>
        <w:rPr>
          <w:lang w:eastAsia="en-AU"/>
        </w:rPr>
        <w:t>linked to pay bands for staff salary increases.</w:t>
      </w:r>
    </w:p>
    <w:p w14:paraId="0EC83ABA" w14:textId="265694A4" w:rsidR="00F97D4F" w:rsidRDefault="00F97D4F" w:rsidP="0088054E">
      <w:pPr>
        <w:rPr>
          <w:lang w:eastAsia="en-AU"/>
        </w:rPr>
      </w:pPr>
      <w:r>
        <w:rPr>
          <w:rFonts w:cs="Segoe UI"/>
          <w:color w:val="000000"/>
          <w:shd w:val="clear" w:color="auto" w:fill="FFFFFF"/>
        </w:rPr>
        <w:t xml:space="preserve">Where poor behaviour </w:t>
      </w:r>
      <w:r w:rsidR="007454D2">
        <w:rPr>
          <w:rFonts w:cs="Segoe UI"/>
          <w:color w:val="000000"/>
          <w:shd w:val="clear" w:color="auto" w:fill="FFFFFF"/>
        </w:rPr>
        <w:t xml:space="preserve">was </w:t>
      </w:r>
      <w:r>
        <w:rPr>
          <w:rFonts w:cs="Segoe UI"/>
          <w:color w:val="000000"/>
          <w:shd w:val="clear" w:color="auto" w:fill="FFFFFF"/>
        </w:rPr>
        <w:t xml:space="preserve">identified, </w:t>
      </w:r>
      <w:r w:rsidR="00D16BC3">
        <w:rPr>
          <w:rFonts w:cs="Segoe UI"/>
          <w:color w:val="000000"/>
          <w:shd w:val="clear" w:color="auto" w:fill="FFFFFF"/>
        </w:rPr>
        <w:t xml:space="preserve">disciplinary actions </w:t>
      </w:r>
      <w:r w:rsidR="00B346BB">
        <w:rPr>
          <w:rFonts w:cs="Segoe UI"/>
          <w:color w:val="000000"/>
          <w:shd w:val="clear" w:color="auto" w:fill="FFFFFF"/>
        </w:rPr>
        <w:t>range</w:t>
      </w:r>
      <w:r w:rsidR="00361742">
        <w:rPr>
          <w:rFonts w:cs="Segoe UI"/>
          <w:color w:val="000000"/>
          <w:shd w:val="clear" w:color="auto" w:fill="FFFFFF"/>
        </w:rPr>
        <w:t>d</w:t>
      </w:r>
      <w:r w:rsidR="00B346BB">
        <w:rPr>
          <w:rFonts w:cs="Segoe UI"/>
          <w:color w:val="000000"/>
          <w:shd w:val="clear" w:color="auto" w:fill="FFFFFF"/>
        </w:rPr>
        <w:t xml:space="preserve"> </w:t>
      </w:r>
      <w:r w:rsidR="000F34D2">
        <w:rPr>
          <w:rFonts w:cs="Segoe UI"/>
          <w:color w:val="000000"/>
          <w:shd w:val="clear" w:color="auto" w:fill="FFFFFF"/>
        </w:rPr>
        <w:t>from a formal warning</w:t>
      </w:r>
      <w:r w:rsidR="00D16BC3">
        <w:rPr>
          <w:rFonts w:cs="Segoe UI"/>
          <w:color w:val="000000"/>
          <w:shd w:val="clear" w:color="auto" w:fill="FFFFFF"/>
        </w:rPr>
        <w:t xml:space="preserve"> to termination of employment. </w:t>
      </w:r>
      <w:r w:rsidR="00B346BB">
        <w:rPr>
          <w:rFonts w:cs="Segoe UI"/>
          <w:color w:val="000000"/>
          <w:shd w:val="clear" w:color="auto" w:fill="FFFFFF"/>
        </w:rPr>
        <w:t>C</w:t>
      </w:r>
      <w:r w:rsidR="00D16BC3">
        <w:rPr>
          <w:rFonts w:cs="Segoe UI"/>
          <w:color w:val="000000"/>
          <w:shd w:val="clear" w:color="auto" w:fill="FFFFFF"/>
        </w:rPr>
        <w:t>onfidential</w:t>
      </w:r>
      <w:r w:rsidR="00B346BB">
        <w:rPr>
          <w:rFonts w:cs="Segoe UI"/>
          <w:color w:val="000000"/>
          <w:shd w:val="clear" w:color="auto" w:fill="FFFFFF"/>
        </w:rPr>
        <w:t xml:space="preserve">ity </w:t>
      </w:r>
      <w:r w:rsidR="00361742">
        <w:rPr>
          <w:rFonts w:cs="Segoe UI"/>
          <w:color w:val="000000"/>
          <w:shd w:val="clear" w:color="auto" w:fill="FFFFFF"/>
        </w:rPr>
        <w:t xml:space="preserve">was </w:t>
      </w:r>
      <w:r w:rsidR="00B346BB">
        <w:rPr>
          <w:rFonts w:cs="Segoe UI"/>
          <w:color w:val="000000"/>
          <w:shd w:val="clear" w:color="auto" w:fill="FFFFFF"/>
        </w:rPr>
        <w:t>respected as far</w:t>
      </w:r>
      <w:r w:rsidR="00D16BC3">
        <w:rPr>
          <w:rFonts w:cs="Segoe UI"/>
          <w:color w:val="000000"/>
          <w:shd w:val="clear" w:color="auto" w:fill="FFFFFF"/>
        </w:rPr>
        <w:t xml:space="preserve"> as possible. </w:t>
      </w:r>
    </w:p>
    <w:p w14:paraId="5EEC3C07" w14:textId="5DC03ED6" w:rsidR="00C6429E" w:rsidRDefault="00446C8E" w:rsidP="0088054E">
      <w:pPr>
        <w:rPr>
          <w:lang w:eastAsia="en-AU"/>
        </w:rPr>
      </w:pPr>
      <w:r>
        <w:rPr>
          <w:lang w:eastAsia="en-AU"/>
        </w:rPr>
        <w:t xml:space="preserve">Instances of </w:t>
      </w:r>
      <w:r w:rsidRPr="00C62E0F">
        <w:rPr>
          <w:lang w:eastAsia="en-AU"/>
        </w:rPr>
        <w:t>bullying</w:t>
      </w:r>
      <w:r>
        <w:rPr>
          <w:lang w:eastAsia="en-AU"/>
        </w:rPr>
        <w:t xml:space="preserve"> were rarely noted, with</w:t>
      </w:r>
      <w:r w:rsidR="00A57E74">
        <w:rPr>
          <w:lang w:eastAsia="en-AU"/>
        </w:rPr>
        <w:t xml:space="preserve"> only</w:t>
      </w:r>
      <w:r>
        <w:rPr>
          <w:lang w:eastAsia="en-AU"/>
        </w:rPr>
        <w:t xml:space="preserve"> </w:t>
      </w:r>
      <w:r w:rsidRPr="00C62E0F">
        <w:rPr>
          <w:lang w:eastAsia="en-AU"/>
        </w:rPr>
        <w:t xml:space="preserve">one past and one current staff member </w:t>
      </w:r>
      <w:r>
        <w:rPr>
          <w:lang w:eastAsia="en-AU"/>
        </w:rPr>
        <w:t>advising</w:t>
      </w:r>
      <w:r w:rsidRPr="00C62E0F">
        <w:rPr>
          <w:lang w:eastAsia="en-AU"/>
        </w:rPr>
        <w:t xml:space="preserve"> that they </w:t>
      </w:r>
      <w:r>
        <w:rPr>
          <w:lang w:eastAsia="en-AU"/>
        </w:rPr>
        <w:t>had</w:t>
      </w:r>
      <w:r w:rsidRPr="00C62E0F">
        <w:rPr>
          <w:lang w:eastAsia="en-AU"/>
        </w:rPr>
        <w:t xml:space="preserve"> been</w:t>
      </w:r>
      <w:r>
        <w:rPr>
          <w:lang w:eastAsia="en-AU"/>
        </w:rPr>
        <w:t xml:space="preserve"> the</w:t>
      </w:r>
      <w:r w:rsidRPr="00C62E0F">
        <w:rPr>
          <w:lang w:eastAsia="en-AU"/>
        </w:rPr>
        <w:t xml:space="preserve"> subject </w:t>
      </w:r>
      <w:r>
        <w:rPr>
          <w:lang w:eastAsia="en-AU"/>
        </w:rPr>
        <w:t>of</w:t>
      </w:r>
      <w:r w:rsidR="00A57E74">
        <w:rPr>
          <w:lang w:eastAsia="en-AU"/>
        </w:rPr>
        <w:t xml:space="preserve"> alleged</w:t>
      </w:r>
      <w:r w:rsidRPr="00C62E0F">
        <w:rPr>
          <w:lang w:eastAsia="en-AU"/>
        </w:rPr>
        <w:t xml:space="preserve"> bullying at the KLC</w:t>
      </w:r>
      <w:r w:rsidR="009579AA">
        <w:rPr>
          <w:lang w:eastAsia="en-AU"/>
        </w:rPr>
        <w:t xml:space="preserve"> across the </w:t>
      </w:r>
      <w:r w:rsidR="00361742">
        <w:rPr>
          <w:lang w:eastAsia="en-AU"/>
        </w:rPr>
        <w:t>Review p</w:t>
      </w:r>
      <w:r w:rsidR="009579AA">
        <w:rPr>
          <w:lang w:eastAsia="en-AU"/>
        </w:rPr>
        <w:t>eriod</w:t>
      </w:r>
      <w:r w:rsidR="003B5FD7">
        <w:rPr>
          <w:lang w:eastAsia="en-AU"/>
        </w:rPr>
        <w:t>.</w:t>
      </w:r>
      <w:r w:rsidR="000B4F40">
        <w:rPr>
          <w:lang w:eastAsia="en-AU"/>
        </w:rPr>
        <w:t xml:space="preserve"> </w:t>
      </w:r>
    </w:p>
    <w:p w14:paraId="0E50D074" w14:textId="77777777" w:rsidR="00446C8E" w:rsidRPr="00C62E0F" w:rsidRDefault="00446C8E" w:rsidP="00446C8E">
      <w:pPr>
        <w:keepNext/>
        <w:spacing w:before="240" w:after="60"/>
        <w:outlineLvl w:val="3"/>
        <w:rPr>
          <w:rFonts w:ascii="Segoe UI Semibold" w:eastAsia="Times New Roman" w:hAnsi="Segoe UI Semibold" w:cs="Times New Roman"/>
          <w:color w:val="00264D" w:themeColor="background2"/>
          <w:sz w:val="22"/>
          <w:szCs w:val="19"/>
          <w:lang w:eastAsia="en-AU"/>
        </w:rPr>
      </w:pPr>
      <w:r w:rsidRPr="00C62E0F">
        <w:rPr>
          <w:rFonts w:ascii="Segoe UI Semibold" w:eastAsia="Times New Roman" w:hAnsi="Segoe UI Semibold" w:cs="Times New Roman"/>
          <w:color w:val="00264D" w:themeColor="background2"/>
          <w:sz w:val="22"/>
          <w:szCs w:val="19"/>
          <w:lang w:eastAsia="en-AU"/>
        </w:rPr>
        <w:t>Financial management</w:t>
      </w:r>
    </w:p>
    <w:p w14:paraId="4D59A29E" w14:textId="77777777" w:rsidR="00446C8E" w:rsidRPr="000A2551" w:rsidRDefault="00446C8E" w:rsidP="00DA2C81">
      <w:pPr>
        <w:pStyle w:val="Heading5"/>
      </w:pPr>
      <w:r w:rsidRPr="00C62E0F">
        <w:t>KLC</w:t>
      </w:r>
      <w:r>
        <w:t xml:space="preserve"> had robust </w:t>
      </w:r>
      <w:r w:rsidRPr="00C62E0F">
        <w:t xml:space="preserve">financial governance policies and procedures </w:t>
      </w:r>
      <w:r>
        <w:t>in place</w:t>
      </w:r>
    </w:p>
    <w:p w14:paraId="02C0753F" w14:textId="38BBFDD2" w:rsidR="00446C8E" w:rsidRDefault="009B2057" w:rsidP="00446C8E">
      <w:pPr>
        <w:rPr>
          <w:lang w:eastAsia="en-AU"/>
        </w:rPr>
      </w:pPr>
      <w:r>
        <w:rPr>
          <w:lang w:eastAsia="en-AU"/>
        </w:rPr>
        <w:t>Consistent with finding</w:t>
      </w:r>
      <w:r w:rsidR="00E93125">
        <w:rPr>
          <w:lang w:eastAsia="en-AU"/>
        </w:rPr>
        <w:t>s</w:t>
      </w:r>
      <w:r w:rsidR="004E3D4A">
        <w:rPr>
          <w:lang w:eastAsia="en-AU"/>
        </w:rPr>
        <w:t xml:space="preserve"> from the </w:t>
      </w:r>
      <w:r w:rsidR="00E93125">
        <w:rPr>
          <w:lang w:eastAsia="en-AU"/>
        </w:rPr>
        <w:t>previous</w:t>
      </w:r>
      <w:r>
        <w:rPr>
          <w:lang w:eastAsia="en-AU"/>
        </w:rPr>
        <w:t xml:space="preserve"> </w:t>
      </w:r>
      <w:r w:rsidR="004E3D4A">
        <w:rPr>
          <w:lang w:eastAsia="en-AU"/>
        </w:rPr>
        <w:t>Review</w:t>
      </w:r>
      <w:r w:rsidR="00127535">
        <w:rPr>
          <w:lang w:eastAsia="en-AU"/>
        </w:rPr>
        <w:t>,</w:t>
      </w:r>
      <w:r w:rsidR="00E93125">
        <w:rPr>
          <w:lang w:eastAsia="en-AU"/>
        </w:rPr>
        <w:t xml:space="preserve"> the Review </w:t>
      </w:r>
      <w:r w:rsidR="00FB1E83">
        <w:rPr>
          <w:lang w:eastAsia="en-AU"/>
        </w:rPr>
        <w:t xml:space="preserve">observed the KLC’s financial </w:t>
      </w:r>
      <w:r w:rsidR="00637B02">
        <w:rPr>
          <w:lang w:eastAsia="en-AU"/>
        </w:rPr>
        <w:t>management</w:t>
      </w:r>
      <w:r w:rsidR="00FB1E83">
        <w:rPr>
          <w:lang w:eastAsia="en-AU"/>
        </w:rPr>
        <w:t xml:space="preserve"> to be of high quality</w:t>
      </w:r>
      <w:r w:rsidR="00637B02">
        <w:rPr>
          <w:lang w:eastAsia="en-AU"/>
        </w:rPr>
        <w:t xml:space="preserve">. </w:t>
      </w:r>
      <w:r w:rsidR="00446C8E" w:rsidRPr="00C62E0F">
        <w:rPr>
          <w:lang w:eastAsia="en-AU"/>
        </w:rPr>
        <w:t xml:space="preserve">The KLC published financial statements for each financial year in </w:t>
      </w:r>
      <w:r w:rsidR="00446C8E">
        <w:rPr>
          <w:lang w:eastAsia="en-AU"/>
        </w:rPr>
        <w:t>its</w:t>
      </w:r>
      <w:r w:rsidR="00446C8E" w:rsidRPr="00C62E0F">
        <w:rPr>
          <w:lang w:eastAsia="en-AU"/>
        </w:rPr>
        <w:t xml:space="preserve"> annual reports</w:t>
      </w:r>
      <w:r w:rsidR="00446C8E">
        <w:rPr>
          <w:lang w:eastAsia="en-AU"/>
        </w:rPr>
        <w:t xml:space="preserve">, which were available on </w:t>
      </w:r>
      <w:r w:rsidR="00503C26">
        <w:rPr>
          <w:lang w:eastAsia="en-AU"/>
        </w:rPr>
        <w:t>its</w:t>
      </w:r>
      <w:r w:rsidR="00446C8E">
        <w:rPr>
          <w:lang w:eastAsia="en-AU"/>
        </w:rPr>
        <w:t xml:space="preserve"> </w:t>
      </w:r>
      <w:r w:rsidR="00446C8E" w:rsidRPr="00C62E0F">
        <w:rPr>
          <w:lang w:eastAsia="en-AU"/>
        </w:rPr>
        <w:t xml:space="preserve">website. </w:t>
      </w:r>
      <w:r w:rsidR="00446C8E">
        <w:rPr>
          <w:lang w:eastAsia="en-AU"/>
        </w:rPr>
        <w:t>I</w:t>
      </w:r>
      <w:r w:rsidR="00446C8E" w:rsidRPr="00C62E0F">
        <w:rPr>
          <w:lang w:eastAsia="en-AU"/>
        </w:rPr>
        <w:t>ndependent audit</w:t>
      </w:r>
      <w:r w:rsidR="00446C8E">
        <w:rPr>
          <w:lang w:eastAsia="en-AU"/>
        </w:rPr>
        <w:t xml:space="preserve"> reports were p</w:t>
      </w:r>
      <w:r w:rsidR="00446C8E" w:rsidRPr="00C62E0F">
        <w:rPr>
          <w:lang w:eastAsia="en-AU"/>
        </w:rPr>
        <w:t>rovide</w:t>
      </w:r>
      <w:r w:rsidR="00446C8E">
        <w:rPr>
          <w:lang w:eastAsia="en-AU"/>
        </w:rPr>
        <w:t>d</w:t>
      </w:r>
      <w:r w:rsidR="00446C8E" w:rsidRPr="00C62E0F">
        <w:rPr>
          <w:lang w:eastAsia="en-AU"/>
        </w:rPr>
        <w:t xml:space="preserve"> for </w:t>
      </w:r>
      <w:r w:rsidR="002C4C27">
        <w:rPr>
          <w:lang w:eastAsia="en-AU"/>
        </w:rPr>
        <w:t>the</w:t>
      </w:r>
      <w:r w:rsidR="002C4C27" w:rsidRPr="00C62E0F">
        <w:rPr>
          <w:lang w:eastAsia="en-AU"/>
        </w:rPr>
        <w:t xml:space="preserve"> </w:t>
      </w:r>
      <w:r w:rsidR="00446C8E" w:rsidRPr="00C62E0F">
        <w:rPr>
          <w:lang w:eastAsia="en-AU"/>
        </w:rPr>
        <w:t>three years</w:t>
      </w:r>
      <w:r w:rsidR="00361742">
        <w:rPr>
          <w:lang w:eastAsia="en-AU"/>
        </w:rPr>
        <w:t xml:space="preserve"> of the Review</w:t>
      </w:r>
      <w:r w:rsidR="009E0A73">
        <w:rPr>
          <w:lang w:eastAsia="en-AU"/>
        </w:rPr>
        <w:t xml:space="preserve"> period</w:t>
      </w:r>
      <w:r w:rsidR="00446C8E" w:rsidRPr="00C62E0F">
        <w:rPr>
          <w:lang w:eastAsia="en-AU"/>
        </w:rPr>
        <w:t>.</w:t>
      </w:r>
      <w:r w:rsidR="00446C8E">
        <w:rPr>
          <w:lang w:eastAsia="en-AU"/>
        </w:rPr>
        <w:t xml:space="preserve"> A</w:t>
      </w:r>
      <w:r w:rsidR="00446C8E" w:rsidRPr="00C62E0F">
        <w:rPr>
          <w:lang w:eastAsia="en-AU"/>
        </w:rPr>
        <w:t>dditionally, the KLC submitted bi-annual performance reports of budgeted and actual operational expenditure to the NIAA across the Review period</w:t>
      </w:r>
      <w:r w:rsidR="00446C8E">
        <w:rPr>
          <w:lang w:eastAsia="en-AU"/>
        </w:rPr>
        <w:t>.</w:t>
      </w:r>
    </w:p>
    <w:p w14:paraId="0A0E3CF8" w14:textId="268B772C" w:rsidR="00630170" w:rsidRPr="00C62E0F" w:rsidRDefault="004A0E4C" w:rsidP="00446C8E">
      <w:pPr>
        <w:rPr>
          <w:lang w:eastAsia="en-AU"/>
        </w:rPr>
      </w:pPr>
      <w:r>
        <w:rPr>
          <w:lang w:eastAsia="en-AU"/>
        </w:rPr>
        <w:t xml:space="preserve">Financial staff commented that </w:t>
      </w:r>
      <w:r w:rsidR="00040EC0">
        <w:rPr>
          <w:lang w:eastAsia="en-AU"/>
        </w:rPr>
        <w:t>the organisation had</w:t>
      </w:r>
      <w:r w:rsidR="00B05F28">
        <w:rPr>
          <w:lang w:eastAsia="en-AU"/>
        </w:rPr>
        <w:t xml:space="preserve"> become a great deal more sophisticated in its</w:t>
      </w:r>
      <w:r w:rsidR="00EE60F8">
        <w:rPr>
          <w:lang w:eastAsia="en-AU"/>
        </w:rPr>
        <w:t xml:space="preserve"> financial systems</w:t>
      </w:r>
      <w:r w:rsidR="00113150">
        <w:rPr>
          <w:lang w:eastAsia="en-AU"/>
        </w:rPr>
        <w:t xml:space="preserve"> over the Review period</w:t>
      </w:r>
      <w:r w:rsidR="00563ED5">
        <w:rPr>
          <w:lang w:eastAsia="en-AU"/>
        </w:rPr>
        <w:t xml:space="preserve">. The </w:t>
      </w:r>
      <w:r w:rsidR="00AA4086">
        <w:rPr>
          <w:lang w:eastAsia="en-AU"/>
        </w:rPr>
        <w:t>Governance manual had been updated during the Review period</w:t>
      </w:r>
      <w:r w:rsidR="00B35871">
        <w:rPr>
          <w:lang w:eastAsia="en-AU"/>
        </w:rPr>
        <w:t xml:space="preserve">, the delegations modernised </w:t>
      </w:r>
      <w:r w:rsidR="00FD3682">
        <w:rPr>
          <w:lang w:eastAsia="en-AU"/>
        </w:rPr>
        <w:t xml:space="preserve">and a new policy adopted in relation to remuneration </w:t>
      </w:r>
      <w:r w:rsidR="00A06244">
        <w:rPr>
          <w:lang w:eastAsia="en-AU"/>
        </w:rPr>
        <w:t>for</w:t>
      </w:r>
      <w:r w:rsidR="00FD3682">
        <w:rPr>
          <w:lang w:eastAsia="en-AU"/>
        </w:rPr>
        <w:t xml:space="preserve"> Board Directors.</w:t>
      </w:r>
      <w:r w:rsidR="00236FF3">
        <w:rPr>
          <w:lang w:eastAsia="en-AU"/>
        </w:rPr>
        <w:t xml:space="preserve"> </w:t>
      </w:r>
      <w:r w:rsidR="00923CB2">
        <w:rPr>
          <w:lang w:eastAsia="en-AU"/>
        </w:rPr>
        <w:t xml:space="preserve">The </w:t>
      </w:r>
      <w:r w:rsidR="00195D68">
        <w:rPr>
          <w:lang w:eastAsia="en-AU"/>
        </w:rPr>
        <w:t>KLC</w:t>
      </w:r>
      <w:r w:rsidR="00195D68" w:rsidDel="009E0A73">
        <w:rPr>
          <w:lang w:eastAsia="en-AU"/>
        </w:rPr>
        <w:t xml:space="preserve"> </w:t>
      </w:r>
      <w:r w:rsidR="009E0A73">
        <w:rPr>
          <w:lang w:eastAsia="en-AU"/>
        </w:rPr>
        <w:t xml:space="preserve">had </w:t>
      </w:r>
      <w:r w:rsidR="00195D68">
        <w:rPr>
          <w:lang w:eastAsia="en-AU"/>
        </w:rPr>
        <w:t xml:space="preserve">an internal system in place for the </w:t>
      </w:r>
      <w:r w:rsidR="00923CB2">
        <w:rPr>
          <w:lang w:eastAsia="en-AU"/>
        </w:rPr>
        <w:t xml:space="preserve">allocation </w:t>
      </w:r>
      <w:r w:rsidR="001D0489">
        <w:rPr>
          <w:lang w:eastAsia="en-AU"/>
        </w:rPr>
        <w:t xml:space="preserve">of </w:t>
      </w:r>
      <w:r w:rsidR="005027FD">
        <w:rPr>
          <w:lang w:eastAsia="en-AU"/>
        </w:rPr>
        <w:t xml:space="preserve">corporate </w:t>
      </w:r>
      <w:r w:rsidR="001D0489">
        <w:rPr>
          <w:lang w:eastAsia="en-AU"/>
        </w:rPr>
        <w:t xml:space="preserve">costs across the different </w:t>
      </w:r>
      <w:r w:rsidR="005027FD">
        <w:rPr>
          <w:lang w:eastAsia="en-AU"/>
        </w:rPr>
        <w:t xml:space="preserve">functions and funding streams </w:t>
      </w:r>
      <w:r w:rsidR="0050375E">
        <w:rPr>
          <w:lang w:eastAsia="en-AU"/>
        </w:rPr>
        <w:t>i</w:t>
      </w:r>
      <w:r w:rsidR="00BF657A">
        <w:rPr>
          <w:lang w:eastAsia="en-AU"/>
        </w:rPr>
        <w:t>t</w:t>
      </w:r>
      <w:r w:rsidR="0050375E">
        <w:rPr>
          <w:lang w:eastAsia="en-AU"/>
        </w:rPr>
        <w:t xml:space="preserve"> manages. This allocation process </w:t>
      </w:r>
      <w:r w:rsidR="009E0A73">
        <w:rPr>
          <w:lang w:eastAsia="en-AU"/>
        </w:rPr>
        <w:t xml:space="preserve">was </w:t>
      </w:r>
      <w:r w:rsidR="0050375E">
        <w:rPr>
          <w:lang w:eastAsia="en-AU"/>
        </w:rPr>
        <w:t xml:space="preserve">intended to ensure </w:t>
      </w:r>
      <w:r w:rsidR="00BF657A">
        <w:rPr>
          <w:lang w:eastAsia="en-AU"/>
        </w:rPr>
        <w:t>that native title fundi</w:t>
      </w:r>
      <w:r w:rsidR="00A76842">
        <w:rPr>
          <w:lang w:eastAsia="en-AU"/>
        </w:rPr>
        <w:t xml:space="preserve">ng and other sources of funds </w:t>
      </w:r>
      <w:r w:rsidR="009E0A73">
        <w:rPr>
          <w:lang w:eastAsia="en-AU"/>
        </w:rPr>
        <w:t xml:space="preserve">were </w:t>
      </w:r>
      <w:r w:rsidR="00A76842">
        <w:rPr>
          <w:lang w:eastAsia="en-AU"/>
        </w:rPr>
        <w:t xml:space="preserve">appropriately allocated across </w:t>
      </w:r>
      <w:r w:rsidR="001A475E">
        <w:rPr>
          <w:lang w:eastAsia="en-AU"/>
        </w:rPr>
        <w:t>the KLC’s functions.</w:t>
      </w:r>
    </w:p>
    <w:p w14:paraId="2C5EB04E" w14:textId="77777777" w:rsidR="00446C8E" w:rsidRPr="00C62E0F" w:rsidRDefault="00446C8E" w:rsidP="00446C8E">
      <w:pPr>
        <w:keepNext/>
        <w:spacing w:before="240" w:after="60"/>
        <w:outlineLvl w:val="3"/>
        <w:rPr>
          <w:rFonts w:ascii="Segoe UI Semibold" w:eastAsia="Times New Roman" w:hAnsi="Segoe UI Semibold" w:cs="Times New Roman"/>
          <w:color w:val="00264D" w:themeColor="background2"/>
          <w:sz w:val="22"/>
          <w:szCs w:val="19"/>
          <w:lang w:eastAsia="en-AU"/>
        </w:rPr>
      </w:pPr>
      <w:r w:rsidRPr="00C62E0F">
        <w:rPr>
          <w:rFonts w:ascii="Segoe UI Semibold" w:eastAsia="Times New Roman" w:hAnsi="Segoe UI Semibold" w:cs="Times New Roman"/>
          <w:color w:val="00264D" w:themeColor="background2"/>
          <w:sz w:val="22"/>
          <w:szCs w:val="19"/>
          <w:lang w:eastAsia="en-AU"/>
        </w:rPr>
        <w:t>Level of staff turnover</w:t>
      </w:r>
    </w:p>
    <w:p w14:paraId="479E5F94" w14:textId="1C81859A" w:rsidR="00446C8E" w:rsidRPr="00C62E0F" w:rsidRDefault="00446C8E" w:rsidP="0027579E">
      <w:pPr>
        <w:pStyle w:val="Heading5"/>
      </w:pPr>
      <w:r w:rsidRPr="00C62E0F">
        <w:t>KLC experienced moderate</w:t>
      </w:r>
      <w:r w:rsidR="00480B04">
        <w:t xml:space="preserve"> staff</w:t>
      </w:r>
      <w:r w:rsidRPr="00C62E0F">
        <w:t xml:space="preserve"> turnover during the Review period</w:t>
      </w:r>
    </w:p>
    <w:p w14:paraId="31D65452" w14:textId="1340937F" w:rsidR="00446C8E" w:rsidRDefault="00446C8E" w:rsidP="00446C8E">
      <w:pPr>
        <w:rPr>
          <w:lang w:eastAsia="en-AU"/>
        </w:rPr>
      </w:pPr>
      <w:r w:rsidRPr="00C62E0F">
        <w:rPr>
          <w:lang w:eastAsia="en-AU"/>
        </w:rPr>
        <w:t>A</w:t>
      </w:r>
      <w:r w:rsidR="00DB6088">
        <w:rPr>
          <w:lang w:eastAsia="en-AU"/>
        </w:rPr>
        <w:t>bout two thirds of the KLC</w:t>
      </w:r>
      <w:r w:rsidR="0092039D">
        <w:rPr>
          <w:lang w:eastAsia="en-AU"/>
        </w:rPr>
        <w:t xml:space="preserve">’s </w:t>
      </w:r>
      <w:r w:rsidR="00A07479">
        <w:rPr>
          <w:lang w:eastAsia="en-AU"/>
        </w:rPr>
        <w:t>staff</w:t>
      </w:r>
      <w:r w:rsidR="00840072" w:rsidDel="00480B04">
        <w:rPr>
          <w:lang w:eastAsia="en-AU"/>
        </w:rPr>
        <w:t xml:space="preserve"> </w:t>
      </w:r>
      <w:r w:rsidR="00480B04">
        <w:rPr>
          <w:lang w:eastAsia="en-AU"/>
        </w:rPr>
        <w:t xml:space="preserve">was </w:t>
      </w:r>
      <w:r w:rsidR="00BD7D48">
        <w:rPr>
          <w:lang w:eastAsia="en-AU"/>
        </w:rPr>
        <w:t xml:space="preserve">directly or indirectly </w:t>
      </w:r>
      <w:r w:rsidR="00281B14">
        <w:rPr>
          <w:lang w:eastAsia="en-AU"/>
        </w:rPr>
        <w:t>involved</w:t>
      </w:r>
      <w:r w:rsidR="00BD7D48">
        <w:rPr>
          <w:lang w:eastAsia="en-AU"/>
        </w:rPr>
        <w:t xml:space="preserve"> </w:t>
      </w:r>
      <w:r w:rsidR="00D56FD6">
        <w:rPr>
          <w:lang w:eastAsia="en-AU"/>
        </w:rPr>
        <w:t xml:space="preserve">with </w:t>
      </w:r>
      <w:r w:rsidR="0090255D">
        <w:rPr>
          <w:lang w:eastAsia="en-AU"/>
        </w:rPr>
        <w:t>native title work. A</w:t>
      </w:r>
      <w:r w:rsidRPr="00C62E0F">
        <w:rPr>
          <w:lang w:eastAsia="en-AU"/>
        </w:rPr>
        <w:t xml:space="preserve">cross the Review period, </w:t>
      </w:r>
      <w:r w:rsidR="00E41E26">
        <w:rPr>
          <w:lang w:eastAsia="en-AU"/>
        </w:rPr>
        <w:t xml:space="preserve">the </w:t>
      </w:r>
      <w:r>
        <w:rPr>
          <w:lang w:eastAsia="en-AU"/>
        </w:rPr>
        <w:t xml:space="preserve">KLC experienced </w:t>
      </w:r>
      <w:r w:rsidRPr="00C62E0F">
        <w:rPr>
          <w:lang w:eastAsia="en-AU"/>
        </w:rPr>
        <w:t>a moderate level of turnover</w:t>
      </w:r>
      <w:r w:rsidR="00AE0335">
        <w:rPr>
          <w:lang w:eastAsia="en-AU"/>
        </w:rPr>
        <w:t xml:space="preserve"> </w:t>
      </w:r>
      <w:r w:rsidR="009E7CF7">
        <w:rPr>
          <w:lang w:eastAsia="en-AU"/>
        </w:rPr>
        <w:t>in</w:t>
      </w:r>
      <w:r w:rsidR="00AE0335">
        <w:rPr>
          <w:lang w:eastAsia="en-AU"/>
        </w:rPr>
        <w:t xml:space="preserve"> staff who </w:t>
      </w:r>
      <w:r w:rsidR="009E7CF7">
        <w:rPr>
          <w:lang w:eastAsia="en-AU"/>
        </w:rPr>
        <w:t xml:space="preserve">helped deliver </w:t>
      </w:r>
      <w:r w:rsidR="007B199A">
        <w:rPr>
          <w:lang w:eastAsia="en-AU"/>
        </w:rPr>
        <w:t>this</w:t>
      </w:r>
      <w:r w:rsidR="009E7CF7">
        <w:rPr>
          <w:lang w:eastAsia="en-AU"/>
        </w:rPr>
        <w:t xml:space="preserve"> work</w:t>
      </w:r>
      <w:r>
        <w:rPr>
          <w:lang w:eastAsia="en-AU"/>
        </w:rPr>
        <w:t>, part</w:t>
      </w:r>
      <w:r w:rsidR="00B05CA5">
        <w:rPr>
          <w:lang w:eastAsia="en-AU"/>
        </w:rPr>
        <w:t>icularly during FY2020-21</w:t>
      </w:r>
      <w:r w:rsidR="00770902">
        <w:rPr>
          <w:lang w:eastAsia="en-AU"/>
        </w:rPr>
        <w:t xml:space="preserve">, as shown in </w:t>
      </w:r>
      <w:r w:rsidR="00BC7BC4">
        <w:rPr>
          <w:lang w:eastAsia="en-AU"/>
        </w:rPr>
        <w:fldChar w:fldCharType="begin"/>
      </w:r>
      <w:r w:rsidR="00BC7BC4">
        <w:rPr>
          <w:lang w:eastAsia="en-AU"/>
        </w:rPr>
        <w:instrText xml:space="preserve"> REF _Ref153889164 \h </w:instrText>
      </w:r>
      <w:r w:rsidR="00BC7BC4">
        <w:rPr>
          <w:lang w:eastAsia="en-AU"/>
        </w:rPr>
      </w:r>
      <w:r w:rsidR="00BC7BC4">
        <w:rPr>
          <w:lang w:eastAsia="en-AU"/>
        </w:rPr>
        <w:fldChar w:fldCharType="separate"/>
      </w:r>
      <w:r w:rsidR="00291532">
        <w:t xml:space="preserve">Table </w:t>
      </w:r>
      <w:r w:rsidR="00291532">
        <w:rPr>
          <w:noProof/>
        </w:rPr>
        <w:t>16</w:t>
      </w:r>
      <w:r w:rsidR="00BC7BC4">
        <w:rPr>
          <w:lang w:eastAsia="en-AU"/>
        </w:rPr>
        <w:fldChar w:fldCharType="end"/>
      </w:r>
      <w:r w:rsidR="00B05CA5">
        <w:rPr>
          <w:lang w:eastAsia="en-AU"/>
        </w:rPr>
        <w:t xml:space="preserve">. This was </w:t>
      </w:r>
      <w:r>
        <w:rPr>
          <w:lang w:eastAsia="en-AU"/>
        </w:rPr>
        <w:t xml:space="preserve">partly due to the impact of </w:t>
      </w:r>
      <w:r w:rsidRPr="00C62E0F">
        <w:rPr>
          <w:lang w:eastAsia="en-AU"/>
        </w:rPr>
        <w:t>COVID-19</w:t>
      </w:r>
      <w:r>
        <w:rPr>
          <w:lang w:eastAsia="en-AU"/>
        </w:rPr>
        <w:t xml:space="preserve"> which led to </w:t>
      </w:r>
      <w:r w:rsidRPr="00C62E0F">
        <w:rPr>
          <w:lang w:eastAsia="en-AU"/>
        </w:rPr>
        <w:t xml:space="preserve">feelings of isolation and a </w:t>
      </w:r>
      <w:r>
        <w:rPr>
          <w:lang w:eastAsia="en-AU"/>
        </w:rPr>
        <w:t xml:space="preserve">desire to </w:t>
      </w:r>
      <w:r w:rsidRPr="00C62E0F">
        <w:rPr>
          <w:lang w:eastAsia="en-AU"/>
        </w:rPr>
        <w:t xml:space="preserve">return </w:t>
      </w:r>
      <w:r>
        <w:rPr>
          <w:lang w:eastAsia="en-AU"/>
        </w:rPr>
        <w:t xml:space="preserve">to distant </w:t>
      </w:r>
      <w:r w:rsidRPr="00C62E0F">
        <w:rPr>
          <w:lang w:eastAsia="en-AU"/>
        </w:rPr>
        <w:t>home</w:t>
      </w:r>
      <w:r>
        <w:rPr>
          <w:lang w:eastAsia="en-AU"/>
        </w:rPr>
        <w:t xml:space="preserve">s. </w:t>
      </w:r>
      <w:r w:rsidR="00F341BF">
        <w:rPr>
          <w:lang w:eastAsia="en-AU"/>
        </w:rPr>
        <w:t xml:space="preserve">Despite this turnover, </w:t>
      </w:r>
      <w:r w:rsidR="00480B04">
        <w:rPr>
          <w:lang w:eastAsia="en-AU"/>
        </w:rPr>
        <w:t xml:space="preserve">KLC </w:t>
      </w:r>
      <w:r w:rsidR="00F341BF">
        <w:rPr>
          <w:lang w:eastAsia="en-AU"/>
        </w:rPr>
        <w:t xml:space="preserve">staff appeared to have </w:t>
      </w:r>
      <w:r w:rsidR="001B6B24">
        <w:rPr>
          <w:lang w:eastAsia="en-AU"/>
        </w:rPr>
        <w:t xml:space="preserve">managed their workloads </w:t>
      </w:r>
      <w:r w:rsidR="001E3450">
        <w:rPr>
          <w:lang w:eastAsia="en-AU"/>
        </w:rPr>
        <w:t>without major stress.</w:t>
      </w:r>
      <w:r w:rsidR="008D67CB">
        <w:rPr>
          <w:lang w:eastAsia="en-AU"/>
        </w:rPr>
        <w:t xml:space="preserve"> </w:t>
      </w:r>
    </w:p>
    <w:p w14:paraId="066D8AEF" w14:textId="05EFD1A5" w:rsidR="00446C8E" w:rsidRPr="00C62E0F" w:rsidRDefault="00446C8E" w:rsidP="00770902">
      <w:pPr>
        <w:pStyle w:val="Caption"/>
        <w:rPr>
          <w:lang w:eastAsia="en-AU"/>
        </w:rPr>
      </w:pPr>
      <w:bookmarkStart w:id="53" w:name="_Ref153889164"/>
      <w:r>
        <w:t xml:space="preserve">Table </w:t>
      </w:r>
      <w:r w:rsidR="00770902">
        <w:fldChar w:fldCharType="begin"/>
      </w:r>
      <w:r w:rsidR="00770902">
        <w:instrText xml:space="preserve"> SEQ Table \* ARABIC </w:instrText>
      </w:r>
      <w:r w:rsidR="00770902">
        <w:fldChar w:fldCharType="separate"/>
      </w:r>
      <w:r w:rsidR="00291532">
        <w:rPr>
          <w:noProof/>
        </w:rPr>
        <w:t>16</w:t>
      </w:r>
      <w:r w:rsidR="00770902">
        <w:fldChar w:fldCharType="end"/>
      </w:r>
      <w:bookmarkEnd w:id="53"/>
      <w:r>
        <w:t xml:space="preserve"> | </w:t>
      </w:r>
      <w:r w:rsidRPr="003D0220">
        <w:t>FY2019</w:t>
      </w:r>
      <w:r w:rsidR="00770902">
        <w:t>-20</w:t>
      </w:r>
      <w:r w:rsidRPr="003D0220">
        <w:t xml:space="preserve"> to </w:t>
      </w:r>
      <w:r w:rsidR="00770902" w:rsidRPr="003D0220">
        <w:t>FY202</w:t>
      </w:r>
      <w:r w:rsidR="00770902">
        <w:t>1-22</w:t>
      </w:r>
      <w:r w:rsidRPr="003D0220">
        <w:t xml:space="preserve"> staff turnover</w:t>
      </w:r>
      <w:r>
        <w:rPr>
          <w:rStyle w:val="FootnoteReference"/>
        </w:rPr>
        <w:footnoteReference w:id="34"/>
      </w:r>
      <w:r w:rsidR="009A34E2" w:rsidRPr="009A34E2">
        <w:rPr>
          <w:vertAlign w:val="superscript"/>
        </w:rPr>
        <w:t>,</w:t>
      </w:r>
      <w:r>
        <w:rPr>
          <w:rStyle w:val="FootnoteReference"/>
          <w:lang w:eastAsia="en-AU"/>
        </w:rPr>
        <w:footnoteReference w:id="35"/>
      </w:r>
    </w:p>
    <w:tbl>
      <w:tblPr>
        <w:tblStyle w:val="AEMO2"/>
        <w:tblW w:w="5000" w:type="pct"/>
        <w:tblLook w:val="04A0" w:firstRow="1" w:lastRow="0" w:firstColumn="1" w:lastColumn="0" w:noHBand="0" w:noVBand="1"/>
      </w:tblPr>
      <w:tblGrid>
        <w:gridCol w:w="1700"/>
        <w:gridCol w:w="2268"/>
        <w:gridCol w:w="2581"/>
        <w:gridCol w:w="2381"/>
      </w:tblGrid>
      <w:tr w:rsidR="00480B04" w:rsidRPr="00C62E0F" w14:paraId="7049B9D0" w14:textId="77777777" w:rsidTr="00480B04">
        <w:trPr>
          <w:cnfStyle w:val="100000000000" w:firstRow="1" w:lastRow="0" w:firstColumn="0" w:lastColumn="0" w:oddVBand="0" w:evenVBand="0" w:oddHBand="0" w:evenHBand="0" w:firstRowFirstColumn="0" w:firstRowLastColumn="0" w:lastRowFirstColumn="0" w:lastRowLastColumn="0"/>
        </w:trPr>
        <w:tc>
          <w:tcPr>
            <w:tcW w:w="952" w:type="pct"/>
          </w:tcPr>
          <w:p w14:paraId="3377AEB1" w14:textId="77777777" w:rsidR="00446C8E" w:rsidRPr="00C62E0F" w:rsidRDefault="00446C8E" w:rsidP="00863E29">
            <w:pPr>
              <w:pStyle w:val="TableNheader"/>
              <w:rPr>
                <w:lang w:eastAsia="en-AU"/>
              </w:rPr>
            </w:pPr>
            <w:r w:rsidRPr="00C62E0F">
              <w:rPr>
                <w:lang w:eastAsia="en-AU"/>
              </w:rPr>
              <w:t>Financial year</w:t>
            </w:r>
          </w:p>
        </w:tc>
        <w:tc>
          <w:tcPr>
            <w:tcW w:w="1270" w:type="pct"/>
          </w:tcPr>
          <w:p w14:paraId="487BAA8B" w14:textId="508AAB30" w:rsidR="008C1FB0" w:rsidRDefault="008C1FB0" w:rsidP="00863E29">
            <w:pPr>
              <w:pStyle w:val="TableNheader"/>
              <w:rPr>
                <w:lang w:eastAsia="en-AU"/>
              </w:rPr>
            </w:pPr>
            <w:r>
              <w:rPr>
                <w:lang w:eastAsia="en-AU"/>
              </w:rPr>
              <w:t xml:space="preserve">Total </w:t>
            </w:r>
            <w:r w:rsidR="00672C21">
              <w:rPr>
                <w:lang w:eastAsia="en-AU"/>
              </w:rPr>
              <w:t xml:space="preserve">permanent </w:t>
            </w:r>
            <w:r>
              <w:rPr>
                <w:lang w:eastAsia="en-AU"/>
              </w:rPr>
              <w:t>staff</w:t>
            </w:r>
            <w:r w:rsidR="0022390C">
              <w:rPr>
                <w:lang w:eastAsia="en-AU"/>
              </w:rPr>
              <w:t xml:space="preserve"> at end of financial year</w:t>
            </w:r>
          </w:p>
        </w:tc>
        <w:tc>
          <w:tcPr>
            <w:tcW w:w="1445" w:type="pct"/>
          </w:tcPr>
          <w:p w14:paraId="1CE25ABD" w14:textId="19DB6918" w:rsidR="004E47E7" w:rsidRDefault="004E47E7" w:rsidP="00863E29">
            <w:pPr>
              <w:pStyle w:val="TableNheader"/>
              <w:rPr>
                <w:lang w:eastAsia="en-AU"/>
              </w:rPr>
            </w:pPr>
            <w:r>
              <w:rPr>
                <w:lang w:eastAsia="en-AU"/>
              </w:rPr>
              <w:t>Total staff</w:t>
            </w:r>
            <w:r w:rsidR="00E026C4">
              <w:rPr>
                <w:lang w:eastAsia="en-AU"/>
              </w:rPr>
              <w:t xml:space="preserve"> (</w:t>
            </w:r>
            <w:r w:rsidR="002946B1">
              <w:rPr>
                <w:lang w:eastAsia="en-AU"/>
              </w:rPr>
              <w:t>excluding LSMU</w:t>
            </w:r>
            <w:r w:rsidR="000E75A0">
              <w:rPr>
                <w:lang w:eastAsia="en-AU"/>
              </w:rPr>
              <w:t xml:space="preserve">) </w:t>
            </w:r>
            <w:r w:rsidR="00E026C4">
              <w:rPr>
                <w:lang w:eastAsia="en-AU"/>
              </w:rPr>
              <w:t>at end of financial year</w:t>
            </w:r>
          </w:p>
        </w:tc>
        <w:tc>
          <w:tcPr>
            <w:tcW w:w="1333" w:type="pct"/>
          </w:tcPr>
          <w:p w14:paraId="11759B2A" w14:textId="70A12DCC" w:rsidR="00446C8E" w:rsidRPr="00C62E0F" w:rsidRDefault="008C1FB0" w:rsidP="00863E29">
            <w:pPr>
              <w:pStyle w:val="TableNheader"/>
              <w:rPr>
                <w:lang w:eastAsia="en-AU"/>
              </w:rPr>
            </w:pPr>
            <w:r>
              <w:rPr>
                <w:lang w:eastAsia="en-AU"/>
              </w:rPr>
              <w:t xml:space="preserve">Staff </w:t>
            </w:r>
            <w:r w:rsidR="0065536D">
              <w:rPr>
                <w:lang w:eastAsia="en-AU"/>
              </w:rPr>
              <w:t xml:space="preserve">turnover </w:t>
            </w:r>
            <w:r w:rsidR="000E75A0">
              <w:rPr>
                <w:lang w:eastAsia="en-AU"/>
              </w:rPr>
              <w:t>(</w:t>
            </w:r>
            <w:r w:rsidR="002946B1">
              <w:rPr>
                <w:lang w:eastAsia="en-AU"/>
              </w:rPr>
              <w:t>excluding LSMU</w:t>
            </w:r>
            <w:r w:rsidR="000E75A0">
              <w:rPr>
                <w:lang w:eastAsia="en-AU"/>
              </w:rPr>
              <w:t xml:space="preserve">) </w:t>
            </w:r>
          </w:p>
        </w:tc>
      </w:tr>
      <w:tr w:rsidR="00446C8E" w:rsidRPr="00C62E0F" w14:paraId="3FB4A600" w14:textId="77777777" w:rsidTr="002C4C27">
        <w:trPr>
          <w:cnfStyle w:val="000000100000" w:firstRow="0" w:lastRow="0" w:firstColumn="0" w:lastColumn="0" w:oddVBand="0" w:evenVBand="0" w:oddHBand="1" w:evenHBand="0" w:firstRowFirstColumn="0" w:firstRowLastColumn="0" w:lastRowFirstColumn="0" w:lastRowLastColumn="0"/>
        </w:trPr>
        <w:tc>
          <w:tcPr>
            <w:tcW w:w="952" w:type="pct"/>
          </w:tcPr>
          <w:p w14:paraId="576A47E3" w14:textId="684E8D3C" w:rsidR="00446C8E" w:rsidRPr="00C62E0F" w:rsidRDefault="004E47E7" w:rsidP="00863E29">
            <w:pPr>
              <w:pStyle w:val="TableNText"/>
              <w:rPr>
                <w:lang w:eastAsia="en-AU"/>
              </w:rPr>
            </w:pPr>
            <w:r w:rsidRPr="00C62E0F">
              <w:rPr>
                <w:lang w:eastAsia="en-AU"/>
              </w:rPr>
              <w:t>2019</w:t>
            </w:r>
            <w:r w:rsidR="003221B8">
              <w:rPr>
                <w:lang w:eastAsia="en-AU"/>
              </w:rPr>
              <w:t>-</w:t>
            </w:r>
            <w:r w:rsidRPr="00C62E0F">
              <w:rPr>
                <w:lang w:eastAsia="en-AU"/>
              </w:rPr>
              <w:t>20</w:t>
            </w:r>
          </w:p>
        </w:tc>
        <w:tc>
          <w:tcPr>
            <w:tcW w:w="1270" w:type="pct"/>
          </w:tcPr>
          <w:p w14:paraId="238D153F" w14:textId="595A80EC" w:rsidR="008C1FB0" w:rsidRDefault="009219A7" w:rsidP="00863E29">
            <w:pPr>
              <w:pStyle w:val="TableNText"/>
              <w:rPr>
                <w:lang w:eastAsia="en-AU"/>
              </w:rPr>
            </w:pPr>
            <w:r>
              <w:rPr>
                <w:lang w:eastAsia="en-AU"/>
              </w:rPr>
              <w:t>103</w:t>
            </w:r>
          </w:p>
        </w:tc>
        <w:tc>
          <w:tcPr>
            <w:tcW w:w="0" w:type="pct"/>
          </w:tcPr>
          <w:p w14:paraId="1B5FEC61" w14:textId="7622D9CA" w:rsidR="004E47E7" w:rsidRDefault="001C12E8" w:rsidP="00863E29">
            <w:pPr>
              <w:pStyle w:val="TableNText"/>
              <w:rPr>
                <w:lang w:eastAsia="en-AU"/>
              </w:rPr>
            </w:pPr>
            <w:r>
              <w:rPr>
                <w:lang w:eastAsia="en-AU"/>
              </w:rPr>
              <w:t>61</w:t>
            </w:r>
          </w:p>
        </w:tc>
        <w:tc>
          <w:tcPr>
            <w:tcW w:w="0" w:type="pct"/>
          </w:tcPr>
          <w:p w14:paraId="2354BBE3" w14:textId="6DA040D9" w:rsidR="00446C8E" w:rsidRPr="00C62E0F" w:rsidRDefault="00B14520" w:rsidP="00863E29">
            <w:pPr>
              <w:pStyle w:val="TableNText"/>
              <w:rPr>
                <w:lang w:eastAsia="en-AU"/>
              </w:rPr>
            </w:pPr>
            <w:r>
              <w:rPr>
                <w:lang w:eastAsia="en-AU"/>
              </w:rPr>
              <w:t>15</w:t>
            </w:r>
            <w:r w:rsidR="008C1FB0">
              <w:rPr>
                <w:lang w:eastAsia="en-AU"/>
              </w:rPr>
              <w:t>%</w:t>
            </w:r>
          </w:p>
        </w:tc>
      </w:tr>
      <w:tr w:rsidR="00446C8E" w:rsidRPr="00C62E0F" w14:paraId="4247172B" w14:textId="77777777" w:rsidTr="002C4C27">
        <w:trPr>
          <w:cnfStyle w:val="000000010000" w:firstRow="0" w:lastRow="0" w:firstColumn="0" w:lastColumn="0" w:oddVBand="0" w:evenVBand="0" w:oddHBand="0" w:evenHBand="1" w:firstRowFirstColumn="0" w:firstRowLastColumn="0" w:lastRowFirstColumn="0" w:lastRowLastColumn="0"/>
        </w:trPr>
        <w:tc>
          <w:tcPr>
            <w:tcW w:w="952" w:type="pct"/>
          </w:tcPr>
          <w:p w14:paraId="10512C6A" w14:textId="3C337C75" w:rsidR="00446C8E" w:rsidRPr="00C62E0F" w:rsidRDefault="004E47E7" w:rsidP="00863E29">
            <w:pPr>
              <w:pStyle w:val="TableNText"/>
              <w:rPr>
                <w:lang w:eastAsia="en-AU"/>
              </w:rPr>
            </w:pPr>
            <w:r w:rsidRPr="00C62E0F">
              <w:rPr>
                <w:lang w:eastAsia="en-AU"/>
              </w:rPr>
              <w:t>2020</w:t>
            </w:r>
            <w:r w:rsidR="003221B8">
              <w:rPr>
                <w:lang w:eastAsia="en-AU"/>
              </w:rPr>
              <w:t>-</w:t>
            </w:r>
            <w:r w:rsidRPr="00C62E0F">
              <w:rPr>
                <w:lang w:eastAsia="en-AU"/>
              </w:rPr>
              <w:t>21</w:t>
            </w:r>
          </w:p>
        </w:tc>
        <w:tc>
          <w:tcPr>
            <w:tcW w:w="1270" w:type="pct"/>
          </w:tcPr>
          <w:p w14:paraId="5DA21D0D" w14:textId="4BB6CDA1" w:rsidR="008C1FB0" w:rsidRDefault="00A35E0F" w:rsidP="00863E29">
            <w:pPr>
              <w:pStyle w:val="TableNText"/>
              <w:rPr>
                <w:lang w:eastAsia="en-AU"/>
              </w:rPr>
            </w:pPr>
            <w:r>
              <w:rPr>
                <w:lang w:eastAsia="en-AU"/>
              </w:rPr>
              <w:t>95</w:t>
            </w:r>
          </w:p>
        </w:tc>
        <w:tc>
          <w:tcPr>
            <w:tcW w:w="0" w:type="pct"/>
          </w:tcPr>
          <w:p w14:paraId="2E79361B" w14:textId="230E60C9" w:rsidR="004E47E7" w:rsidRDefault="001C12E8" w:rsidP="00863E29">
            <w:pPr>
              <w:pStyle w:val="TableNText"/>
              <w:rPr>
                <w:lang w:eastAsia="en-AU"/>
              </w:rPr>
            </w:pPr>
            <w:r>
              <w:rPr>
                <w:lang w:eastAsia="en-AU"/>
              </w:rPr>
              <w:t>61</w:t>
            </w:r>
          </w:p>
        </w:tc>
        <w:tc>
          <w:tcPr>
            <w:tcW w:w="0" w:type="pct"/>
          </w:tcPr>
          <w:p w14:paraId="15218CE4" w14:textId="2C7E5FA6" w:rsidR="00446C8E" w:rsidRPr="00FC55A2" w:rsidRDefault="00B14520" w:rsidP="00863E29">
            <w:pPr>
              <w:pStyle w:val="TableNText"/>
              <w:rPr>
                <w:lang w:eastAsia="en-AU"/>
              </w:rPr>
            </w:pPr>
            <w:r>
              <w:rPr>
                <w:lang w:eastAsia="en-AU"/>
              </w:rPr>
              <w:t>41</w:t>
            </w:r>
            <w:r w:rsidR="008C1FB0">
              <w:rPr>
                <w:lang w:eastAsia="en-AU"/>
              </w:rPr>
              <w:t>%</w:t>
            </w:r>
          </w:p>
        </w:tc>
      </w:tr>
      <w:tr w:rsidR="00446C8E" w:rsidRPr="00C62E0F" w14:paraId="791FFF80" w14:textId="77777777" w:rsidTr="002C4C27">
        <w:trPr>
          <w:cnfStyle w:val="000000100000" w:firstRow="0" w:lastRow="0" w:firstColumn="0" w:lastColumn="0" w:oddVBand="0" w:evenVBand="0" w:oddHBand="1" w:evenHBand="0" w:firstRowFirstColumn="0" w:firstRowLastColumn="0" w:lastRowFirstColumn="0" w:lastRowLastColumn="0"/>
        </w:trPr>
        <w:tc>
          <w:tcPr>
            <w:tcW w:w="952" w:type="pct"/>
          </w:tcPr>
          <w:p w14:paraId="3C50A7BC" w14:textId="3F602BD1" w:rsidR="00446C8E" w:rsidRPr="00C62E0F" w:rsidRDefault="004E47E7" w:rsidP="00863E29">
            <w:pPr>
              <w:pStyle w:val="TableNText"/>
              <w:rPr>
                <w:lang w:eastAsia="en-AU"/>
              </w:rPr>
            </w:pPr>
            <w:r w:rsidRPr="00C62E0F">
              <w:rPr>
                <w:lang w:eastAsia="en-AU"/>
              </w:rPr>
              <w:t>2021</w:t>
            </w:r>
            <w:r w:rsidR="003221B8">
              <w:rPr>
                <w:lang w:eastAsia="en-AU"/>
              </w:rPr>
              <w:t>-</w:t>
            </w:r>
            <w:r w:rsidRPr="00C62E0F">
              <w:rPr>
                <w:lang w:eastAsia="en-AU"/>
              </w:rPr>
              <w:t>22</w:t>
            </w:r>
          </w:p>
        </w:tc>
        <w:tc>
          <w:tcPr>
            <w:tcW w:w="1270" w:type="pct"/>
          </w:tcPr>
          <w:p w14:paraId="56A81A87" w14:textId="010C45DE" w:rsidR="008C1FB0" w:rsidRPr="00FC55A2" w:rsidRDefault="00A73E89" w:rsidP="00863E29">
            <w:pPr>
              <w:pStyle w:val="TableNText"/>
              <w:rPr>
                <w:lang w:eastAsia="en-AU"/>
              </w:rPr>
            </w:pPr>
            <w:r>
              <w:rPr>
                <w:lang w:eastAsia="en-AU"/>
              </w:rPr>
              <w:t>98</w:t>
            </w:r>
          </w:p>
        </w:tc>
        <w:tc>
          <w:tcPr>
            <w:tcW w:w="0" w:type="pct"/>
          </w:tcPr>
          <w:p w14:paraId="23A37E66" w14:textId="5B96F239" w:rsidR="004E47E7" w:rsidRDefault="001C12E8" w:rsidP="00863E29">
            <w:pPr>
              <w:pStyle w:val="TableNText"/>
              <w:rPr>
                <w:lang w:eastAsia="en-AU"/>
              </w:rPr>
            </w:pPr>
            <w:r>
              <w:rPr>
                <w:lang w:eastAsia="en-AU"/>
              </w:rPr>
              <w:t>60</w:t>
            </w:r>
          </w:p>
        </w:tc>
        <w:tc>
          <w:tcPr>
            <w:tcW w:w="0" w:type="pct"/>
          </w:tcPr>
          <w:p w14:paraId="7D3FAC56" w14:textId="1F03BEAE" w:rsidR="00446C8E" w:rsidRPr="00FC55A2" w:rsidRDefault="004E47E7" w:rsidP="00863E29">
            <w:pPr>
              <w:pStyle w:val="TableNText"/>
              <w:rPr>
                <w:lang w:eastAsia="en-AU"/>
              </w:rPr>
            </w:pPr>
            <w:r>
              <w:rPr>
                <w:lang w:eastAsia="en-AU"/>
              </w:rPr>
              <w:t>2</w:t>
            </w:r>
            <w:r w:rsidR="00B14520">
              <w:rPr>
                <w:lang w:eastAsia="en-AU"/>
              </w:rPr>
              <w:t>8</w:t>
            </w:r>
            <w:r w:rsidR="0022390C">
              <w:rPr>
                <w:lang w:eastAsia="en-AU"/>
              </w:rPr>
              <w:t>%</w:t>
            </w:r>
          </w:p>
        </w:tc>
      </w:tr>
    </w:tbl>
    <w:p w14:paraId="4D404C8B" w14:textId="54526D53" w:rsidR="00446C8E" w:rsidRDefault="00446C8E" w:rsidP="0027579E">
      <w:pPr>
        <w:pStyle w:val="Heading5"/>
      </w:pPr>
      <w:r w:rsidRPr="00C62E0F">
        <w:lastRenderedPageBreak/>
        <w:t xml:space="preserve">Indigenous staff comprised </w:t>
      </w:r>
      <w:r w:rsidR="00480D84">
        <w:t>about</w:t>
      </w:r>
      <w:r w:rsidRPr="00C62E0F">
        <w:t xml:space="preserve"> half of all staff at the KLC across the Review period</w:t>
      </w:r>
    </w:p>
    <w:p w14:paraId="483D29F5" w14:textId="2B08895F" w:rsidR="005D1054" w:rsidRPr="006A45E5" w:rsidRDefault="00535E6E" w:rsidP="00446C8E">
      <w:pPr>
        <w:rPr>
          <w:lang w:eastAsia="en-AU"/>
        </w:rPr>
      </w:pPr>
      <w:r>
        <w:rPr>
          <w:lang w:eastAsia="en-AU"/>
        </w:rPr>
        <w:t>T</w:t>
      </w:r>
      <w:r w:rsidR="005D1054" w:rsidRPr="00C62E0F">
        <w:rPr>
          <w:lang w:eastAsia="en-AU"/>
        </w:rPr>
        <w:t xml:space="preserve">he proportion of </w:t>
      </w:r>
      <w:r w:rsidR="00480D84">
        <w:rPr>
          <w:lang w:eastAsia="en-AU"/>
        </w:rPr>
        <w:t xml:space="preserve">permanent </w:t>
      </w:r>
      <w:r w:rsidR="005D1054" w:rsidRPr="00C62E0F">
        <w:rPr>
          <w:lang w:eastAsia="en-AU"/>
        </w:rPr>
        <w:t xml:space="preserve">Indigenous staff </w:t>
      </w:r>
      <w:r w:rsidR="006A45E5">
        <w:rPr>
          <w:lang w:eastAsia="en-AU"/>
        </w:rPr>
        <w:t xml:space="preserve">was generally stable, making up about half of all KLC’s permanent staff </w:t>
      </w:r>
      <w:r w:rsidR="005D1054" w:rsidRPr="00C62E0F">
        <w:rPr>
          <w:lang w:eastAsia="en-AU"/>
        </w:rPr>
        <w:t>during the Review</w:t>
      </w:r>
      <w:r w:rsidR="006A45E5">
        <w:rPr>
          <w:lang w:eastAsia="en-AU"/>
        </w:rPr>
        <w:t xml:space="preserve"> period</w:t>
      </w:r>
      <w:r w:rsidR="005D1054" w:rsidRPr="00C62E0F">
        <w:rPr>
          <w:lang w:eastAsia="en-AU"/>
        </w:rPr>
        <w:t xml:space="preserve">, as </w:t>
      </w:r>
      <w:r w:rsidR="006A45E5">
        <w:rPr>
          <w:lang w:eastAsia="en-AU"/>
        </w:rPr>
        <w:t>shown below</w:t>
      </w:r>
      <w:r w:rsidR="005D1054" w:rsidRPr="00C62E0F">
        <w:rPr>
          <w:lang w:eastAsia="en-AU"/>
        </w:rPr>
        <w:t xml:space="preserve"> i</w:t>
      </w:r>
      <w:r w:rsidR="006A45E5">
        <w:rPr>
          <w:lang w:eastAsia="en-AU"/>
        </w:rPr>
        <w:t xml:space="preserve">n </w:t>
      </w:r>
      <w:r w:rsidR="006A45E5">
        <w:rPr>
          <w:lang w:eastAsia="en-AU"/>
        </w:rPr>
        <w:fldChar w:fldCharType="begin"/>
      </w:r>
      <w:r w:rsidR="006A45E5">
        <w:rPr>
          <w:lang w:eastAsia="en-AU"/>
        </w:rPr>
        <w:instrText xml:space="preserve"> REF _Ref153893071 \h </w:instrText>
      </w:r>
      <w:r w:rsidR="006A45E5">
        <w:rPr>
          <w:lang w:eastAsia="en-AU"/>
        </w:rPr>
      </w:r>
      <w:r w:rsidR="006A45E5">
        <w:rPr>
          <w:lang w:eastAsia="en-AU"/>
        </w:rPr>
        <w:fldChar w:fldCharType="separate"/>
      </w:r>
      <w:r w:rsidR="00291532">
        <w:t xml:space="preserve">Table </w:t>
      </w:r>
      <w:r w:rsidR="00291532">
        <w:rPr>
          <w:noProof/>
        </w:rPr>
        <w:t>17</w:t>
      </w:r>
      <w:r w:rsidR="006A45E5">
        <w:rPr>
          <w:lang w:eastAsia="en-AU"/>
        </w:rPr>
        <w:fldChar w:fldCharType="end"/>
      </w:r>
      <w:r w:rsidR="006A45E5">
        <w:rPr>
          <w:lang w:eastAsia="en-AU"/>
        </w:rPr>
        <w:t>.</w:t>
      </w:r>
    </w:p>
    <w:p w14:paraId="36C53D4C" w14:textId="75A4D25A" w:rsidR="00446C8E" w:rsidRPr="00C62E0F" w:rsidRDefault="00446C8E" w:rsidP="006A45E5">
      <w:pPr>
        <w:pStyle w:val="Caption"/>
        <w:rPr>
          <w:bCs w:val="0"/>
        </w:rPr>
      </w:pPr>
      <w:bookmarkStart w:id="54" w:name="_Ref153893071"/>
      <w:r>
        <w:t xml:space="preserve">Table </w:t>
      </w:r>
      <w:r w:rsidR="006A45E5">
        <w:fldChar w:fldCharType="begin"/>
      </w:r>
      <w:r w:rsidR="006A45E5">
        <w:instrText xml:space="preserve"> SEQ Table \* ARABIC </w:instrText>
      </w:r>
      <w:r w:rsidR="006A45E5">
        <w:fldChar w:fldCharType="separate"/>
      </w:r>
      <w:r w:rsidR="00291532">
        <w:rPr>
          <w:noProof/>
        </w:rPr>
        <w:t>17</w:t>
      </w:r>
      <w:r w:rsidR="006A45E5">
        <w:fldChar w:fldCharType="end"/>
      </w:r>
      <w:bookmarkEnd w:id="54"/>
      <w:r>
        <w:t xml:space="preserve"> | </w:t>
      </w:r>
      <w:r w:rsidRPr="00FD59CF">
        <w:t>FY2019</w:t>
      </w:r>
      <w:r w:rsidR="00480D84" w:rsidRPr="00FD59CF">
        <w:t>-20</w:t>
      </w:r>
      <w:r w:rsidRPr="00FD59CF">
        <w:t xml:space="preserve"> to FY202</w:t>
      </w:r>
      <w:r w:rsidR="00480D84" w:rsidRPr="00FD59CF">
        <w:t>1-2</w:t>
      </w:r>
      <w:r w:rsidRPr="00FD59CF">
        <w:t>2 Indigenous staff numbers</w:t>
      </w:r>
      <w:r w:rsidR="006A45E5">
        <w:t xml:space="preserve"> </w:t>
      </w:r>
      <w:r>
        <w:rPr>
          <w:rStyle w:val="FootnoteReference"/>
        </w:rPr>
        <w:footnoteReference w:id="36"/>
      </w:r>
    </w:p>
    <w:tbl>
      <w:tblPr>
        <w:tblStyle w:val="AEMO2"/>
        <w:tblW w:w="5000" w:type="pct"/>
        <w:tblLook w:val="04A0" w:firstRow="1" w:lastRow="0" w:firstColumn="1" w:lastColumn="0" w:noHBand="0" w:noVBand="1"/>
      </w:tblPr>
      <w:tblGrid>
        <w:gridCol w:w="2089"/>
        <w:gridCol w:w="2269"/>
        <w:gridCol w:w="2286"/>
        <w:gridCol w:w="2286"/>
      </w:tblGrid>
      <w:tr w:rsidR="00DB3F0C" w:rsidRPr="00C62E0F" w14:paraId="1B8B74E7" w14:textId="77777777" w:rsidTr="002C4C27">
        <w:trPr>
          <w:cnfStyle w:val="100000000000" w:firstRow="1" w:lastRow="0" w:firstColumn="0" w:lastColumn="0" w:oddVBand="0" w:evenVBand="0" w:oddHBand="0" w:evenHBand="0" w:firstRowFirstColumn="0" w:firstRowLastColumn="0" w:lastRowFirstColumn="0" w:lastRowLastColumn="0"/>
        </w:trPr>
        <w:tc>
          <w:tcPr>
            <w:tcW w:w="0" w:type="pct"/>
          </w:tcPr>
          <w:p w14:paraId="47CD6D6B" w14:textId="77777777" w:rsidR="00446C8E" w:rsidRPr="00C62E0F" w:rsidRDefault="00446C8E" w:rsidP="00863E29">
            <w:pPr>
              <w:pStyle w:val="TableNheader"/>
              <w:rPr>
                <w:lang w:eastAsia="en-AU"/>
              </w:rPr>
            </w:pPr>
            <w:r w:rsidRPr="00C62E0F">
              <w:rPr>
                <w:lang w:eastAsia="en-AU"/>
              </w:rPr>
              <w:t>Financial year</w:t>
            </w:r>
          </w:p>
        </w:tc>
        <w:tc>
          <w:tcPr>
            <w:tcW w:w="0" w:type="pct"/>
          </w:tcPr>
          <w:p w14:paraId="43F3D8B2" w14:textId="68754802" w:rsidR="000A76B8" w:rsidRDefault="000A76B8" w:rsidP="00863E29">
            <w:pPr>
              <w:pStyle w:val="TableNheader"/>
              <w:rPr>
                <w:lang w:eastAsia="en-AU"/>
              </w:rPr>
            </w:pPr>
            <w:r>
              <w:rPr>
                <w:lang w:eastAsia="en-AU"/>
              </w:rPr>
              <w:t>Total permanent staff at end of financial year</w:t>
            </w:r>
          </w:p>
        </w:tc>
        <w:tc>
          <w:tcPr>
            <w:tcW w:w="0" w:type="pct"/>
          </w:tcPr>
          <w:p w14:paraId="3226658C" w14:textId="1C7FFCDF" w:rsidR="008718B3" w:rsidRPr="00C62E0F" w:rsidRDefault="008718B3" w:rsidP="00863E29">
            <w:pPr>
              <w:pStyle w:val="TableNheader"/>
              <w:rPr>
                <w:lang w:eastAsia="en-AU"/>
              </w:rPr>
            </w:pPr>
            <w:r w:rsidRPr="00C62E0F">
              <w:rPr>
                <w:lang w:eastAsia="en-AU"/>
              </w:rPr>
              <w:t xml:space="preserve">Indigenous staff </w:t>
            </w:r>
          </w:p>
        </w:tc>
        <w:tc>
          <w:tcPr>
            <w:tcW w:w="0" w:type="pct"/>
          </w:tcPr>
          <w:p w14:paraId="3CBC36B4" w14:textId="42DC2934" w:rsidR="00446C8E" w:rsidRPr="00C62E0F" w:rsidRDefault="00446C8E" w:rsidP="00863E29">
            <w:pPr>
              <w:pStyle w:val="TableNheader"/>
              <w:rPr>
                <w:lang w:eastAsia="en-AU"/>
              </w:rPr>
            </w:pPr>
            <w:r w:rsidRPr="00C62E0F">
              <w:rPr>
                <w:lang w:eastAsia="en-AU"/>
              </w:rPr>
              <w:t>Proportion of Indigenous staff</w:t>
            </w:r>
            <w:r>
              <w:rPr>
                <w:lang w:eastAsia="en-AU"/>
              </w:rPr>
              <w:t xml:space="preserve"> </w:t>
            </w:r>
          </w:p>
        </w:tc>
      </w:tr>
      <w:tr w:rsidR="00446C8E" w:rsidRPr="00C62E0F" w14:paraId="1147EB0B" w14:textId="77777777" w:rsidTr="002C4C27">
        <w:trPr>
          <w:cnfStyle w:val="000000100000" w:firstRow="0" w:lastRow="0" w:firstColumn="0" w:lastColumn="0" w:oddVBand="0" w:evenVBand="0" w:oddHBand="1" w:evenHBand="0" w:firstRowFirstColumn="0" w:firstRowLastColumn="0" w:lastRowFirstColumn="0" w:lastRowLastColumn="0"/>
        </w:trPr>
        <w:tc>
          <w:tcPr>
            <w:tcW w:w="0" w:type="pct"/>
          </w:tcPr>
          <w:p w14:paraId="50108FC5" w14:textId="590F8316" w:rsidR="00446C8E" w:rsidRPr="00C62E0F" w:rsidRDefault="00446C8E" w:rsidP="00863E29">
            <w:pPr>
              <w:pStyle w:val="TableNText"/>
              <w:rPr>
                <w:lang w:eastAsia="en-AU"/>
              </w:rPr>
            </w:pPr>
            <w:r w:rsidRPr="00C62E0F">
              <w:rPr>
                <w:lang w:eastAsia="en-AU"/>
              </w:rPr>
              <w:t>2019</w:t>
            </w:r>
            <w:r w:rsidR="0064763E">
              <w:rPr>
                <w:lang w:eastAsia="en-AU"/>
              </w:rPr>
              <w:t>-</w:t>
            </w:r>
            <w:r w:rsidRPr="00C62E0F">
              <w:rPr>
                <w:lang w:eastAsia="en-AU"/>
              </w:rPr>
              <w:t>20</w:t>
            </w:r>
          </w:p>
        </w:tc>
        <w:tc>
          <w:tcPr>
            <w:tcW w:w="0" w:type="pct"/>
          </w:tcPr>
          <w:p w14:paraId="19838923" w14:textId="76586B56" w:rsidR="000A76B8" w:rsidRDefault="000A76B8" w:rsidP="00863E29">
            <w:pPr>
              <w:pStyle w:val="TableNText"/>
              <w:rPr>
                <w:lang w:eastAsia="en-AU"/>
              </w:rPr>
            </w:pPr>
            <w:r>
              <w:rPr>
                <w:lang w:eastAsia="en-AU"/>
              </w:rPr>
              <w:t>103</w:t>
            </w:r>
          </w:p>
        </w:tc>
        <w:tc>
          <w:tcPr>
            <w:tcW w:w="0" w:type="pct"/>
          </w:tcPr>
          <w:p w14:paraId="71C8AF44" w14:textId="4BFB1B5A" w:rsidR="008718B3" w:rsidRPr="001B2BAB" w:rsidRDefault="005423CE" w:rsidP="00863E29">
            <w:pPr>
              <w:pStyle w:val="TableNText"/>
              <w:rPr>
                <w:lang w:eastAsia="en-AU"/>
              </w:rPr>
            </w:pPr>
            <w:r>
              <w:rPr>
                <w:lang w:eastAsia="en-AU"/>
              </w:rPr>
              <w:t>57</w:t>
            </w:r>
          </w:p>
        </w:tc>
        <w:tc>
          <w:tcPr>
            <w:tcW w:w="0" w:type="pct"/>
          </w:tcPr>
          <w:p w14:paraId="4963B5F2" w14:textId="0AF4D649" w:rsidR="00446C8E" w:rsidRPr="00C62E0F" w:rsidRDefault="006C49E2" w:rsidP="00863E29">
            <w:pPr>
              <w:pStyle w:val="TableNText"/>
              <w:rPr>
                <w:lang w:eastAsia="en-AU"/>
              </w:rPr>
            </w:pPr>
            <w:r>
              <w:rPr>
                <w:lang w:eastAsia="en-AU"/>
              </w:rPr>
              <w:t>55%</w:t>
            </w:r>
          </w:p>
        </w:tc>
      </w:tr>
      <w:tr w:rsidR="00446C8E" w:rsidRPr="00C62E0F" w14:paraId="6E2BC656" w14:textId="77777777" w:rsidTr="002C4C27">
        <w:trPr>
          <w:cnfStyle w:val="000000010000" w:firstRow="0" w:lastRow="0" w:firstColumn="0" w:lastColumn="0" w:oddVBand="0" w:evenVBand="0" w:oddHBand="0" w:evenHBand="1" w:firstRowFirstColumn="0" w:firstRowLastColumn="0" w:lastRowFirstColumn="0" w:lastRowLastColumn="0"/>
        </w:trPr>
        <w:tc>
          <w:tcPr>
            <w:tcW w:w="0" w:type="pct"/>
          </w:tcPr>
          <w:p w14:paraId="0F10CE94" w14:textId="4324B8B6" w:rsidR="00446C8E" w:rsidRPr="00C62E0F" w:rsidRDefault="00446C8E" w:rsidP="00863E29">
            <w:pPr>
              <w:pStyle w:val="TableNText"/>
              <w:rPr>
                <w:lang w:eastAsia="en-AU"/>
              </w:rPr>
            </w:pPr>
            <w:r w:rsidRPr="00C62E0F">
              <w:rPr>
                <w:lang w:eastAsia="en-AU"/>
              </w:rPr>
              <w:t>2020</w:t>
            </w:r>
            <w:r w:rsidR="0064763E">
              <w:rPr>
                <w:lang w:eastAsia="en-AU"/>
              </w:rPr>
              <w:t>-</w:t>
            </w:r>
            <w:r w:rsidRPr="00C62E0F">
              <w:rPr>
                <w:lang w:eastAsia="en-AU"/>
              </w:rPr>
              <w:t>21</w:t>
            </w:r>
          </w:p>
        </w:tc>
        <w:tc>
          <w:tcPr>
            <w:tcW w:w="0" w:type="pct"/>
          </w:tcPr>
          <w:p w14:paraId="5A62D1FE" w14:textId="391AB0B0" w:rsidR="000A76B8" w:rsidRDefault="000A76B8" w:rsidP="00863E29">
            <w:pPr>
              <w:pStyle w:val="TableNText"/>
              <w:rPr>
                <w:lang w:eastAsia="en-AU"/>
              </w:rPr>
            </w:pPr>
            <w:r>
              <w:rPr>
                <w:lang w:eastAsia="en-AU"/>
              </w:rPr>
              <w:t>95</w:t>
            </w:r>
          </w:p>
        </w:tc>
        <w:tc>
          <w:tcPr>
            <w:tcW w:w="0" w:type="pct"/>
          </w:tcPr>
          <w:p w14:paraId="3F22519F" w14:textId="016980D4" w:rsidR="008718B3" w:rsidRPr="001B2BAB" w:rsidRDefault="0023634E" w:rsidP="00863E29">
            <w:pPr>
              <w:pStyle w:val="TableNText"/>
              <w:rPr>
                <w:lang w:eastAsia="en-AU"/>
              </w:rPr>
            </w:pPr>
            <w:r>
              <w:rPr>
                <w:lang w:eastAsia="en-AU"/>
              </w:rPr>
              <w:t>41</w:t>
            </w:r>
          </w:p>
        </w:tc>
        <w:tc>
          <w:tcPr>
            <w:tcW w:w="0" w:type="pct"/>
          </w:tcPr>
          <w:p w14:paraId="364AC9C8" w14:textId="5A2EB9CD" w:rsidR="00446C8E" w:rsidRPr="00C62E0F" w:rsidRDefault="000A76B8" w:rsidP="00863E29">
            <w:pPr>
              <w:pStyle w:val="TableNText"/>
              <w:rPr>
                <w:lang w:eastAsia="en-AU"/>
              </w:rPr>
            </w:pPr>
            <w:r>
              <w:rPr>
                <w:lang w:eastAsia="en-AU"/>
              </w:rPr>
              <w:t>4</w:t>
            </w:r>
            <w:r w:rsidR="00731DE9">
              <w:rPr>
                <w:lang w:eastAsia="en-AU"/>
              </w:rPr>
              <w:t>3%</w:t>
            </w:r>
          </w:p>
        </w:tc>
      </w:tr>
      <w:tr w:rsidR="00446C8E" w:rsidRPr="00C62E0F" w14:paraId="05583036" w14:textId="77777777" w:rsidTr="002C4C27">
        <w:trPr>
          <w:cnfStyle w:val="000000100000" w:firstRow="0" w:lastRow="0" w:firstColumn="0" w:lastColumn="0" w:oddVBand="0" w:evenVBand="0" w:oddHBand="1" w:evenHBand="0" w:firstRowFirstColumn="0" w:firstRowLastColumn="0" w:lastRowFirstColumn="0" w:lastRowLastColumn="0"/>
        </w:trPr>
        <w:tc>
          <w:tcPr>
            <w:tcW w:w="0" w:type="pct"/>
          </w:tcPr>
          <w:p w14:paraId="2064B26D" w14:textId="72CEF029" w:rsidR="00446C8E" w:rsidRPr="00C62E0F" w:rsidRDefault="00446C8E" w:rsidP="00863E29">
            <w:pPr>
              <w:pStyle w:val="TableNText"/>
              <w:rPr>
                <w:lang w:eastAsia="en-AU"/>
              </w:rPr>
            </w:pPr>
            <w:r w:rsidRPr="00C62E0F">
              <w:rPr>
                <w:lang w:eastAsia="en-AU"/>
              </w:rPr>
              <w:t>2021</w:t>
            </w:r>
            <w:r w:rsidR="0064763E">
              <w:rPr>
                <w:lang w:eastAsia="en-AU"/>
              </w:rPr>
              <w:t>-</w:t>
            </w:r>
            <w:r w:rsidRPr="00C62E0F">
              <w:rPr>
                <w:lang w:eastAsia="en-AU"/>
              </w:rPr>
              <w:t>22</w:t>
            </w:r>
          </w:p>
        </w:tc>
        <w:tc>
          <w:tcPr>
            <w:tcW w:w="0" w:type="pct"/>
          </w:tcPr>
          <w:p w14:paraId="5A8DFACC" w14:textId="4FF91FE3" w:rsidR="000A76B8" w:rsidRDefault="000A76B8" w:rsidP="00863E29">
            <w:pPr>
              <w:pStyle w:val="TableNText"/>
              <w:rPr>
                <w:lang w:eastAsia="en-AU"/>
              </w:rPr>
            </w:pPr>
            <w:r>
              <w:rPr>
                <w:lang w:eastAsia="en-AU"/>
              </w:rPr>
              <w:t>98</w:t>
            </w:r>
          </w:p>
        </w:tc>
        <w:tc>
          <w:tcPr>
            <w:tcW w:w="0" w:type="pct"/>
          </w:tcPr>
          <w:p w14:paraId="100BCD10" w14:textId="6D555AB7" w:rsidR="008718B3" w:rsidRPr="001B2BAB" w:rsidRDefault="008718B3" w:rsidP="00863E29">
            <w:pPr>
              <w:pStyle w:val="TableNText"/>
              <w:rPr>
                <w:lang w:eastAsia="en-AU"/>
              </w:rPr>
            </w:pPr>
            <w:r w:rsidRPr="001B2BAB">
              <w:rPr>
                <w:lang w:eastAsia="en-AU"/>
              </w:rPr>
              <w:t>38</w:t>
            </w:r>
          </w:p>
        </w:tc>
        <w:tc>
          <w:tcPr>
            <w:tcW w:w="0" w:type="pct"/>
          </w:tcPr>
          <w:p w14:paraId="4D9918C6" w14:textId="63D8444D" w:rsidR="00446C8E" w:rsidRPr="00C62E0F" w:rsidRDefault="00480D84" w:rsidP="00863E29">
            <w:pPr>
              <w:pStyle w:val="TableNText"/>
              <w:rPr>
                <w:lang w:eastAsia="en-AU"/>
              </w:rPr>
            </w:pPr>
            <w:r>
              <w:rPr>
                <w:lang w:eastAsia="en-AU"/>
              </w:rPr>
              <w:t>47%</w:t>
            </w:r>
          </w:p>
        </w:tc>
      </w:tr>
    </w:tbl>
    <w:p w14:paraId="03F5D515" w14:textId="77777777" w:rsidR="00D4571B" w:rsidRDefault="00D4571B" w:rsidP="0033416A">
      <w:pPr>
        <w:pStyle w:val="Heading5"/>
        <w:rPr>
          <w:b w:val="0"/>
        </w:rPr>
      </w:pPr>
      <w:r w:rsidRPr="00D4571B">
        <w:t>Recruitment of staff remained an ongoing challenge</w:t>
      </w:r>
    </w:p>
    <w:p w14:paraId="0200778D" w14:textId="1EAD2D10" w:rsidR="0073320F" w:rsidRDefault="00DF3935" w:rsidP="00A240E9">
      <w:pPr>
        <w:rPr>
          <w:lang w:eastAsia="en-AU"/>
        </w:rPr>
      </w:pPr>
      <w:r>
        <w:rPr>
          <w:lang w:eastAsia="en-AU"/>
        </w:rPr>
        <w:t xml:space="preserve">Like many other NTRB-SPs based in </w:t>
      </w:r>
      <w:r w:rsidR="00F91CF9">
        <w:rPr>
          <w:lang w:eastAsia="en-AU"/>
        </w:rPr>
        <w:t xml:space="preserve">regional and remote locations, the </w:t>
      </w:r>
      <w:r w:rsidR="00D67D69">
        <w:rPr>
          <w:lang w:eastAsia="en-AU"/>
        </w:rPr>
        <w:t xml:space="preserve">KLC had difficulty recruiting and retaining </w:t>
      </w:r>
      <w:r w:rsidR="00B63C44">
        <w:rPr>
          <w:lang w:eastAsia="en-AU"/>
        </w:rPr>
        <w:t>professional staff</w:t>
      </w:r>
      <w:r w:rsidR="005F276D">
        <w:rPr>
          <w:lang w:eastAsia="en-AU"/>
        </w:rPr>
        <w:t xml:space="preserve">. </w:t>
      </w:r>
      <w:r w:rsidR="00B66E0D">
        <w:rPr>
          <w:lang w:eastAsia="en-AU"/>
        </w:rPr>
        <w:t xml:space="preserve">As noted earlier, </w:t>
      </w:r>
      <w:r w:rsidR="006E6F3B">
        <w:rPr>
          <w:lang w:eastAsia="en-AU"/>
        </w:rPr>
        <w:t xml:space="preserve">staff turnover reduced total </w:t>
      </w:r>
      <w:r w:rsidR="005859B9">
        <w:rPr>
          <w:lang w:eastAsia="en-AU"/>
        </w:rPr>
        <w:t>native title experience</w:t>
      </w:r>
      <w:r w:rsidR="00D94799">
        <w:rPr>
          <w:lang w:eastAsia="en-AU"/>
        </w:rPr>
        <w:t xml:space="preserve"> and expertise within the organisation</w:t>
      </w:r>
      <w:r w:rsidR="003B2B44">
        <w:rPr>
          <w:lang w:eastAsia="en-AU"/>
        </w:rPr>
        <w:t xml:space="preserve">, and turnover was a particularly challenging issue during the years of the COVID-19 pandemic. </w:t>
      </w:r>
    </w:p>
    <w:p w14:paraId="65144504" w14:textId="49E3A60A" w:rsidR="00A240E9" w:rsidRPr="00C62E0F" w:rsidRDefault="0073320F" w:rsidP="00A240E9">
      <w:pPr>
        <w:rPr>
          <w:lang w:eastAsia="en-AU"/>
        </w:rPr>
      </w:pPr>
      <w:r>
        <w:rPr>
          <w:lang w:eastAsia="en-AU"/>
        </w:rPr>
        <w:t xml:space="preserve">However, </w:t>
      </w:r>
      <w:r w:rsidR="00A240E9" w:rsidRPr="00C62E0F">
        <w:rPr>
          <w:lang w:eastAsia="en-AU"/>
        </w:rPr>
        <w:t xml:space="preserve">KLC staff </w:t>
      </w:r>
      <w:r w:rsidR="00CE627B">
        <w:rPr>
          <w:lang w:eastAsia="en-AU"/>
        </w:rPr>
        <w:t>noted</w:t>
      </w:r>
      <w:r w:rsidR="00A240E9" w:rsidRPr="00C62E0F">
        <w:rPr>
          <w:lang w:eastAsia="en-AU"/>
        </w:rPr>
        <w:t xml:space="preserve"> that </w:t>
      </w:r>
      <w:r w:rsidR="00B52F5E">
        <w:rPr>
          <w:lang w:eastAsia="en-AU"/>
        </w:rPr>
        <w:t xml:space="preserve">junior staff </w:t>
      </w:r>
      <w:r w:rsidR="0064763E">
        <w:rPr>
          <w:lang w:eastAsia="en-AU"/>
        </w:rPr>
        <w:t>were</w:t>
      </w:r>
      <w:r w:rsidR="001131DD">
        <w:rPr>
          <w:lang w:eastAsia="en-AU"/>
        </w:rPr>
        <w:t xml:space="preserve"> willing to step</w:t>
      </w:r>
      <w:r w:rsidR="00A13072">
        <w:rPr>
          <w:lang w:eastAsia="en-AU"/>
        </w:rPr>
        <w:t xml:space="preserve"> up into </w:t>
      </w:r>
      <w:r w:rsidR="00410FA5">
        <w:rPr>
          <w:lang w:eastAsia="en-AU"/>
        </w:rPr>
        <w:t xml:space="preserve">roles where needed, and </w:t>
      </w:r>
      <w:r w:rsidR="00A240E9" w:rsidRPr="00C62E0F">
        <w:rPr>
          <w:lang w:eastAsia="en-AU"/>
        </w:rPr>
        <w:t xml:space="preserve">recruitment </w:t>
      </w:r>
      <w:r w:rsidR="0064763E">
        <w:rPr>
          <w:lang w:eastAsia="en-AU"/>
        </w:rPr>
        <w:t>had</w:t>
      </w:r>
      <w:r w:rsidR="0064763E" w:rsidRPr="00C62E0F">
        <w:rPr>
          <w:lang w:eastAsia="en-AU"/>
        </w:rPr>
        <w:t xml:space="preserve"> </w:t>
      </w:r>
      <w:r w:rsidR="00A240E9" w:rsidRPr="00C62E0F">
        <w:rPr>
          <w:lang w:eastAsia="en-AU"/>
        </w:rPr>
        <w:t>improved since the removal of COVID-19 lockdown restrictions</w:t>
      </w:r>
      <w:r w:rsidR="00A2037A">
        <w:rPr>
          <w:lang w:eastAsia="en-AU"/>
        </w:rPr>
        <w:t xml:space="preserve">. </w:t>
      </w:r>
      <w:r w:rsidR="00B5466C">
        <w:rPr>
          <w:lang w:eastAsia="en-AU"/>
        </w:rPr>
        <w:t>R</w:t>
      </w:r>
      <w:r w:rsidR="00B5466C" w:rsidRPr="00C62E0F">
        <w:rPr>
          <w:lang w:eastAsia="en-AU"/>
        </w:rPr>
        <w:t xml:space="preserve">ecruitment </w:t>
      </w:r>
      <w:r w:rsidR="00A240E9" w:rsidRPr="00C62E0F">
        <w:rPr>
          <w:lang w:eastAsia="en-AU"/>
        </w:rPr>
        <w:t xml:space="preserve">for roles in the native title domain </w:t>
      </w:r>
      <w:r w:rsidR="00B5466C">
        <w:rPr>
          <w:lang w:eastAsia="en-AU"/>
        </w:rPr>
        <w:t xml:space="preserve">remains </w:t>
      </w:r>
      <w:r w:rsidR="00A240E9" w:rsidRPr="00C62E0F">
        <w:rPr>
          <w:lang w:eastAsia="en-AU"/>
        </w:rPr>
        <w:t>difficult.</w:t>
      </w:r>
    </w:p>
    <w:p w14:paraId="61A0B9BD" w14:textId="77777777" w:rsidR="00446C8E" w:rsidRPr="00C62E0F" w:rsidRDefault="00446C8E" w:rsidP="00446C8E">
      <w:pPr>
        <w:pStyle w:val="Heading3"/>
        <w:numPr>
          <w:ilvl w:val="2"/>
          <w:numId w:val="2"/>
        </w:numPr>
      </w:pPr>
      <w:r w:rsidRPr="00C62E0F">
        <w:t xml:space="preserve">TOR 5: External factors </w:t>
      </w:r>
    </w:p>
    <w:p w14:paraId="6E028251" w14:textId="77777777" w:rsidR="00446C8E" w:rsidRPr="00C62E0F" w:rsidRDefault="00446C8E" w:rsidP="00446C8E">
      <w:pPr>
        <w:rPr>
          <w:lang w:eastAsia="en-AU"/>
        </w:rPr>
      </w:pPr>
      <w:r w:rsidRPr="00C62E0F">
        <w:rPr>
          <w:lang w:eastAsia="en-AU"/>
        </w:rPr>
        <w:t xml:space="preserve">No external factors were identified for TOR 5. </w:t>
      </w:r>
    </w:p>
    <w:p w14:paraId="714E4486" w14:textId="77777777" w:rsidR="00446C8E" w:rsidRDefault="00446C8E" w:rsidP="00446C8E">
      <w:pPr>
        <w:pStyle w:val="Heading3"/>
        <w:numPr>
          <w:ilvl w:val="2"/>
          <w:numId w:val="2"/>
        </w:numPr>
      </w:pPr>
      <w:r w:rsidRPr="00C62E0F">
        <w:t>TOR 5: Recommendations</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F222EA" w:rsidRPr="00C62E0F" w14:paraId="034E5462" w14:textId="77777777" w:rsidTr="00E65199">
        <w:trPr>
          <w:trHeight w:val="360"/>
        </w:trPr>
        <w:tc>
          <w:tcPr>
            <w:tcW w:w="7852" w:type="dxa"/>
          </w:tcPr>
          <w:p w14:paraId="0B4C71F8" w14:textId="77777777" w:rsidR="00F222EA" w:rsidRPr="00C62E0F" w:rsidRDefault="00F222EA" w:rsidP="00F222EA">
            <w:pPr>
              <w:spacing w:line="259" w:lineRule="auto"/>
              <w:rPr>
                <w:lang w:eastAsia="en-AU"/>
              </w:rPr>
            </w:pPr>
            <w:r w:rsidRPr="00C62E0F">
              <w:rPr>
                <w:noProof/>
                <w:lang w:eastAsia="en-AU"/>
              </w:rPr>
              <w:drawing>
                <wp:inline distT="0" distB="0" distL="0" distR="0" wp14:anchorId="262582D3" wp14:editId="08188CA8">
                  <wp:extent cx="5114199" cy="287655"/>
                  <wp:effectExtent l="0" t="0" r="0" b="0"/>
                  <wp:docPr id="1204560548" name="Picture 120456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1078" w:type="dxa"/>
            <w:shd w:val="clear" w:color="auto" w:fill="F8981D" w:themeFill="accent3"/>
          </w:tcPr>
          <w:p w14:paraId="0EBCFD4E" w14:textId="77777777" w:rsidR="00F222EA" w:rsidRPr="00C62E0F" w:rsidRDefault="00F222EA" w:rsidP="00F222EA">
            <w:pPr>
              <w:spacing w:after="100" w:afterAutospacing="1" w:line="259" w:lineRule="auto"/>
              <w:jc w:val="center"/>
              <w:rPr>
                <w:sz w:val="30"/>
                <w:szCs w:val="30"/>
                <w:lang w:eastAsia="en-AU"/>
              </w:rPr>
            </w:pPr>
            <w:r>
              <w:rPr>
                <w:color w:val="FFFFFF" w:themeColor="background1"/>
                <w:sz w:val="30"/>
                <w:szCs w:val="30"/>
                <w:lang w:eastAsia="en-AU"/>
              </w:rPr>
              <w:t>5</w:t>
            </w:r>
          </w:p>
        </w:tc>
      </w:tr>
      <w:tr w:rsidR="00F222EA" w:rsidRPr="00C62E0F" w14:paraId="1DFC3326" w14:textId="77777777" w:rsidTr="00F222EA">
        <w:tc>
          <w:tcPr>
            <w:tcW w:w="8930" w:type="dxa"/>
            <w:gridSpan w:val="2"/>
            <w:tcBorders>
              <w:right w:val="single" w:sz="18" w:space="0" w:color="F8981D" w:themeColor="accent3"/>
            </w:tcBorders>
          </w:tcPr>
          <w:p w14:paraId="6F07EC2B" w14:textId="77777777" w:rsidR="00F222EA" w:rsidRPr="00E04419" w:rsidRDefault="00F222EA" w:rsidP="00F222EA">
            <w:pPr>
              <w:spacing w:line="259" w:lineRule="auto"/>
            </w:pPr>
            <w:bookmarkStart w:id="55" w:name="_Hlk167697162"/>
            <w:r>
              <w:t>Monitor and develop strategies to mitigate the risk that the restructured Board arrangements may be seen by Traditional Owners to be a means of centralising influence in a small number of representatives</w:t>
            </w:r>
            <w:bookmarkEnd w:id="55"/>
            <w:r>
              <w:t>.</w:t>
            </w:r>
          </w:p>
        </w:tc>
      </w:tr>
      <w:tr w:rsidR="00F222EA" w:rsidRPr="00C62E0F" w14:paraId="22E93D75" w14:textId="77777777" w:rsidTr="00E65199">
        <w:trPr>
          <w:trHeight w:val="360"/>
        </w:trPr>
        <w:tc>
          <w:tcPr>
            <w:tcW w:w="7852" w:type="dxa"/>
          </w:tcPr>
          <w:p w14:paraId="1D5E25E5" w14:textId="77777777" w:rsidR="00F222EA" w:rsidRPr="00C62E0F" w:rsidRDefault="00F222EA" w:rsidP="00F222EA">
            <w:pPr>
              <w:spacing w:line="259" w:lineRule="auto"/>
              <w:rPr>
                <w:lang w:eastAsia="en-AU"/>
              </w:rPr>
            </w:pPr>
            <w:r w:rsidRPr="00C62E0F">
              <w:rPr>
                <w:noProof/>
                <w:lang w:eastAsia="en-AU"/>
              </w:rPr>
              <w:drawing>
                <wp:inline distT="0" distB="0" distL="0" distR="0" wp14:anchorId="4E6AF1AA" wp14:editId="77C5E038">
                  <wp:extent cx="5114199" cy="287655"/>
                  <wp:effectExtent l="0" t="0" r="0" b="0"/>
                  <wp:docPr id="363596171" name="Picture 36359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1078" w:type="dxa"/>
            <w:shd w:val="clear" w:color="auto" w:fill="F8981D" w:themeFill="accent3"/>
          </w:tcPr>
          <w:p w14:paraId="3FE08208" w14:textId="03B130AE" w:rsidR="00F222EA" w:rsidRPr="00C62E0F" w:rsidRDefault="00E65199" w:rsidP="00F222EA">
            <w:pPr>
              <w:spacing w:after="100" w:afterAutospacing="1" w:line="259" w:lineRule="auto"/>
              <w:jc w:val="center"/>
              <w:rPr>
                <w:sz w:val="30"/>
                <w:szCs w:val="30"/>
                <w:lang w:eastAsia="en-AU"/>
              </w:rPr>
            </w:pPr>
            <w:r>
              <w:rPr>
                <w:color w:val="FFFFFF" w:themeColor="background1"/>
                <w:sz w:val="30"/>
                <w:szCs w:val="30"/>
                <w:lang w:eastAsia="en-AU"/>
              </w:rPr>
              <w:t>6</w:t>
            </w:r>
          </w:p>
        </w:tc>
      </w:tr>
      <w:tr w:rsidR="00F222EA" w:rsidRPr="00C62E0F" w14:paraId="119DD166" w14:textId="77777777" w:rsidTr="00F222EA">
        <w:tc>
          <w:tcPr>
            <w:tcW w:w="8930" w:type="dxa"/>
            <w:gridSpan w:val="2"/>
            <w:tcBorders>
              <w:right w:val="single" w:sz="18" w:space="0" w:color="F8981D" w:themeColor="accent3"/>
            </w:tcBorders>
          </w:tcPr>
          <w:p w14:paraId="68E76F18" w14:textId="7768D165" w:rsidR="00F222EA" w:rsidRPr="00E04419" w:rsidRDefault="00F222EA" w:rsidP="00F222EA">
            <w:pPr>
              <w:spacing w:line="259" w:lineRule="auto"/>
            </w:pPr>
            <w:bookmarkStart w:id="56" w:name="_Hlk167697174"/>
            <w:r>
              <w:t xml:space="preserve">Communicate regularly to Traditional Owners about the implementation of recommendations made by the </w:t>
            </w:r>
            <w:r w:rsidR="00752627">
              <w:t>i</w:t>
            </w:r>
            <w:r>
              <w:t>nquiry into the KSDCT.</w:t>
            </w:r>
            <w:bookmarkEnd w:id="56"/>
          </w:p>
        </w:tc>
      </w:tr>
      <w:tr w:rsidR="00F222EA" w:rsidRPr="00C62E0F" w14:paraId="02904F82" w14:textId="77777777" w:rsidTr="00E65199">
        <w:trPr>
          <w:trHeight w:val="360"/>
        </w:trPr>
        <w:tc>
          <w:tcPr>
            <w:tcW w:w="7852" w:type="dxa"/>
          </w:tcPr>
          <w:p w14:paraId="6E76FC2F" w14:textId="77777777" w:rsidR="00F222EA" w:rsidRPr="00C62E0F" w:rsidRDefault="00F222EA" w:rsidP="00F222EA">
            <w:pPr>
              <w:spacing w:line="259" w:lineRule="auto"/>
              <w:rPr>
                <w:lang w:eastAsia="en-AU"/>
              </w:rPr>
            </w:pPr>
            <w:r w:rsidRPr="00C62E0F">
              <w:rPr>
                <w:noProof/>
                <w:lang w:eastAsia="en-AU"/>
              </w:rPr>
              <w:drawing>
                <wp:inline distT="0" distB="0" distL="0" distR="0" wp14:anchorId="7D37BFE6" wp14:editId="5EC9C89F">
                  <wp:extent cx="5114199" cy="287655"/>
                  <wp:effectExtent l="0" t="0" r="0" b="0"/>
                  <wp:docPr id="1826026514" name="Picture 182602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1078" w:type="dxa"/>
            <w:shd w:val="clear" w:color="auto" w:fill="F8981D" w:themeFill="accent3"/>
          </w:tcPr>
          <w:p w14:paraId="65B597E0" w14:textId="3EFF1D51" w:rsidR="00F222EA" w:rsidRPr="00C62E0F" w:rsidRDefault="00E65199" w:rsidP="00F222EA">
            <w:pPr>
              <w:spacing w:after="100" w:afterAutospacing="1" w:line="259" w:lineRule="auto"/>
              <w:jc w:val="center"/>
              <w:rPr>
                <w:sz w:val="30"/>
                <w:szCs w:val="30"/>
                <w:lang w:eastAsia="en-AU"/>
              </w:rPr>
            </w:pPr>
            <w:r>
              <w:rPr>
                <w:color w:val="FFFFFF" w:themeColor="background1"/>
                <w:sz w:val="30"/>
                <w:szCs w:val="30"/>
                <w:lang w:eastAsia="en-AU"/>
              </w:rPr>
              <w:t>7</w:t>
            </w:r>
          </w:p>
        </w:tc>
      </w:tr>
      <w:tr w:rsidR="00F222EA" w:rsidRPr="00C62E0F" w14:paraId="3D169381" w14:textId="77777777" w:rsidTr="00F222EA">
        <w:tc>
          <w:tcPr>
            <w:tcW w:w="8930" w:type="dxa"/>
            <w:gridSpan w:val="2"/>
            <w:tcBorders>
              <w:bottom w:val="single" w:sz="4" w:space="0" w:color="F8981D" w:themeColor="accent3"/>
              <w:right w:val="single" w:sz="18" w:space="0" w:color="F8981D" w:themeColor="accent3"/>
            </w:tcBorders>
          </w:tcPr>
          <w:p w14:paraId="7546ED9D" w14:textId="77777777" w:rsidR="00F222EA" w:rsidRPr="00E04419" w:rsidRDefault="00F222EA" w:rsidP="00F222EA">
            <w:pPr>
              <w:spacing w:line="259" w:lineRule="auto"/>
            </w:pPr>
            <w:bookmarkStart w:id="57" w:name="_Hlk167697184"/>
            <w:r w:rsidRPr="00D02E1B">
              <w:t>Develop a policy and communication materials to demonstrate to the community the separation between KLC and its wholly owned subsidiary KSD</w:t>
            </w:r>
            <w:r>
              <w:t>.</w:t>
            </w:r>
            <w:bookmarkEnd w:id="57"/>
          </w:p>
        </w:tc>
      </w:tr>
    </w:tbl>
    <w:p w14:paraId="7CA58447" w14:textId="3D56B636" w:rsidR="00446C8E" w:rsidRDefault="00446C8E" w:rsidP="00446C8E">
      <w:pPr>
        <w:pStyle w:val="Heading2"/>
        <w:numPr>
          <w:ilvl w:val="1"/>
          <w:numId w:val="2"/>
        </w:numPr>
        <w:ind w:left="578" w:hanging="578"/>
      </w:pPr>
      <w:bookmarkStart w:id="58" w:name="_Toc170470106"/>
      <w:r w:rsidRPr="007C255F">
        <w:lastRenderedPageBreak/>
        <w:t>TOR 6 | Extent to which each organisation is adequately supporting Prescribed Bod</w:t>
      </w:r>
      <w:r w:rsidR="003C352A">
        <w:t>y</w:t>
      </w:r>
      <w:r w:rsidRPr="007C255F">
        <w:t xml:space="preserve"> Corporate</w:t>
      </w:r>
      <w:r w:rsidR="003C352A">
        <w:t>s</w:t>
      </w:r>
      <w:r w:rsidRPr="007C255F">
        <w:t xml:space="preserve"> towards self-sufficiency.</w:t>
      </w:r>
      <w:bookmarkEnd w:id="58"/>
    </w:p>
    <w:tbl>
      <w:tblPr>
        <w:tblStyle w:val="TableGrid"/>
        <w:tblW w:w="0" w:type="auto"/>
        <w:tblLook w:val="04A0" w:firstRow="1" w:lastRow="0" w:firstColumn="1" w:lastColumn="0" w:noHBand="0" w:noVBand="1"/>
      </w:tblPr>
      <w:tblGrid>
        <w:gridCol w:w="8930"/>
      </w:tblGrid>
      <w:tr w:rsidR="00446C8E" w14:paraId="336DD18F" w14:textId="77777777">
        <w:trPr>
          <w:cnfStyle w:val="100000000000" w:firstRow="1" w:lastRow="0" w:firstColumn="0" w:lastColumn="0" w:oddVBand="0" w:evenVBand="0" w:oddHBand="0" w:evenHBand="0" w:firstRowFirstColumn="0" w:firstRowLastColumn="0" w:lastRowFirstColumn="0" w:lastRowLastColumn="0"/>
        </w:trPr>
        <w:tc>
          <w:tcPr>
            <w:tcW w:w="8930" w:type="dxa"/>
          </w:tcPr>
          <w:p w14:paraId="74D0888F" w14:textId="412B89B0" w:rsidR="00446C8E" w:rsidRPr="003C352A" w:rsidRDefault="00446C8E" w:rsidP="003C352A">
            <w:pPr>
              <w:pStyle w:val="Longformcallout"/>
              <w:rPr>
                <w:rFonts w:asciiTheme="majorHAnsi" w:hAnsiTheme="majorHAnsi" w:cstheme="majorHAnsi"/>
              </w:rPr>
            </w:pPr>
            <w:r w:rsidRPr="003C352A">
              <w:rPr>
                <w:rFonts w:asciiTheme="majorHAnsi" w:hAnsiTheme="majorHAnsi" w:cstheme="majorHAnsi"/>
              </w:rPr>
              <w:t>Summary</w:t>
            </w:r>
          </w:p>
          <w:p w14:paraId="17A9CE90" w14:textId="67C71A13" w:rsidR="002B369F" w:rsidRDefault="002B369F" w:rsidP="002B369F">
            <w:pPr>
              <w:pStyle w:val="Longformcallout"/>
            </w:pPr>
            <w:r>
              <w:t>The KLC supported 29 of the 31 PBCs in the Kimberley region with either a formal service agreement for transitioning PBCs or a legal retainer with the PBCs who engaged KLC to provide legal representation. No PBCs required formal intervention from ORIC during the Review period. Most of the supported PBCs (22 PBCs) relied on the KLC for basic funding and support, including for meetings, financial administration, corporate governance and compliance. PBC Director awareness of responsibilities was generally appropriate, with many PBCs in the region requiring significant support from the KLC Legal Unit to remain compliant. Some PBCs who engaged with the Review were conscious of their need for more help to keep up with legislative changes.</w:t>
            </w:r>
          </w:p>
          <w:p w14:paraId="68663577" w14:textId="63BCEE03" w:rsidR="002B369F" w:rsidRDefault="002B369F" w:rsidP="002B369F">
            <w:pPr>
              <w:pStyle w:val="Longformcallout"/>
            </w:pPr>
            <w:r>
              <w:t>Support was mainly provided through the KLC’s NTSU, which comprised two regional managers and a team of project and field officers. However, the NTSU for the East Kimberley, based in Kununurra was significantly understaffed during the Review period, which limited the KLC’s ability to provide support</w:t>
            </w:r>
            <w:r w:rsidR="00BC6B51" w:rsidRPr="75CE137A">
              <w:t xml:space="preserve"> in that region</w:t>
            </w:r>
            <w:r w:rsidRPr="75CE137A">
              <w:t>.</w:t>
            </w:r>
            <w:r>
              <w:t xml:space="preserve"> In addition, Future Act officers handled FANs for PBCs and native title applicants. </w:t>
            </w:r>
          </w:p>
          <w:p w14:paraId="341DF730" w14:textId="1F15AF4B" w:rsidR="002B369F" w:rsidRDefault="002B369F" w:rsidP="002B369F">
            <w:pPr>
              <w:pStyle w:val="Longformcallout"/>
            </w:pPr>
            <w:r>
              <w:t xml:space="preserve">The KLC had a three-category system for monitoring the capability of PBCs: emerging, for PBCs which relied heavily on the KLC for basic support; transitioning; and independent, for PBCs which largely did not require the KLC’s support. Staff reported that PBCs often </w:t>
            </w:r>
            <w:r w:rsidR="003D352A">
              <w:t>“</w:t>
            </w:r>
            <w:r>
              <w:t>boomerang</w:t>
            </w:r>
            <w:r w:rsidR="003D352A">
              <w:t>”</w:t>
            </w:r>
            <w:r>
              <w:t xml:space="preserve"> back from the higher levels of self-sufficiency to lower levels due to lack of sustainability in internal capacity. </w:t>
            </w:r>
          </w:p>
          <w:p w14:paraId="7CA0C7EC" w14:textId="4C1B3DCC" w:rsidR="002B369F" w:rsidRDefault="002B369F" w:rsidP="002B369F">
            <w:pPr>
              <w:pStyle w:val="Longformcallout"/>
            </w:pPr>
            <w:r>
              <w:t xml:space="preserve">Like other NTRB-SPs, the KLC was funded by NIAA during the Review period to provide only basic support to PBCs and to allocate the funding as it believed appropriate, based on need. Some PBCs advised that they would prefer to receive their funds directly from NIAA and were concerned that they were not receiving “the full value” of their NIAA funding. PBC members who spoke with the Review reported that the cost of activities needed to remain compliant absorbed the available funds, leaving capability development and sustainability unfunded. They wanted broader support from the KLC to develop an economic base for their organisation so they could become more self-sufficient. The Review notes that the PBC funding provided to KLC (and other NTRB-SPs) by the NIAA did not include this kind of support. </w:t>
            </w:r>
          </w:p>
          <w:p w14:paraId="3F22A09F" w14:textId="656F6204" w:rsidR="002B369F" w:rsidRDefault="00C90730" w:rsidP="002B369F">
            <w:pPr>
              <w:pStyle w:val="Longformcallout"/>
            </w:pPr>
            <w:r>
              <w:t>M</w:t>
            </w:r>
            <w:r w:rsidR="002B369F">
              <w:t>any Traditional Owners</w:t>
            </w:r>
            <w:r w:rsidR="002B369F" w:rsidDel="00C90730">
              <w:t xml:space="preserve"> </w:t>
            </w:r>
            <w:r w:rsidR="002B369F">
              <w:t xml:space="preserve">contacted the Review to express their dissatisfaction with the governance of their PBC. </w:t>
            </w:r>
            <w:r w:rsidR="00994151">
              <w:t>S</w:t>
            </w:r>
            <w:r w:rsidR="002B369F" w:rsidRPr="75CE137A">
              <w:t>maller</w:t>
            </w:r>
            <w:r w:rsidR="002B369F">
              <w:t xml:space="preserve"> family groups reported having little say when decisions were made by a majority vote. The Review notes that these are structural matters relating to native title and not matters where the KLC has any powers to intervene unless formally requested. </w:t>
            </w:r>
          </w:p>
          <w:p w14:paraId="2E78BF37" w14:textId="5059B1F4" w:rsidR="002B369F" w:rsidRDefault="002B369F" w:rsidP="002B369F">
            <w:pPr>
              <w:pStyle w:val="Longformcallout"/>
            </w:pPr>
            <w:r>
              <w:t xml:space="preserve">The KLC has had a Transfer of Native Title Materials policy in place since 2016 and has been returning materials to PBCs across the Review period. KLC anthropologists advised that the policy needs to be updated subsequent to a Federal Court ruling during the </w:t>
            </w:r>
            <w:r w:rsidR="00E564D0">
              <w:t xml:space="preserve">Review </w:t>
            </w:r>
            <w:r>
              <w:t>period.</w:t>
            </w:r>
          </w:p>
          <w:p w14:paraId="7F13BE05" w14:textId="3C57A0CE" w:rsidR="00446C8E" w:rsidRDefault="002B369F" w:rsidP="003C352A">
            <w:pPr>
              <w:pStyle w:val="Longformcallout"/>
            </w:pPr>
            <w:r>
              <w:t>There</w:t>
            </w:r>
            <w:r w:rsidDel="00E564D0">
              <w:t xml:space="preserve"> </w:t>
            </w:r>
            <w:r w:rsidR="00E564D0">
              <w:t xml:space="preserve">was </w:t>
            </w:r>
            <w:r>
              <w:t xml:space="preserve">significant resources activity in the Kimberley region leading to the overwhelming majority of FANs received being exploration licences. The number of FANs received is higher than comparable RATSIB areas examined </w:t>
            </w:r>
            <w:r w:rsidR="005E3480">
              <w:t>during</w:t>
            </w:r>
            <w:r w:rsidR="00E564D0">
              <w:t xml:space="preserve"> </w:t>
            </w:r>
            <w:r>
              <w:t>the Review</w:t>
            </w:r>
            <w:r w:rsidR="005E3480">
              <w:t xml:space="preserve"> period</w:t>
            </w:r>
            <w:r>
              <w:t xml:space="preserve">. However, this activity </w:t>
            </w:r>
            <w:r w:rsidR="00E564D0">
              <w:t xml:space="preserve">was </w:t>
            </w:r>
            <w:r>
              <w:t>concentrated in specific locations and the Review assesse</w:t>
            </w:r>
            <w:r w:rsidR="00E564D0">
              <w:t>d</w:t>
            </w:r>
            <w:r>
              <w:t xml:space="preserve"> that external factors had a moderate impact on the ability for PBCs to be self-sufficient.</w:t>
            </w:r>
          </w:p>
        </w:tc>
      </w:tr>
    </w:tbl>
    <w:p w14:paraId="170D2BA6" w14:textId="4EAA740E" w:rsidR="00446C8E" w:rsidRDefault="00446C8E" w:rsidP="007630C9">
      <w:pPr>
        <w:keepNext/>
        <w:numPr>
          <w:ilvl w:val="2"/>
          <w:numId w:val="25"/>
        </w:numPr>
        <w:spacing w:before="480" w:after="60"/>
        <w:outlineLvl w:val="2"/>
        <w:rPr>
          <w:rFonts w:ascii="Segoe UI Semibold" w:eastAsia="Times New Roman" w:hAnsi="Segoe UI Semibold" w:cs="Times New Roman"/>
          <w:color w:val="00264D"/>
          <w:sz w:val="26"/>
          <w:szCs w:val="19"/>
          <w:lang w:eastAsia="en-AU"/>
        </w:rPr>
      </w:pPr>
      <w:r w:rsidRPr="00BF2584">
        <w:rPr>
          <w:rFonts w:ascii="Segoe UI Semibold" w:eastAsia="Times New Roman" w:hAnsi="Segoe UI Semibold" w:cs="Times New Roman"/>
          <w:color w:val="00264D"/>
          <w:sz w:val="26"/>
          <w:szCs w:val="19"/>
          <w:lang w:eastAsia="en-AU"/>
        </w:rPr>
        <w:t>TOR 6: Assessment of performance</w:t>
      </w:r>
    </w:p>
    <w:p w14:paraId="0BB131FA" w14:textId="141C1C84" w:rsidR="00F12A45" w:rsidRPr="00BF2584" w:rsidRDefault="00F12A45" w:rsidP="00F12A45">
      <w:pPr>
        <w:rPr>
          <w:rFonts w:ascii="Segoe UI Semibold" w:eastAsia="Times New Roman" w:hAnsi="Segoe UI Semibold" w:cs="Times New Roman"/>
          <w:color w:val="00264D"/>
          <w:sz w:val="26"/>
          <w:szCs w:val="19"/>
          <w:lang w:eastAsia="en-AU"/>
        </w:rPr>
      </w:pPr>
      <w:r w:rsidRPr="00F12A45">
        <w:rPr>
          <w:lang w:eastAsia="en-AU"/>
        </w:rPr>
        <w:t>This section presents an assessment of performance against the performance indicators for this TOR. To see the performance indicators please see</w:t>
      </w:r>
      <w:r>
        <w:rPr>
          <w:lang w:eastAsia="en-AU"/>
        </w:rPr>
        <w:t xml:space="preserve"> </w:t>
      </w:r>
      <w:r>
        <w:rPr>
          <w:lang w:eastAsia="en-AU"/>
        </w:rPr>
        <w:fldChar w:fldCharType="begin"/>
      </w:r>
      <w:r>
        <w:rPr>
          <w:lang w:eastAsia="en-AU"/>
        </w:rPr>
        <w:instrText xml:space="preserve"> REF _Ref163046335 \n \h </w:instrText>
      </w:r>
      <w:r>
        <w:rPr>
          <w:lang w:eastAsia="en-AU"/>
        </w:rPr>
      </w:r>
      <w:r>
        <w:rPr>
          <w:lang w:eastAsia="en-AU"/>
        </w:rPr>
        <w:fldChar w:fldCharType="separate"/>
      </w:r>
      <w:r w:rsidR="00291532">
        <w:rPr>
          <w:lang w:eastAsia="en-AU"/>
        </w:rPr>
        <w:t>Appendix A</w:t>
      </w:r>
      <w:r>
        <w:rPr>
          <w:lang w:eastAsia="en-AU"/>
        </w:rPr>
        <w:fldChar w:fldCharType="end"/>
      </w:r>
      <w:r w:rsidRPr="00F12A45">
        <w:rPr>
          <w:lang w:eastAsia="en-AU"/>
        </w:rPr>
        <w:t>.</w:t>
      </w:r>
    </w:p>
    <w:p w14:paraId="23C76F36" w14:textId="77777777" w:rsidR="00E01450" w:rsidRPr="00BF2584" w:rsidRDefault="00E01450" w:rsidP="00E01450">
      <w:pPr>
        <w:pStyle w:val="Heading4"/>
      </w:pPr>
      <w:r w:rsidRPr="00BF2584">
        <w:lastRenderedPageBreak/>
        <w:t>Satisfaction of PBCs/RNTBCs supported by the NTRB-SP</w:t>
      </w:r>
    </w:p>
    <w:p w14:paraId="350224B0" w14:textId="1CF24CA7" w:rsidR="00E01450" w:rsidRDefault="00E01450" w:rsidP="00E01450">
      <w:pPr>
        <w:pStyle w:val="Heading5"/>
        <w:rPr>
          <w:b w:val="0"/>
        </w:rPr>
      </w:pPr>
      <w:r>
        <w:t xml:space="preserve">PBCs </w:t>
      </w:r>
      <w:r w:rsidR="009564BB">
        <w:t xml:space="preserve">were </w:t>
      </w:r>
      <w:r>
        <w:t>looking for a wider range of support</w:t>
      </w:r>
    </w:p>
    <w:p w14:paraId="2E464503" w14:textId="6679A489" w:rsidR="00E01450" w:rsidRDefault="00E01450" w:rsidP="00E01450">
      <w:pPr>
        <w:rPr>
          <w:lang w:eastAsia="en-AU"/>
        </w:rPr>
      </w:pPr>
      <w:r w:rsidRPr="00BF2584">
        <w:rPr>
          <w:lang w:eastAsia="en-AU"/>
        </w:rPr>
        <w:t xml:space="preserve">PBC Directors </w:t>
      </w:r>
      <w:r>
        <w:rPr>
          <w:lang w:eastAsia="en-AU"/>
        </w:rPr>
        <w:t>who spoke to the Review commented that the main services they received from the KLC relate</w:t>
      </w:r>
      <w:r w:rsidR="009564BB">
        <w:rPr>
          <w:lang w:eastAsia="en-AU"/>
        </w:rPr>
        <w:t>d</w:t>
      </w:r>
      <w:r>
        <w:rPr>
          <w:lang w:eastAsia="en-AU"/>
        </w:rPr>
        <w:t xml:space="preserve"> to holding meetings</w:t>
      </w:r>
      <w:r w:rsidDel="00584342">
        <w:rPr>
          <w:lang w:eastAsia="en-AU"/>
        </w:rPr>
        <w:t xml:space="preserve"> </w:t>
      </w:r>
      <w:r>
        <w:rPr>
          <w:lang w:eastAsia="en-AU"/>
        </w:rPr>
        <w:t xml:space="preserve">to meet corporate compliance obligations and attending the </w:t>
      </w:r>
      <w:r w:rsidRPr="00BF2584">
        <w:rPr>
          <w:lang w:eastAsia="en-AU"/>
        </w:rPr>
        <w:t xml:space="preserve">KLC’s </w:t>
      </w:r>
      <w:r>
        <w:rPr>
          <w:lang w:eastAsia="en-AU"/>
        </w:rPr>
        <w:t>AGM. Some also receive</w:t>
      </w:r>
      <w:r w:rsidR="009564BB">
        <w:rPr>
          <w:lang w:eastAsia="en-AU"/>
        </w:rPr>
        <w:t>d</w:t>
      </w:r>
      <w:r w:rsidRPr="00BF2584">
        <w:rPr>
          <w:lang w:eastAsia="en-AU"/>
        </w:rPr>
        <w:t xml:space="preserve"> bookkeeping for PBC finances. </w:t>
      </w:r>
      <w:r w:rsidRPr="003141EB">
        <w:rPr>
          <w:lang w:eastAsia="en-AU"/>
        </w:rPr>
        <w:t>For PBCs in the emerging category, and for some PBCs in the transitioning category, KLC h</w:t>
      </w:r>
      <w:r w:rsidR="009564BB">
        <w:rPr>
          <w:lang w:eastAsia="en-AU"/>
        </w:rPr>
        <w:t>e</w:t>
      </w:r>
      <w:r w:rsidRPr="003141EB">
        <w:rPr>
          <w:lang w:eastAsia="en-AU"/>
        </w:rPr>
        <w:t xml:space="preserve">ld the corporate books at its offices. </w:t>
      </w:r>
    </w:p>
    <w:p w14:paraId="58D24C18" w14:textId="5C1CD9F4" w:rsidR="00E01450" w:rsidRDefault="00E01450" w:rsidP="00E01450">
      <w:pPr>
        <w:rPr>
          <w:lang w:eastAsia="en-AU"/>
        </w:rPr>
      </w:pPr>
      <w:r>
        <w:rPr>
          <w:lang w:eastAsia="en-AU"/>
        </w:rPr>
        <w:t xml:space="preserve">There was some feedback that there </w:t>
      </w:r>
      <w:r w:rsidR="009564BB">
        <w:rPr>
          <w:lang w:eastAsia="en-AU"/>
        </w:rPr>
        <w:t xml:space="preserve">were </w:t>
      </w:r>
      <w:r>
        <w:rPr>
          <w:lang w:eastAsia="en-AU"/>
        </w:rPr>
        <w:t xml:space="preserve">long delays in providing </w:t>
      </w:r>
      <w:r w:rsidR="00CA011F">
        <w:rPr>
          <w:lang w:eastAsia="en-AU"/>
        </w:rPr>
        <w:t xml:space="preserve">minutes </w:t>
      </w:r>
      <w:r>
        <w:rPr>
          <w:lang w:eastAsia="en-AU"/>
        </w:rPr>
        <w:t xml:space="preserve">back to the PBCs. </w:t>
      </w:r>
      <w:r w:rsidRPr="000A09F9">
        <w:rPr>
          <w:lang w:eastAsia="en-AU"/>
        </w:rPr>
        <w:t xml:space="preserve">Relevant members of the KLC acknowledged that these wait times could be improved </w:t>
      </w:r>
      <w:r>
        <w:rPr>
          <w:lang w:eastAsia="en-AU"/>
        </w:rPr>
        <w:t>but suggested that limited staff</w:t>
      </w:r>
      <w:r w:rsidRPr="000A09F9">
        <w:rPr>
          <w:lang w:eastAsia="en-AU"/>
        </w:rPr>
        <w:t xml:space="preserve"> capacity and low funding levels for </w:t>
      </w:r>
      <w:r>
        <w:rPr>
          <w:lang w:eastAsia="en-AU"/>
        </w:rPr>
        <w:t xml:space="preserve">meeting the </w:t>
      </w:r>
      <w:r w:rsidRPr="000A09F9">
        <w:rPr>
          <w:lang w:eastAsia="en-AU"/>
        </w:rPr>
        <w:t xml:space="preserve">increasing PBC client demand </w:t>
      </w:r>
      <w:r w:rsidR="009564BB">
        <w:rPr>
          <w:lang w:eastAsia="en-AU"/>
        </w:rPr>
        <w:t>had</w:t>
      </w:r>
      <w:r w:rsidR="009564BB" w:rsidRPr="000A09F9">
        <w:rPr>
          <w:lang w:eastAsia="en-AU"/>
        </w:rPr>
        <w:t xml:space="preserve"> </w:t>
      </w:r>
      <w:r w:rsidRPr="000A09F9">
        <w:rPr>
          <w:lang w:eastAsia="en-AU"/>
        </w:rPr>
        <w:t>made this challenging.</w:t>
      </w:r>
    </w:p>
    <w:p w14:paraId="16BE23EA" w14:textId="2A6A0B25" w:rsidR="00E01450" w:rsidRPr="003141EB" w:rsidRDefault="00E01450" w:rsidP="00E01450">
      <w:r w:rsidRPr="003141EB">
        <w:rPr>
          <w:lang w:eastAsia="en-AU"/>
        </w:rPr>
        <w:t>PBC Directors noted that the KLC</w:t>
      </w:r>
      <w:r>
        <w:rPr>
          <w:lang w:eastAsia="en-AU"/>
        </w:rPr>
        <w:t>’s</w:t>
      </w:r>
      <w:r w:rsidRPr="003141EB">
        <w:rPr>
          <w:lang w:eastAsia="en-AU"/>
        </w:rPr>
        <w:t xml:space="preserve"> advice</w:t>
      </w:r>
      <w:r w:rsidRPr="004539FC">
        <w:rPr>
          <w:rFonts w:eastAsia="Times New Roman" w:cs="Segoe UI"/>
          <w:szCs w:val="19"/>
          <w:lang w:eastAsia="en-AU"/>
        </w:rPr>
        <w:t xml:space="preserve"> and decisions </w:t>
      </w:r>
      <w:r>
        <w:rPr>
          <w:rFonts w:eastAsia="Times New Roman" w:cs="Segoe UI"/>
          <w:szCs w:val="19"/>
          <w:lang w:eastAsia="en-AU"/>
        </w:rPr>
        <w:t>relating</w:t>
      </w:r>
      <w:r w:rsidRPr="004539FC">
        <w:rPr>
          <w:rFonts w:eastAsia="Times New Roman" w:cs="Segoe UI"/>
          <w:szCs w:val="19"/>
          <w:lang w:eastAsia="en-AU"/>
        </w:rPr>
        <w:t xml:space="preserve"> to Future Acts</w:t>
      </w:r>
      <w:r>
        <w:rPr>
          <w:rFonts w:eastAsia="Times New Roman" w:cs="Segoe UI"/>
          <w:szCs w:val="19"/>
          <w:lang w:eastAsia="en-AU"/>
        </w:rPr>
        <w:t xml:space="preserve"> and</w:t>
      </w:r>
      <w:r w:rsidRPr="004539FC">
        <w:rPr>
          <w:rFonts w:eastAsia="Times New Roman" w:cs="Segoe UI"/>
          <w:szCs w:val="19"/>
          <w:lang w:eastAsia="en-AU"/>
        </w:rPr>
        <w:t xml:space="preserve"> ILUAs generally had clear </w:t>
      </w:r>
      <w:r w:rsidRPr="003141EB">
        <w:t xml:space="preserve">reasoning behind them and were well-understood. </w:t>
      </w:r>
    </w:p>
    <w:p w14:paraId="177490C4" w14:textId="7442F860" w:rsidR="00E01450" w:rsidRDefault="00E01450" w:rsidP="00E01450">
      <w:r>
        <w:t xml:space="preserve">Several PBC members commented that they would like more support from the KLC to develop an economic base for their organisation so they could be more self-sufficient. The Review notes that </w:t>
      </w:r>
      <w:r w:rsidRPr="003141EB">
        <w:t xml:space="preserve">NIAA basic support funding </w:t>
      </w:r>
      <w:r w:rsidR="009564BB">
        <w:t>did</w:t>
      </w:r>
      <w:r w:rsidR="009564BB" w:rsidRPr="003141EB">
        <w:t xml:space="preserve"> </w:t>
      </w:r>
      <w:r w:rsidRPr="003141EB">
        <w:t xml:space="preserve">not include funds for </w:t>
      </w:r>
      <w:r>
        <w:t>economic development</w:t>
      </w:r>
      <w:r w:rsidRPr="003141EB">
        <w:t xml:space="preserve"> and only limited funding for capability development, which </w:t>
      </w:r>
      <w:r w:rsidR="009564BB">
        <w:t xml:space="preserve">the </w:t>
      </w:r>
      <w:r w:rsidRPr="003141EB">
        <w:t>KLC allocate</w:t>
      </w:r>
      <w:r w:rsidR="009564BB">
        <w:t>d</w:t>
      </w:r>
      <w:r w:rsidRPr="003141EB">
        <w:t xml:space="preserve"> to activities such as governance training for </w:t>
      </w:r>
      <w:r w:rsidR="00541675">
        <w:t>D</w:t>
      </w:r>
      <w:r w:rsidRPr="003141EB">
        <w:t xml:space="preserve">irectors and regional PBC forums. </w:t>
      </w:r>
      <w:r>
        <w:t>The Review notes that i</w:t>
      </w:r>
      <w:r w:rsidRPr="00792D02">
        <w:t>n future</w:t>
      </w:r>
      <w:r>
        <w:t>,</w:t>
      </w:r>
      <w:r w:rsidRPr="00792D02">
        <w:t xml:space="preserve"> compensation claims are also likely to benefit PBC members and potentially fund capability development for economic initiatives</w:t>
      </w:r>
      <w:r>
        <w:t xml:space="preserve">. </w:t>
      </w:r>
    </w:p>
    <w:p w14:paraId="6DE270FD" w14:textId="483F6D5E" w:rsidR="00E01450" w:rsidRPr="00BF2584" w:rsidRDefault="00E01450" w:rsidP="00E01450">
      <w:pPr>
        <w:rPr>
          <w:lang w:eastAsia="en-AU"/>
        </w:rPr>
      </w:pPr>
      <w:r>
        <w:t xml:space="preserve">The KLC executives who spoke to the Review additionally indicated that they </w:t>
      </w:r>
      <w:r w:rsidR="00541675">
        <w:t xml:space="preserve">were </w:t>
      </w:r>
      <w:r>
        <w:t xml:space="preserve">exploring options for the divestment of program management such as Ranger programs. The suggested benefit would be to enable the empowerment of established PBCs to manage their own programs, allowing </w:t>
      </w:r>
      <w:r w:rsidR="00541675">
        <w:t xml:space="preserve">the </w:t>
      </w:r>
      <w:r>
        <w:t>KLC to focus their resourcing towards PBCs that need additional support.</w:t>
      </w:r>
    </w:p>
    <w:p w14:paraId="2315862F" w14:textId="51204196" w:rsidR="00E01450" w:rsidRDefault="00E01450" w:rsidP="00E01450">
      <w:pPr>
        <w:rPr>
          <w:lang w:eastAsia="en-AU"/>
        </w:rPr>
      </w:pPr>
      <w:r>
        <w:rPr>
          <w:lang w:eastAsia="en-AU"/>
        </w:rPr>
        <w:t xml:space="preserve">There was widespread feedback to the Review that PBCs would like to receive PBC support funds directly from the NIAA with the hope that this might increase the level of funds they received. PBCs noted that the cost of running the meetings needed to remain compliant with corporate obligations absorbed most of the available funds, which meant they had nothing to fund any moves towards sustainability. The Review notes that </w:t>
      </w:r>
      <w:r w:rsidRPr="003141EB">
        <w:rPr>
          <w:lang w:eastAsia="en-AU"/>
        </w:rPr>
        <w:t xml:space="preserve">the level of </w:t>
      </w:r>
      <w:r>
        <w:rPr>
          <w:lang w:eastAsia="en-AU"/>
        </w:rPr>
        <w:t xml:space="preserve">PBC support </w:t>
      </w:r>
      <w:r w:rsidRPr="003141EB">
        <w:rPr>
          <w:lang w:eastAsia="en-AU"/>
        </w:rPr>
        <w:t>funding provided</w:t>
      </w:r>
      <w:r>
        <w:rPr>
          <w:lang w:eastAsia="en-AU"/>
        </w:rPr>
        <w:t xml:space="preserve"> by NIAA to all NTRB-SPs, including</w:t>
      </w:r>
      <w:r w:rsidR="005E3FA5">
        <w:rPr>
          <w:lang w:eastAsia="en-AU"/>
        </w:rPr>
        <w:t xml:space="preserve"> the</w:t>
      </w:r>
      <w:r>
        <w:rPr>
          <w:lang w:eastAsia="en-AU"/>
        </w:rPr>
        <w:t xml:space="preserve"> </w:t>
      </w:r>
      <w:r w:rsidRPr="003141EB">
        <w:rPr>
          <w:lang w:eastAsia="en-AU"/>
        </w:rPr>
        <w:t>KLC</w:t>
      </w:r>
      <w:r>
        <w:rPr>
          <w:lang w:eastAsia="en-AU"/>
        </w:rPr>
        <w:t>,</w:t>
      </w:r>
      <w:r w:rsidRPr="003141EB">
        <w:rPr>
          <w:lang w:eastAsia="en-AU"/>
        </w:rPr>
        <w:t xml:space="preserve"> only </w:t>
      </w:r>
      <w:r>
        <w:rPr>
          <w:lang w:eastAsia="en-AU"/>
        </w:rPr>
        <w:t>cover</w:t>
      </w:r>
      <w:r w:rsidR="002323E8">
        <w:rPr>
          <w:lang w:eastAsia="en-AU"/>
        </w:rPr>
        <w:t>ed</w:t>
      </w:r>
      <w:r w:rsidRPr="003141EB">
        <w:rPr>
          <w:lang w:eastAsia="en-AU"/>
        </w:rPr>
        <w:t xml:space="preserve"> basic support</w:t>
      </w:r>
      <w:r>
        <w:rPr>
          <w:lang w:eastAsia="en-AU"/>
        </w:rPr>
        <w:t xml:space="preserve"> and that funds for economic sustainability </w:t>
      </w:r>
      <w:r w:rsidR="002323E8">
        <w:rPr>
          <w:lang w:eastAsia="en-AU"/>
        </w:rPr>
        <w:t xml:space="preserve">were </w:t>
      </w:r>
      <w:r>
        <w:rPr>
          <w:lang w:eastAsia="en-AU"/>
        </w:rPr>
        <w:t>not provided.</w:t>
      </w:r>
    </w:p>
    <w:p w14:paraId="0BC97EB0" w14:textId="5D80EDE2" w:rsidR="00E01450" w:rsidRPr="00D8395E" w:rsidRDefault="00E01450" w:rsidP="00E01450">
      <w:pPr>
        <w:rPr>
          <w:lang w:eastAsia="en-AU"/>
        </w:rPr>
      </w:pPr>
      <w:r>
        <w:rPr>
          <w:lang w:eastAsia="en-AU"/>
        </w:rPr>
        <w:t xml:space="preserve">The Review received feedback, as noted </w:t>
      </w:r>
      <w:r>
        <w:t xml:space="preserve">under </w:t>
      </w:r>
      <w:r>
        <w:rPr>
          <w:lang w:eastAsia="en-AU"/>
        </w:rPr>
        <w:t xml:space="preserve">TOR 5, that some PBCs would like better access to the funds held in trust in the KSDCT. One PBC commented: </w:t>
      </w:r>
      <w:r w:rsidRPr="002323E8">
        <w:rPr>
          <w:lang w:eastAsia="en-AU"/>
        </w:rPr>
        <w:t>“</w:t>
      </w:r>
      <w:r w:rsidRPr="002C4C27">
        <w:rPr>
          <w:lang w:eastAsia="en-AU"/>
        </w:rPr>
        <w:t xml:space="preserve">Our PBC is supported but it is the actual access to funds held in trust for PBCs that is difficult to obtain for establishing the ongoing functions of our PBCs independence going forward.” </w:t>
      </w:r>
      <w:r w:rsidR="001A3E2D" w:rsidRPr="001A3E2D">
        <w:rPr>
          <w:lang w:eastAsia="en-AU"/>
        </w:rPr>
        <w:t xml:space="preserve">The Review notes that funds can only be released by the </w:t>
      </w:r>
      <w:r w:rsidR="002323E8">
        <w:rPr>
          <w:lang w:eastAsia="en-AU"/>
        </w:rPr>
        <w:t>KSDCT</w:t>
      </w:r>
      <w:r w:rsidR="002323E8" w:rsidRPr="001A3E2D" w:rsidDel="002323E8">
        <w:rPr>
          <w:lang w:eastAsia="en-AU"/>
        </w:rPr>
        <w:t xml:space="preserve"> </w:t>
      </w:r>
      <w:r w:rsidR="001A3E2D" w:rsidRPr="001A3E2D">
        <w:rPr>
          <w:lang w:eastAsia="en-AU"/>
        </w:rPr>
        <w:t>for charitable purposes and access to the funds is governed by those purposes</w:t>
      </w:r>
      <w:r>
        <w:rPr>
          <w:lang w:eastAsia="en-AU"/>
        </w:rPr>
        <w:t>.</w:t>
      </w:r>
    </w:p>
    <w:p w14:paraId="4C0DCF99" w14:textId="77777777" w:rsidR="00E01450" w:rsidRPr="0050094B" w:rsidRDefault="00E01450" w:rsidP="00E01450">
      <w:pPr>
        <w:rPr>
          <w:lang w:eastAsia="en-AU"/>
        </w:rPr>
      </w:pPr>
      <w:r>
        <w:rPr>
          <w:lang w:eastAsia="en-AU"/>
        </w:rPr>
        <w:t xml:space="preserve">The Review notes that the KLC has </w:t>
      </w:r>
      <w:r w:rsidRPr="00222330">
        <w:rPr>
          <w:lang w:eastAsia="en-AU"/>
        </w:rPr>
        <w:t>collect</w:t>
      </w:r>
      <w:r>
        <w:rPr>
          <w:lang w:eastAsia="en-AU"/>
        </w:rPr>
        <w:t>ed</w:t>
      </w:r>
      <w:r w:rsidRPr="00222330">
        <w:rPr>
          <w:lang w:eastAsia="en-AU"/>
        </w:rPr>
        <w:t xml:space="preserve"> formal feedback from PBCs </w:t>
      </w:r>
      <w:r>
        <w:rPr>
          <w:lang w:eastAsia="en-AU"/>
        </w:rPr>
        <w:t xml:space="preserve">in the past </w:t>
      </w:r>
      <w:r w:rsidRPr="00222330">
        <w:rPr>
          <w:lang w:eastAsia="en-AU"/>
        </w:rPr>
        <w:t>to identify improvements in service delivery</w:t>
      </w:r>
      <w:r>
        <w:rPr>
          <w:lang w:eastAsia="en-AU"/>
        </w:rPr>
        <w:t xml:space="preserve"> and that this would be a useful ongoing process to adopt.</w:t>
      </w:r>
    </w:p>
    <w:p w14:paraId="48E1FA1F" w14:textId="77777777" w:rsidR="00E01450" w:rsidRPr="0043175B" w:rsidRDefault="00E01450" w:rsidP="00E01450">
      <w:pPr>
        <w:pStyle w:val="Heading5"/>
        <w:rPr>
          <w:b w:val="0"/>
        </w:rPr>
      </w:pPr>
      <w:r>
        <w:t xml:space="preserve">A number of PBCs were concerned about the internal governance of their PBCs </w:t>
      </w:r>
    </w:p>
    <w:p w14:paraId="2045536D" w14:textId="5E798631" w:rsidR="00E01450" w:rsidRDefault="00E01450" w:rsidP="00E01450">
      <w:pPr>
        <w:rPr>
          <w:lang w:eastAsia="en-AU"/>
        </w:rPr>
      </w:pPr>
      <w:r>
        <w:rPr>
          <w:lang w:eastAsia="en-AU"/>
        </w:rPr>
        <w:t>The Review received significant feedback that the composition and governance of some PBCs results in some family groups within the PBC being excluded from decision making</w:t>
      </w:r>
      <w:r w:rsidRPr="00046103">
        <w:t xml:space="preserve"> </w:t>
      </w:r>
      <w:r>
        <w:t xml:space="preserve">so that </w:t>
      </w:r>
      <w:r w:rsidRPr="00A94AD5">
        <w:t>members</w:t>
      </w:r>
      <w:r>
        <w:t xml:space="preserve"> from smaller family and country groupings were effectively</w:t>
      </w:r>
      <w:r w:rsidRPr="00236850">
        <w:t xml:space="preserve"> </w:t>
      </w:r>
      <w:r w:rsidRPr="00A94AD5">
        <w:t>disenfranchised</w:t>
      </w:r>
      <w:r>
        <w:t xml:space="preserve">. </w:t>
      </w:r>
      <w:r>
        <w:rPr>
          <w:lang w:eastAsia="en-AU"/>
        </w:rPr>
        <w:t>This typically occurred when membership of PBC Boards was chosen through voting which resulted in members from large families being selected.</w:t>
      </w:r>
    </w:p>
    <w:p w14:paraId="1E9E401C" w14:textId="25BD1A52" w:rsidR="00E01450" w:rsidRDefault="00E01450" w:rsidP="00E01450">
      <w:pPr>
        <w:rPr>
          <w:lang w:eastAsia="en-AU"/>
        </w:rPr>
      </w:pPr>
      <w:r>
        <w:rPr>
          <w:lang w:eastAsia="en-AU"/>
        </w:rPr>
        <w:t>The Review notes that, despite many Traditional Owners believing that this problem had been caused by</w:t>
      </w:r>
      <w:r w:rsidR="0068130C">
        <w:rPr>
          <w:lang w:eastAsia="en-AU"/>
        </w:rPr>
        <w:t xml:space="preserve"> the</w:t>
      </w:r>
      <w:r>
        <w:rPr>
          <w:lang w:eastAsia="en-AU"/>
        </w:rPr>
        <w:t xml:space="preserve"> KLC, it is in fact a structural issue with the native title system. The KLC has no powers to intervene in a </w:t>
      </w:r>
      <w:r>
        <w:rPr>
          <w:lang w:eastAsia="en-AU"/>
        </w:rPr>
        <w:lastRenderedPageBreak/>
        <w:t xml:space="preserve">PBC’s internal arrangements. However, if requested by the PBC, </w:t>
      </w:r>
      <w:r w:rsidR="003F2BAA">
        <w:rPr>
          <w:lang w:eastAsia="en-AU"/>
        </w:rPr>
        <w:t xml:space="preserve">the </w:t>
      </w:r>
      <w:r>
        <w:rPr>
          <w:lang w:eastAsia="en-AU"/>
        </w:rPr>
        <w:t xml:space="preserve">KLC could support a PBC towards amending its Rule Book in an attempt to address this issue. </w:t>
      </w:r>
    </w:p>
    <w:p w14:paraId="380E3EE6" w14:textId="6DC08E7D" w:rsidR="00E01450" w:rsidRPr="00BF2584" w:rsidRDefault="00E01450" w:rsidP="00E01450">
      <w:pPr>
        <w:rPr>
          <w:lang w:eastAsia="en-AU"/>
        </w:rPr>
      </w:pPr>
      <w:r>
        <w:rPr>
          <w:lang w:eastAsia="en-AU"/>
        </w:rPr>
        <w:t xml:space="preserve">Some individuals within PBCs were frustrated that they could not access legal assistance from the KLC to prosecute their issues within the PBC. </w:t>
      </w:r>
      <w:r w:rsidR="00374279" w:rsidRPr="00374279">
        <w:rPr>
          <w:rFonts w:cs="Segoe UI"/>
          <w:szCs w:val="19"/>
        </w:rPr>
        <w:t xml:space="preserve">The Review notes that while this is a function of NTRB-SPs, it may not be within the scope of native title grant funding and </w:t>
      </w:r>
      <w:r w:rsidR="00974142">
        <w:rPr>
          <w:rFonts w:cs="Segoe UI"/>
          <w:szCs w:val="19"/>
        </w:rPr>
        <w:t xml:space="preserve">the </w:t>
      </w:r>
      <w:r w:rsidR="00374279" w:rsidRPr="00374279">
        <w:rPr>
          <w:rFonts w:cs="Segoe UI"/>
          <w:szCs w:val="19"/>
        </w:rPr>
        <w:t xml:space="preserve">KLC </w:t>
      </w:r>
      <w:r w:rsidR="008E28FC">
        <w:rPr>
          <w:rFonts w:cs="Segoe UI"/>
          <w:szCs w:val="19"/>
        </w:rPr>
        <w:t xml:space="preserve">was </w:t>
      </w:r>
      <w:r w:rsidR="00374279" w:rsidRPr="00374279">
        <w:rPr>
          <w:rFonts w:cs="Segoe UI"/>
          <w:szCs w:val="19"/>
        </w:rPr>
        <w:t>acting appropriately in the performance of its prioritisation obligations in not providing legal assistance</w:t>
      </w:r>
      <w:r>
        <w:rPr>
          <w:rFonts w:cs="Segoe UI"/>
          <w:szCs w:val="19"/>
        </w:rPr>
        <w:t xml:space="preserve">. </w:t>
      </w:r>
      <w:r>
        <w:rPr>
          <w:lang w:eastAsia="en-AU"/>
        </w:rPr>
        <w:t xml:space="preserve">While there may be scope for the KLC to exercise its dispute resolution functions to assist with disputes between PBCs and their members, this would require the PBC’s consent and might not be considered a priority for the NTRB-SP’s resources. </w:t>
      </w:r>
      <w:r>
        <w:rPr>
          <w:rFonts w:cs="Segoe UI"/>
          <w:szCs w:val="19"/>
        </w:rPr>
        <w:t>This means that</w:t>
      </w:r>
      <w:r w:rsidRPr="00986434">
        <w:rPr>
          <w:rFonts w:cs="Segoe UI"/>
          <w:szCs w:val="19"/>
        </w:rPr>
        <w:t xml:space="preserve"> minority/oppressed members of PBCs </w:t>
      </w:r>
      <w:r>
        <w:rPr>
          <w:rFonts w:cs="Segoe UI"/>
          <w:szCs w:val="19"/>
        </w:rPr>
        <w:t>have</w:t>
      </w:r>
      <w:r w:rsidRPr="00986434">
        <w:rPr>
          <w:rFonts w:cs="Segoe UI"/>
          <w:szCs w:val="19"/>
        </w:rPr>
        <w:t xml:space="preserve"> no source of support other than</w:t>
      </w:r>
      <w:r w:rsidRPr="00986434">
        <w:rPr>
          <w:rFonts w:cs="Segoe UI"/>
          <w:i/>
          <w:iCs/>
          <w:szCs w:val="19"/>
        </w:rPr>
        <w:t xml:space="preserve"> </w:t>
      </w:r>
      <w:r w:rsidRPr="002C4C27">
        <w:rPr>
          <w:rFonts w:cs="Segoe UI"/>
          <w:szCs w:val="19"/>
        </w:rPr>
        <w:t>pro bono</w:t>
      </w:r>
      <w:r w:rsidRPr="00131A4C">
        <w:rPr>
          <w:rFonts w:cs="Segoe UI"/>
          <w:szCs w:val="19"/>
        </w:rPr>
        <w:t xml:space="preserve"> </w:t>
      </w:r>
      <w:r w:rsidRPr="00986434">
        <w:rPr>
          <w:rFonts w:cs="Segoe UI"/>
          <w:szCs w:val="19"/>
        </w:rPr>
        <w:t>advice from lawyers who usually have no background in native title and PBCs</w:t>
      </w:r>
      <w:r>
        <w:rPr>
          <w:rFonts w:cs="Segoe UI"/>
          <w:szCs w:val="19"/>
        </w:rPr>
        <w:t>.</w:t>
      </w:r>
      <w:r w:rsidRPr="0028405A">
        <w:rPr>
          <w:lang w:eastAsia="en-AU"/>
        </w:rPr>
        <w:t xml:space="preserve"> </w:t>
      </w:r>
      <w:r>
        <w:rPr>
          <w:lang w:eastAsia="en-AU"/>
        </w:rPr>
        <w:t>Senior KLC leaders were aware of these challenges and noted that solutions lay beyond their control.</w:t>
      </w:r>
    </w:p>
    <w:p w14:paraId="769AC9FA" w14:textId="77777777" w:rsidR="00282B82" w:rsidRDefault="00282B82" w:rsidP="00282B82">
      <w:pPr>
        <w:pStyle w:val="Heading4"/>
      </w:pPr>
      <w:r w:rsidRPr="00BF2584">
        <w:t>Percentage of PBCs/RNTBCs supported by the NTRB-SP who have had intervention from ORIC or other regulator</w:t>
      </w:r>
    </w:p>
    <w:p w14:paraId="2B4377C1" w14:textId="63155B09" w:rsidR="00282B82" w:rsidRPr="007F0DF0" w:rsidRDefault="00282B82" w:rsidP="00282B82">
      <w:pPr>
        <w:rPr>
          <w:rFonts w:ascii="Segoe UI Semibold" w:hAnsi="Segoe UI Semibold"/>
          <w:b/>
          <w:i/>
          <w:color w:val="00264D" w:themeColor="background2"/>
          <w:sz w:val="22"/>
        </w:rPr>
      </w:pPr>
      <w:r w:rsidRPr="00363006">
        <w:t xml:space="preserve">None of the KLC’s client PBCs required formal intervention </w:t>
      </w:r>
      <w:r w:rsidR="00131A4C">
        <w:t xml:space="preserve">from ORIC </w:t>
      </w:r>
      <w:r w:rsidRPr="00363006">
        <w:t xml:space="preserve">during the Review </w:t>
      </w:r>
      <w:r w:rsidRPr="007F0DF0">
        <w:t>period.</w:t>
      </w:r>
      <w:r>
        <w:t xml:space="preserve"> This suggests that while some PBCs would like further support from the KLC, the services provided did at a minimum result in them remaining compliant.</w:t>
      </w:r>
    </w:p>
    <w:p w14:paraId="7CEBD0DA" w14:textId="77777777" w:rsidR="00542E91" w:rsidRPr="00BF2584" w:rsidRDefault="00542E91" w:rsidP="00542E91">
      <w:pPr>
        <w:keepNext/>
        <w:spacing w:before="240" w:after="60"/>
        <w:outlineLvl w:val="3"/>
        <w:rPr>
          <w:rFonts w:ascii="Segoe UI Semibold" w:eastAsia="Times New Roman" w:hAnsi="Segoe UI Semibold" w:cs="Times New Roman"/>
          <w:color w:val="00264D" w:themeColor="background2"/>
          <w:sz w:val="22"/>
          <w:szCs w:val="19"/>
          <w:lang w:eastAsia="en-AU"/>
        </w:rPr>
      </w:pPr>
      <w:r w:rsidRPr="00BF2584">
        <w:rPr>
          <w:rFonts w:ascii="Segoe UI Semibold" w:eastAsia="Times New Roman" w:hAnsi="Segoe UI Semibold" w:cs="Times New Roman"/>
          <w:color w:val="00264D" w:themeColor="background2"/>
          <w:sz w:val="22"/>
          <w:szCs w:val="19"/>
          <w:lang w:eastAsia="en-AU"/>
        </w:rPr>
        <w:t>Progress towards self-sufficiency for PBCs/RNTBCs supported by the NTRB-SP</w:t>
      </w:r>
    </w:p>
    <w:p w14:paraId="7DB831E1" w14:textId="56A64A4B" w:rsidR="00542E91" w:rsidRPr="00965934" w:rsidRDefault="00131A4C" w:rsidP="00542E91">
      <w:pPr>
        <w:pStyle w:val="Heading5"/>
        <w:rPr>
          <w:rFonts w:eastAsiaTheme="majorEastAsia"/>
        </w:rPr>
      </w:pPr>
      <w:r>
        <w:rPr>
          <w:rFonts w:eastAsiaTheme="majorEastAsia"/>
        </w:rPr>
        <w:t xml:space="preserve">The </w:t>
      </w:r>
      <w:r w:rsidR="00542E91" w:rsidRPr="00965934">
        <w:rPr>
          <w:rFonts w:eastAsiaTheme="majorEastAsia"/>
        </w:rPr>
        <w:t>KLC provided support to 2</w:t>
      </w:r>
      <w:r w:rsidR="00542E91">
        <w:rPr>
          <w:rFonts w:eastAsiaTheme="majorEastAsia"/>
        </w:rPr>
        <w:t>9</w:t>
      </w:r>
      <w:r w:rsidR="00542E91" w:rsidRPr="00965934">
        <w:rPr>
          <w:rFonts w:eastAsiaTheme="majorEastAsia"/>
        </w:rPr>
        <w:t xml:space="preserve"> of the </w:t>
      </w:r>
      <w:r w:rsidR="00542E91">
        <w:rPr>
          <w:rFonts w:eastAsiaTheme="majorEastAsia"/>
        </w:rPr>
        <w:t>31</w:t>
      </w:r>
      <w:r w:rsidR="00542E91" w:rsidRPr="00965934">
        <w:rPr>
          <w:rFonts w:eastAsiaTheme="majorEastAsia"/>
        </w:rPr>
        <w:t xml:space="preserve"> PBCs in </w:t>
      </w:r>
      <w:r w:rsidR="00542E91">
        <w:rPr>
          <w:rFonts w:eastAsiaTheme="majorEastAsia"/>
        </w:rPr>
        <w:t>its</w:t>
      </w:r>
      <w:r w:rsidR="00542E91" w:rsidRPr="00965934">
        <w:rPr>
          <w:rFonts w:eastAsiaTheme="majorEastAsia"/>
        </w:rPr>
        <w:t xml:space="preserve"> RATSIB area</w:t>
      </w:r>
    </w:p>
    <w:p w14:paraId="1E5E7A27" w14:textId="712DF478" w:rsidR="00542E91" w:rsidRPr="00BF2584" w:rsidRDefault="00542E91" w:rsidP="00542E91">
      <w:pPr>
        <w:rPr>
          <w:lang w:eastAsia="en-AU"/>
        </w:rPr>
      </w:pPr>
      <w:r>
        <w:rPr>
          <w:lang w:eastAsia="en-AU"/>
        </w:rPr>
        <w:t xml:space="preserve">Of the 31 PBCs that </w:t>
      </w:r>
      <w:r w:rsidR="00131A4C">
        <w:rPr>
          <w:lang w:eastAsia="en-AU"/>
        </w:rPr>
        <w:t xml:space="preserve">the </w:t>
      </w:r>
      <w:r>
        <w:rPr>
          <w:lang w:eastAsia="en-AU"/>
        </w:rPr>
        <w:t>KLC supports, most rel</w:t>
      </w:r>
      <w:r w:rsidR="00CA7C3D">
        <w:rPr>
          <w:lang w:eastAsia="en-AU"/>
        </w:rPr>
        <w:t>ied</w:t>
      </w:r>
      <w:r>
        <w:rPr>
          <w:lang w:eastAsia="en-AU"/>
        </w:rPr>
        <w:t xml:space="preserve"> on</w:t>
      </w:r>
      <w:r w:rsidR="00131A4C">
        <w:rPr>
          <w:lang w:eastAsia="en-AU"/>
        </w:rPr>
        <w:t xml:space="preserve"> the</w:t>
      </w:r>
      <w:r>
        <w:rPr>
          <w:lang w:eastAsia="en-AU"/>
        </w:rPr>
        <w:t xml:space="preserve"> KLC for basic support funding. Other service providers such as Paperbark Corporation Services </w:t>
      </w:r>
      <w:r w:rsidR="00E95CBC">
        <w:rPr>
          <w:lang w:eastAsia="en-AU"/>
        </w:rPr>
        <w:t xml:space="preserve">were </w:t>
      </w:r>
      <w:r>
        <w:rPr>
          <w:lang w:eastAsia="en-AU"/>
        </w:rPr>
        <w:t xml:space="preserve">involved in providing fee-for-service support for some of the PBCs across the region. </w:t>
      </w:r>
    </w:p>
    <w:p w14:paraId="2980F5EC" w14:textId="77777777" w:rsidR="00542E91" w:rsidRPr="00BF2584" w:rsidRDefault="00542E91" w:rsidP="00542E91">
      <w:pPr>
        <w:rPr>
          <w:lang w:eastAsia="en-AU"/>
        </w:rPr>
      </w:pPr>
      <w:r>
        <w:rPr>
          <w:lang w:eastAsia="en-AU"/>
        </w:rPr>
        <w:t xml:space="preserve">The KLC described its role in supporting PBCs as </w:t>
      </w:r>
      <w:r w:rsidRPr="00BF2584">
        <w:rPr>
          <w:lang w:eastAsia="en-AU"/>
        </w:rPr>
        <w:t xml:space="preserve">to </w:t>
      </w:r>
      <w:r>
        <w:rPr>
          <w:lang w:eastAsia="en-AU"/>
        </w:rPr>
        <w:t>“</w:t>
      </w:r>
      <w:r w:rsidRPr="00BF2584">
        <w:rPr>
          <w:lang w:eastAsia="en-AU"/>
        </w:rPr>
        <w:t>expand [PBC] capacity and capability, as well as economic development opportunities and activities</w:t>
      </w:r>
      <w:r>
        <w:rPr>
          <w:lang w:eastAsia="en-AU"/>
        </w:rPr>
        <w:t>”</w:t>
      </w:r>
      <w:r>
        <w:rPr>
          <w:rStyle w:val="FootnoteReference"/>
          <w:lang w:eastAsia="en-AU"/>
        </w:rPr>
        <w:footnoteReference w:id="37"/>
      </w:r>
      <w:r w:rsidRPr="00BF2584">
        <w:rPr>
          <w:lang w:eastAsia="en-AU"/>
        </w:rPr>
        <w:t>.</w:t>
      </w:r>
      <w:r>
        <w:rPr>
          <w:lang w:eastAsia="en-AU"/>
        </w:rPr>
        <w:t xml:space="preserve"> This involves the provision of </w:t>
      </w:r>
      <w:r w:rsidRPr="00BF2584">
        <w:rPr>
          <w:lang w:eastAsia="en-AU"/>
        </w:rPr>
        <w:t>the following services:</w:t>
      </w:r>
    </w:p>
    <w:p w14:paraId="53672AB6" w14:textId="77777777" w:rsidR="00542E91" w:rsidRPr="00BF2584" w:rsidRDefault="00542E91" w:rsidP="00542E91">
      <w:pPr>
        <w:pStyle w:val="Bullet"/>
      </w:pPr>
      <w:r w:rsidRPr="00BF2584">
        <w:t>meeting support</w:t>
      </w:r>
    </w:p>
    <w:p w14:paraId="37DE6900" w14:textId="77777777" w:rsidR="00542E91" w:rsidRPr="00BF2584" w:rsidRDefault="00542E91" w:rsidP="00542E91">
      <w:pPr>
        <w:pStyle w:val="Bullet"/>
      </w:pPr>
      <w:r w:rsidRPr="00BF2584">
        <w:t>financial support</w:t>
      </w:r>
    </w:p>
    <w:p w14:paraId="6A6EF984" w14:textId="77777777" w:rsidR="00542E91" w:rsidRPr="00BF2584" w:rsidRDefault="00542E91" w:rsidP="00542E91">
      <w:pPr>
        <w:pStyle w:val="Bullet"/>
      </w:pPr>
      <w:r w:rsidRPr="00BF2584">
        <w:t>expert advice</w:t>
      </w:r>
      <w:r>
        <w:t xml:space="preserve"> on a range of matters</w:t>
      </w:r>
    </w:p>
    <w:p w14:paraId="3E6738F6" w14:textId="77777777" w:rsidR="00542E91" w:rsidRPr="00BF2584" w:rsidRDefault="00542E91" w:rsidP="00542E91">
      <w:pPr>
        <w:pStyle w:val="Bullet"/>
      </w:pPr>
      <w:r w:rsidRPr="00BF2584">
        <w:t>governance and compliance</w:t>
      </w:r>
    </w:p>
    <w:p w14:paraId="19010073" w14:textId="77777777" w:rsidR="00542E91" w:rsidRPr="00BF2584" w:rsidRDefault="00542E91" w:rsidP="00542E91">
      <w:pPr>
        <w:pStyle w:val="Bullet"/>
      </w:pPr>
      <w:r w:rsidRPr="00BF2584">
        <w:t>administrative assistance</w:t>
      </w:r>
    </w:p>
    <w:p w14:paraId="567AEF67" w14:textId="77777777" w:rsidR="00542E91" w:rsidRPr="00BF2584" w:rsidRDefault="00542E91" w:rsidP="00542E91">
      <w:pPr>
        <w:pStyle w:val="Bullet"/>
      </w:pPr>
      <w:r w:rsidRPr="00BF2584">
        <w:t>skills training</w:t>
      </w:r>
    </w:p>
    <w:p w14:paraId="453F2207" w14:textId="06C72A15" w:rsidR="00542E91" w:rsidRDefault="00374279" w:rsidP="00542E91">
      <w:pPr>
        <w:pStyle w:val="Bullet"/>
      </w:pPr>
      <w:r w:rsidRPr="00374279">
        <w:t>legal representation – primarily with governance support and responses to FAN</w:t>
      </w:r>
      <w:r w:rsidR="00131A4C">
        <w:t>s</w:t>
      </w:r>
      <w:r>
        <w:t>.</w:t>
      </w:r>
    </w:p>
    <w:p w14:paraId="220937B1" w14:textId="017E1B34" w:rsidR="00542E91" w:rsidRDefault="00542E91" w:rsidP="00542E91">
      <w:pPr>
        <w:rPr>
          <w:lang w:eastAsia="en-AU"/>
        </w:rPr>
      </w:pPr>
      <w:r w:rsidRPr="00792D02">
        <w:t>The KLC consistently provide</w:t>
      </w:r>
      <w:r w:rsidR="00CA7C3D">
        <w:t>d</w:t>
      </w:r>
      <w:r w:rsidRPr="00792D02">
        <w:t xml:space="preserve"> support to PBCs involved with development proposals in the negotiation of ILUAs. More detail on this is </w:t>
      </w:r>
      <w:r>
        <w:t xml:space="preserve">provided under </w:t>
      </w:r>
      <w:r w:rsidRPr="00792D02">
        <w:t>TOR 1. In future</w:t>
      </w:r>
      <w:r>
        <w:t>,</w:t>
      </w:r>
      <w:r w:rsidRPr="00792D02">
        <w:t xml:space="preserve"> compensation claims are also likely to benefit PBC members</w:t>
      </w:r>
      <w:r>
        <w:t>.</w:t>
      </w:r>
      <w:r w:rsidRPr="00792D02">
        <w:t xml:space="preserve"> </w:t>
      </w:r>
    </w:p>
    <w:p w14:paraId="56AA5046" w14:textId="77777777" w:rsidR="00542E91" w:rsidRPr="00057121" w:rsidRDefault="00542E91" w:rsidP="00542E91">
      <w:pPr>
        <w:pStyle w:val="Heading5"/>
        <w:rPr>
          <w:b w:val="0"/>
          <w:szCs w:val="20"/>
        </w:rPr>
      </w:pPr>
      <w:r w:rsidRPr="00057121">
        <w:t xml:space="preserve">The </w:t>
      </w:r>
      <w:r>
        <w:t>NTSU</w:t>
      </w:r>
      <w:r w:rsidRPr="00057121">
        <w:t xml:space="preserve"> </w:t>
      </w:r>
      <w:r>
        <w:rPr>
          <w:szCs w:val="20"/>
        </w:rPr>
        <w:t>was the primary vehicle for support to PBCs across the region</w:t>
      </w:r>
    </w:p>
    <w:p w14:paraId="5ED67880" w14:textId="3A109E20" w:rsidR="00542E91" w:rsidRDefault="00542E91" w:rsidP="00542E91">
      <w:pPr>
        <w:rPr>
          <w:lang w:eastAsia="en-AU"/>
        </w:rPr>
      </w:pPr>
      <w:r w:rsidRPr="00BF2584">
        <w:rPr>
          <w:lang w:eastAsia="en-AU"/>
        </w:rPr>
        <w:t xml:space="preserve">Within the KLC, PBCs </w:t>
      </w:r>
      <w:r w:rsidR="00DD2227">
        <w:rPr>
          <w:lang w:eastAsia="en-AU"/>
        </w:rPr>
        <w:t>were</w:t>
      </w:r>
      <w:r w:rsidR="00DD2227" w:rsidRPr="00BF2584">
        <w:rPr>
          <w:lang w:eastAsia="en-AU"/>
        </w:rPr>
        <w:t xml:space="preserve"> </w:t>
      </w:r>
      <w:r w:rsidRPr="00BF2584">
        <w:rPr>
          <w:lang w:eastAsia="en-AU"/>
        </w:rPr>
        <w:t xml:space="preserve">primarily assisted through the NTSU. </w:t>
      </w:r>
      <w:r>
        <w:rPr>
          <w:lang w:eastAsia="en-AU"/>
        </w:rPr>
        <w:t>This include</w:t>
      </w:r>
      <w:r w:rsidR="00DD2227">
        <w:rPr>
          <w:lang w:eastAsia="en-AU"/>
        </w:rPr>
        <w:t>d</w:t>
      </w:r>
      <w:r>
        <w:rPr>
          <w:lang w:eastAsia="en-AU"/>
        </w:rPr>
        <w:t xml:space="preserve"> five NTSU positions based in the Kununurra office (largely vacant during the Review period) who look</w:t>
      </w:r>
      <w:r w:rsidR="006422DB">
        <w:rPr>
          <w:lang w:eastAsia="en-AU"/>
        </w:rPr>
        <w:t xml:space="preserve">ed </w:t>
      </w:r>
      <w:r>
        <w:rPr>
          <w:lang w:eastAsia="en-AU"/>
        </w:rPr>
        <w:t xml:space="preserve">after eight PBCs in the East Kimberley region and seven NTSU positions based in the Broome office looking after the remaining 18 </w:t>
      </w:r>
      <w:r>
        <w:rPr>
          <w:lang w:eastAsia="en-AU"/>
        </w:rPr>
        <w:lastRenderedPageBreak/>
        <w:t xml:space="preserve">PBCs in the West Kimberley region. Staff in the Broome office </w:t>
      </w:r>
      <w:r w:rsidR="00A85B72">
        <w:rPr>
          <w:lang w:eastAsia="en-AU"/>
        </w:rPr>
        <w:t xml:space="preserve">were </w:t>
      </w:r>
      <w:r>
        <w:rPr>
          <w:lang w:eastAsia="en-AU"/>
        </w:rPr>
        <w:t>also responsible for responding to FANs.</w:t>
      </w:r>
      <w:r w:rsidDel="00DD3426">
        <w:rPr>
          <w:lang w:eastAsia="en-AU"/>
        </w:rPr>
        <w:t xml:space="preserve"> </w:t>
      </w:r>
    </w:p>
    <w:p w14:paraId="64D9B5FE" w14:textId="77777777" w:rsidR="00542E91" w:rsidRDefault="00542E91" w:rsidP="00542E91">
      <w:r>
        <w:t xml:space="preserve">Throughout the Review period, </w:t>
      </w:r>
      <w:r w:rsidRPr="00BF2584">
        <w:rPr>
          <w:lang w:eastAsia="en-AU"/>
        </w:rPr>
        <w:t>NTSU</w:t>
      </w:r>
      <w:r>
        <w:t xml:space="preserve"> consisted of the following positions:</w:t>
      </w:r>
    </w:p>
    <w:p w14:paraId="0F27B5E8" w14:textId="77777777" w:rsidR="00542E91" w:rsidRPr="00BF2584" w:rsidRDefault="00542E91" w:rsidP="00542E91">
      <w:pPr>
        <w:pStyle w:val="Bullet"/>
      </w:pPr>
      <w:r w:rsidRPr="00166BF4">
        <w:rPr>
          <w:rFonts w:asciiTheme="majorHAnsi" w:hAnsiTheme="majorHAnsi" w:cstheme="majorHAnsi"/>
        </w:rPr>
        <w:t>Native Title Service Manager</w:t>
      </w:r>
      <w:r w:rsidRPr="00BF2584">
        <w:t xml:space="preserve"> </w:t>
      </w:r>
      <w:r>
        <w:t>|</w:t>
      </w:r>
      <w:r w:rsidRPr="00BF2584">
        <w:t xml:space="preserve"> Provide</w:t>
      </w:r>
      <w:r>
        <w:t>d</w:t>
      </w:r>
      <w:r w:rsidRPr="00BF2584">
        <w:t xml:space="preserve"> oversight</w:t>
      </w:r>
      <w:r>
        <w:t xml:space="preserve"> and direction</w:t>
      </w:r>
      <w:r w:rsidRPr="00BF2584">
        <w:t xml:space="preserve"> for the operations of the whole unit</w:t>
      </w:r>
      <w:r>
        <w:t>.</w:t>
      </w:r>
    </w:p>
    <w:p w14:paraId="017A3697" w14:textId="4E559347" w:rsidR="00542E91" w:rsidRPr="00BF2584" w:rsidRDefault="00542E91" w:rsidP="00542E91">
      <w:pPr>
        <w:pStyle w:val="Bullet"/>
      </w:pPr>
      <w:r w:rsidRPr="00166BF4">
        <w:rPr>
          <w:rFonts w:asciiTheme="majorHAnsi" w:hAnsiTheme="majorHAnsi" w:cstheme="majorHAnsi"/>
        </w:rPr>
        <w:t>Region Managers</w:t>
      </w:r>
      <w:r w:rsidRPr="00BF2584">
        <w:t xml:space="preserve"> </w:t>
      </w:r>
      <w:r>
        <w:t>|</w:t>
      </w:r>
      <w:r w:rsidRPr="00BF2584">
        <w:t xml:space="preserve"> There </w:t>
      </w:r>
      <w:r w:rsidR="00A85B72">
        <w:t>was</w:t>
      </w:r>
      <w:r w:rsidR="00A85B72" w:rsidRPr="00BF2584">
        <w:t xml:space="preserve"> </w:t>
      </w:r>
      <w:r w:rsidRPr="00BF2584">
        <w:t>one Region Manager for the West Kimberley and one for the East Kimberley, who overs</w:t>
      </w:r>
      <w:r w:rsidR="00A85B72">
        <w:t>aw</w:t>
      </w:r>
      <w:r w:rsidRPr="00BF2584">
        <w:t xml:space="preserve"> PBC support operations of KLC offices in their respective locations.</w:t>
      </w:r>
    </w:p>
    <w:p w14:paraId="488CDFE6" w14:textId="04BA87DE" w:rsidR="00542E91" w:rsidRDefault="00542E91" w:rsidP="00542E91">
      <w:pPr>
        <w:pStyle w:val="Bullet"/>
      </w:pPr>
      <w:r w:rsidRPr="00166BF4">
        <w:rPr>
          <w:rFonts w:asciiTheme="majorHAnsi" w:hAnsiTheme="majorHAnsi" w:cstheme="majorHAnsi"/>
        </w:rPr>
        <w:t>(Senior) Project Officers</w:t>
      </w:r>
      <w:r w:rsidRPr="00BF2584">
        <w:t xml:space="preserve"> </w:t>
      </w:r>
      <w:r>
        <w:t>|</w:t>
      </w:r>
      <w:r w:rsidRPr="00BF2584">
        <w:t xml:space="preserve"> Conduct</w:t>
      </w:r>
      <w:r w:rsidR="00A85B72">
        <w:t>ed</w:t>
      </w:r>
      <w:r w:rsidRPr="00BF2584">
        <w:t xml:space="preserve"> PBC-related compliance and governance support for client PBCs.</w:t>
      </w:r>
    </w:p>
    <w:p w14:paraId="5F76585D" w14:textId="1F6C7F59" w:rsidR="00542E91" w:rsidRDefault="00542E91" w:rsidP="00542E91">
      <w:pPr>
        <w:pStyle w:val="Bullet"/>
      </w:pPr>
      <w:r w:rsidRPr="00166BF4">
        <w:rPr>
          <w:rFonts w:asciiTheme="majorHAnsi" w:hAnsiTheme="majorHAnsi" w:cstheme="majorHAnsi"/>
        </w:rPr>
        <w:t>Project Support Officers</w:t>
      </w:r>
      <w:r>
        <w:t xml:space="preserve"> | Provide</w:t>
      </w:r>
      <w:r w:rsidR="00A85B72">
        <w:t>d</w:t>
      </w:r>
      <w:r>
        <w:t xml:space="preserve"> administrative support to other NTSU staff.</w:t>
      </w:r>
    </w:p>
    <w:p w14:paraId="5A28DCF9" w14:textId="48D36E82" w:rsidR="00542E91" w:rsidRPr="00E542F0" w:rsidRDefault="00542E91" w:rsidP="00542E91">
      <w:pPr>
        <w:pStyle w:val="Bullet"/>
      </w:pPr>
      <w:r w:rsidRPr="75CE137A">
        <w:rPr>
          <w:rFonts w:asciiTheme="majorHAnsi" w:hAnsiTheme="majorHAnsi" w:cstheme="majorBidi"/>
        </w:rPr>
        <w:t>Field Officers</w:t>
      </w:r>
      <w:r>
        <w:t xml:space="preserve"> | Act</w:t>
      </w:r>
      <w:r w:rsidR="00A85B72">
        <w:t>ed</w:t>
      </w:r>
      <w:r>
        <w:t xml:space="preserve"> as liaison between Traditional Owners and </w:t>
      </w:r>
      <w:r w:rsidRPr="75CE137A">
        <w:t>KLC</w:t>
      </w:r>
      <w:r>
        <w:t xml:space="preserve">, engaging frequently with Traditional Owners in Eastern Kimberley or Western Kimberley. </w:t>
      </w:r>
    </w:p>
    <w:p w14:paraId="6CB21997" w14:textId="4DEF8A1F" w:rsidR="00542E91" w:rsidRPr="00BF2584" w:rsidRDefault="00542E91" w:rsidP="00542E91">
      <w:pPr>
        <w:rPr>
          <w:lang w:eastAsia="en-AU"/>
        </w:rPr>
      </w:pPr>
      <w:r>
        <w:rPr>
          <w:lang w:eastAsia="en-AU"/>
        </w:rPr>
        <w:t>There were also two Future Act positions that deal</w:t>
      </w:r>
      <w:r w:rsidR="00A85B72">
        <w:rPr>
          <w:lang w:eastAsia="en-AU"/>
        </w:rPr>
        <w:t>t</w:t>
      </w:r>
      <w:r>
        <w:rPr>
          <w:lang w:eastAsia="en-AU"/>
        </w:rPr>
        <w:t xml:space="preserve"> extensively with PBCs. These</w:t>
      </w:r>
      <w:r w:rsidDel="00A85B72">
        <w:rPr>
          <w:lang w:eastAsia="en-AU"/>
        </w:rPr>
        <w:t xml:space="preserve"> </w:t>
      </w:r>
      <w:r w:rsidR="00A85B72">
        <w:rPr>
          <w:lang w:eastAsia="en-AU"/>
        </w:rPr>
        <w:t xml:space="preserve">were </w:t>
      </w:r>
      <w:r>
        <w:rPr>
          <w:lang w:eastAsia="en-AU"/>
        </w:rPr>
        <w:t>the Future Acts Officer and the Future Acts Administration Support role</w:t>
      </w:r>
      <w:r w:rsidR="00A85B72">
        <w:rPr>
          <w:lang w:eastAsia="en-AU"/>
        </w:rPr>
        <w:t>s</w:t>
      </w:r>
      <w:r>
        <w:rPr>
          <w:lang w:eastAsia="en-AU"/>
        </w:rPr>
        <w:t>. The KLC reported that support for PBCs comprise</w:t>
      </w:r>
      <w:r w:rsidR="00A85B72">
        <w:rPr>
          <w:lang w:eastAsia="en-AU"/>
        </w:rPr>
        <w:t>d</w:t>
      </w:r>
      <w:r>
        <w:rPr>
          <w:lang w:eastAsia="en-AU"/>
        </w:rPr>
        <w:t xml:space="preserve"> approximately </w:t>
      </w:r>
      <w:r w:rsidRPr="00BF2584">
        <w:rPr>
          <w:lang w:eastAsia="en-AU"/>
        </w:rPr>
        <w:t>6</w:t>
      </w:r>
      <w:r>
        <w:rPr>
          <w:lang w:eastAsia="en-AU"/>
        </w:rPr>
        <w:t>0 per cent</w:t>
      </w:r>
      <w:r w:rsidRPr="00BF2584">
        <w:rPr>
          <w:lang w:eastAsia="en-AU"/>
        </w:rPr>
        <w:t xml:space="preserve"> of the work</w:t>
      </w:r>
      <w:r>
        <w:rPr>
          <w:lang w:eastAsia="en-AU"/>
        </w:rPr>
        <w:t xml:space="preserve"> of the NTSU.</w:t>
      </w:r>
      <w:r>
        <w:rPr>
          <w:rStyle w:val="FootnoteReference"/>
          <w:lang w:eastAsia="en-AU"/>
        </w:rPr>
        <w:footnoteReference w:id="38"/>
      </w:r>
      <w:r>
        <w:rPr>
          <w:lang w:eastAsia="en-AU"/>
        </w:rPr>
        <w:t xml:space="preserve"> </w:t>
      </w:r>
    </w:p>
    <w:p w14:paraId="078CAD98" w14:textId="77777777" w:rsidR="00542E91" w:rsidRPr="00BF2584" w:rsidRDefault="00542E91" w:rsidP="00542E91">
      <w:pPr>
        <w:pStyle w:val="Heading5"/>
        <w:rPr>
          <w:b w:val="0"/>
        </w:rPr>
      </w:pPr>
      <w:r w:rsidRPr="00BF2584">
        <w:t xml:space="preserve">Consistent PBC self-sufficiency development has been limited given NTSU staff </w:t>
      </w:r>
      <w:r>
        <w:t>shortages</w:t>
      </w:r>
      <w:r w:rsidRPr="00BF2584">
        <w:t xml:space="preserve"> and funding constraints</w:t>
      </w:r>
    </w:p>
    <w:p w14:paraId="3AEC5DE3" w14:textId="506707F4" w:rsidR="00542E91" w:rsidRDefault="00542E91" w:rsidP="00542E91">
      <w:pPr>
        <w:rPr>
          <w:lang w:eastAsia="en-AU"/>
        </w:rPr>
      </w:pPr>
      <w:r w:rsidRPr="00BF2584">
        <w:rPr>
          <w:lang w:eastAsia="en-AU"/>
        </w:rPr>
        <w:t xml:space="preserve">KLC staff </w:t>
      </w:r>
      <w:r>
        <w:rPr>
          <w:lang w:eastAsia="en-AU"/>
        </w:rPr>
        <w:t>who</w:t>
      </w:r>
      <w:r w:rsidRPr="00BF2584">
        <w:rPr>
          <w:lang w:eastAsia="en-AU"/>
        </w:rPr>
        <w:t xml:space="preserve"> spoke to the Review </w:t>
      </w:r>
      <w:r>
        <w:rPr>
          <w:lang w:eastAsia="en-AU"/>
        </w:rPr>
        <w:t>reported</w:t>
      </w:r>
      <w:r w:rsidRPr="00BF2584">
        <w:rPr>
          <w:lang w:eastAsia="en-AU"/>
        </w:rPr>
        <w:t xml:space="preserve"> a </w:t>
      </w:r>
      <w:r>
        <w:rPr>
          <w:lang w:eastAsia="en-AU"/>
        </w:rPr>
        <w:t>shortage</w:t>
      </w:r>
      <w:r w:rsidRPr="00BF2584">
        <w:rPr>
          <w:lang w:eastAsia="en-AU"/>
        </w:rPr>
        <w:t xml:space="preserve"> of staff in the </w:t>
      </w:r>
      <w:r>
        <w:rPr>
          <w:lang w:eastAsia="en-AU"/>
        </w:rPr>
        <w:t xml:space="preserve">NTSU </w:t>
      </w:r>
      <w:r w:rsidR="000C387E">
        <w:rPr>
          <w:lang w:eastAsia="en-AU"/>
        </w:rPr>
        <w:t>and</w:t>
      </w:r>
      <w:r w:rsidRPr="00BF2584">
        <w:rPr>
          <w:lang w:eastAsia="en-AU"/>
        </w:rPr>
        <w:t xml:space="preserve"> limited PBC support funding as barriers to a consistent PBC development approach.</w:t>
      </w:r>
    </w:p>
    <w:p w14:paraId="18DA93C0" w14:textId="77777777" w:rsidR="00542E91" w:rsidRDefault="00542E91" w:rsidP="00542E91">
      <w:pPr>
        <w:rPr>
          <w:lang w:eastAsia="en-AU"/>
        </w:rPr>
      </w:pPr>
      <w:r>
        <w:rPr>
          <w:lang w:eastAsia="en-AU"/>
        </w:rPr>
        <w:t>The East Kimberley NTSU based in Kununurra was severely restricted during the Review period, with th</w:t>
      </w:r>
      <w:r>
        <w:t>e Kununurra office significantly under-staffed. Since the Review period the KLC has been working to recruit five new staff to the Kununurra office.</w:t>
      </w:r>
      <w:r>
        <w:rPr>
          <w:lang w:eastAsia="en-AU"/>
        </w:rPr>
        <w:t xml:space="preserve"> </w:t>
      </w:r>
    </w:p>
    <w:p w14:paraId="1462EEC4" w14:textId="5E653767" w:rsidR="00542E91" w:rsidRPr="00BF2584" w:rsidRDefault="00542E91" w:rsidP="00542E91">
      <w:r>
        <w:rPr>
          <w:lang w:eastAsia="en-AU"/>
        </w:rPr>
        <w:t>NTSU</w:t>
      </w:r>
      <w:r w:rsidRPr="00BF2584">
        <w:rPr>
          <w:lang w:eastAsia="en-AU"/>
        </w:rPr>
        <w:t xml:space="preserve"> staff </w:t>
      </w:r>
      <w:r>
        <w:rPr>
          <w:lang w:eastAsia="en-AU"/>
        </w:rPr>
        <w:t>noted</w:t>
      </w:r>
      <w:r w:rsidRPr="00BF2584">
        <w:rPr>
          <w:lang w:eastAsia="en-AU"/>
        </w:rPr>
        <w:t xml:space="preserve"> that </w:t>
      </w:r>
      <w:r w:rsidRPr="00BF2584">
        <w:t>they ha</w:t>
      </w:r>
      <w:r>
        <w:t>d</w:t>
      </w:r>
      <w:r w:rsidRPr="00BF2584">
        <w:t xml:space="preserve"> been actively seeking out </w:t>
      </w:r>
      <w:r>
        <w:t>external assistance</w:t>
      </w:r>
      <w:r w:rsidRPr="00BF2584">
        <w:t xml:space="preserve"> for PBCs so that PBCs </w:t>
      </w:r>
      <w:r w:rsidR="00A637F9">
        <w:t xml:space="preserve">could </w:t>
      </w:r>
      <w:r w:rsidRPr="00BF2584">
        <w:t>develop their own strategic plans</w:t>
      </w:r>
      <w:r>
        <w:t xml:space="preserve"> and increase</w:t>
      </w:r>
      <w:r w:rsidRPr="00BF2584">
        <w:t xml:space="preserve"> internal PBC capability. </w:t>
      </w:r>
    </w:p>
    <w:p w14:paraId="326E89A7" w14:textId="27F2131A" w:rsidR="00542E91" w:rsidRDefault="00542E91" w:rsidP="00542E91">
      <w:r w:rsidRPr="00EF3D9D">
        <w:t>Assisting PBCs to manage their governance and statutory functions remained</w:t>
      </w:r>
      <w:r>
        <w:t xml:space="preserve"> </w:t>
      </w:r>
      <w:r w:rsidRPr="007D7B43">
        <w:t>a core body of work for NTRB</w:t>
      </w:r>
      <w:r w:rsidR="00A56361">
        <w:t>-SP</w:t>
      </w:r>
      <w:r w:rsidRPr="007D7B43">
        <w:t>s, to ensure compliance with ORIC regulatory requirements. In the post-Review period, the KLC is looking to create two Governance Officer positions to focus on supporting PBCs to remain compliant. The Governance Officer roles will also act as a point of contact with ORIC for East and West Kimberley, respectively.</w:t>
      </w:r>
    </w:p>
    <w:p w14:paraId="55A3AB33" w14:textId="77777777" w:rsidR="00542E91" w:rsidRPr="00BF2584" w:rsidRDefault="00542E91" w:rsidP="00542E91">
      <w:pPr>
        <w:pStyle w:val="Heading5"/>
        <w:rPr>
          <w:b w:val="0"/>
        </w:rPr>
      </w:pPr>
      <w:r w:rsidRPr="00BF2584">
        <w:t xml:space="preserve">PBC Director awareness of responsibilities </w:t>
      </w:r>
      <w:r>
        <w:t>was</w:t>
      </w:r>
      <w:r w:rsidRPr="00BF2584">
        <w:t xml:space="preserve"> generally appropriate, </w:t>
      </w:r>
      <w:r>
        <w:t>al</w:t>
      </w:r>
      <w:r w:rsidRPr="00BF2584">
        <w:t xml:space="preserve">though </w:t>
      </w:r>
      <w:r>
        <w:t xml:space="preserve">some PBCs sought more help with </w:t>
      </w:r>
      <w:r w:rsidRPr="00BF2584">
        <w:t>legislative changes</w:t>
      </w:r>
    </w:p>
    <w:p w14:paraId="02EBB413" w14:textId="3B66E95F" w:rsidR="00542E91" w:rsidRDefault="00542E91" w:rsidP="00542E91">
      <w:pPr>
        <w:rPr>
          <w:lang w:eastAsia="en-AU"/>
        </w:rPr>
      </w:pPr>
      <w:r w:rsidRPr="00BF2584">
        <w:rPr>
          <w:lang w:eastAsia="en-AU"/>
        </w:rPr>
        <w:t xml:space="preserve">PBC Directors who spoke to the Review were generally aware of their responsibilities as a Director under the </w:t>
      </w:r>
      <w:r w:rsidRPr="002C4C27">
        <w:rPr>
          <w:lang w:eastAsia="en-AU"/>
        </w:rPr>
        <w:t>CATSI ACT</w:t>
      </w:r>
      <w:r w:rsidRPr="00621A0E">
        <w:rPr>
          <w:lang w:eastAsia="en-AU"/>
        </w:rPr>
        <w:t xml:space="preserve"> </w:t>
      </w:r>
      <w:r w:rsidRPr="00BF2584">
        <w:rPr>
          <w:lang w:eastAsia="en-AU"/>
        </w:rPr>
        <w:t>and</w:t>
      </w:r>
      <w:r w:rsidRPr="005A77E2">
        <w:rPr>
          <w:lang w:eastAsia="en-AU"/>
        </w:rPr>
        <w:t xml:space="preserve"> NTA</w:t>
      </w:r>
      <w:r w:rsidRPr="00BF2584">
        <w:rPr>
          <w:lang w:eastAsia="en-AU"/>
        </w:rPr>
        <w:t xml:space="preserve">, and </w:t>
      </w:r>
      <w:r>
        <w:rPr>
          <w:lang w:eastAsia="en-AU"/>
        </w:rPr>
        <w:t xml:space="preserve">understood </w:t>
      </w:r>
      <w:r w:rsidRPr="00BF2584">
        <w:rPr>
          <w:lang w:eastAsia="en-AU"/>
        </w:rPr>
        <w:t>PBC regulations, their rule book and existing Future Act agreements.</w:t>
      </w:r>
      <w:r>
        <w:rPr>
          <w:lang w:eastAsia="en-AU"/>
        </w:rPr>
        <w:t xml:space="preserve"> </w:t>
      </w:r>
      <w:r w:rsidRPr="00BF2584">
        <w:rPr>
          <w:lang w:eastAsia="en-AU"/>
        </w:rPr>
        <w:t>With</w:t>
      </w:r>
      <w:r>
        <w:rPr>
          <w:lang w:eastAsia="en-AU"/>
        </w:rPr>
        <w:t xml:space="preserve"> the</w:t>
      </w:r>
      <w:r w:rsidRPr="00BF2584">
        <w:rPr>
          <w:lang w:eastAsia="en-AU"/>
        </w:rPr>
        <w:t xml:space="preserve"> Australian Government changes to the </w:t>
      </w:r>
      <w:r w:rsidRPr="002C4C27">
        <w:rPr>
          <w:lang w:eastAsia="en-AU"/>
        </w:rPr>
        <w:t>CATSI Act</w:t>
      </w:r>
      <w:r w:rsidRPr="00621A0E">
        <w:rPr>
          <w:lang w:eastAsia="en-AU"/>
        </w:rPr>
        <w:t xml:space="preserve"> </w:t>
      </w:r>
      <w:r w:rsidRPr="00BF2584">
        <w:rPr>
          <w:lang w:eastAsia="en-AU"/>
        </w:rPr>
        <w:t>and</w:t>
      </w:r>
      <w:r w:rsidRPr="005A77E2">
        <w:rPr>
          <w:lang w:eastAsia="en-AU"/>
        </w:rPr>
        <w:t xml:space="preserve"> NTA</w:t>
      </w:r>
      <w:r w:rsidRPr="00BF2584">
        <w:rPr>
          <w:lang w:eastAsia="en-AU"/>
        </w:rPr>
        <w:t xml:space="preserve"> in March of 2021, the KLC provided notice to </w:t>
      </w:r>
      <w:r>
        <w:rPr>
          <w:lang w:eastAsia="en-AU"/>
        </w:rPr>
        <w:t xml:space="preserve">PBCs </w:t>
      </w:r>
      <w:r w:rsidRPr="00BF2584">
        <w:rPr>
          <w:lang w:eastAsia="en-AU"/>
        </w:rPr>
        <w:t>that their rule books require</w:t>
      </w:r>
      <w:r w:rsidR="00621A0E">
        <w:rPr>
          <w:lang w:eastAsia="en-AU"/>
        </w:rPr>
        <w:t>d</w:t>
      </w:r>
      <w:r w:rsidRPr="00BF2584">
        <w:rPr>
          <w:lang w:eastAsia="en-AU"/>
        </w:rPr>
        <w:t xml:space="preserve"> chang</w:t>
      </w:r>
      <w:r w:rsidR="00621A0E">
        <w:rPr>
          <w:lang w:eastAsia="en-AU"/>
        </w:rPr>
        <w:t>ing</w:t>
      </w:r>
      <w:r w:rsidRPr="00BF2584">
        <w:rPr>
          <w:lang w:eastAsia="en-AU"/>
        </w:rPr>
        <w:t xml:space="preserve"> to be in line with the new requirements.</w:t>
      </w:r>
      <w:r>
        <w:rPr>
          <w:lang w:eastAsia="en-AU"/>
        </w:rPr>
        <w:t xml:space="preserve"> </w:t>
      </w:r>
      <w:r w:rsidR="004507A3" w:rsidRPr="004507A3">
        <w:rPr>
          <w:lang w:eastAsia="en-AU"/>
        </w:rPr>
        <w:t xml:space="preserve">Some Directors commented that they would </w:t>
      </w:r>
      <w:r w:rsidR="001413CB">
        <w:rPr>
          <w:lang w:eastAsia="en-AU"/>
        </w:rPr>
        <w:t xml:space="preserve">have </w:t>
      </w:r>
      <w:r w:rsidR="004507A3" w:rsidRPr="004507A3">
        <w:rPr>
          <w:lang w:eastAsia="en-AU"/>
        </w:rPr>
        <w:t>like</w:t>
      </w:r>
      <w:r w:rsidR="001413CB">
        <w:rPr>
          <w:lang w:eastAsia="en-AU"/>
        </w:rPr>
        <w:t>d</w:t>
      </w:r>
      <w:r w:rsidR="004507A3" w:rsidRPr="004507A3">
        <w:rPr>
          <w:lang w:eastAsia="en-AU"/>
        </w:rPr>
        <w:t xml:space="preserve"> additional help from the KLC to implement these ORIC requirements. KLC staff indicated that this assistance was provided to all </w:t>
      </w:r>
      <w:r w:rsidR="00F50D1F">
        <w:rPr>
          <w:lang w:eastAsia="en-AU"/>
        </w:rPr>
        <w:t xml:space="preserve">the </w:t>
      </w:r>
      <w:r w:rsidR="004507A3" w:rsidRPr="004507A3">
        <w:rPr>
          <w:lang w:eastAsia="en-AU"/>
        </w:rPr>
        <w:t>PBCs it had a general retainer with</w:t>
      </w:r>
      <w:r w:rsidR="00FF2671" w:rsidRPr="00FF2671">
        <w:rPr>
          <w:lang w:eastAsia="en-AU"/>
        </w:rPr>
        <w:t xml:space="preserve"> </w:t>
      </w:r>
      <w:r w:rsidR="00FF2671">
        <w:rPr>
          <w:lang w:eastAsia="en-AU"/>
        </w:rPr>
        <w:t xml:space="preserve">and it </w:t>
      </w:r>
      <w:r w:rsidR="00B000C5">
        <w:rPr>
          <w:lang w:eastAsia="en-AU"/>
        </w:rPr>
        <w:t>was</w:t>
      </w:r>
      <w:r w:rsidR="00FF2671" w:rsidDel="00B000C5">
        <w:rPr>
          <w:lang w:eastAsia="en-AU"/>
        </w:rPr>
        <w:t xml:space="preserve"> </w:t>
      </w:r>
      <w:r w:rsidR="00FF2671">
        <w:rPr>
          <w:lang w:eastAsia="en-AU"/>
        </w:rPr>
        <w:t xml:space="preserve">up to PBCs who </w:t>
      </w:r>
      <w:r w:rsidR="004E49F5">
        <w:rPr>
          <w:lang w:eastAsia="en-AU"/>
        </w:rPr>
        <w:t xml:space="preserve">did </w:t>
      </w:r>
      <w:r w:rsidR="00FF2671">
        <w:rPr>
          <w:lang w:eastAsia="en-AU"/>
        </w:rPr>
        <w:t xml:space="preserve">not have a general retainer with </w:t>
      </w:r>
      <w:r w:rsidR="00CB6208">
        <w:rPr>
          <w:lang w:eastAsia="en-AU"/>
        </w:rPr>
        <w:t xml:space="preserve">the </w:t>
      </w:r>
      <w:r w:rsidR="00FF2671">
        <w:rPr>
          <w:lang w:eastAsia="en-AU"/>
        </w:rPr>
        <w:t>KLC to make a request for assistance</w:t>
      </w:r>
      <w:r w:rsidR="00F50D1F">
        <w:rPr>
          <w:lang w:eastAsia="en-AU"/>
        </w:rPr>
        <w:t xml:space="preserve">. </w:t>
      </w:r>
      <w:r w:rsidR="00032515">
        <w:rPr>
          <w:lang w:eastAsia="en-AU"/>
        </w:rPr>
        <w:t>No requests had been</w:t>
      </w:r>
      <w:r w:rsidR="004507A3" w:rsidRPr="004507A3">
        <w:rPr>
          <w:lang w:eastAsia="en-AU"/>
        </w:rPr>
        <w:t xml:space="preserve"> received from other PBCs to support this implementation</w:t>
      </w:r>
      <w:r w:rsidR="004507A3">
        <w:rPr>
          <w:lang w:eastAsia="en-AU"/>
        </w:rPr>
        <w:t>.</w:t>
      </w:r>
    </w:p>
    <w:p w14:paraId="2767E9A3" w14:textId="0FB1D3D4" w:rsidR="00542E91" w:rsidRDefault="00542E91" w:rsidP="00542E91">
      <w:pPr>
        <w:rPr>
          <w:lang w:eastAsia="en-AU"/>
        </w:rPr>
      </w:pPr>
      <w:r>
        <w:rPr>
          <w:lang w:eastAsia="en-AU"/>
        </w:rPr>
        <w:lastRenderedPageBreak/>
        <w:t>KLC staff noted to the Review that there is a need to consider who is best placed between ORIC and</w:t>
      </w:r>
      <w:r w:rsidDel="00DD3426">
        <w:rPr>
          <w:lang w:eastAsia="en-AU"/>
        </w:rPr>
        <w:t xml:space="preserve"> </w:t>
      </w:r>
      <w:r>
        <w:rPr>
          <w:lang w:eastAsia="en-AU"/>
        </w:rPr>
        <w:t xml:space="preserve">NTRBs to undertake the workload emanating from changed ORIC requirements. </w:t>
      </w:r>
      <w:r w:rsidRPr="00BF2584">
        <w:rPr>
          <w:lang w:eastAsia="en-AU"/>
        </w:rPr>
        <w:t xml:space="preserve">KLC staff communicated </w:t>
      </w:r>
      <w:r>
        <w:rPr>
          <w:lang w:eastAsia="en-AU"/>
        </w:rPr>
        <w:t>concern</w:t>
      </w:r>
      <w:r w:rsidRPr="00BF2584">
        <w:rPr>
          <w:lang w:eastAsia="en-AU"/>
        </w:rPr>
        <w:t xml:space="preserve"> with the lack of transparency from ORIC in regard to notifications of PBC non-compliance.</w:t>
      </w:r>
    </w:p>
    <w:p w14:paraId="587AD68D" w14:textId="77777777" w:rsidR="00542E91" w:rsidRPr="00BF2584" w:rsidRDefault="00542E91" w:rsidP="00542E91">
      <w:pPr>
        <w:pStyle w:val="Heading5"/>
        <w:rPr>
          <w:b w:val="0"/>
        </w:rPr>
      </w:pPr>
      <w:r w:rsidRPr="00BF2584">
        <w:t xml:space="preserve">Most PBCs in the Kimberley region need </w:t>
      </w:r>
      <w:r>
        <w:t>significant support to remain compliant</w:t>
      </w:r>
    </w:p>
    <w:p w14:paraId="7B85C2E0" w14:textId="2D28E896" w:rsidR="00542E91" w:rsidRDefault="00542E91" w:rsidP="00542E91">
      <w:r>
        <w:rPr>
          <w:lang w:eastAsia="en-AU"/>
        </w:rPr>
        <w:t xml:space="preserve">The KLC </w:t>
      </w:r>
      <w:r>
        <w:t xml:space="preserve">had a </w:t>
      </w:r>
      <w:r w:rsidRPr="00EF3D9D">
        <w:t xml:space="preserve">policy to provide a basis for KLC staff and PBCs to understand the type of support </w:t>
      </w:r>
      <w:r w:rsidR="00326E8F">
        <w:t xml:space="preserve">the </w:t>
      </w:r>
      <w:r w:rsidRPr="00EF3D9D">
        <w:t>KLC c</w:t>
      </w:r>
      <w:r>
        <w:t>ould</w:t>
      </w:r>
      <w:r w:rsidRPr="00EF3D9D">
        <w:t xml:space="preserve"> provide and how it provide</w:t>
      </w:r>
      <w:r>
        <w:t>d</w:t>
      </w:r>
      <w:r w:rsidRPr="00EF3D9D">
        <w:t xml:space="preserve"> that support</w:t>
      </w:r>
      <w:r>
        <w:t xml:space="preserve">. This policy had three categories: </w:t>
      </w:r>
    </w:p>
    <w:p w14:paraId="5591FB8B" w14:textId="26C174C2" w:rsidR="00542E91" w:rsidRPr="00BF2584" w:rsidRDefault="00542E91" w:rsidP="00542E91">
      <w:pPr>
        <w:pStyle w:val="Listnumbered"/>
      </w:pPr>
      <w:r w:rsidRPr="002C4C27">
        <w:rPr>
          <w:rFonts w:ascii="Segoe UI Semibold" w:hAnsi="Segoe UI Semibold" w:cs="Segoe UI Semibold"/>
        </w:rPr>
        <w:t>Emerging</w:t>
      </w:r>
      <w:r w:rsidRPr="00BF2584">
        <w:t xml:space="preserve"> </w:t>
      </w:r>
      <w:r w:rsidR="00AA1059">
        <w:t>|</w:t>
      </w:r>
      <w:r w:rsidRPr="00BF2584">
        <w:t xml:space="preserve"> </w:t>
      </w:r>
      <w:r w:rsidRPr="007A4E22">
        <w:t>PBCs do not have staff and require</w:t>
      </w:r>
      <w:r w:rsidR="00AF4A22">
        <w:t xml:space="preserve"> the</w:t>
      </w:r>
      <w:r w:rsidRPr="007A4E22">
        <w:t xml:space="preserve"> KLC assistance with all levels of governance and administration to ensure basic compliance</w:t>
      </w:r>
      <w:r w:rsidRPr="00BF2584">
        <w:t>.</w:t>
      </w:r>
    </w:p>
    <w:p w14:paraId="5C6BDA30" w14:textId="16C3BA8A" w:rsidR="00542E91" w:rsidRPr="00BF2584" w:rsidRDefault="00542E91" w:rsidP="00542E91">
      <w:pPr>
        <w:pStyle w:val="Listnumbered"/>
      </w:pPr>
      <w:r w:rsidRPr="002C4C27">
        <w:rPr>
          <w:rFonts w:ascii="Segoe UI Semibold" w:hAnsi="Segoe UI Semibold" w:cs="Segoe UI Semibold"/>
        </w:rPr>
        <w:t>Transitioning</w:t>
      </w:r>
      <w:r w:rsidRPr="00BF2584">
        <w:t xml:space="preserve"> </w:t>
      </w:r>
      <w:r w:rsidR="00AA1059">
        <w:t>|</w:t>
      </w:r>
      <w:r w:rsidRPr="00BF2584">
        <w:t xml:space="preserve"> PBCs that have been able to establish a moderate degree of independence (</w:t>
      </w:r>
      <w:r>
        <w:t>for example</w:t>
      </w:r>
      <w:r w:rsidRPr="00BF2584">
        <w:t xml:space="preserve"> have an office space), yet still go through </w:t>
      </w:r>
      <w:r w:rsidR="00AF4A22">
        <w:t xml:space="preserve">the </w:t>
      </w:r>
      <w:r w:rsidRPr="00BF2584">
        <w:t>KLC for basic support funding.</w:t>
      </w:r>
    </w:p>
    <w:p w14:paraId="309E4359" w14:textId="26219B38" w:rsidR="00542E91" w:rsidRDefault="00542E91" w:rsidP="00542E91">
      <w:pPr>
        <w:pStyle w:val="Listnumbered"/>
      </w:pPr>
      <w:r w:rsidRPr="002C4C27">
        <w:rPr>
          <w:rFonts w:ascii="Segoe UI Semibold" w:hAnsi="Segoe UI Semibold" w:cs="Segoe UI Semibold"/>
        </w:rPr>
        <w:t>Independent</w:t>
      </w:r>
      <w:r w:rsidRPr="00BF2584">
        <w:t xml:space="preserve"> </w:t>
      </w:r>
      <w:r w:rsidR="00AA1059">
        <w:t>|</w:t>
      </w:r>
      <w:r w:rsidRPr="00BF2584">
        <w:t xml:space="preserve"> </w:t>
      </w:r>
      <w:r>
        <w:t>PBCs that largely do not require support from the KLC</w:t>
      </w:r>
      <w:r w:rsidRPr="00BF2584">
        <w:t>.</w:t>
      </w:r>
    </w:p>
    <w:p w14:paraId="428A73FD" w14:textId="35439815" w:rsidR="00542E91" w:rsidRDefault="00542E91" w:rsidP="00542E91">
      <w:pPr>
        <w:rPr>
          <w:lang w:eastAsia="en-AU"/>
        </w:rPr>
      </w:pPr>
      <w:r w:rsidRPr="00BF2584">
        <w:rPr>
          <w:lang w:eastAsia="en-AU"/>
        </w:rPr>
        <w:t xml:space="preserve">Of the 26 PBCs supported </w:t>
      </w:r>
      <w:r>
        <w:rPr>
          <w:lang w:eastAsia="en-AU"/>
        </w:rPr>
        <w:t>by the KLC at the end of</w:t>
      </w:r>
      <w:r w:rsidRPr="00BF2584">
        <w:rPr>
          <w:lang w:eastAsia="en-AU"/>
        </w:rPr>
        <w:t xml:space="preserve"> the Review period, 18 </w:t>
      </w:r>
      <w:r>
        <w:rPr>
          <w:lang w:eastAsia="en-AU"/>
        </w:rPr>
        <w:t xml:space="preserve">(64 per cent) </w:t>
      </w:r>
      <w:r w:rsidRPr="00BF2584">
        <w:rPr>
          <w:lang w:eastAsia="en-AU"/>
        </w:rPr>
        <w:t xml:space="preserve">were classified as emerging, </w:t>
      </w:r>
      <w:r w:rsidRPr="0095113E">
        <w:rPr>
          <w:lang w:eastAsia="en-AU"/>
        </w:rPr>
        <w:t>with the remaining concentrated heavily in the transitioning category</w:t>
      </w:r>
      <w:r>
        <w:rPr>
          <w:lang w:eastAsia="en-AU"/>
        </w:rPr>
        <w:t xml:space="preserve"> </w:t>
      </w:r>
      <w:r w:rsidRPr="0095113E">
        <w:rPr>
          <w:lang w:eastAsia="en-AU"/>
        </w:rPr>
        <w:t xml:space="preserve">and a </w:t>
      </w:r>
      <w:r>
        <w:rPr>
          <w:lang w:eastAsia="en-AU"/>
        </w:rPr>
        <w:t xml:space="preserve">small </w:t>
      </w:r>
      <w:r w:rsidRPr="0095113E">
        <w:rPr>
          <w:lang w:eastAsia="en-AU"/>
        </w:rPr>
        <w:t>number falling under the independent category</w:t>
      </w:r>
      <w:r w:rsidR="003D352A">
        <w:rPr>
          <w:lang w:eastAsia="en-AU"/>
        </w:rPr>
        <w:t>.</w:t>
      </w:r>
      <w:r>
        <w:rPr>
          <w:rStyle w:val="FootnoteReference"/>
          <w:lang w:eastAsia="en-AU"/>
        </w:rPr>
        <w:footnoteReference w:id="39"/>
      </w:r>
      <w:r>
        <w:rPr>
          <w:lang w:eastAsia="en-AU"/>
        </w:rPr>
        <w:t xml:space="preserve"> </w:t>
      </w:r>
      <w:r w:rsidR="00E23D4C">
        <w:rPr>
          <w:lang w:eastAsia="en-AU"/>
        </w:rPr>
        <w:t>NTSU</w:t>
      </w:r>
      <w:r w:rsidRPr="00BF2584">
        <w:rPr>
          <w:lang w:eastAsia="en-AU"/>
        </w:rPr>
        <w:t xml:space="preserve"> staff who spoke</w:t>
      </w:r>
      <w:r>
        <w:rPr>
          <w:lang w:eastAsia="en-AU"/>
        </w:rPr>
        <w:t xml:space="preserve"> to</w:t>
      </w:r>
      <w:r w:rsidRPr="00BF2584">
        <w:rPr>
          <w:lang w:eastAsia="en-AU"/>
        </w:rPr>
        <w:t xml:space="preserve"> the Review team </w:t>
      </w:r>
      <w:r>
        <w:rPr>
          <w:lang w:eastAsia="en-AU"/>
        </w:rPr>
        <w:t>noted</w:t>
      </w:r>
      <w:r w:rsidRPr="00BF2584">
        <w:rPr>
          <w:lang w:eastAsia="en-AU"/>
        </w:rPr>
        <w:t xml:space="preserve"> that client PBCs routinely boomerang back from the higher levels of self-sufficiency to lower levels signalling a lack of sustainable inbuilt capacity in these PBCs. </w:t>
      </w:r>
    </w:p>
    <w:p w14:paraId="2099C8E8" w14:textId="6943B4F0" w:rsidR="00E63460" w:rsidRPr="00E63460" w:rsidRDefault="00446C8E" w:rsidP="003C2A1D">
      <w:pPr>
        <w:pStyle w:val="Heading4"/>
      </w:pPr>
      <w:r w:rsidRPr="00BF2584">
        <w:t>NTRB-SP’s progress in returning cultural materials to PBCs/RNTBCs and Traditional Owners</w:t>
      </w:r>
    </w:p>
    <w:p w14:paraId="41727E91" w14:textId="77777777" w:rsidR="00E63460" w:rsidRPr="00E63460" w:rsidRDefault="00E63460" w:rsidP="003C2A1D">
      <w:pPr>
        <w:pStyle w:val="Heading5"/>
        <w:rPr>
          <w:b w:val="0"/>
          <w:i/>
        </w:rPr>
      </w:pPr>
      <w:r w:rsidRPr="00E63460">
        <w:t>The KLC began the process of returning cultural materials during the Review period</w:t>
      </w:r>
    </w:p>
    <w:p w14:paraId="16217DBB" w14:textId="23811F41" w:rsidR="00E63460" w:rsidRDefault="00EB06B8" w:rsidP="003C2A1D">
      <w:pPr>
        <w:rPr>
          <w:lang w:eastAsia="en-AU"/>
        </w:rPr>
      </w:pPr>
      <w:r w:rsidRPr="00EB06B8">
        <w:rPr>
          <w:lang w:eastAsia="en-AU"/>
        </w:rPr>
        <w:t>The KLC holds a significant collection of material from many years of undertaking native title claim work, as well as community-based research that was done prior to the commencement of the</w:t>
      </w:r>
      <w:r w:rsidRPr="005A77E2">
        <w:rPr>
          <w:lang w:eastAsia="en-AU"/>
        </w:rPr>
        <w:t xml:space="preserve"> </w:t>
      </w:r>
      <w:r w:rsidR="003C2A1D" w:rsidRPr="005A77E2">
        <w:rPr>
          <w:lang w:eastAsia="en-AU"/>
        </w:rPr>
        <w:t>NTA</w:t>
      </w:r>
      <w:r>
        <w:rPr>
          <w:rStyle w:val="FootnoteReference"/>
          <w:lang w:eastAsia="en-AU"/>
        </w:rPr>
        <w:footnoteReference w:id="40"/>
      </w:r>
      <w:r w:rsidRPr="00EB06B8">
        <w:rPr>
          <w:lang w:eastAsia="en-AU"/>
        </w:rPr>
        <w:t>.</w:t>
      </w:r>
      <w:r w:rsidR="0016309B">
        <w:rPr>
          <w:lang w:eastAsia="en-AU"/>
        </w:rPr>
        <w:t xml:space="preserve"> </w:t>
      </w:r>
      <w:r w:rsidR="00E63460" w:rsidRPr="00E63460">
        <w:rPr>
          <w:lang w:eastAsia="en-AU"/>
        </w:rPr>
        <w:t>KLC annual reports and staff noted the KLC’s commitment to the return of cultural materials to their rightful custodians</w:t>
      </w:r>
      <w:r w:rsidR="00E63460">
        <w:rPr>
          <w:lang w:eastAsia="en-AU"/>
        </w:rPr>
        <w:t>.</w:t>
      </w:r>
    </w:p>
    <w:p w14:paraId="5E3B9CEB" w14:textId="3E07E999" w:rsidR="00ED5ECE" w:rsidRDefault="00582B24" w:rsidP="003C2A1D">
      <w:pPr>
        <w:rPr>
          <w:lang w:eastAsia="en-AU"/>
        </w:rPr>
      </w:pPr>
      <w:r>
        <w:rPr>
          <w:lang w:eastAsia="en-AU"/>
        </w:rPr>
        <w:t xml:space="preserve">At the start of the </w:t>
      </w:r>
      <w:r w:rsidR="006802FC">
        <w:rPr>
          <w:lang w:eastAsia="en-AU"/>
        </w:rPr>
        <w:t>Review period,</w:t>
      </w:r>
      <w:r w:rsidR="00ED5ECE">
        <w:rPr>
          <w:lang w:eastAsia="en-AU"/>
        </w:rPr>
        <w:t xml:space="preserve"> the KLC </w:t>
      </w:r>
      <w:r w:rsidR="00C60410">
        <w:rPr>
          <w:lang w:eastAsia="en-AU"/>
        </w:rPr>
        <w:t>used</w:t>
      </w:r>
      <w:r w:rsidR="00ED5ECE">
        <w:rPr>
          <w:lang w:eastAsia="en-AU"/>
        </w:rPr>
        <w:t xml:space="preserve"> a Transfer of Native Title Materials </w:t>
      </w:r>
      <w:r w:rsidR="00BC480B">
        <w:rPr>
          <w:lang w:eastAsia="en-AU"/>
        </w:rPr>
        <w:t>P</w:t>
      </w:r>
      <w:r w:rsidR="00ED5ECE">
        <w:rPr>
          <w:lang w:eastAsia="en-AU"/>
        </w:rPr>
        <w:t>olicy, released in 2016, to inform their return of materials process</w:t>
      </w:r>
      <w:r w:rsidR="00C60410">
        <w:rPr>
          <w:lang w:eastAsia="en-AU"/>
        </w:rPr>
        <w:t xml:space="preserve">. The </w:t>
      </w:r>
      <w:r w:rsidR="00A43DD5">
        <w:rPr>
          <w:lang w:eastAsia="en-AU"/>
        </w:rPr>
        <w:t>policy</w:t>
      </w:r>
      <w:r w:rsidR="00ED5ECE">
        <w:rPr>
          <w:lang w:eastAsia="en-AU"/>
        </w:rPr>
        <w:t xml:space="preserve"> included information on:</w:t>
      </w:r>
    </w:p>
    <w:p w14:paraId="2FFFD69D" w14:textId="303E222A" w:rsidR="00ED5ECE" w:rsidRDefault="000961ED" w:rsidP="00ED5ECE">
      <w:pPr>
        <w:pStyle w:val="Bullet"/>
      </w:pPr>
      <w:r>
        <w:t>g</w:t>
      </w:r>
      <w:r w:rsidR="00ED5ECE">
        <w:t xml:space="preserve">uiding </w:t>
      </w:r>
      <w:r>
        <w:t>p</w:t>
      </w:r>
      <w:r w:rsidR="00ED5ECE">
        <w:t>rinciples</w:t>
      </w:r>
    </w:p>
    <w:p w14:paraId="04D90674" w14:textId="61F7A7E0" w:rsidR="00ED5ECE" w:rsidRDefault="00ED5ECE" w:rsidP="00ED5ECE">
      <w:pPr>
        <w:pStyle w:val="Bullet"/>
      </w:pPr>
      <w:r>
        <w:t>types of native title materials</w:t>
      </w:r>
    </w:p>
    <w:p w14:paraId="14D93336" w14:textId="72119199" w:rsidR="00ED5ECE" w:rsidRDefault="00ED5ECE" w:rsidP="00ED5ECE">
      <w:pPr>
        <w:pStyle w:val="Bullet"/>
      </w:pPr>
      <w:r>
        <w:t>differing priorities for different types of materials (</w:t>
      </w:r>
      <w:r w:rsidR="0086471B">
        <w:t>for example</w:t>
      </w:r>
      <w:r>
        <w:t>, “First Priority materials”, which were the focus of return for the KLC)</w:t>
      </w:r>
    </w:p>
    <w:p w14:paraId="6B8E5264" w14:textId="7126D82A" w:rsidR="00ED5ECE" w:rsidRDefault="00ED5ECE" w:rsidP="00ED5ECE">
      <w:pPr>
        <w:pStyle w:val="Bullet"/>
      </w:pPr>
      <w:r>
        <w:t>the process for returning materials</w:t>
      </w:r>
    </w:p>
    <w:p w14:paraId="4DFBB3DF" w14:textId="77777777" w:rsidR="00ED5ECE" w:rsidRDefault="00ED5ECE" w:rsidP="00ED5ECE">
      <w:pPr>
        <w:pStyle w:val="Bullet"/>
      </w:pPr>
      <w:r>
        <w:t>further considerations and resources for the return process.</w:t>
      </w:r>
    </w:p>
    <w:p w14:paraId="4C30616E" w14:textId="77777777" w:rsidR="00ED5ECE" w:rsidRDefault="00ED5ECE" w:rsidP="00ED5ECE">
      <w:pPr>
        <w:rPr>
          <w:lang w:eastAsia="en-AU"/>
        </w:rPr>
      </w:pPr>
      <w:r>
        <w:rPr>
          <w:lang w:eastAsia="en-AU"/>
        </w:rPr>
        <w:t>Using this policy, the KLC initiated the return of materials process in FY2019-20 through a pilot project for the Karajarri Traditional Lands Association RNTBC (</w:t>
      </w:r>
      <w:r w:rsidRPr="004B0280">
        <w:rPr>
          <w:lang w:eastAsia="en-AU"/>
        </w:rPr>
        <w:t>Karajarri PBC</w:t>
      </w:r>
      <w:r>
        <w:rPr>
          <w:lang w:eastAsia="en-AU"/>
        </w:rPr>
        <w:t>), who received their first determination in 2002. I</w:t>
      </w:r>
      <w:r w:rsidRPr="00C27E3A">
        <w:rPr>
          <w:lang w:eastAsia="en-AU"/>
        </w:rPr>
        <w:t xml:space="preserve">n the same </w:t>
      </w:r>
      <w:r>
        <w:rPr>
          <w:lang w:eastAsia="en-AU"/>
        </w:rPr>
        <w:t xml:space="preserve">financial </w:t>
      </w:r>
      <w:r w:rsidRPr="00C27E3A">
        <w:rPr>
          <w:lang w:eastAsia="en-AU"/>
        </w:rPr>
        <w:t>year</w:t>
      </w:r>
      <w:r>
        <w:rPr>
          <w:lang w:eastAsia="en-AU"/>
        </w:rPr>
        <w:t>, the KLC also began the transfer of certain materials for land and waters management and protection purposes to the Yanunijarra Aboriginal Corporation RNTBC, who received their first determination in 2007</w:t>
      </w:r>
      <w:r>
        <w:rPr>
          <w:rStyle w:val="FootnoteReference"/>
          <w:lang w:eastAsia="en-AU"/>
        </w:rPr>
        <w:footnoteReference w:id="41"/>
      </w:r>
      <w:r>
        <w:rPr>
          <w:lang w:eastAsia="en-AU"/>
        </w:rPr>
        <w:t>.</w:t>
      </w:r>
    </w:p>
    <w:p w14:paraId="5CB82EFC" w14:textId="1782DB78" w:rsidR="00A43DD5" w:rsidRPr="00315FDB" w:rsidRDefault="00E63460" w:rsidP="00315FDB">
      <w:pPr>
        <w:pStyle w:val="Heading5"/>
      </w:pPr>
      <w:r w:rsidRPr="00315FDB">
        <w:lastRenderedPageBreak/>
        <w:t>A</w:t>
      </w:r>
      <w:r w:rsidR="00A43DD5" w:rsidRPr="00315FDB">
        <w:t xml:space="preserve"> Federal Court ruling</w:t>
      </w:r>
      <w:r w:rsidR="00D46268" w:rsidRPr="00315FDB">
        <w:t xml:space="preserve"> </w:t>
      </w:r>
      <w:r w:rsidR="00A43DD5" w:rsidRPr="00315FDB">
        <w:t>hasten</w:t>
      </w:r>
      <w:r w:rsidR="0088200B" w:rsidRPr="00315FDB">
        <w:t>ed</w:t>
      </w:r>
      <w:r w:rsidR="00A43DD5" w:rsidRPr="00315FDB">
        <w:t xml:space="preserve"> the return process</w:t>
      </w:r>
    </w:p>
    <w:p w14:paraId="622ECD3C" w14:textId="47CD1D90" w:rsidR="00424435" w:rsidRDefault="00140EB6" w:rsidP="00655235">
      <w:pPr>
        <w:rPr>
          <w:i/>
          <w:iCs/>
          <w:lang w:eastAsia="en-AU"/>
        </w:rPr>
      </w:pPr>
      <w:r>
        <w:rPr>
          <w:lang w:eastAsia="en-AU"/>
        </w:rPr>
        <w:t>The KLC prioritised work on the return of cultural materials</w:t>
      </w:r>
      <w:r w:rsidR="00576ADE">
        <w:rPr>
          <w:lang w:eastAsia="en-AU"/>
        </w:rPr>
        <w:t xml:space="preserve"> </w:t>
      </w:r>
      <w:r w:rsidR="00FD7FC1">
        <w:rPr>
          <w:lang w:eastAsia="en-AU"/>
        </w:rPr>
        <w:t>in response to a Federal Court decision</w:t>
      </w:r>
      <w:r w:rsidR="001F578A">
        <w:rPr>
          <w:rStyle w:val="FootnoteReference"/>
          <w:lang w:eastAsia="en-AU"/>
        </w:rPr>
        <w:footnoteReference w:id="42"/>
      </w:r>
      <w:r w:rsidR="00CC2B57">
        <w:rPr>
          <w:lang w:eastAsia="en-AU"/>
        </w:rPr>
        <w:t>.</w:t>
      </w:r>
      <w:r w:rsidR="00FD7FC1">
        <w:rPr>
          <w:lang w:eastAsia="en-AU"/>
        </w:rPr>
        <w:t xml:space="preserve"> </w:t>
      </w:r>
      <w:r w:rsidR="00250787">
        <w:rPr>
          <w:lang w:eastAsia="en-AU"/>
        </w:rPr>
        <w:t xml:space="preserve">The </w:t>
      </w:r>
      <w:r w:rsidR="00C756E5">
        <w:rPr>
          <w:lang w:eastAsia="en-AU"/>
        </w:rPr>
        <w:t>outcome</w:t>
      </w:r>
      <w:r w:rsidR="00250787">
        <w:rPr>
          <w:lang w:eastAsia="en-AU"/>
        </w:rPr>
        <w:t xml:space="preserve"> to the case is as follows</w:t>
      </w:r>
      <w:r w:rsidR="00424435">
        <w:rPr>
          <w:lang w:eastAsia="en-AU"/>
        </w:rPr>
        <w:t>:</w:t>
      </w:r>
    </w:p>
    <w:p w14:paraId="2D143C9F" w14:textId="66ABBB5B" w:rsidR="00CC2B57" w:rsidRDefault="00C756E5" w:rsidP="002C4C27">
      <w:pPr>
        <w:ind w:left="720"/>
        <w:rPr>
          <w:lang w:eastAsia="en-AU"/>
        </w:rPr>
      </w:pPr>
      <w:r w:rsidRPr="00C756E5">
        <w:rPr>
          <w:i/>
          <w:iCs/>
          <w:lang w:eastAsia="en-AU"/>
        </w:rPr>
        <w:t xml:space="preserve">As a consequence of </w:t>
      </w:r>
      <w:r>
        <w:rPr>
          <w:i/>
          <w:iCs/>
          <w:lang w:eastAsia="en-AU"/>
        </w:rPr>
        <w:t>Justice Mortimer’s</w:t>
      </w:r>
      <w:r w:rsidRPr="00C756E5">
        <w:rPr>
          <w:i/>
          <w:iCs/>
          <w:lang w:eastAsia="en-AU"/>
        </w:rPr>
        <w:t xml:space="preserve"> findings in the present judgment, her Honour overruled </w:t>
      </w:r>
      <w:r w:rsidR="00263AA1" w:rsidRPr="00263AA1">
        <w:rPr>
          <w:i/>
          <w:iCs/>
          <w:lang w:eastAsia="en-AU"/>
        </w:rPr>
        <w:t>Yamatji Marlpa Aboriginal Corporation</w:t>
      </w:r>
      <w:r w:rsidR="00263AA1">
        <w:rPr>
          <w:i/>
          <w:iCs/>
          <w:lang w:eastAsia="en-AU"/>
        </w:rPr>
        <w:t xml:space="preserve"> (</w:t>
      </w:r>
      <w:r w:rsidRPr="00C756E5">
        <w:rPr>
          <w:i/>
          <w:iCs/>
          <w:lang w:eastAsia="en-AU"/>
        </w:rPr>
        <w:t>YMAC</w:t>
      </w:r>
      <w:r w:rsidR="00263AA1">
        <w:rPr>
          <w:i/>
          <w:iCs/>
          <w:lang w:eastAsia="en-AU"/>
        </w:rPr>
        <w:t>)</w:t>
      </w:r>
      <w:r w:rsidRPr="00C756E5">
        <w:rPr>
          <w:i/>
          <w:iCs/>
          <w:lang w:eastAsia="en-AU"/>
        </w:rPr>
        <w:t>’s objections to the production and inspection of the documents under the second subpoena. As such, the Jurruru applicant was granted leave to inspect and copy the reports.</w:t>
      </w:r>
      <w:r w:rsidR="00191DC3">
        <w:rPr>
          <w:rStyle w:val="FootnoteReference"/>
          <w:i/>
          <w:iCs/>
          <w:lang w:eastAsia="en-AU"/>
        </w:rPr>
        <w:footnoteReference w:id="43"/>
      </w:r>
    </w:p>
    <w:p w14:paraId="69B9E850" w14:textId="469690C5" w:rsidR="00430FE4" w:rsidRDefault="00736449" w:rsidP="00655235">
      <w:pPr>
        <w:rPr>
          <w:lang w:eastAsia="en-AU"/>
        </w:rPr>
      </w:pPr>
      <w:r>
        <w:rPr>
          <w:lang w:eastAsia="en-AU"/>
        </w:rPr>
        <w:t>KLC</w:t>
      </w:r>
      <w:r w:rsidR="00C46C20">
        <w:rPr>
          <w:lang w:eastAsia="en-AU"/>
        </w:rPr>
        <w:t xml:space="preserve"> began </w:t>
      </w:r>
      <w:r w:rsidR="00A75CAF">
        <w:rPr>
          <w:lang w:eastAsia="en-AU"/>
        </w:rPr>
        <w:t>return</w:t>
      </w:r>
      <w:r w:rsidR="00576ADE">
        <w:rPr>
          <w:lang w:eastAsia="en-AU"/>
        </w:rPr>
        <w:t>ing</w:t>
      </w:r>
      <w:r w:rsidR="00A75CAF">
        <w:rPr>
          <w:lang w:eastAsia="en-AU"/>
        </w:rPr>
        <w:t xml:space="preserve"> materials to PBCs</w:t>
      </w:r>
      <w:r w:rsidR="00531574">
        <w:rPr>
          <w:lang w:eastAsia="en-AU"/>
        </w:rPr>
        <w:t xml:space="preserve"> across the Review period, </w:t>
      </w:r>
      <w:r w:rsidR="00107759">
        <w:rPr>
          <w:lang w:eastAsia="en-AU"/>
        </w:rPr>
        <w:t xml:space="preserve">initially </w:t>
      </w:r>
      <w:r w:rsidR="00F749AA">
        <w:rPr>
          <w:lang w:eastAsia="en-AU"/>
        </w:rPr>
        <w:t>working with groups who requested the return of their materials.</w:t>
      </w:r>
      <w:r w:rsidR="008D67CB">
        <w:rPr>
          <w:lang w:eastAsia="en-AU"/>
        </w:rPr>
        <w:t xml:space="preserve"> </w:t>
      </w:r>
      <w:r w:rsidR="005E446C">
        <w:rPr>
          <w:lang w:eastAsia="en-AU"/>
        </w:rPr>
        <w:t xml:space="preserve">Where </w:t>
      </w:r>
      <w:r w:rsidR="00246930">
        <w:rPr>
          <w:lang w:eastAsia="en-AU"/>
        </w:rPr>
        <w:t xml:space="preserve">a PBC Board advises that it wishes materials to be returned, the </w:t>
      </w:r>
      <w:r w:rsidR="00C87BE2">
        <w:rPr>
          <w:lang w:eastAsia="en-AU"/>
        </w:rPr>
        <w:t xml:space="preserve">KLC staff </w:t>
      </w:r>
      <w:r w:rsidR="00246930">
        <w:rPr>
          <w:lang w:eastAsia="en-AU"/>
        </w:rPr>
        <w:t xml:space="preserve">anthropologist </w:t>
      </w:r>
      <w:r w:rsidR="00942E33">
        <w:rPr>
          <w:lang w:eastAsia="en-AU"/>
        </w:rPr>
        <w:t xml:space="preserve">meets with the Board to outline the </w:t>
      </w:r>
      <w:r w:rsidR="00E11EFE">
        <w:rPr>
          <w:lang w:eastAsia="en-AU"/>
        </w:rPr>
        <w:t xml:space="preserve">materials </w:t>
      </w:r>
      <w:r w:rsidR="001D249A">
        <w:rPr>
          <w:lang w:eastAsia="en-AU"/>
        </w:rPr>
        <w:t>that are the property of the PBC</w:t>
      </w:r>
      <w:r w:rsidR="004C1B56">
        <w:rPr>
          <w:lang w:eastAsia="en-AU"/>
        </w:rPr>
        <w:t>.</w:t>
      </w:r>
      <w:r w:rsidR="00E11EFE">
        <w:rPr>
          <w:lang w:eastAsia="en-AU"/>
        </w:rPr>
        <w:t xml:space="preserve"> </w:t>
      </w:r>
      <w:r w:rsidR="009F039C">
        <w:rPr>
          <w:lang w:eastAsia="en-AU"/>
        </w:rPr>
        <w:t>The Board then makes a decision on whether it wants some</w:t>
      </w:r>
      <w:r w:rsidR="00C65124">
        <w:rPr>
          <w:lang w:eastAsia="en-AU"/>
        </w:rPr>
        <w:t xml:space="preserve"> or all of the materials.</w:t>
      </w:r>
      <w:r w:rsidR="00147595">
        <w:rPr>
          <w:lang w:eastAsia="en-AU"/>
        </w:rPr>
        <w:t xml:space="preserve"> Some PBCs are only keen to receive </w:t>
      </w:r>
      <w:r w:rsidR="004F18B4">
        <w:rPr>
          <w:lang w:eastAsia="en-AU"/>
        </w:rPr>
        <w:t>their</w:t>
      </w:r>
      <w:r w:rsidR="00147595">
        <w:rPr>
          <w:lang w:eastAsia="en-AU"/>
        </w:rPr>
        <w:t xml:space="preserve"> Connection Report</w:t>
      </w:r>
      <w:r w:rsidR="001333DF">
        <w:rPr>
          <w:lang w:eastAsia="en-AU"/>
        </w:rPr>
        <w:t xml:space="preserve"> or a summary of it, as it contains useful material </w:t>
      </w:r>
      <w:r w:rsidR="00470335">
        <w:rPr>
          <w:lang w:eastAsia="en-AU"/>
        </w:rPr>
        <w:t>explaining connectivity to</w:t>
      </w:r>
      <w:r w:rsidR="001333DF">
        <w:rPr>
          <w:lang w:eastAsia="en-AU"/>
        </w:rPr>
        <w:t xml:space="preserve"> </w:t>
      </w:r>
      <w:r w:rsidR="001B0EC0">
        <w:rPr>
          <w:lang w:eastAsia="en-AU"/>
        </w:rPr>
        <w:t>Country</w:t>
      </w:r>
      <w:r w:rsidR="001333DF">
        <w:rPr>
          <w:lang w:eastAsia="en-AU"/>
        </w:rPr>
        <w:t xml:space="preserve">. </w:t>
      </w:r>
      <w:r w:rsidR="008636BF">
        <w:rPr>
          <w:lang w:eastAsia="en-AU"/>
        </w:rPr>
        <w:t>Each PBC is at a different stage of requesting or managing materials.</w:t>
      </w:r>
      <w:r w:rsidR="008D67CB">
        <w:rPr>
          <w:lang w:eastAsia="en-AU"/>
        </w:rPr>
        <w:t xml:space="preserve"> </w:t>
      </w:r>
      <w:r w:rsidR="00BC1A9D">
        <w:rPr>
          <w:lang w:eastAsia="en-AU"/>
        </w:rPr>
        <w:t xml:space="preserve">Family meetings may take place to consider what is involved in </w:t>
      </w:r>
      <w:r w:rsidR="000C139A">
        <w:rPr>
          <w:lang w:eastAsia="en-AU"/>
        </w:rPr>
        <w:t>managing the returned materials.</w:t>
      </w:r>
    </w:p>
    <w:p w14:paraId="23E068EB" w14:textId="3479393A" w:rsidR="00446C8E" w:rsidRDefault="00446C8E" w:rsidP="00655235">
      <w:pPr>
        <w:rPr>
          <w:lang w:eastAsia="en-AU"/>
        </w:rPr>
      </w:pPr>
      <w:r>
        <w:rPr>
          <w:lang w:eastAsia="en-AU"/>
        </w:rPr>
        <w:t xml:space="preserve">The </w:t>
      </w:r>
      <w:r w:rsidR="0024258A">
        <w:rPr>
          <w:lang w:eastAsia="en-AU"/>
        </w:rPr>
        <w:t xml:space="preserve">Federal Court </w:t>
      </w:r>
      <w:r>
        <w:rPr>
          <w:lang w:eastAsia="en-AU"/>
        </w:rPr>
        <w:t xml:space="preserve">ruling meant that the KLC’s Transfer of Native Title Materials </w:t>
      </w:r>
      <w:r w:rsidR="00676E3C">
        <w:rPr>
          <w:lang w:eastAsia="en-AU"/>
        </w:rPr>
        <w:t xml:space="preserve">Policy </w:t>
      </w:r>
      <w:r w:rsidR="00654F1B">
        <w:rPr>
          <w:lang w:eastAsia="en-AU"/>
        </w:rPr>
        <w:t>was</w:t>
      </w:r>
      <w:r w:rsidR="00676E3C">
        <w:rPr>
          <w:lang w:eastAsia="en-AU"/>
        </w:rPr>
        <w:t xml:space="preserve"> out of date</w:t>
      </w:r>
      <w:r w:rsidR="00654F1B">
        <w:rPr>
          <w:lang w:eastAsia="en-AU"/>
        </w:rPr>
        <w:t xml:space="preserve"> by the end of the Review period</w:t>
      </w:r>
      <w:r>
        <w:rPr>
          <w:lang w:eastAsia="en-AU"/>
        </w:rPr>
        <w:t xml:space="preserve"> </w:t>
      </w:r>
      <w:r w:rsidR="0093504E">
        <w:rPr>
          <w:lang w:eastAsia="en-AU"/>
        </w:rPr>
        <w:t>given the obligation to return materials upon request.</w:t>
      </w:r>
      <w:r>
        <w:rPr>
          <w:lang w:eastAsia="en-AU"/>
        </w:rPr>
        <w:t xml:space="preserve"> </w:t>
      </w:r>
      <w:r w:rsidR="00E20053">
        <w:rPr>
          <w:lang w:eastAsia="en-AU"/>
        </w:rPr>
        <w:t xml:space="preserve">The KLC </w:t>
      </w:r>
      <w:r w:rsidR="005E7F6B">
        <w:rPr>
          <w:lang w:eastAsia="en-AU"/>
        </w:rPr>
        <w:t xml:space="preserve">advised that the Policy </w:t>
      </w:r>
      <w:r w:rsidR="00981E92">
        <w:rPr>
          <w:lang w:eastAsia="en-AU"/>
        </w:rPr>
        <w:t>would be updated</w:t>
      </w:r>
      <w:r w:rsidR="00E12D33">
        <w:rPr>
          <w:lang w:eastAsia="en-AU"/>
        </w:rPr>
        <w:t>.</w:t>
      </w:r>
      <w:r w:rsidR="008D67CB">
        <w:rPr>
          <w:lang w:eastAsia="en-AU"/>
        </w:rPr>
        <w:t xml:space="preserve"> </w:t>
      </w:r>
      <w:r>
        <w:rPr>
          <w:lang w:eastAsia="en-AU"/>
        </w:rPr>
        <w:t xml:space="preserve">Further information on the KLC’s communication related to cultural materials matter is provided earlier </w:t>
      </w:r>
      <w:r w:rsidR="00435483">
        <w:t xml:space="preserve">under </w:t>
      </w:r>
      <w:r>
        <w:rPr>
          <w:lang w:eastAsia="en-AU"/>
        </w:rPr>
        <w:t xml:space="preserve">TOR 3. </w:t>
      </w:r>
    </w:p>
    <w:p w14:paraId="0902F83B" w14:textId="77777777" w:rsidR="00446C8E" w:rsidRPr="00BF2584" w:rsidRDefault="00446C8E" w:rsidP="00655235">
      <w:pPr>
        <w:pStyle w:val="Heading4"/>
      </w:pPr>
      <w:r w:rsidRPr="00BF2584">
        <w:t>Percentage of PBCs/RNTBCs supported by NTRB-SP with formal service agreements in place with NTRB-SP</w:t>
      </w:r>
    </w:p>
    <w:p w14:paraId="51F9A767" w14:textId="193C9FE6" w:rsidR="00446C8E" w:rsidRPr="00BF2584" w:rsidRDefault="00446C8E" w:rsidP="00446C8E">
      <w:pPr>
        <w:keepNext/>
        <w:spacing w:before="240"/>
        <w:outlineLvl w:val="4"/>
        <w:rPr>
          <w:rFonts w:eastAsia="Times New Roman" w:cs="Times New Roman"/>
          <w:b/>
          <w:color w:val="000000" w:themeColor="text1"/>
          <w:sz w:val="20"/>
          <w:szCs w:val="24"/>
          <w:lang w:eastAsia="en-AU"/>
        </w:rPr>
      </w:pPr>
      <w:r w:rsidRPr="00BF2584">
        <w:rPr>
          <w:rFonts w:eastAsia="Times New Roman" w:cs="Times New Roman"/>
          <w:b/>
          <w:color w:val="000000" w:themeColor="text1"/>
          <w:sz w:val="20"/>
          <w:szCs w:val="24"/>
          <w:lang w:eastAsia="en-AU"/>
        </w:rPr>
        <w:t>The KLC ha</w:t>
      </w:r>
      <w:r w:rsidR="000D6A84">
        <w:rPr>
          <w:rFonts w:eastAsia="Times New Roman" w:cs="Times New Roman"/>
          <w:b/>
          <w:color w:val="000000" w:themeColor="text1"/>
          <w:sz w:val="20"/>
          <w:szCs w:val="24"/>
          <w:lang w:eastAsia="en-AU"/>
        </w:rPr>
        <w:t>d</w:t>
      </w:r>
      <w:r w:rsidRPr="00BF2584">
        <w:rPr>
          <w:rFonts w:eastAsia="Times New Roman" w:cs="Times New Roman"/>
          <w:b/>
          <w:color w:val="000000" w:themeColor="text1"/>
          <w:sz w:val="20"/>
          <w:szCs w:val="24"/>
          <w:lang w:eastAsia="en-AU"/>
        </w:rPr>
        <w:t xml:space="preserve"> formal service agreements </w:t>
      </w:r>
      <w:r w:rsidR="005A7315">
        <w:rPr>
          <w:rFonts w:eastAsia="Times New Roman" w:cs="Times New Roman"/>
          <w:b/>
          <w:color w:val="000000" w:themeColor="text1"/>
          <w:sz w:val="20"/>
          <w:szCs w:val="24"/>
          <w:lang w:eastAsia="en-AU"/>
        </w:rPr>
        <w:t xml:space="preserve">or legal retainers </w:t>
      </w:r>
      <w:r w:rsidRPr="00BF2584">
        <w:rPr>
          <w:rFonts w:eastAsia="Times New Roman" w:cs="Times New Roman"/>
          <w:b/>
          <w:color w:val="000000" w:themeColor="text1"/>
          <w:sz w:val="20"/>
          <w:szCs w:val="24"/>
          <w:lang w:eastAsia="en-AU"/>
        </w:rPr>
        <w:t>with all</w:t>
      </w:r>
      <w:r>
        <w:rPr>
          <w:rFonts w:eastAsia="Times New Roman" w:cs="Times New Roman"/>
          <w:b/>
          <w:color w:val="000000" w:themeColor="text1"/>
          <w:sz w:val="20"/>
          <w:szCs w:val="24"/>
          <w:lang w:eastAsia="en-AU"/>
        </w:rPr>
        <w:t xml:space="preserve"> the</w:t>
      </w:r>
      <w:r w:rsidRPr="00BF2584">
        <w:rPr>
          <w:rFonts w:eastAsia="Times New Roman" w:cs="Times New Roman"/>
          <w:b/>
          <w:color w:val="000000" w:themeColor="text1"/>
          <w:sz w:val="20"/>
          <w:szCs w:val="24"/>
          <w:lang w:eastAsia="en-AU"/>
        </w:rPr>
        <w:t xml:space="preserve"> PBCs it supports</w:t>
      </w:r>
    </w:p>
    <w:p w14:paraId="71980E8E" w14:textId="45CEF539" w:rsidR="00446C8E" w:rsidRPr="00BF2584" w:rsidRDefault="00446C8E" w:rsidP="001662B1">
      <w:pPr>
        <w:rPr>
          <w:lang w:eastAsia="en-AU"/>
        </w:rPr>
      </w:pPr>
      <w:r w:rsidRPr="00BF2584">
        <w:rPr>
          <w:lang w:eastAsia="en-AU"/>
        </w:rPr>
        <w:t>The KLC ha</w:t>
      </w:r>
      <w:r w:rsidR="00463D0F">
        <w:rPr>
          <w:lang w:eastAsia="en-AU"/>
        </w:rPr>
        <w:t>d</w:t>
      </w:r>
      <w:r w:rsidRPr="00BF2584">
        <w:rPr>
          <w:lang w:eastAsia="en-AU"/>
        </w:rPr>
        <w:t xml:space="preserve"> established service agreements </w:t>
      </w:r>
      <w:r w:rsidR="008B2002">
        <w:rPr>
          <w:lang w:eastAsia="en-AU"/>
        </w:rPr>
        <w:t xml:space="preserve">or legal retainers </w:t>
      </w:r>
      <w:r w:rsidRPr="00BF2584">
        <w:rPr>
          <w:lang w:eastAsia="en-AU"/>
        </w:rPr>
        <w:t>with all its client PBCs</w:t>
      </w:r>
      <w:r>
        <w:rPr>
          <w:lang w:eastAsia="en-AU"/>
        </w:rPr>
        <w:t xml:space="preserve">. </w:t>
      </w:r>
      <w:r w:rsidRPr="00BF2584">
        <w:rPr>
          <w:lang w:eastAsia="en-AU"/>
        </w:rPr>
        <w:t>The service agreements provide</w:t>
      </w:r>
      <w:r w:rsidR="006C030C">
        <w:rPr>
          <w:lang w:eastAsia="en-AU"/>
        </w:rPr>
        <w:t>d</w:t>
      </w:r>
      <w:r w:rsidRPr="00BF2584">
        <w:rPr>
          <w:lang w:eastAsia="en-AU"/>
        </w:rPr>
        <w:t xml:space="preserve"> a clear indication of services provided </w:t>
      </w:r>
      <w:r w:rsidR="008B2002">
        <w:rPr>
          <w:lang w:eastAsia="en-AU"/>
        </w:rPr>
        <w:t xml:space="preserve">free of charge </w:t>
      </w:r>
      <w:r w:rsidRPr="00BF2584">
        <w:rPr>
          <w:lang w:eastAsia="en-AU"/>
        </w:rPr>
        <w:t>by the KLC</w:t>
      </w:r>
      <w:r w:rsidR="008B2002">
        <w:rPr>
          <w:lang w:eastAsia="en-AU"/>
        </w:rPr>
        <w:t xml:space="preserve">. </w:t>
      </w:r>
      <w:r w:rsidRPr="00BF2584">
        <w:rPr>
          <w:lang w:eastAsia="en-AU"/>
        </w:rPr>
        <w:t>The service agreements also include</w:t>
      </w:r>
      <w:r w:rsidR="0013036C">
        <w:rPr>
          <w:lang w:eastAsia="en-AU"/>
        </w:rPr>
        <w:t>d</w:t>
      </w:r>
      <w:r w:rsidRPr="00BF2584">
        <w:rPr>
          <w:lang w:eastAsia="en-AU"/>
        </w:rPr>
        <w:t xml:space="preserve"> expectations of the PBCs and details on the termination of the agreement.</w:t>
      </w:r>
    </w:p>
    <w:p w14:paraId="6F413E64" w14:textId="77777777" w:rsidR="00446C8E" w:rsidRDefault="00446C8E" w:rsidP="00446C8E">
      <w:pPr>
        <w:keepNext/>
        <w:spacing w:before="240" w:after="60"/>
        <w:outlineLvl w:val="3"/>
        <w:rPr>
          <w:rFonts w:ascii="Segoe UI Semibold" w:eastAsia="Times New Roman" w:hAnsi="Segoe UI Semibold" w:cs="Times New Roman"/>
          <w:color w:val="00264D" w:themeColor="background2"/>
          <w:sz w:val="22"/>
          <w:szCs w:val="19"/>
          <w:lang w:eastAsia="en-AU"/>
        </w:rPr>
      </w:pPr>
      <w:r w:rsidRPr="006F1480">
        <w:rPr>
          <w:rFonts w:ascii="Segoe UI Semibold" w:eastAsia="Times New Roman" w:hAnsi="Segoe UI Semibold" w:cs="Times New Roman"/>
          <w:color w:val="00264D" w:themeColor="background2"/>
          <w:sz w:val="22"/>
          <w:szCs w:val="19"/>
          <w:lang w:eastAsia="en-AU"/>
        </w:rPr>
        <w:t>Satisfaction of PBCs/RNTBCs with the process of negotiating service agreements between the NTRB-SP and the PBC/RNTBC</w:t>
      </w:r>
    </w:p>
    <w:p w14:paraId="301F0FB8" w14:textId="70E80C4F" w:rsidR="00CD4EE3" w:rsidRDefault="00AF603C" w:rsidP="001662B1">
      <w:pPr>
        <w:rPr>
          <w:lang w:eastAsia="en-AU"/>
        </w:rPr>
      </w:pPr>
      <w:r>
        <w:rPr>
          <w:lang w:eastAsia="en-AU"/>
        </w:rPr>
        <w:t xml:space="preserve">The Review received no </w:t>
      </w:r>
      <w:r w:rsidR="00070C54">
        <w:rPr>
          <w:lang w:eastAsia="en-AU"/>
        </w:rPr>
        <w:t>complaints about th</w:t>
      </w:r>
      <w:r w:rsidR="00D077E4">
        <w:rPr>
          <w:lang w:eastAsia="en-AU"/>
        </w:rPr>
        <w:t>e</w:t>
      </w:r>
      <w:r w:rsidR="00070C54">
        <w:rPr>
          <w:lang w:eastAsia="en-AU"/>
        </w:rPr>
        <w:t xml:space="preserve"> process</w:t>
      </w:r>
      <w:r w:rsidR="00090365">
        <w:rPr>
          <w:lang w:eastAsia="en-AU"/>
        </w:rPr>
        <w:t xml:space="preserve"> of negotiating service agreements</w:t>
      </w:r>
      <w:r w:rsidR="00D077E4">
        <w:rPr>
          <w:lang w:eastAsia="en-AU"/>
        </w:rPr>
        <w:t xml:space="preserve"> or legal retainers</w:t>
      </w:r>
      <w:r w:rsidR="005A4548">
        <w:rPr>
          <w:lang w:eastAsia="en-AU"/>
        </w:rPr>
        <w:t>.</w:t>
      </w:r>
    </w:p>
    <w:p w14:paraId="5EB9DAEF" w14:textId="77777777" w:rsidR="00446C8E" w:rsidRDefault="00446C8E" w:rsidP="00446C8E">
      <w:pPr>
        <w:pStyle w:val="Heading3"/>
        <w:numPr>
          <w:ilvl w:val="2"/>
          <w:numId w:val="2"/>
        </w:numPr>
      </w:pPr>
      <w:r w:rsidRPr="00BF2584">
        <w:t>TOR 6: External factors</w:t>
      </w:r>
    </w:p>
    <w:p w14:paraId="6299CB13" w14:textId="1C67CCAF" w:rsidR="00FE7367" w:rsidRPr="00FE7367" w:rsidRDefault="00FE7367" w:rsidP="00FE7367">
      <w:pPr>
        <w:rPr>
          <w:lang w:eastAsia="en-AU"/>
        </w:rPr>
      </w:pPr>
      <w:r w:rsidRPr="00FE7367">
        <w:rPr>
          <w:lang w:eastAsia="en-AU"/>
        </w:rPr>
        <w:t xml:space="preserve">This section presents an analysis of factors that impacted on performance that were beyond </w:t>
      </w:r>
      <w:r w:rsidR="00A96247">
        <w:rPr>
          <w:lang w:eastAsia="en-AU"/>
        </w:rPr>
        <w:t xml:space="preserve">the </w:t>
      </w:r>
      <w:r>
        <w:rPr>
          <w:lang w:eastAsia="en-AU"/>
        </w:rPr>
        <w:t>KLC</w:t>
      </w:r>
      <w:r w:rsidRPr="00FE7367">
        <w:rPr>
          <w:lang w:eastAsia="en-AU"/>
        </w:rPr>
        <w:t>'s control.</w:t>
      </w:r>
    </w:p>
    <w:p w14:paraId="1B10E43C" w14:textId="77777777" w:rsidR="00446C8E" w:rsidRPr="00BF2584" w:rsidRDefault="00446C8E" w:rsidP="001662B1">
      <w:pPr>
        <w:pStyle w:val="Heading4"/>
      </w:pPr>
      <w:r w:rsidRPr="00BF2584">
        <w:t>Extent to which self-sufficiency for PBCs/RNTBCs is achievable</w:t>
      </w:r>
    </w:p>
    <w:p w14:paraId="72108A5D" w14:textId="77777777" w:rsidR="00446C8E" w:rsidRPr="005058D7" w:rsidRDefault="00446C8E" w:rsidP="005058D7">
      <w:pPr>
        <w:pStyle w:val="Heading5"/>
      </w:pPr>
      <w:r w:rsidRPr="005058D7">
        <w:t>Level and nature of industry activity effect on PBCs in the Kimberley is varied</w:t>
      </w:r>
    </w:p>
    <w:p w14:paraId="7F99174E" w14:textId="5D57441A" w:rsidR="00446C8E" w:rsidRPr="00BF2584" w:rsidRDefault="005A4548" w:rsidP="001662B1">
      <w:pPr>
        <w:rPr>
          <w:lang w:eastAsia="en-AU"/>
        </w:rPr>
      </w:pPr>
      <w:r>
        <w:rPr>
          <w:lang w:eastAsia="en-AU"/>
        </w:rPr>
        <w:t>The l</w:t>
      </w:r>
      <w:r w:rsidR="00446C8E" w:rsidRPr="00BF2584">
        <w:rPr>
          <w:lang w:eastAsia="en-AU"/>
        </w:rPr>
        <w:t xml:space="preserve">evel and nature of industry activity in a given RATSIB area is a key indicator of the extent to which self-sufficiency is achievable. </w:t>
      </w:r>
      <w:r w:rsidR="00D6525F">
        <w:rPr>
          <w:lang w:eastAsia="en-AU"/>
        </w:rPr>
        <w:t>Resources</w:t>
      </w:r>
      <w:r w:rsidR="00446C8E" w:rsidRPr="00BF2584">
        <w:rPr>
          <w:lang w:eastAsia="en-AU"/>
        </w:rPr>
        <w:t xml:space="preserve"> derived from the available natural resources and associated mining and tourism activity </w:t>
      </w:r>
      <w:r w:rsidR="00F9545B">
        <w:rPr>
          <w:lang w:eastAsia="en-AU"/>
        </w:rPr>
        <w:t xml:space="preserve">generates </w:t>
      </w:r>
      <w:r w:rsidR="00446C8E" w:rsidRPr="00BF2584">
        <w:rPr>
          <w:lang w:eastAsia="en-AU"/>
        </w:rPr>
        <w:t xml:space="preserve">strong potential financial benefits for some PBCs in the Kimberley </w:t>
      </w:r>
      <w:r w:rsidR="00446C8E" w:rsidRPr="00BF2584">
        <w:rPr>
          <w:lang w:eastAsia="en-AU"/>
        </w:rPr>
        <w:lastRenderedPageBreak/>
        <w:t xml:space="preserve">region. However, and as highlighted earlier on </w:t>
      </w:r>
      <w:r w:rsidR="00435483">
        <w:t xml:space="preserve">under </w:t>
      </w:r>
      <w:r w:rsidR="00446C8E" w:rsidRPr="00BF2584">
        <w:rPr>
          <w:lang w:eastAsia="en-AU"/>
        </w:rPr>
        <w:t>TOR 6, 2</w:t>
      </w:r>
      <w:r w:rsidR="00EA25F8">
        <w:rPr>
          <w:lang w:eastAsia="en-AU"/>
        </w:rPr>
        <w:t>2</w:t>
      </w:r>
      <w:r w:rsidR="00446C8E" w:rsidRPr="00BF2584">
        <w:rPr>
          <w:lang w:eastAsia="en-AU"/>
        </w:rPr>
        <w:t xml:space="preserve"> of the KLC’s supported PBCs rely solely on basic support funding, indicative of a lack of sustainable income sources in these areas. </w:t>
      </w:r>
    </w:p>
    <w:p w14:paraId="799B9392" w14:textId="7695A375" w:rsidR="00446C8E" w:rsidRPr="00BF2584" w:rsidRDefault="00446C8E" w:rsidP="001662B1">
      <w:pPr>
        <w:rPr>
          <w:lang w:eastAsia="en-AU"/>
        </w:rPr>
      </w:pPr>
      <w:r w:rsidRPr="00BF2584">
        <w:rPr>
          <w:lang w:eastAsia="en-AU"/>
        </w:rPr>
        <w:t xml:space="preserve">Future Act activity in the Kimberley RATSIB area </w:t>
      </w:r>
      <w:r w:rsidR="00A96247">
        <w:rPr>
          <w:lang w:eastAsia="en-AU"/>
        </w:rPr>
        <w:t>was</w:t>
      </w:r>
      <w:r w:rsidR="00A96247" w:rsidRPr="00BF2584">
        <w:rPr>
          <w:lang w:eastAsia="en-AU"/>
        </w:rPr>
        <w:t xml:space="preserve"> </w:t>
      </w:r>
      <w:r w:rsidRPr="00BF2584">
        <w:rPr>
          <w:lang w:eastAsia="en-AU"/>
        </w:rPr>
        <w:t xml:space="preserve">markedly high relative to comparable RATSIB areas examined in the Review, as shown in </w:t>
      </w:r>
      <w:r w:rsidR="00177298">
        <w:rPr>
          <w:highlight w:val="cyan"/>
          <w:lang w:eastAsia="en-AU"/>
        </w:rPr>
        <w:fldChar w:fldCharType="begin"/>
      </w:r>
      <w:r w:rsidR="00177298">
        <w:rPr>
          <w:lang w:eastAsia="en-AU"/>
        </w:rPr>
        <w:instrText xml:space="preserve"> REF _Ref154044195 \h </w:instrText>
      </w:r>
      <w:r w:rsidR="00177298">
        <w:rPr>
          <w:highlight w:val="cyan"/>
          <w:lang w:eastAsia="en-AU"/>
        </w:rPr>
      </w:r>
      <w:r w:rsidR="00177298">
        <w:rPr>
          <w:highlight w:val="cyan"/>
          <w:lang w:eastAsia="en-AU"/>
        </w:rPr>
        <w:fldChar w:fldCharType="separate"/>
      </w:r>
      <w:r w:rsidR="00291532">
        <w:t xml:space="preserve">Table </w:t>
      </w:r>
      <w:r w:rsidR="00291532">
        <w:rPr>
          <w:noProof/>
        </w:rPr>
        <w:t>2</w:t>
      </w:r>
      <w:r w:rsidR="00177298">
        <w:rPr>
          <w:highlight w:val="cyan"/>
          <w:lang w:eastAsia="en-AU"/>
        </w:rPr>
        <w:fldChar w:fldCharType="end"/>
      </w:r>
      <w:r w:rsidRPr="00BF2584">
        <w:rPr>
          <w:lang w:eastAsia="en-AU"/>
        </w:rPr>
        <w:t xml:space="preserve">, though this activity </w:t>
      </w:r>
      <w:r w:rsidR="001A68EE">
        <w:rPr>
          <w:lang w:eastAsia="en-AU"/>
        </w:rPr>
        <w:t>was</w:t>
      </w:r>
      <w:r w:rsidR="001A68EE" w:rsidRPr="00BF2584">
        <w:rPr>
          <w:lang w:eastAsia="en-AU"/>
        </w:rPr>
        <w:t xml:space="preserve"> </w:t>
      </w:r>
      <w:r w:rsidRPr="00BF2584">
        <w:rPr>
          <w:lang w:eastAsia="en-AU"/>
        </w:rPr>
        <w:t xml:space="preserve">concentrated in </w:t>
      </w:r>
      <w:r w:rsidR="00D52C71">
        <w:rPr>
          <w:lang w:eastAsia="en-AU"/>
        </w:rPr>
        <w:t xml:space="preserve">areas </w:t>
      </w:r>
      <w:r w:rsidR="00527910">
        <w:rPr>
          <w:lang w:eastAsia="en-AU"/>
        </w:rPr>
        <w:t xml:space="preserve">impacted particularly </w:t>
      </w:r>
      <w:r w:rsidR="001E08A7">
        <w:rPr>
          <w:lang w:eastAsia="en-AU"/>
        </w:rPr>
        <w:t>by mining</w:t>
      </w:r>
      <w:r w:rsidRPr="00BF2584">
        <w:rPr>
          <w:lang w:eastAsia="en-AU"/>
        </w:rPr>
        <w:t>, benefitting only a handful of the KLC’s client PBCs.</w:t>
      </w:r>
      <w:r w:rsidR="00CE011D">
        <w:rPr>
          <w:lang w:eastAsia="en-AU"/>
        </w:rPr>
        <w:t xml:space="preserve"> </w:t>
      </w:r>
      <w:r w:rsidR="001E08A7">
        <w:rPr>
          <w:lang w:eastAsia="en-AU"/>
        </w:rPr>
        <w:t>The significant number of expedited FANs impact</w:t>
      </w:r>
      <w:r w:rsidR="00162C29">
        <w:rPr>
          <w:lang w:eastAsia="en-AU"/>
        </w:rPr>
        <w:t>ed</w:t>
      </w:r>
      <w:r w:rsidR="001E08A7">
        <w:rPr>
          <w:lang w:eastAsia="en-AU"/>
        </w:rPr>
        <w:t xml:space="preserve"> the </w:t>
      </w:r>
      <w:r w:rsidR="00D93B1F">
        <w:rPr>
          <w:lang w:eastAsia="en-AU"/>
        </w:rPr>
        <w:t xml:space="preserve">resourcing of KLC, reducing their </w:t>
      </w:r>
      <w:r w:rsidR="001E08A7">
        <w:rPr>
          <w:lang w:eastAsia="en-AU"/>
        </w:rPr>
        <w:t xml:space="preserve">ability to </w:t>
      </w:r>
      <w:r w:rsidR="00D93B1F">
        <w:rPr>
          <w:lang w:eastAsia="en-AU"/>
        </w:rPr>
        <w:t>focus resourcing on other</w:t>
      </w:r>
      <w:r w:rsidR="00D93B1F" w:rsidRPr="005A77E2">
        <w:rPr>
          <w:lang w:eastAsia="en-AU"/>
        </w:rPr>
        <w:t xml:space="preserve"> </w:t>
      </w:r>
      <w:r w:rsidR="00177298" w:rsidRPr="005A77E2">
        <w:rPr>
          <w:lang w:eastAsia="en-AU"/>
        </w:rPr>
        <w:t>NTA</w:t>
      </w:r>
      <w:r w:rsidR="00D93B1F">
        <w:rPr>
          <w:lang w:eastAsia="en-AU"/>
        </w:rPr>
        <w:t xml:space="preserve"> activities.</w:t>
      </w:r>
      <w:r w:rsidR="00CF324E">
        <w:rPr>
          <w:lang w:eastAsia="en-AU"/>
        </w:rPr>
        <w:t xml:space="preserve"> This is an issue that </w:t>
      </w:r>
      <w:r w:rsidR="006D3A5D">
        <w:rPr>
          <w:lang w:eastAsia="en-AU"/>
        </w:rPr>
        <w:t xml:space="preserve">would benefit from further </w:t>
      </w:r>
      <w:r w:rsidR="00E84180">
        <w:rPr>
          <w:lang w:eastAsia="en-AU"/>
        </w:rPr>
        <w:t xml:space="preserve">discussions between the </w:t>
      </w:r>
      <w:r w:rsidR="005C00D3">
        <w:rPr>
          <w:lang w:eastAsia="en-AU"/>
        </w:rPr>
        <w:t xml:space="preserve">Australian and </w:t>
      </w:r>
      <w:r w:rsidR="00AE249F" w:rsidRPr="00AE249F">
        <w:rPr>
          <w:lang w:eastAsia="en-AU"/>
        </w:rPr>
        <w:t xml:space="preserve">Western Australian </w:t>
      </w:r>
      <w:r w:rsidR="00E84180">
        <w:rPr>
          <w:lang w:eastAsia="en-AU"/>
        </w:rPr>
        <w:t>Government</w:t>
      </w:r>
      <w:r w:rsidR="005C00D3">
        <w:rPr>
          <w:lang w:eastAsia="en-AU"/>
        </w:rPr>
        <w:t>s.</w:t>
      </w:r>
    </w:p>
    <w:p w14:paraId="61217366" w14:textId="2410AC53" w:rsidR="00446C8E" w:rsidRDefault="00446C8E" w:rsidP="00177298">
      <w:pPr>
        <w:pStyle w:val="Heading3"/>
      </w:pPr>
      <w:r w:rsidRPr="00177298">
        <w:t>TOR 6: Recommendations</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F222EA" w:rsidRPr="00BF2584" w14:paraId="06EF4C4D" w14:textId="77777777" w:rsidTr="00F90528">
        <w:trPr>
          <w:trHeight w:val="360"/>
        </w:trPr>
        <w:tc>
          <w:tcPr>
            <w:tcW w:w="8223" w:type="dxa"/>
          </w:tcPr>
          <w:p w14:paraId="303EE92E" w14:textId="77777777" w:rsidR="00F222EA" w:rsidRPr="00BF2584" w:rsidRDefault="00F222EA" w:rsidP="00F222EA">
            <w:pPr>
              <w:spacing w:line="259" w:lineRule="auto"/>
              <w:rPr>
                <w:lang w:eastAsia="en-AU"/>
              </w:rPr>
            </w:pPr>
            <w:bookmarkStart w:id="59" w:name="_Hlk170308895"/>
            <w:r w:rsidRPr="00BF2584">
              <w:rPr>
                <w:noProof/>
                <w:lang w:eastAsia="en-AU"/>
              </w:rPr>
              <w:drawing>
                <wp:inline distT="0" distB="0" distL="0" distR="0" wp14:anchorId="20CF5AE8" wp14:editId="4DDF493A">
                  <wp:extent cx="5114199" cy="287655"/>
                  <wp:effectExtent l="0" t="0" r="0" b="0"/>
                  <wp:docPr id="647728568" name="Picture 64772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78844F9E" w14:textId="1C97978C" w:rsidR="00F222EA" w:rsidRPr="00BF2584" w:rsidRDefault="00E65199" w:rsidP="00F222EA">
            <w:pPr>
              <w:spacing w:after="100" w:afterAutospacing="1" w:line="259" w:lineRule="auto"/>
              <w:jc w:val="center"/>
              <w:rPr>
                <w:sz w:val="30"/>
                <w:szCs w:val="30"/>
                <w:lang w:eastAsia="en-AU"/>
              </w:rPr>
            </w:pPr>
            <w:r>
              <w:rPr>
                <w:color w:val="FFFFFF" w:themeColor="background1"/>
                <w:sz w:val="30"/>
                <w:szCs w:val="30"/>
                <w:lang w:eastAsia="en-AU"/>
              </w:rPr>
              <w:t>8</w:t>
            </w:r>
          </w:p>
        </w:tc>
      </w:tr>
      <w:tr w:rsidR="00F222EA" w:rsidRPr="00BF2584" w14:paraId="5A74FF6B" w14:textId="77777777" w:rsidTr="00F90528">
        <w:tc>
          <w:tcPr>
            <w:tcW w:w="8930" w:type="dxa"/>
            <w:gridSpan w:val="2"/>
            <w:tcBorders>
              <w:right w:val="single" w:sz="18" w:space="0" w:color="F8981D" w:themeColor="accent3"/>
            </w:tcBorders>
          </w:tcPr>
          <w:p w14:paraId="254EC8AB" w14:textId="77777777" w:rsidR="00F222EA" w:rsidRPr="00BF2584" w:rsidRDefault="00F222EA" w:rsidP="00F222EA">
            <w:pPr>
              <w:spacing w:line="259" w:lineRule="auto"/>
            </w:pPr>
            <w:bookmarkStart w:id="60" w:name="_Hlk167697197"/>
            <w:r>
              <w:t>Ensure ongoing mechanisms</w:t>
            </w:r>
            <w:r w:rsidRPr="00BF2584">
              <w:t xml:space="preserve"> to collect feedback from client PBCs through a formal, regularly conducted process.</w:t>
            </w:r>
            <w:bookmarkEnd w:id="60"/>
          </w:p>
        </w:tc>
      </w:tr>
      <w:tr w:rsidR="00F222EA" w:rsidRPr="00BF2584" w14:paraId="74BB2D6D" w14:textId="77777777" w:rsidTr="00F90528">
        <w:trPr>
          <w:trHeight w:val="360"/>
        </w:trPr>
        <w:tc>
          <w:tcPr>
            <w:tcW w:w="8223" w:type="dxa"/>
          </w:tcPr>
          <w:p w14:paraId="659C256D" w14:textId="77777777" w:rsidR="00F222EA" w:rsidRPr="00BF2584" w:rsidRDefault="00F222EA" w:rsidP="00F222EA">
            <w:pPr>
              <w:spacing w:line="259" w:lineRule="auto"/>
              <w:rPr>
                <w:lang w:eastAsia="en-AU"/>
              </w:rPr>
            </w:pPr>
            <w:r w:rsidRPr="00BF2584">
              <w:rPr>
                <w:noProof/>
                <w:lang w:eastAsia="en-AU"/>
              </w:rPr>
              <w:drawing>
                <wp:inline distT="0" distB="0" distL="0" distR="0" wp14:anchorId="0A0912D6" wp14:editId="19244A46">
                  <wp:extent cx="5114199" cy="287655"/>
                  <wp:effectExtent l="0" t="0" r="0" b="0"/>
                  <wp:docPr id="1106941301" name="Picture 110694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3254A7EE" w14:textId="7EC121DB" w:rsidR="00F222EA" w:rsidRPr="00BF2584" w:rsidRDefault="00E65199" w:rsidP="00F222EA">
            <w:pPr>
              <w:spacing w:after="100" w:afterAutospacing="1" w:line="259" w:lineRule="auto"/>
              <w:jc w:val="center"/>
              <w:rPr>
                <w:sz w:val="30"/>
                <w:szCs w:val="30"/>
                <w:lang w:eastAsia="en-AU"/>
              </w:rPr>
            </w:pPr>
            <w:r>
              <w:rPr>
                <w:color w:val="FFFFFF" w:themeColor="background1"/>
                <w:sz w:val="30"/>
                <w:szCs w:val="30"/>
                <w:lang w:eastAsia="en-AU"/>
              </w:rPr>
              <w:t>9</w:t>
            </w:r>
          </w:p>
        </w:tc>
      </w:tr>
      <w:tr w:rsidR="00F222EA" w:rsidRPr="00BF2584" w14:paraId="354B3224" w14:textId="77777777" w:rsidTr="00F222EA">
        <w:tc>
          <w:tcPr>
            <w:tcW w:w="8930" w:type="dxa"/>
            <w:gridSpan w:val="2"/>
            <w:tcBorders>
              <w:bottom w:val="single" w:sz="4" w:space="0" w:color="F8981D" w:themeColor="accent3"/>
              <w:right w:val="single" w:sz="18" w:space="0" w:color="F8981D" w:themeColor="accent3"/>
            </w:tcBorders>
          </w:tcPr>
          <w:p w14:paraId="4BCA91E1" w14:textId="61474B54" w:rsidR="00F222EA" w:rsidRPr="00BF2584" w:rsidRDefault="00F222EA" w:rsidP="00F222EA">
            <w:pPr>
              <w:spacing w:line="259" w:lineRule="auto"/>
            </w:pPr>
            <w:bookmarkStart w:id="61" w:name="_Hlk167697213"/>
            <w:r>
              <w:t xml:space="preserve">Ensure the Return of Cultural </w:t>
            </w:r>
            <w:r w:rsidR="00C072D2">
              <w:t>M</w:t>
            </w:r>
            <w:r>
              <w:t xml:space="preserve">aterials Policy is updated in line with the </w:t>
            </w:r>
            <w:r w:rsidR="00736449" w:rsidRPr="00736449">
              <w:t>Tommy on behalf of the Yinhawangka Gobawarrah v State of Western Australia (No 2) [2019] FCA 1551</w:t>
            </w:r>
            <w:r>
              <w:t xml:space="preserve"> ruling.</w:t>
            </w:r>
            <w:bookmarkEnd w:id="61"/>
          </w:p>
        </w:tc>
      </w:tr>
      <w:bookmarkEnd w:id="59"/>
    </w:tbl>
    <w:p w14:paraId="58008CA9" w14:textId="77777777" w:rsidR="00F90528" w:rsidRDefault="00F90528" w:rsidP="00F90528"/>
    <w:p w14:paraId="17A8463F" w14:textId="77777777" w:rsidR="00F90528" w:rsidRDefault="00F90528">
      <w:pPr>
        <w:spacing w:after="165"/>
        <w:rPr>
          <w:rFonts w:ascii="Segoe UI Semibold" w:eastAsia="Times New Roman" w:hAnsi="Segoe UI Semibold" w:cs="Times New Roman"/>
          <w:color w:val="00264D"/>
          <w:sz w:val="30"/>
          <w:szCs w:val="19"/>
          <w:lang w:eastAsia="en-AU"/>
        </w:rPr>
      </w:pPr>
      <w:r>
        <w:br w:type="page"/>
      </w:r>
    </w:p>
    <w:p w14:paraId="6D62F3F9" w14:textId="2821117A" w:rsidR="00446C8E" w:rsidRDefault="00446C8E" w:rsidP="00446C8E">
      <w:pPr>
        <w:pStyle w:val="Heading2"/>
        <w:numPr>
          <w:ilvl w:val="1"/>
          <w:numId w:val="2"/>
        </w:numPr>
        <w:ind w:left="578" w:hanging="578"/>
      </w:pPr>
      <w:bookmarkStart w:id="62" w:name="_Toc170470107"/>
      <w:r w:rsidRPr="004E41BE">
        <w:lastRenderedPageBreak/>
        <w:t>TOR 7 | Extent to which each organisation has developed its planning for a post-determination environment</w:t>
      </w:r>
      <w:r w:rsidR="007E58CA">
        <w:t>.</w:t>
      </w:r>
      <w:bookmarkEnd w:id="62"/>
    </w:p>
    <w:tbl>
      <w:tblPr>
        <w:tblStyle w:val="TableGrid"/>
        <w:tblW w:w="0" w:type="auto"/>
        <w:tblLook w:val="04A0" w:firstRow="1" w:lastRow="0" w:firstColumn="1" w:lastColumn="0" w:noHBand="0" w:noVBand="1"/>
      </w:tblPr>
      <w:tblGrid>
        <w:gridCol w:w="8930"/>
      </w:tblGrid>
      <w:tr w:rsidR="00446C8E" w14:paraId="6F850CAA" w14:textId="77777777" w:rsidTr="005058D7">
        <w:trPr>
          <w:cnfStyle w:val="100000000000" w:firstRow="1" w:lastRow="0" w:firstColumn="0" w:lastColumn="0" w:oddVBand="0" w:evenVBand="0" w:oddHBand="0" w:evenHBand="0" w:firstRowFirstColumn="0" w:firstRowLastColumn="0" w:lastRowFirstColumn="0" w:lastRowLastColumn="0"/>
        </w:trPr>
        <w:tc>
          <w:tcPr>
            <w:tcW w:w="8930" w:type="dxa"/>
          </w:tcPr>
          <w:p w14:paraId="08368AA0" w14:textId="360BDC57" w:rsidR="00446C8E" w:rsidRPr="00177298" w:rsidRDefault="00446C8E" w:rsidP="00177298">
            <w:pPr>
              <w:pStyle w:val="Longformcallout"/>
              <w:rPr>
                <w:rFonts w:asciiTheme="majorHAnsi" w:hAnsiTheme="majorHAnsi" w:cstheme="majorHAnsi"/>
              </w:rPr>
            </w:pPr>
            <w:r w:rsidRPr="00177298">
              <w:rPr>
                <w:rFonts w:asciiTheme="majorHAnsi" w:hAnsiTheme="majorHAnsi" w:cstheme="majorHAnsi"/>
              </w:rPr>
              <w:t>Summary</w:t>
            </w:r>
          </w:p>
          <w:p w14:paraId="2F70D6A5" w14:textId="702B70B3" w:rsidR="00446C8E" w:rsidRPr="002A7C69" w:rsidRDefault="00446C8E" w:rsidP="00177298">
            <w:pPr>
              <w:pStyle w:val="Longformcallout"/>
            </w:pPr>
            <w:r w:rsidRPr="002A7C69">
              <w:t xml:space="preserve">The KLC is aware </w:t>
            </w:r>
            <w:r>
              <w:t xml:space="preserve">that more and more of its native title work will sit in the post-determination space with only three per cent of its area left to be determined. This is a key consideration in its 2020-24 Strategic Plan, with </w:t>
            </w:r>
            <w:r w:rsidRPr="00837AEC">
              <w:t xml:space="preserve">PBC </w:t>
            </w:r>
            <w:r>
              <w:t>capacity building and</w:t>
            </w:r>
            <w:r w:rsidRPr="00837AEC">
              <w:t xml:space="preserve"> </w:t>
            </w:r>
            <w:r>
              <w:t xml:space="preserve">self-sufficiency </w:t>
            </w:r>
            <w:r w:rsidR="0084746D">
              <w:t>addressed</w:t>
            </w:r>
            <w:r>
              <w:t xml:space="preserve"> under each of its four objectives of empowerment in </w:t>
            </w:r>
            <w:r w:rsidR="00761BE0">
              <w:t>n</w:t>
            </w:r>
            <w:r>
              <w:t>ation building, native title rights and recognition, partnerships and relationships</w:t>
            </w:r>
            <w:r w:rsidR="00BA19E8">
              <w:t>,</w:t>
            </w:r>
            <w:r>
              <w:t xml:space="preserve"> and financially sustainable operations. The latter two objectives also focus more on the role KLC will play in the post-determination space and how its operations will be supported financially as grant funding for native title claims reduces. </w:t>
            </w:r>
          </w:p>
          <w:p w14:paraId="77877063" w14:textId="77777777" w:rsidR="00F46CB3" w:rsidRDefault="00446C8E" w:rsidP="00177298">
            <w:pPr>
              <w:pStyle w:val="Longformcallout"/>
            </w:pPr>
            <w:r>
              <w:t>The 2020-24 Strategic Plan was developed with Traditional Owner input and includes measures of success for each objective</w:t>
            </w:r>
            <w:r w:rsidR="00821992">
              <w:t>.</w:t>
            </w:r>
            <w:r>
              <w:t xml:space="preserve"> There is scope for the KLC to provide greater clarity </w:t>
            </w:r>
            <w:r w:rsidR="001B77E5">
              <w:t>on</w:t>
            </w:r>
            <w:r w:rsidRPr="000969B6">
              <w:t xml:space="preserve"> how </w:t>
            </w:r>
            <w:r>
              <w:t>objectives</w:t>
            </w:r>
            <w:r w:rsidRPr="000969B6">
              <w:t xml:space="preserve"> </w:t>
            </w:r>
            <w:r>
              <w:t xml:space="preserve">and targets </w:t>
            </w:r>
            <w:r w:rsidRPr="000969B6">
              <w:t xml:space="preserve">will </w:t>
            </w:r>
            <w:r>
              <w:t xml:space="preserve">specifically </w:t>
            </w:r>
            <w:r w:rsidRPr="000969B6">
              <w:t>be achieved</w:t>
            </w:r>
            <w:r>
              <w:t xml:space="preserve">. </w:t>
            </w:r>
          </w:p>
          <w:p w14:paraId="1044BCED" w14:textId="6F130EF4" w:rsidR="001E123E" w:rsidRDefault="001E123E" w:rsidP="00177298">
            <w:pPr>
              <w:pStyle w:val="Longformcallout"/>
            </w:pPr>
            <w:r w:rsidRPr="001E123E">
              <w:t xml:space="preserve">The KLC used its platform to </w:t>
            </w:r>
            <w:r w:rsidR="00606BF3">
              <w:t xml:space="preserve">consult with and </w:t>
            </w:r>
            <w:r w:rsidRPr="001E123E">
              <w:t xml:space="preserve">advocate for PBCs in reform of matters related to native title </w:t>
            </w:r>
            <w:r>
              <w:t xml:space="preserve">across the </w:t>
            </w:r>
            <w:r w:rsidR="00DA6186">
              <w:t>R</w:t>
            </w:r>
            <w:r>
              <w:t>eview period</w:t>
            </w:r>
            <w:r w:rsidR="00733E00">
              <w:t xml:space="preserve">, </w:t>
            </w:r>
            <w:r w:rsidR="005A1CA1">
              <w:t>in line with its commitment to</w:t>
            </w:r>
            <w:r w:rsidR="0031133A">
              <w:t xml:space="preserve"> </w:t>
            </w:r>
            <w:r w:rsidR="00606BF3">
              <w:t>influence in the post-determination period.</w:t>
            </w:r>
          </w:p>
          <w:p w14:paraId="426D2083" w14:textId="3923E8C5" w:rsidR="00446C8E" w:rsidRDefault="00446C8E" w:rsidP="00177298">
            <w:pPr>
              <w:pStyle w:val="Longformcallout"/>
            </w:pPr>
            <w:r>
              <w:t xml:space="preserve">Some native title holders raised concerns that the KLC’s need for long-term financial sustainability </w:t>
            </w:r>
            <w:r w:rsidR="00C60C34">
              <w:t>risks putting</w:t>
            </w:r>
            <w:r w:rsidR="003D1E95">
              <w:t xml:space="preserve"> </w:t>
            </w:r>
            <w:r>
              <w:t xml:space="preserve">it into economic competition with PBCs, therefore potentially limiting their progress towards autonomy. </w:t>
            </w:r>
          </w:p>
        </w:tc>
      </w:tr>
    </w:tbl>
    <w:p w14:paraId="6B79CFDA" w14:textId="77777777" w:rsidR="00446C8E" w:rsidRDefault="00446C8E" w:rsidP="007630C9">
      <w:pPr>
        <w:pStyle w:val="Heading3"/>
        <w:numPr>
          <w:ilvl w:val="2"/>
          <w:numId w:val="26"/>
        </w:numPr>
      </w:pPr>
      <w:r>
        <w:t xml:space="preserve">TOR 7: </w:t>
      </w:r>
      <w:r w:rsidRPr="00E85100">
        <w:t>Assessment</w:t>
      </w:r>
      <w:r>
        <w:t xml:space="preserve"> of performance</w:t>
      </w:r>
    </w:p>
    <w:p w14:paraId="5B8FF955" w14:textId="2F601335" w:rsidR="00F12A45" w:rsidRPr="00F12A45" w:rsidRDefault="00F12A45" w:rsidP="00F12A45">
      <w:pPr>
        <w:rPr>
          <w:lang w:eastAsia="en-AU"/>
        </w:rPr>
      </w:pPr>
      <w:r w:rsidRPr="00F12A45">
        <w:rPr>
          <w:lang w:eastAsia="en-AU"/>
        </w:rPr>
        <w:t>This section presents an assessment of performance against the performance indicators for this TOR. To see the performance indicators please see</w:t>
      </w:r>
      <w:r>
        <w:rPr>
          <w:lang w:eastAsia="en-AU"/>
        </w:rPr>
        <w:t xml:space="preserve"> </w:t>
      </w:r>
      <w:r>
        <w:rPr>
          <w:lang w:eastAsia="en-AU"/>
        </w:rPr>
        <w:fldChar w:fldCharType="begin"/>
      </w:r>
      <w:r>
        <w:rPr>
          <w:lang w:eastAsia="en-AU"/>
        </w:rPr>
        <w:instrText xml:space="preserve"> REF _Ref163046335 \n \h </w:instrText>
      </w:r>
      <w:r>
        <w:rPr>
          <w:lang w:eastAsia="en-AU"/>
        </w:rPr>
      </w:r>
      <w:r>
        <w:rPr>
          <w:lang w:eastAsia="en-AU"/>
        </w:rPr>
        <w:fldChar w:fldCharType="separate"/>
      </w:r>
      <w:r w:rsidR="00291532">
        <w:rPr>
          <w:lang w:eastAsia="en-AU"/>
        </w:rPr>
        <w:t>Appendix A</w:t>
      </w:r>
      <w:r>
        <w:rPr>
          <w:lang w:eastAsia="en-AU"/>
        </w:rPr>
        <w:fldChar w:fldCharType="end"/>
      </w:r>
      <w:r w:rsidRPr="00F12A45">
        <w:rPr>
          <w:lang w:eastAsia="en-AU"/>
        </w:rPr>
        <w:t>.</w:t>
      </w:r>
    </w:p>
    <w:p w14:paraId="3B27DCAD" w14:textId="77777777" w:rsidR="00446C8E" w:rsidRDefault="00446C8E" w:rsidP="00446C8E">
      <w:pPr>
        <w:pStyle w:val="Heading4"/>
      </w:pPr>
      <w:r w:rsidRPr="006C5B7E">
        <w:t xml:space="preserve">Adequacy of </w:t>
      </w:r>
      <w:r>
        <w:t>post-determination strategic planning</w:t>
      </w:r>
    </w:p>
    <w:p w14:paraId="0349A3B4" w14:textId="77777777" w:rsidR="00446C8E" w:rsidRPr="00C775E2" w:rsidRDefault="00446C8E" w:rsidP="00446C8E">
      <w:pPr>
        <w:pStyle w:val="Heading6"/>
        <w:numPr>
          <w:ilvl w:val="5"/>
          <w:numId w:val="2"/>
        </w:numPr>
        <w:rPr>
          <w:rFonts w:eastAsiaTheme="minorHAnsi" w:cstheme="minorBidi"/>
          <w:bCs/>
          <w:i w:val="0"/>
          <w:iCs w:val="0"/>
          <w:color w:val="auto"/>
          <w:szCs w:val="22"/>
        </w:rPr>
      </w:pPr>
      <w:r w:rsidRPr="00C775E2">
        <w:rPr>
          <w:rFonts w:eastAsiaTheme="minorHAnsi" w:cstheme="minorBidi"/>
          <w:bCs/>
          <w:i w:val="0"/>
          <w:iCs w:val="0"/>
          <w:color w:val="auto"/>
          <w:szCs w:val="22"/>
        </w:rPr>
        <w:t>The KLC has a strategic plan in place for a post-determination environment</w:t>
      </w:r>
    </w:p>
    <w:p w14:paraId="68CC1A00" w14:textId="22D53234" w:rsidR="00A13392" w:rsidRDefault="00446C8E" w:rsidP="00446C8E">
      <w:pPr>
        <w:rPr>
          <w:lang w:eastAsia="en-AU"/>
        </w:rPr>
      </w:pPr>
      <w:r>
        <w:rPr>
          <w:lang w:eastAsia="en-AU"/>
        </w:rPr>
        <w:t>The KLC does not have a specific post-determination plan, however a large part of its 2020-24 Strategic Plan relates to the post-determination environment</w:t>
      </w:r>
      <w:r w:rsidR="0066675A">
        <w:rPr>
          <w:lang w:eastAsia="en-AU"/>
        </w:rPr>
        <w:t xml:space="preserve">. The </w:t>
      </w:r>
      <w:r w:rsidR="00E974DB">
        <w:rPr>
          <w:lang w:eastAsia="en-AU"/>
        </w:rPr>
        <w:t>2020-24 Strategic Plan</w:t>
      </w:r>
      <w:r w:rsidR="00E974DB" w:rsidDel="00E974DB">
        <w:rPr>
          <w:lang w:eastAsia="en-AU"/>
        </w:rPr>
        <w:t xml:space="preserve"> </w:t>
      </w:r>
      <w:r>
        <w:rPr>
          <w:lang w:eastAsia="en-AU"/>
        </w:rPr>
        <w:t xml:space="preserve">provides a </w:t>
      </w:r>
      <w:r w:rsidR="0066675A">
        <w:rPr>
          <w:lang w:eastAsia="en-AU"/>
        </w:rPr>
        <w:t>high-level</w:t>
      </w:r>
      <w:r>
        <w:rPr>
          <w:lang w:eastAsia="en-AU"/>
        </w:rPr>
        <w:t xml:space="preserve"> framework to guide the organisation’s direction as </w:t>
      </w:r>
      <w:r w:rsidR="00211AC2">
        <w:rPr>
          <w:lang w:eastAsia="en-AU"/>
        </w:rPr>
        <w:t xml:space="preserve">claims activity decreases </w:t>
      </w:r>
      <w:r>
        <w:rPr>
          <w:lang w:eastAsia="en-AU"/>
        </w:rPr>
        <w:t>and PBCs develop in the RATSIB area.</w:t>
      </w:r>
      <w:r>
        <w:rPr>
          <w:rStyle w:val="FootnoteReference"/>
          <w:lang w:eastAsia="en-AU"/>
        </w:rPr>
        <w:footnoteReference w:id="44"/>
      </w:r>
    </w:p>
    <w:p w14:paraId="77C8C72D" w14:textId="33D7B92B" w:rsidR="00A13392" w:rsidRDefault="00A13392" w:rsidP="00A13392">
      <w:pPr>
        <w:rPr>
          <w:lang w:eastAsia="en-AU"/>
        </w:rPr>
      </w:pPr>
      <w:r>
        <w:rPr>
          <w:lang w:eastAsia="en-AU"/>
        </w:rPr>
        <w:t xml:space="preserve">The emphasis the KLC places on supporting PBCs is clear from the </w:t>
      </w:r>
      <w:r w:rsidR="00E974DB">
        <w:rPr>
          <w:lang w:eastAsia="en-AU"/>
        </w:rPr>
        <w:t>2020-24 Strategic Plan</w:t>
      </w:r>
      <w:r w:rsidR="00E974DB" w:rsidDel="00E974DB">
        <w:rPr>
          <w:lang w:eastAsia="en-AU"/>
        </w:rPr>
        <w:t xml:space="preserve"> </w:t>
      </w:r>
      <w:r>
        <w:rPr>
          <w:lang w:eastAsia="en-AU"/>
        </w:rPr>
        <w:t xml:space="preserve">which states: </w:t>
      </w:r>
    </w:p>
    <w:p w14:paraId="6C8DFB03" w14:textId="4A68FB57" w:rsidR="00A13392" w:rsidRPr="00177298" w:rsidRDefault="00A13392" w:rsidP="00A13392">
      <w:pPr>
        <w:pStyle w:val="ListParagraph"/>
        <w:rPr>
          <w:i/>
          <w:iCs/>
          <w:lang w:eastAsia="en-AU"/>
        </w:rPr>
      </w:pPr>
      <w:r w:rsidRPr="00177298">
        <w:rPr>
          <w:i/>
          <w:iCs/>
          <w:lang w:eastAsia="en-AU"/>
        </w:rPr>
        <w:t>Collectively these objectives are seen as the driving force to empowering PBC</w:t>
      </w:r>
      <w:r w:rsidR="00F211C7">
        <w:rPr>
          <w:i/>
          <w:iCs/>
          <w:lang w:eastAsia="en-AU"/>
        </w:rPr>
        <w:t>’</w:t>
      </w:r>
      <w:r w:rsidRPr="00177298">
        <w:rPr>
          <w:i/>
          <w:iCs/>
          <w:lang w:eastAsia="en-AU"/>
        </w:rPr>
        <w:t>s capacity and capability for all PBCs to be in a position to run themselves and benefit from opportunities through their ownership, partnership and engagement in economic development, strategic partnerships and joint ventures.</w:t>
      </w:r>
    </w:p>
    <w:p w14:paraId="6E602531" w14:textId="69698D8F" w:rsidR="0015138F" w:rsidRDefault="00446C8E" w:rsidP="00446C8E">
      <w:pPr>
        <w:rPr>
          <w:lang w:eastAsia="en-AU"/>
        </w:rPr>
      </w:pPr>
      <w:r>
        <w:rPr>
          <w:lang w:eastAsia="en-AU"/>
        </w:rPr>
        <w:t>Strategic plan objectives and related initiatives and services relating to the post</w:t>
      </w:r>
      <w:r w:rsidR="00E974DB">
        <w:rPr>
          <w:lang w:eastAsia="en-AU"/>
        </w:rPr>
        <w:t>-</w:t>
      </w:r>
      <w:r>
        <w:rPr>
          <w:lang w:eastAsia="en-AU"/>
        </w:rPr>
        <w:t xml:space="preserve">determination period are summarised in </w:t>
      </w:r>
      <w:r>
        <w:rPr>
          <w:lang w:eastAsia="en-AU"/>
        </w:rPr>
        <w:fldChar w:fldCharType="begin"/>
      </w:r>
      <w:r>
        <w:rPr>
          <w:lang w:eastAsia="en-AU"/>
        </w:rPr>
        <w:instrText xml:space="preserve"> REF _Ref142904061 \h </w:instrText>
      </w:r>
      <w:r>
        <w:rPr>
          <w:lang w:eastAsia="en-AU"/>
        </w:rPr>
      </w:r>
      <w:r>
        <w:rPr>
          <w:lang w:eastAsia="en-AU"/>
        </w:rPr>
        <w:fldChar w:fldCharType="separate"/>
      </w:r>
      <w:r w:rsidR="00291532">
        <w:t xml:space="preserve">Table </w:t>
      </w:r>
      <w:r w:rsidR="00291532">
        <w:rPr>
          <w:noProof/>
        </w:rPr>
        <w:t>18</w:t>
      </w:r>
      <w:r>
        <w:rPr>
          <w:lang w:eastAsia="en-AU"/>
        </w:rPr>
        <w:fldChar w:fldCharType="end"/>
      </w:r>
      <w:r>
        <w:rPr>
          <w:lang w:eastAsia="en-AU"/>
        </w:rPr>
        <w:t xml:space="preserve">. </w:t>
      </w:r>
    </w:p>
    <w:p w14:paraId="6DA8A77C" w14:textId="77B7D000" w:rsidR="00446C8E" w:rsidRDefault="00446C8E" w:rsidP="00446C8E">
      <w:pPr>
        <w:pStyle w:val="Caption"/>
        <w:rPr>
          <w:lang w:eastAsia="en-AU"/>
        </w:rPr>
      </w:pPr>
      <w:bookmarkStart w:id="63" w:name="_Ref142904061"/>
      <w:r>
        <w:lastRenderedPageBreak/>
        <w:t xml:space="preserve">Table </w:t>
      </w:r>
      <w:r>
        <w:fldChar w:fldCharType="begin"/>
      </w:r>
      <w:r>
        <w:instrText xml:space="preserve"> SEQ Table \* ARABIC </w:instrText>
      </w:r>
      <w:r>
        <w:fldChar w:fldCharType="separate"/>
      </w:r>
      <w:r w:rsidR="00291532">
        <w:rPr>
          <w:noProof/>
        </w:rPr>
        <w:t>18</w:t>
      </w:r>
      <w:r>
        <w:fldChar w:fldCharType="end"/>
      </w:r>
      <w:bookmarkEnd w:id="63"/>
      <w:r>
        <w:t xml:space="preserve"> | </w:t>
      </w:r>
      <w:r w:rsidRPr="00C37313">
        <w:t>KLC's 20</w:t>
      </w:r>
      <w:r>
        <w:t>20</w:t>
      </w:r>
      <w:r w:rsidR="006575A9">
        <w:t>-</w:t>
      </w:r>
      <w:r w:rsidRPr="00C37313">
        <w:t>2</w:t>
      </w:r>
      <w:r>
        <w:t>4</w:t>
      </w:r>
      <w:r w:rsidRPr="00C37313">
        <w:t xml:space="preserve"> Strategic Plan objectives relevant to post-determination</w:t>
      </w:r>
      <w:r>
        <w:rPr>
          <w:rStyle w:val="FootnoteReference"/>
        </w:rPr>
        <w:footnoteReference w:id="45"/>
      </w:r>
      <w:r w:rsidRPr="00C37313">
        <w:t xml:space="preserve"> </w:t>
      </w:r>
    </w:p>
    <w:tbl>
      <w:tblPr>
        <w:tblStyle w:val="TableGrid"/>
        <w:tblW w:w="5000" w:type="pct"/>
        <w:tblLook w:val="04A0" w:firstRow="1" w:lastRow="0" w:firstColumn="1" w:lastColumn="0" w:noHBand="0" w:noVBand="1"/>
      </w:tblPr>
      <w:tblGrid>
        <w:gridCol w:w="1264"/>
        <w:gridCol w:w="1766"/>
        <w:gridCol w:w="2950"/>
        <w:gridCol w:w="2950"/>
      </w:tblGrid>
      <w:tr w:rsidR="00D34B34" w14:paraId="5F9AEB49" w14:textId="77777777" w:rsidTr="002C4C27">
        <w:trPr>
          <w:cnfStyle w:val="100000000000" w:firstRow="1" w:lastRow="0" w:firstColumn="0" w:lastColumn="0" w:oddVBand="0" w:evenVBand="0" w:oddHBand="0" w:evenHBand="0" w:firstRowFirstColumn="0" w:firstRowLastColumn="0" w:lastRowFirstColumn="0" w:lastRowLastColumn="0"/>
        </w:trPr>
        <w:tc>
          <w:tcPr>
            <w:tcW w:w="707" w:type="pct"/>
          </w:tcPr>
          <w:p w14:paraId="7A2E36F4" w14:textId="77777777" w:rsidR="00446C8E" w:rsidRDefault="00446C8E" w:rsidP="006575A9">
            <w:pPr>
              <w:pStyle w:val="TableNheader"/>
              <w:rPr>
                <w:lang w:eastAsia="en-AU"/>
              </w:rPr>
            </w:pPr>
            <w:r>
              <w:rPr>
                <w:lang w:eastAsia="en-AU"/>
              </w:rPr>
              <w:t>Objective</w:t>
            </w:r>
          </w:p>
        </w:tc>
        <w:tc>
          <w:tcPr>
            <w:tcW w:w="989" w:type="pct"/>
          </w:tcPr>
          <w:p w14:paraId="59FF3908" w14:textId="77777777" w:rsidR="00446C8E" w:rsidRDefault="00446C8E" w:rsidP="006575A9">
            <w:pPr>
              <w:pStyle w:val="TableNheader"/>
              <w:rPr>
                <w:lang w:eastAsia="en-AU"/>
              </w:rPr>
            </w:pPr>
            <w:r>
              <w:rPr>
                <w:lang w:eastAsia="en-AU"/>
              </w:rPr>
              <w:t>Description</w:t>
            </w:r>
          </w:p>
        </w:tc>
        <w:tc>
          <w:tcPr>
            <w:tcW w:w="1652" w:type="pct"/>
          </w:tcPr>
          <w:p w14:paraId="2F3BD4A1" w14:textId="77777777" w:rsidR="00446C8E" w:rsidRDefault="00446C8E" w:rsidP="006575A9">
            <w:pPr>
              <w:pStyle w:val="TableNheader"/>
              <w:rPr>
                <w:lang w:eastAsia="en-AU"/>
              </w:rPr>
            </w:pPr>
            <w:r>
              <w:rPr>
                <w:lang w:eastAsia="en-AU"/>
              </w:rPr>
              <w:t>Key services and projects</w:t>
            </w:r>
          </w:p>
        </w:tc>
        <w:tc>
          <w:tcPr>
            <w:tcW w:w="1652" w:type="pct"/>
          </w:tcPr>
          <w:p w14:paraId="2558ED78" w14:textId="4ED99A76" w:rsidR="00446C8E" w:rsidRDefault="00446C8E" w:rsidP="006575A9">
            <w:pPr>
              <w:pStyle w:val="TableNheader"/>
              <w:rPr>
                <w:lang w:eastAsia="en-AU"/>
              </w:rPr>
            </w:pPr>
            <w:r>
              <w:rPr>
                <w:lang w:eastAsia="en-AU"/>
              </w:rPr>
              <w:t xml:space="preserve">Key </w:t>
            </w:r>
            <w:r w:rsidR="008C194A">
              <w:rPr>
                <w:lang w:eastAsia="en-AU"/>
              </w:rPr>
              <w:t>performance indicato</w:t>
            </w:r>
            <w:r>
              <w:rPr>
                <w:lang w:eastAsia="en-AU"/>
              </w:rPr>
              <w:t>rs</w:t>
            </w:r>
          </w:p>
        </w:tc>
      </w:tr>
      <w:tr w:rsidR="00446C8E" w14:paraId="7392F48E" w14:textId="77777777" w:rsidTr="002C4C27">
        <w:trPr>
          <w:cnfStyle w:val="000000100000" w:firstRow="0" w:lastRow="0" w:firstColumn="0" w:lastColumn="0" w:oddVBand="0" w:evenVBand="0" w:oddHBand="1" w:evenHBand="0" w:firstRowFirstColumn="0" w:firstRowLastColumn="0" w:lastRowFirstColumn="0" w:lastRowLastColumn="0"/>
        </w:trPr>
        <w:tc>
          <w:tcPr>
            <w:tcW w:w="707" w:type="pct"/>
            <w:vAlign w:val="top"/>
          </w:tcPr>
          <w:p w14:paraId="55412F6D" w14:textId="07767C58" w:rsidR="00446C8E" w:rsidRPr="00060B79" w:rsidRDefault="00446C8E" w:rsidP="003A7BD9">
            <w:pPr>
              <w:pStyle w:val="TableNText"/>
              <w:rPr>
                <w:lang w:eastAsia="en-AU"/>
              </w:rPr>
            </w:pPr>
            <w:r w:rsidRPr="00060B79">
              <w:rPr>
                <w:lang w:eastAsia="en-AU"/>
              </w:rPr>
              <w:t xml:space="preserve">Empowerment in </w:t>
            </w:r>
            <w:r w:rsidR="006575A9" w:rsidRPr="00060B79">
              <w:rPr>
                <w:lang w:eastAsia="en-AU"/>
              </w:rPr>
              <w:t>nation building</w:t>
            </w:r>
          </w:p>
        </w:tc>
        <w:tc>
          <w:tcPr>
            <w:tcW w:w="989" w:type="pct"/>
            <w:vAlign w:val="top"/>
          </w:tcPr>
          <w:p w14:paraId="40C5559E" w14:textId="4B7D7B6A" w:rsidR="00446C8E" w:rsidRPr="00060B79" w:rsidRDefault="00446C8E" w:rsidP="003A7BD9">
            <w:pPr>
              <w:pStyle w:val="TableNText"/>
              <w:rPr>
                <w:lang w:eastAsia="en-AU"/>
              </w:rPr>
            </w:pPr>
            <w:r w:rsidRPr="00060B79">
              <w:rPr>
                <w:lang w:eastAsia="en-AU"/>
              </w:rPr>
              <w:t xml:space="preserve">To redress the impact and imbalance from the erosion of </w:t>
            </w:r>
            <w:r w:rsidR="008C194A" w:rsidRPr="00060B79">
              <w:rPr>
                <w:lang w:eastAsia="en-AU"/>
              </w:rPr>
              <w:t xml:space="preserve">Traditional Owner </w:t>
            </w:r>
            <w:r w:rsidRPr="00060B79">
              <w:rPr>
                <w:lang w:eastAsia="en-AU"/>
              </w:rPr>
              <w:t>values and structures created from a historical legacy of colonial culture and western society</w:t>
            </w:r>
            <w:r w:rsidR="006575A9">
              <w:rPr>
                <w:lang w:eastAsia="en-AU"/>
              </w:rPr>
              <w:t>.</w:t>
            </w:r>
          </w:p>
        </w:tc>
        <w:tc>
          <w:tcPr>
            <w:tcW w:w="1652" w:type="pct"/>
            <w:vAlign w:val="top"/>
          </w:tcPr>
          <w:p w14:paraId="6D727340" w14:textId="109855CB" w:rsidR="00446C8E" w:rsidRDefault="00446C8E" w:rsidP="003A7BD9">
            <w:pPr>
              <w:pStyle w:val="TableNBullet"/>
            </w:pPr>
            <w:r>
              <w:t>Facilitates, fosters and advocates First Nations building with T</w:t>
            </w:r>
            <w:r w:rsidR="006575A9">
              <w:t xml:space="preserve">raditional </w:t>
            </w:r>
            <w:r>
              <w:t>O</w:t>
            </w:r>
            <w:r w:rsidR="006575A9">
              <w:t>wner</w:t>
            </w:r>
            <w:r>
              <w:t>s, their PBCs and peak Kimberley organisations</w:t>
            </w:r>
            <w:r w:rsidR="006575A9">
              <w:t>.</w:t>
            </w:r>
          </w:p>
          <w:p w14:paraId="5ABC4AD2" w14:textId="708BCDCB" w:rsidR="00446C8E" w:rsidRDefault="00446C8E" w:rsidP="003A7BD9">
            <w:pPr>
              <w:pStyle w:val="TableNBullet"/>
            </w:pPr>
            <w:r>
              <w:t xml:space="preserve">Works with </w:t>
            </w:r>
            <w:r w:rsidR="006575A9">
              <w:t xml:space="preserve">Traditional Owners </w:t>
            </w:r>
            <w:r>
              <w:t>to build their PBCs aligned to their constitutional objectives</w:t>
            </w:r>
            <w:r w:rsidR="006575A9">
              <w:t>.</w:t>
            </w:r>
          </w:p>
          <w:p w14:paraId="048F3BC6" w14:textId="7358F60D" w:rsidR="00446C8E" w:rsidRDefault="00446C8E" w:rsidP="003A7BD9">
            <w:pPr>
              <w:pStyle w:val="TableNBullet"/>
            </w:pPr>
            <w:r>
              <w:t xml:space="preserve">Provides opportunity for Kimberley PBCs to engage regionally in </w:t>
            </w:r>
            <w:r w:rsidR="006575A9">
              <w:t>collaborative forums.</w:t>
            </w:r>
          </w:p>
          <w:p w14:paraId="05F4DA79" w14:textId="06DE1073" w:rsidR="00446C8E" w:rsidRDefault="00446C8E" w:rsidP="003A7BD9">
            <w:pPr>
              <w:pStyle w:val="TableNBullet"/>
            </w:pPr>
            <w:r>
              <w:t xml:space="preserve">Provides support to PBCs in developing their </w:t>
            </w:r>
            <w:r w:rsidR="006575A9">
              <w:t>strategic pla</w:t>
            </w:r>
            <w:r>
              <w:t>ns and corporate governance</w:t>
            </w:r>
            <w:r w:rsidR="006575A9">
              <w:t>.</w:t>
            </w:r>
          </w:p>
          <w:p w14:paraId="1D6E08A2" w14:textId="23C5824D" w:rsidR="00446C8E" w:rsidRDefault="00446C8E" w:rsidP="003A7BD9">
            <w:pPr>
              <w:pStyle w:val="TableNBullet"/>
            </w:pPr>
            <w:r>
              <w:t xml:space="preserve">Formalises the responsibilities and accountabilities that the KLC and PBCs have to </w:t>
            </w:r>
            <w:r w:rsidR="006575A9">
              <w:t xml:space="preserve">Traditional Owners </w:t>
            </w:r>
            <w:r>
              <w:t xml:space="preserve">through </w:t>
            </w:r>
            <w:r w:rsidR="00D34B34" w:rsidRPr="00D34B34">
              <w:t>memorandum of understanding</w:t>
            </w:r>
            <w:r w:rsidR="00D34B34">
              <w:t>s (</w:t>
            </w:r>
            <w:r>
              <w:t>MOUs</w:t>
            </w:r>
            <w:r w:rsidR="00D34B34">
              <w:t>)</w:t>
            </w:r>
            <w:r>
              <w:t xml:space="preserve"> and </w:t>
            </w:r>
            <w:r w:rsidR="00D34B34">
              <w:t>service agreements.</w:t>
            </w:r>
          </w:p>
        </w:tc>
        <w:tc>
          <w:tcPr>
            <w:tcW w:w="1652" w:type="pct"/>
            <w:vAlign w:val="top"/>
          </w:tcPr>
          <w:p w14:paraId="214DFCEE" w14:textId="4BB8CC00" w:rsidR="00446C8E" w:rsidRDefault="00446C8E" w:rsidP="003A7BD9">
            <w:pPr>
              <w:pStyle w:val="TableNBullet"/>
            </w:pPr>
            <w:r>
              <w:t xml:space="preserve">Number of economic opportunities for PBCs and </w:t>
            </w:r>
            <w:r w:rsidR="00D34B34">
              <w:t xml:space="preserve">Traditional Owner </w:t>
            </w:r>
            <w:r>
              <w:t>groups facilitated by the KLC</w:t>
            </w:r>
            <w:r w:rsidR="00D34B34">
              <w:t>.</w:t>
            </w:r>
          </w:p>
          <w:p w14:paraId="47ECF447" w14:textId="6B593FAF" w:rsidR="00446C8E" w:rsidRDefault="00446C8E" w:rsidP="003A7BD9">
            <w:pPr>
              <w:pStyle w:val="TableNBullet"/>
            </w:pPr>
            <w:r>
              <w:t>Number of MOU/</w:t>
            </w:r>
            <w:r w:rsidR="00D34B34">
              <w:t xml:space="preserve">service agreements </w:t>
            </w:r>
            <w:r>
              <w:t>with PBCs</w:t>
            </w:r>
            <w:r w:rsidR="00D34B34">
              <w:t>.</w:t>
            </w:r>
          </w:p>
          <w:p w14:paraId="68641C03" w14:textId="6CD34EC5" w:rsidR="00446C8E" w:rsidRDefault="00446C8E" w:rsidP="003A7BD9">
            <w:pPr>
              <w:pStyle w:val="TableNBullet"/>
            </w:pPr>
            <w:r>
              <w:t>Number of PBCs who have the capacity to run themselves</w:t>
            </w:r>
            <w:r w:rsidR="00D34B34">
              <w:t>.</w:t>
            </w:r>
          </w:p>
          <w:p w14:paraId="63937F39" w14:textId="1A66B24A" w:rsidR="00446C8E" w:rsidRDefault="00446C8E" w:rsidP="003A7BD9">
            <w:pPr>
              <w:pStyle w:val="TableNBullet"/>
            </w:pPr>
            <w:r>
              <w:t xml:space="preserve">Number of PBCs and </w:t>
            </w:r>
            <w:r w:rsidR="00D34B34">
              <w:t xml:space="preserve">Traditional Owner </w:t>
            </w:r>
            <w:r>
              <w:t xml:space="preserve">groups with </w:t>
            </w:r>
            <w:r w:rsidR="00D34B34">
              <w:t>s</w:t>
            </w:r>
            <w:r>
              <w:t xml:space="preserve">trategic partnerships and </w:t>
            </w:r>
            <w:r w:rsidR="00D34B34">
              <w:t>j</w:t>
            </w:r>
            <w:r>
              <w:t>oint ventures driving economic development</w:t>
            </w:r>
            <w:r w:rsidR="00D34B34">
              <w:t>.</w:t>
            </w:r>
          </w:p>
          <w:p w14:paraId="2C848945" w14:textId="78BBD9D4" w:rsidR="00446C8E" w:rsidRDefault="00446C8E" w:rsidP="003A7BD9">
            <w:pPr>
              <w:pStyle w:val="TableNBullet"/>
            </w:pPr>
            <w:r>
              <w:t xml:space="preserve">Level of engagement of </w:t>
            </w:r>
            <w:r w:rsidR="00D34B34">
              <w:t xml:space="preserve">Traditional Owners </w:t>
            </w:r>
            <w:r>
              <w:t>in KLC nation building activities</w:t>
            </w:r>
            <w:r w:rsidR="00D34B34">
              <w:t>.</w:t>
            </w:r>
          </w:p>
        </w:tc>
      </w:tr>
      <w:tr w:rsidR="00446C8E" w14:paraId="5B791CE2" w14:textId="77777777" w:rsidTr="002C4C27">
        <w:trPr>
          <w:cnfStyle w:val="000000010000" w:firstRow="0" w:lastRow="0" w:firstColumn="0" w:lastColumn="0" w:oddVBand="0" w:evenVBand="0" w:oddHBand="0" w:evenHBand="1" w:firstRowFirstColumn="0" w:firstRowLastColumn="0" w:lastRowFirstColumn="0" w:lastRowLastColumn="0"/>
        </w:trPr>
        <w:tc>
          <w:tcPr>
            <w:tcW w:w="707" w:type="pct"/>
            <w:vAlign w:val="top"/>
          </w:tcPr>
          <w:p w14:paraId="67BCD947" w14:textId="2668A777" w:rsidR="00446C8E" w:rsidRPr="00060B79" w:rsidRDefault="00446C8E" w:rsidP="003A7BD9">
            <w:pPr>
              <w:pStyle w:val="TableNText"/>
              <w:rPr>
                <w:lang w:eastAsia="en-AU"/>
              </w:rPr>
            </w:pPr>
            <w:r w:rsidRPr="00060B79">
              <w:rPr>
                <w:lang w:eastAsia="en-AU"/>
              </w:rPr>
              <w:t xml:space="preserve">Native </w:t>
            </w:r>
            <w:r w:rsidR="006575A9" w:rsidRPr="00060B79">
              <w:rPr>
                <w:lang w:eastAsia="en-AU"/>
              </w:rPr>
              <w:t xml:space="preserve">title </w:t>
            </w:r>
            <w:r w:rsidRPr="00060B79">
              <w:rPr>
                <w:lang w:eastAsia="en-AU"/>
              </w:rPr>
              <w:t>rights and recognition</w:t>
            </w:r>
          </w:p>
        </w:tc>
        <w:tc>
          <w:tcPr>
            <w:tcW w:w="989" w:type="pct"/>
            <w:vAlign w:val="top"/>
          </w:tcPr>
          <w:p w14:paraId="52E875FF" w14:textId="7BB4A79F" w:rsidR="00446C8E" w:rsidRPr="00060B79" w:rsidRDefault="00446C8E" w:rsidP="003A7BD9">
            <w:pPr>
              <w:pStyle w:val="TableNText"/>
              <w:rPr>
                <w:lang w:eastAsia="en-AU"/>
              </w:rPr>
            </w:pPr>
            <w:r w:rsidRPr="00060B79">
              <w:rPr>
                <w:lang w:eastAsia="en-AU"/>
              </w:rPr>
              <w:t xml:space="preserve">To protect and continue to access and build our rights and interests, culture and values that are central to our relationships, connections and responsibilities to land and </w:t>
            </w:r>
            <w:r w:rsidR="003A7BD9" w:rsidRPr="00060B79">
              <w:rPr>
                <w:lang w:eastAsia="en-AU"/>
              </w:rPr>
              <w:t>native title</w:t>
            </w:r>
            <w:r w:rsidR="003A7BD9">
              <w:rPr>
                <w:lang w:eastAsia="en-AU"/>
              </w:rPr>
              <w:t>.</w:t>
            </w:r>
          </w:p>
        </w:tc>
        <w:tc>
          <w:tcPr>
            <w:tcW w:w="1652" w:type="pct"/>
            <w:vAlign w:val="top"/>
          </w:tcPr>
          <w:p w14:paraId="3B03A57B" w14:textId="7A406B4B" w:rsidR="00446C8E" w:rsidRDefault="00446C8E" w:rsidP="003A7BD9">
            <w:pPr>
              <w:pStyle w:val="TableNBullet"/>
            </w:pPr>
            <w:r>
              <w:t xml:space="preserve">Represents </w:t>
            </w:r>
            <w:r w:rsidR="003A7BD9">
              <w:t xml:space="preserve">Traditional Owners </w:t>
            </w:r>
            <w:r>
              <w:t>in filing strong and successful compensation claims</w:t>
            </w:r>
            <w:r w:rsidR="003A7BD9">
              <w:t>.</w:t>
            </w:r>
          </w:p>
          <w:p w14:paraId="15F04477" w14:textId="6742324C" w:rsidR="00446C8E" w:rsidRDefault="00446C8E" w:rsidP="003A7BD9">
            <w:pPr>
              <w:pStyle w:val="TableNBullet"/>
            </w:pPr>
            <w:r>
              <w:t xml:space="preserve">Represents PBCs and </w:t>
            </w:r>
            <w:r w:rsidR="00C20D26">
              <w:t>c</w:t>
            </w:r>
            <w:r>
              <w:t xml:space="preserve">laim </w:t>
            </w:r>
            <w:r w:rsidR="00C20D26">
              <w:t>g</w:t>
            </w:r>
            <w:r>
              <w:t>roups on Future Acts and negotiating contracts through agreement making</w:t>
            </w:r>
            <w:r w:rsidR="003A7BD9">
              <w:t>.</w:t>
            </w:r>
          </w:p>
          <w:p w14:paraId="3D7F4878" w14:textId="6E9D666A" w:rsidR="00446C8E" w:rsidRDefault="00446C8E" w:rsidP="003A7BD9">
            <w:pPr>
              <w:pStyle w:val="TableNBullet"/>
            </w:pPr>
            <w:r>
              <w:t xml:space="preserve">Provides support for </w:t>
            </w:r>
            <w:r w:rsidR="003A7BD9">
              <w:t>Traditional Owners</w:t>
            </w:r>
            <w:r w:rsidR="00F211C7">
              <w:t>’</w:t>
            </w:r>
            <w:r w:rsidR="003A7BD9">
              <w:t xml:space="preserve"> </w:t>
            </w:r>
            <w:r>
              <w:t>decision making with integrity to cultural protocols and the principles of free prior and informed consent</w:t>
            </w:r>
            <w:r w:rsidR="003A7BD9">
              <w:t>.</w:t>
            </w:r>
          </w:p>
          <w:p w14:paraId="570C091F" w14:textId="0BDB110D" w:rsidR="00446C8E" w:rsidRDefault="00446C8E" w:rsidP="003A7BD9">
            <w:pPr>
              <w:pStyle w:val="TableNBullet"/>
            </w:pPr>
            <w:r>
              <w:t>Co-design dispute and conflict management and mediation processes</w:t>
            </w:r>
            <w:r w:rsidR="00C20D26">
              <w:t>,</w:t>
            </w:r>
            <w:r>
              <w:t xml:space="preserve"> and creates opportunity for resolution</w:t>
            </w:r>
            <w:r w:rsidR="003A7BD9">
              <w:t>.</w:t>
            </w:r>
          </w:p>
        </w:tc>
        <w:tc>
          <w:tcPr>
            <w:tcW w:w="1652" w:type="pct"/>
            <w:vAlign w:val="top"/>
          </w:tcPr>
          <w:p w14:paraId="03C6C8D3" w14:textId="2D73D008" w:rsidR="00446C8E" w:rsidRDefault="00446C8E" w:rsidP="003A7BD9">
            <w:pPr>
              <w:pStyle w:val="TableNBullet"/>
            </w:pPr>
            <w:r>
              <w:t xml:space="preserve">Understanding </w:t>
            </w:r>
            <w:r w:rsidR="003D1A02">
              <w:t xml:space="preserve">of </w:t>
            </w:r>
            <w:r>
              <w:t>and profile o</w:t>
            </w:r>
            <w:r w:rsidR="00B60023">
              <w:t>f</w:t>
            </w:r>
            <w:r>
              <w:t xml:space="preserve"> the importance of compensation to members</w:t>
            </w:r>
            <w:r w:rsidR="003A7BD9">
              <w:t>.</w:t>
            </w:r>
          </w:p>
          <w:p w14:paraId="7C1302F7" w14:textId="06885875" w:rsidR="00446C8E" w:rsidRDefault="00446C8E" w:rsidP="003A7BD9">
            <w:pPr>
              <w:pStyle w:val="TableNBullet"/>
            </w:pPr>
            <w:r>
              <w:t xml:space="preserve">Initiatives that strengthen and protect </w:t>
            </w:r>
            <w:r w:rsidR="00EC38E7">
              <w:t>the exercising of</w:t>
            </w:r>
            <w:r>
              <w:t xml:space="preserve"> </w:t>
            </w:r>
            <w:r w:rsidR="003A7BD9">
              <w:t xml:space="preserve">native title </w:t>
            </w:r>
            <w:r>
              <w:t>rights and interest</w:t>
            </w:r>
            <w:r w:rsidR="006E4A5D">
              <w:t>,</w:t>
            </w:r>
            <w:r>
              <w:t xml:space="preserve"> and the cultural, social, environmental and economic resources and heritage values derived from Traditional Owner rights and interests</w:t>
            </w:r>
            <w:r w:rsidR="006E4A5D">
              <w:t>.</w:t>
            </w:r>
          </w:p>
          <w:p w14:paraId="0065C667" w14:textId="650049D4" w:rsidR="00446C8E" w:rsidRDefault="00446C8E" w:rsidP="003A7BD9">
            <w:pPr>
              <w:pStyle w:val="TableNBullet"/>
            </w:pPr>
            <w:r>
              <w:t xml:space="preserve">Traditional Owner understanding of and exercising of </w:t>
            </w:r>
            <w:r w:rsidR="00EC38E7">
              <w:t>native tit</w:t>
            </w:r>
            <w:r>
              <w:t>le rights and interests</w:t>
            </w:r>
            <w:r w:rsidR="006E4A5D">
              <w:t>.</w:t>
            </w:r>
          </w:p>
        </w:tc>
      </w:tr>
      <w:tr w:rsidR="00446C8E" w14:paraId="1576D4D6" w14:textId="77777777" w:rsidTr="002C4C27">
        <w:trPr>
          <w:cnfStyle w:val="000000100000" w:firstRow="0" w:lastRow="0" w:firstColumn="0" w:lastColumn="0" w:oddVBand="0" w:evenVBand="0" w:oddHBand="1" w:evenHBand="0" w:firstRowFirstColumn="0" w:firstRowLastColumn="0" w:lastRowFirstColumn="0" w:lastRowLastColumn="0"/>
        </w:trPr>
        <w:tc>
          <w:tcPr>
            <w:tcW w:w="707" w:type="pct"/>
            <w:vAlign w:val="top"/>
          </w:tcPr>
          <w:p w14:paraId="5055DE2C" w14:textId="77777777" w:rsidR="00446C8E" w:rsidRPr="00060B79" w:rsidRDefault="00446C8E" w:rsidP="003A7BD9">
            <w:pPr>
              <w:pStyle w:val="TableNText"/>
              <w:rPr>
                <w:lang w:eastAsia="en-AU"/>
              </w:rPr>
            </w:pPr>
            <w:r w:rsidRPr="00060B79">
              <w:rPr>
                <w:lang w:eastAsia="en-AU"/>
              </w:rPr>
              <w:t>Partnerships and relationships</w:t>
            </w:r>
          </w:p>
        </w:tc>
        <w:tc>
          <w:tcPr>
            <w:tcW w:w="989" w:type="pct"/>
            <w:vAlign w:val="top"/>
          </w:tcPr>
          <w:p w14:paraId="09391E92" w14:textId="77777777" w:rsidR="00446C8E" w:rsidRPr="00060B79" w:rsidRDefault="00446C8E" w:rsidP="003A7BD9">
            <w:pPr>
              <w:pStyle w:val="TableNText"/>
              <w:rPr>
                <w:lang w:eastAsia="en-AU"/>
              </w:rPr>
            </w:pPr>
            <w:r w:rsidRPr="00060B79">
              <w:rPr>
                <w:lang w:eastAsia="en-AU"/>
              </w:rPr>
              <w:t xml:space="preserve">To have the power and influence to lead and effect change for Traditional Owners and Kimberley Aboriginal people. </w:t>
            </w:r>
          </w:p>
        </w:tc>
        <w:tc>
          <w:tcPr>
            <w:tcW w:w="1652" w:type="pct"/>
            <w:vAlign w:val="top"/>
          </w:tcPr>
          <w:p w14:paraId="6F567FAF" w14:textId="571D23C7" w:rsidR="00446C8E" w:rsidRDefault="00446C8E" w:rsidP="003A7BD9">
            <w:pPr>
              <w:pStyle w:val="TableNBullet"/>
            </w:pPr>
            <w:r>
              <w:t>Strongly advocates on critical legislation, policy and issues affecting Traditional Owners</w:t>
            </w:r>
            <w:r w:rsidR="00EC38E7">
              <w:t>.</w:t>
            </w:r>
          </w:p>
          <w:p w14:paraId="646D42B3" w14:textId="13F27A5D" w:rsidR="00446C8E" w:rsidRDefault="00446C8E" w:rsidP="003A7BD9">
            <w:pPr>
              <w:pStyle w:val="TableNBullet"/>
            </w:pPr>
            <w:r>
              <w:t>Strengthens opportunities for PBC’s to support their members</w:t>
            </w:r>
            <w:r w:rsidR="00EC38E7">
              <w:t>.</w:t>
            </w:r>
          </w:p>
          <w:p w14:paraId="4EA4BD0B" w14:textId="584CF8EE" w:rsidR="00446C8E" w:rsidRDefault="00446C8E" w:rsidP="003A7BD9">
            <w:pPr>
              <w:pStyle w:val="TableNBullet"/>
            </w:pPr>
            <w:r>
              <w:t>Builds and supports Kimberley leadership to drive and facilitate social and economic development</w:t>
            </w:r>
            <w:r w:rsidR="00EC38E7">
              <w:t>.</w:t>
            </w:r>
          </w:p>
          <w:p w14:paraId="20F53E0B" w14:textId="1BF6B6AD" w:rsidR="00446C8E" w:rsidRDefault="00446C8E" w:rsidP="003A7BD9">
            <w:pPr>
              <w:pStyle w:val="TableNBullet"/>
            </w:pPr>
            <w:r>
              <w:t xml:space="preserve">Fosters regional advocacy through an integrated focus with </w:t>
            </w:r>
            <w:r>
              <w:lastRenderedPageBreak/>
              <w:t>Kimberley Aboriginal organisations and community collaborations</w:t>
            </w:r>
            <w:r w:rsidR="00EC38E7">
              <w:t>.</w:t>
            </w:r>
          </w:p>
        </w:tc>
        <w:tc>
          <w:tcPr>
            <w:tcW w:w="1652" w:type="pct"/>
            <w:vAlign w:val="top"/>
          </w:tcPr>
          <w:p w14:paraId="7B59E6D0" w14:textId="62CADA1F" w:rsidR="00446C8E" w:rsidRDefault="00446C8E" w:rsidP="003A7BD9">
            <w:pPr>
              <w:pStyle w:val="TableNBullet"/>
            </w:pPr>
            <w:r>
              <w:lastRenderedPageBreak/>
              <w:t>Impact of policy papers presented by the KLC</w:t>
            </w:r>
            <w:r w:rsidR="00EC38E7">
              <w:t>.</w:t>
            </w:r>
          </w:p>
          <w:p w14:paraId="42F8A9F5" w14:textId="013A38BC" w:rsidR="00446C8E" w:rsidRDefault="00446C8E" w:rsidP="003A7BD9">
            <w:pPr>
              <w:pStyle w:val="TableNBullet"/>
            </w:pPr>
            <w:r>
              <w:t>Profile and use of the body of knowledge and information that</w:t>
            </w:r>
            <w:r w:rsidR="00353735">
              <w:t xml:space="preserve"> the</w:t>
            </w:r>
            <w:r>
              <w:t xml:space="preserve"> KLC has invested in over the past 40 years to effect change</w:t>
            </w:r>
            <w:r w:rsidR="00EC38E7">
              <w:t>.</w:t>
            </w:r>
          </w:p>
          <w:p w14:paraId="589CE129" w14:textId="047FB87B" w:rsidR="00446C8E" w:rsidRDefault="00446C8E" w:rsidP="003A7BD9">
            <w:pPr>
              <w:pStyle w:val="TableNBullet"/>
            </w:pPr>
            <w:r>
              <w:t>Acknowledgement and strong partnership profile that adds value to the KLC as the KLC provides value to those partners</w:t>
            </w:r>
            <w:r w:rsidR="00EC38E7">
              <w:t>.</w:t>
            </w:r>
          </w:p>
        </w:tc>
      </w:tr>
      <w:tr w:rsidR="00446C8E" w14:paraId="574AEAF2" w14:textId="77777777" w:rsidTr="002C4C27">
        <w:trPr>
          <w:cnfStyle w:val="000000010000" w:firstRow="0" w:lastRow="0" w:firstColumn="0" w:lastColumn="0" w:oddVBand="0" w:evenVBand="0" w:oddHBand="0" w:evenHBand="1" w:firstRowFirstColumn="0" w:firstRowLastColumn="0" w:lastRowFirstColumn="0" w:lastRowLastColumn="0"/>
        </w:trPr>
        <w:tc>
          <w:tcPr>
            <w:tcW w:w="707" w:type="pct"/>
            <w:vAlign w:val="top"/>
          </w:tcPr>
          <w:p w14:paraId="0ACFE1A6" w14:textId="77777777" w:rsidR="00446C8E" w:rsidRPr="00060B79" w:rsidRDefault="00446C8E" w:rsidP="003A7BD9">
            <w:pPr>
              <w:pStyle w:val="TableNText"/>
              <w:rPr>
                <w:lang w:eastAsia="en-AU"/>
              </w:rPr>
            </w:pPr>
            <w:r w:rsidRPr="00060B79">
              <w:rPr>
                <w:lang w:eastAsia="en-AU"/>
              </w:rPr>
              <w:t>Financially sustainable operations</w:t>
            </w:r>
          </w:p>
        </w:tc>
        <w:tc>
          <w:tcPr>
            <w:tcW w:w="989" w:type="pct"/>
            <w:vAlign w:val="top"/>
          </w:tcPr>
          <w:p w14:paraId="641050DA" w14:textId="1598D363" w:rsidR="00446C8E" w:rsidRPr="00060B79" w:rsidRDefault="00446C8E" w:rsidP="003A7BD9">
            <w:pPr>
              <w:pStyle w:val="TableNText"/>
              <w:rPr>
                <w:lang w:eastAsia="en-AU"/>
              </w:rPr>
            </w:pPr>
            <w:r w:rsidRPr="00060B79">
              <w:rPr>
                <w:lang w:eastAsia="en-AU"/>
              </w:rPr>
              <w:t xml:space="preserve">To have a strong organisation that can continue to support </w:t>
            </w:r>
            <w:r w:rsidR="00E1380C">
              <w:rPr>
                <w:lang w:eastAsia="en-AU"/>
              </w:rPr>
              <w:t>KLC</w:t>
            </w:r>
            <w:r w:rsidRPr="00115AB6">
              <w:rPr>
                <w:lang w:eastAsia="en-AU"/>
              </w:rPr>
              <w:t xml:space="preserve"> </w:t>
            </w:r>
            <w:r w:rsidRPr="00060B79">
              <w:rPr>
                <w:lang w:eastAsia="en-AU"/>
              </w:rPr>
              <w:t>into the future</w:t>
            </w:r>
            <w:r w:rsidR="00EC38E7">
              <w:rPr>
                <w:lang w:eastAsia="en-AU"/>
              </w:rPr>
              <w:t>.</w:t>
            </w:r>
          </w:p>
        </w:tc>
        <w:tc>
          <w:tcPr>
            <w:tcW w:w="1652" w:type="pct"/>
            <w:vAlign w:val="top"/>
          </w:tcPr>
          <w:p w14:paraId="60FABA32" w14:textId="7EF5A44C" w:rsidR="00446C8E" w:rsidRDefault="00446C8E" w:rsidP="003A7BD9">
            <w:pPr>
              <w:pStyle w:val="TableNBullet"/>
            </w:pPr>
            <w:r>
              <w:t xml:space="preserve">Builds resources within the KLC to support independent advocacy for </w:t>
            </w:r>
            <w:r w:rsidR="00D14479" w:rsidRPr="00115AB6">
              <w:t>members’</w:t>
            </w:r>
            <w:r>
              <w:t xml:space="preserve"> needs</w:t>
            </w:r>
            <w:r w:rsidR="00EC38E7">
              <w:t>.</w:t>
            </w:r>
          </w:p>
          <w:p w14:paraId="0DC60BCD" w14:textId="12701223" w:rsidR="00446C8E" w:rsidRDefault="00446C8E" w:rsidP="003A7BD9">
            <w:pPr>
              <w:pStyle w:val="TableNBullet"/>
            </w:pPr>
            <w:r>
              <w:t>Continues to build and implement measures and structures for efficient and effective KLC operations</w:t>
            </w:r>
            <w:r w:rsidR="00EC38E7">
              <w:t>.</w:t>
            </w:r>
          </w:p>
          <w:p w14:paraId="01BF5FB7" w14:textId="707487A7" w:rsidR="00446C8E" w:rsidRDefault="00446C8E" w:rsidP="003A7BD9">
            <w:pPr>
              <w:pStyle w:val="TableNBullet"/>
            </w:pPr>
            <w:r>
              <w:t>Continues to attract and grow recurrent and new sources of funding</w:t>
            </w:r>
            <w:r w:rsidR="00EC38E7">
              <w:t>.</w:t>
            </w:r>
          </w:p>
          <w:p w14:paraId="25C7915A" w14:textId="418501B0" w:rsidR="00446C8E" w:rsidRDefault="00446C8E" w:rsidP="003A7BD9">
            <w:pPr>
              <w:pStyle w:val="TableNBullet"/>
            </w:pPr>
            <w:r>
              <w:t>Continues to attract and grow philanthropic support</w:t>
            </w:r>
            <w:r w:rsidR="00EC38E7">
              <w:t>.</w:t>
            </w:r>
          </w:p>
        </w:tc>
        <w:tc>
          <w:tcPr>
            <w:tcW w:w="1652" w:type="pct"/>
            <w:vAlign w:val="top"/>
          </w:tcPr>
          <w:p w14:paraId="741FE111" w14:textId="45C88FF6" w:rsidR="00446C8E" w:rsidRDefault="00D14479" w:rsidP="003A7BD9">
            <w:pPr>
              <w:pStyle w:val="TableNBullet"/>
            </w:pPr>
            <w:r>
              <w:t xml:space="preserve">The </w:t>
            </w:r>
            <w:r w:rsidR="00446C8E">
              <w:t>KLC continuing to be financially sustainable and delivering on its objectives</w:t>
            </w:r>
            <w:r w:rsidR="00EC38E7">
              <w:t>.</w:t>
            </w:r>
          </w:p>
          <w:p w14:paraId="060A42F0" w14:textId="7397A807" w:rsidR="00446C8E" w:rsidRDefault="00446C8E" w:rsidP="003A7BD9">
            <w:pPr>
              <w:pStyle w:val="TableNBullet"/>
            </w:pPr>
            <w:r>
              <w:t>An increase in KLC funding overall and in diversification of sources of funding</w:t>
            </w:r>
            <w:r w:rsidR="00EC38E7">
              <w:t>.</w:t>
            </w:r>
          </w:p>
          <w:p w14:paraId="52B6AB1B" w14:textId="7BADAF76" w:rsidR="00446C8E" w:rsidRDefault="00D14479" w:rsidP="003A7BD9">
            <w:pPr>
              <w:pStyle w:val="TableNBullet"/>
            </w:pPr>
            <w:r>
              <w:t xml:space="preserve">The </w:t>
            </w:r>
            <w:r w:rsidR="00446C8E">
              <w:t>KLC continuing to be compliant and practice sound governance</w:t>
            </w:r>
            <w:r w:rsidR="00EC38E7">
              <w:t>.</w:t>
            </w:r>
          </w:p>
          <w:p w14:paraId="44CF144F" w14:textId="1474655C" w:rsidR="00446C8E" w:rsidRDefault="00D14479" w:rsidP="003A7BD9">
            <w:pPr>
              <w:pStyle w:val="TableNBullet"/>
            </w:pPr>
            <w:r>
              <w:t xml:space="preserve">The </w:t>
            </w:r>
            <w:r w:rsidR="00446C8E">
              <w:t xml:space="preserve">KLC strengthening its </w:t>
            </w:r>
            <w:r w:rsidR="00446C8E" w:rsidRPr="00115AB6">
              <w:t>member</w:t>
            </w:r>
            <w:r w:rsidR="00446C8E">
              <w:t xml:space="preserve"> engagement and satisfaction</w:t>
            </w:r>
            <w:r w:rsidR="00EC38E7">
              <w:t>.</w:t>
            </w:r>
          </w:p>
        </w:tc>
      </w:tr>
    </w:tbl>
    <w:p w14:paraId="37F97D39" w14:textId="544244FF" w:rsidR="00446C8E" w:rsidRDefault="00EC38E7" w:rsidP="00446C8E">
      <w:pPr>
        <w:rPr>
          <w:lang w:eastAsia="en-AU"/>
        </w:rPr>
      </w:pPr>
      <w:r>
        <w:rPr>
          <w:lang w:eastAsia="en-AU"/>
        </w:rPr>
        <w:br/>
      </w:r>
      <w:r w:rsidR="00446C8E">
        <w:rPr>
          <w:lang w:eastAsia="en-AU"/>
        </w:rPr>
        <w:t xml:space="preserve">The future environment and </w:t>
      </w:r>
      <w:r w:rsidR="00D14479">
        <w:rPr>
          <w:lang w:eastAsia="en-AU"/>
        </w:rPr>
        <w:t>2020-24 Strategic Plan</w:t>
      </w:r>
      <w:r w:rsidR="00D14479" w:rsidDel="00D14479">
        <w:rPr>
          <w:lang w:eastAsia="en-AU"/>
        </w:rPr>
        <w:t xml:space="preserve"> </w:t>
      </w:r>
      <w:r w:rsidR="00446C8E">
        <w:rPr>
          <w:lang w:eastAsia="en-AU"/>
        </w:rPr>
        <w:t>are consistent features of the KLC’s annual reports</w:t>
      </w:r>
      <w:r w:rsidR="00D14479">
        <w:rPr>
          <w:lang w:eastAsia="en-AU"/>
        </w:rPr>
        <w:t xml:space="preserve"> </w:t>
      </w:r>
      <w:r w:rsidR="00D14479" w:rsidRPr="00115AB6">
        <w:rPr>
          <w:lang w:eastAsia="en-AU"/>
        </w:rPr>
        <w:t>I</w:t>
      </w:r>
      <w:r w:rsidR="00446C8E" w:rsidRPr="00115AB6">
        <w:rPr>
          <w:lang w:eastAsia="en-AU"/>
        </w:rPr>
        <w:t>t</w:t>
      </w:r>
      <w:r w:rsidR="00446C8E">
        <w:rPr>
          <w:lang w:eastAsia="en-AU"/>
        </w:rPr>
        <w:t xml:space="preserve"> is evident that the post-determination issue is firmly acknowledged by the organisation</w:t>
      </w:r>
      <w:r w:rsidR="00FC28BE" w:rsidRPr="00FC28BE">
        <w:rPr>
          <w:lang w:eastAsia="en-AU"/>
        </w:rPr>
        <w:t xml:space="preserve"> </w:t>
      </w:r>
      <w:r w:rsidR="00776BF4">
        <w:rPr>
          <w:lang w:eastAsia="en-AU"/>
        </w:rPr>
        <w:t>g</w:t>
      </w:r>
      <w:r w:rsidR="00FC28BE">
        <w:rPr>
          <w:lang w:eastAsia="en-AU"/>
        </w:rPr>
        <w:t>iven the high percentage of determinations in the RATSIB area</w:t>
      </w:r>
      <w:r w:rsidR="00446C8E">
        <w:rPr>
          <w:lang w:eastAsia="en-AU"/>
        </w:rPr>
        <w:t>.</w:t>
      </w:r>
      <w:r w:rsidR="008D67CB">
        <w:rPr>
          <w:lang w:eastAsia="en-AU"/>
        </w:rPr>
        <w:t xml:space="preserve"> </w:t>
      </w:r>
    </w:p>
    <w:p w14:paraId="7945B86A" w14:textId="0C4081D2" w:rsidR="00446C8E" w:rsidRDefault="00446C8E" w:rsidP="00446C8E">
      <w:pPr>
        <w:rPr>
          <w:lang w:eastAsia="en-AU"/>
        </w:rPr>
      </w:pPr>
      <w:r>
        <w:rPr>
          <w:lang w:eastAsia="en-AU"/>
        </w:rPr>
        <w:t xml:space="preserve">The KLC recognised in its annual reports that objectives of the </w:t>
      </w:r>
      <w:r w:rsidR="00D14479">
        <w:rPr>
          <w:lang w:eastAsia="en-AU"/>
        </w:rPr>
        <w:t>2020-24 Strategic Plan</w:t>
      </w:r>
      <w:r w:rsidR="00D14479" w:rsidDel="00D14479">
        <w:rPr>
          <w:lang w:eastAsia="en-AU"/>
        </w:rPr>
        <w:t xml:space="preserve"> </w:t>
      </w:r>
      <w:r>
        <w:rPr>
          <w:lang w:eastAsia="en-AU"/>
        </w:rPr>
        <w:t>influence the operation plans for each business unit</w:t>
      </w:r>
      <w:r w:rsidR="00567D5F">
        <w:rPr>
          <w:lang w:eastAsia="en-AU"/>
        </w:rPr>
        <w:t xml:space="preserve"> </w:t>
      </w:r>
      <w:r>
        <w:rPr>
          <w:lang w:eastAsia="en-AU"/>
        </w:rPr>
        <w:t xml:space="preserve">and filter down into staff work plans. In order to provide a coordinated approach to monitoring output and key milestones, the KLC reported in its 2020-21 Annual </w:t>
      </w:r>
      <w:r w:rsidR="0071143C">
        <w:rPr>
          <w:lang w:eastAsia="en-AU"/>
        </w:rPr>
        <w:t>R</w:t>
      </w:r>
      <w:r>
        <w:rPr>
          <w:lang w:eastAsia="en-AU"/>
        </w:rPr>
        <w:t xml:space="preserve">eport that it had identified a change management process needed to provide it with the structure, resources, processes and capabilities (structural and operational) to best enable the organisation to drive and deliver its functions for the future. </w:t>
      </w:r>
    </w:p>
    <w:p w14:paraId="3446A6A1" w14:textId="07867E17" w:rsidR="00446C8E" w:rsidRPr="00C775E2" w:rsidRDefault="00446C8E" w:rsidP="009A4598">
      <w:pPr>
        <w:pStyle w:val="Heading5"/>
        <w:rPr>
          <w:rFonts w:eastAsiaTheme="minorHAnsi"/>
          <w:i/>
          <w:iCs/>
        </w:rPr>
      </w:pPr>
      <w:r w:rsidRPr="00C775E2">
        <w:rPr>
          <w:rFonts w:eastAsiaTheme="minorHAnsi"/>
        </w:rPr>
        <w:t xml:space="preserve">The </w:t>
      </w:r>
      <w:r w:rsidR="00D14479" w:rsidRPr="00D14479">
        <w:rPr>
          <w:rFonts w:eastAsiaTheme="minorHAnsi"/>
        </w:rPr>
        <w:t>2020-24 Strategic Plan</w:t>
      </w:r>
      <w:r w:rsidR="00D14479" w:rsidRPr="00D14479" w:rsidDel="00D14479">
        <w:rPr>
          <w:rFonts w:eastAsiaTheme="minorHAnsi"/>
        </w:rPr>
        <w:t xml:space="preserve"> </w:t>
      </w:r>
      <w:r w:rsidRPr="00C775E2">
        <w:rPr>
          <w:rFonts w:eastAsiaTheme="minorHAnsi"/>
        </w:rPr>
        <w:t xml:space="preserve">was developed </w:t>
      </w:r>
      <w:r w:rsidR="00137070">
        <w:rPr>
          <w:rFonts w:eastAsiaTheme="minorHAnsi"/>
        </w:rPr>
        <w:t xml:space="preserve">through a </w:t>
      </w:r>
      <w:r w:rsidR="0071143C">
        <w:rPr>
          <w:rFonts w:eastAsiaTheme="minorHAnsi"/>
        </w:rPr>
        <w:t>comprehensive</w:t>
      </w:r>
      <w:r w:rsidR="00137070">
        <w:rPr>
          <w:rFonts w:eastAsiaTheme="minorHAnsi"/>
        </w:rPr>
        <w:t xml:space="preserve"> process </w:t>
      </w:r>
      <w:r w:rsidRPr="00C775E2">
        <w:rPr>
          <w:rFonts w:eastAsiaTheme="minorHAnsi"/>
        </w:rPr>
        <w:t xml:space="preserve">with input from members and a </w:t>
      </w:r>
      <w:r w:rsidR="00D14479">
        <w:rPr>
          <w:rFonts w:eastAsiaTheme="minorHAnsi"/>
        </w:rPr>
        <w:t>B</w:t>
      </w:r>
      <w:r w:rsidRPr="00C775E2">
        <w:rPr>
          <w:rFonts w:eastAsiaTheme="minorHAnsi"/>
        </w:rPr>
        <w:t>oard subcommittee</w:t>
      </w:r>
    </w:p>
    <w:p w14:paraId="15734629" w14:textId="0D7B8091" w:rsidR="00446C8E" w:rsidRDefault="00446C8E" w:rsidP="00446C8E">
      <w:pPr>
        <w:rPr>
          <w:lang w:eastAsia="en-AU"/>
        </w:rPr>
      </w:pPr>
      <w:r>
        <w:rPr>
          <w:lang w:eastAsia="en-AU"/>
        </w:rPr>
        <w:t xml:space="preserve">The 2020-24 Strategic Plan was developed over an </w:t>
      </w:r>
      <w:r w:rsidR="009A4598">
        <w:rPr>
          <w:lang w:eastAsia="en-AU"/>
        </w:rPr>
        <w:t>18-month</w:t>
      </w:r>
      <w:r>
        <w:rPr>
          <w:lang w:eastAsia="en-AU"/>
        </w:rPr>
        <w:t xml:space="preserve"> period by KLC </w:t>
      </w:r>
      <w:r w:rsidR="001B243D">
        <w:rPr>
          <w:lang w:eastAsia="en-AU"/>
        </w:rPr>
        <w:t xml:space="preserve">Executive </w:t>
      </w:r>
      <w:r>
        <w:rPr>
          <w:lang w:eastAsia="en-AU"/>
        </w:rPr>
        <w:t xml:space="preserve">staff and the </w:t>
      </w:r>
      <w:r w:rsidR="00054D53">
        <w:rPr>
          <w:lang w:eastAsia="en-AU"/>
        </w:rPr>
        <w:t>Executive B</w:t>
      </w:r>
      <w:r>
        <w:rPr>
          <w:lang w:eastAsia="en-AU"/>
        </w:rPr>
        <w:t xml:space="preserve">oard with engagement with the KLC </w:t>
      </w:r>
      <w:r w:rsidRPr="00115AB6">
        <w:rPr>
          <w:lang w:eastAsia="en-AU"/>
        </w:rPr>
        <w:t>membership</w:t>
      </w:r>
      <w:r>
        <w:rPr>
          <w:lang w:eastAsia="en-AU"/>
        </w:rPr>
        <w:t xml:space="preserve">. </w:t>
      </w:r>
    </w:p>
    <w:p w14:paraId="02574AF2" w14:textId="6287348E" w:rsidR="00446C8E" w:rsidRDefault="00446C8E" w:rsidP="00446C8E">
      <w:pPr>
        <w:rPr>
          <w:lang w:eastAsia="en-AU"/>
        </w:rPr>
      </w:pPr>
      <w:r>
        <w:rPr>
          <w:lang w:eastAsia="en-AU"/>
        </w:rPr>
        <w:t xml:space="preserve">Between September to November 2019, KLC </w:t>
      </w:r>
      <w:r w:rsidRPr="00115AB6">
        <w:rPr>
          <w:lang w:eastAsia="en-AU"/>
        </w:rPr>
        <w:t>members</w:t>
      </w:r>
      <w:r>
        <w:rPr>
          <w:lang w:eastAsia="en-AU"/>
        </w:rPr>
        <w:t xml:space="preserve"> and Kimberley Traditional Owners were surveyed about what was important to them about the KLC’s role and their expectations of the KLC in the future. The survey was sent to all KLC </w:t>
      </w:r>
      <w:r w:rsidRPr="00115AB6">
        <w:rPr>
          <w:lang w:eastAsia="en-AU"/>
        </w:rPr>
        <w:t>members</w:t>
      </w:r>
      <w:r>
        <w:rPr>
          <w:lang w:eastAsia="en-AU"/>
        </w:rPr>
        <w:t xml:space="preserve">, posted online and taken to communities by staff members for people to complete. </w:t>
      </w:r>
    </w:p>
    <w:p w14:paraId="69E2D44B" w14:textId="29F85F5B" w:rsidR="00446C8E" w:rsidRDefault="00446C8E" w:rsidP="00446C8E">
      <w:pPr>
        <w:rPr>
          <w:lang w:eastAsia="en-AU"/>
        </w:rPr>
      </w:pPr>
      <w:r>
        <w:rPr>
          <w:lang w:eastAsia="en-AU"/>
        </w:rPr>
        <w:t xml:space="preserve">According to the 2019-20 KLC </w:t>
      </w:r>
      <w:r w:rsidR="009800AA">
        <w:rPr>
          <w:lang w:eastAsia="en-AU"/>
        </w:rPr>
        <w:t>A</w:t>
      </w:r>
      <w:r>
        <w:rPr>
          <w:lang w:eastAsia="en-AU"/>
        </w:rPr>
        <w:t xml:space="preserve">nnual </w:t>
      </w:r>
      <w:r w:rsidR="009800AA">
        <w:rPr>
          <w:lang w:eastAsia="en-AU"/>
        </w:rPr>
        <w:t>R</w:t>
      </w:r>
      <w:r>
        <w:rPr>
          <w:lang w:eastAsia="en-AU"/>
        </w:rPr>
        <w:t xml:space="preserve">eport, the KLC received an overwhelming response to the survey. The results were reviewed by a </w:t>
      </w:r>
      <w:r w:rsidR="009A4598">
        <w:rPr>
          <w:lang w:eastAsia="en-AU"/>
        </w:rPr>
        <w:t>ten-</w:t>
      </w:r>
      <w:r>
        <w:rPr>
          <w:lang w:eastAsia="en-AU"/>
        </w:rPr>
        <w:t xml:space="preserve">person subcommittee established by the KLC </w:t>
      </w:r>
      <w:r w:rsidR="009800AA">
        <w:rPr>
          <w:lang w:eastAsia="en-AU"/>
        </w:rPr>
        <w:t>Executive B</w:t>
      </w:r>
      <w:r>
        <w:rPr>
          <w:lang w:eastAsia="en-AU"/>
        </w:rPr>
        <w:t>oard specifically to look at the 2020-2024 Strategic Plan. The subcommittee also reviewed the achievements of the KLC to date, assessed best practice against other NTRB-SPs and talked with PBCs about the strategic challenges faced by Kimberley Traditional Owners.</w:t>
      </w:r>
      <w:r>
        <w:rPr>
          <w:rStyle w:val="FootnoteReference"/>
          <w:lang w:eastAsia="en-AU"/>
        </w:rPr>
        <w:footnoteReference w:id="46"/>
      </w:r>
    </w:p>
    <w:p w14:paraId="3DF72BCC" w14:textId="5A58EC9E" w:rsidR="00446C8E" w:rsidRPr="00C775E2" w:rsidRDefault="00446C8E" w:rsidP="004B4912">
      <w:pPr>
        <w:pStyle w:val="Heading5"/>
        <w:rPr>
          <w:rFonts w:eastAsiaTheme="minorHAnsi"/>
          <w:i/>
          <w:iCs/>
        </w:rPr>
      </w:pPr>
      <w:r w:rsidRPr="00C775E2">
        <w:rPr>
          <w:rFonts w:eastAsiaTheme="minorHAnsi"/>
        </w:rPr>
        <w:t xml:space="preserve">The </w:t>
      </w:r>
      <w:r w:rsidR="00EE54F4" w:rsidRPr="00EE54F4">
        <w:rPr>
          <w:rFonts w:eastAsiaTheme="minorHAnsi"/>
        </w:rPr>
        <w:t>2020-24 Strategic Plan</w:t>
      </w:r>
      <w:r w:rsidR="00EE54F4" w:rsidRPr="00EE54F4" w:rsidDel="00EE54F4">
        <w:rPr>
          <w:rFonts w:eastAsiaTheme="minorHAnsi"/>
        </w:rPr>
        <w:t xml:space="preserve"> </w:t>
      </w:r>
      <w:r w:rsidRPr="00C775E2">
        <w:rPr>
          <w:rFonts w:eastAsiaTheme="minorHAnsi"/>
        </w:rPr>
        <w:t xml:space="preserve">has </w:t>
      </w:r>
      <w:r w:rsidR="008C194A">
        <w:rPr>
          <w:rFonts w:eastAsiaTheme="minorHAnsi"/>
        </w:rPr>
        <w:t>k</w:t>
      </w:r>
      <w:r w:rsidR="008C194A" w:rsidRPr="008C194A">
        <w:rPr>
          <w:rFonts w:eastAsiaTheme="minorHAnsi"/>
        </w:rPr>
        <w:t>ey performance indicators</w:t>
      </w:r>
      <w:r w:rsidR="008C194A" w:rsidRPr="008C194A" w:rsidDel="008C194A">
        <w:rPr>
          <w:rFonts w:eastAsiaTheme="minorHAnsi"/>
        </w:rPr>
        <w:t xml:space="preserve"> </w:t>
      </w:r>
      <w:r w:rsidRPr="00C775E2">
        <w:rPr>
          <w:rFonts w:eastAsiaTheme="minorHAnsi"/>
        </w:rPr>
        <w:t>for monitoring progress</w:t>
      </w:r>
    </w:p>
    <w:p w14:paraId="4E5806D4" w14:textId="1EA7ED8E" w:rsidR="00446C8E" w:rsidRDefault="00446C8E" w:rsidP="00446C8E">
      <w:pPr>
        <w:rPr>
          <w:lang w:eastAsia="en-AU"/>
        </w:rPr>
      </w:pPr>
      <w:r>
        <w:rPr>
          <w:lang w:eastAsia="en-AU"/>
        </w:rPr>
        <w:t xml:space="preserve">The </w:t>
      </w:r>
      <w:r w:rsidRPr="00C87337">
        <w:rPr>
          <w:lang w:eastAsia="en-AU"/>
        </w:rPr>
        <w:t>2020-24 Strategic Plan</w:t>
      </w:r>
      <w:r>
        <w:rPr>
          <w:lang w:eastAsia="en-AU"/>
        </w:rPr>
        <w:t xml:space="preserve"> includes a page dedicated to how the KLC will measure success against each of its objectives. Those relevant to the post-determination environment are summarised in</w:t>
      </w:r>
      <w:r w:rsidR="009800AA">
        <w:rPr>
          <w:lang w:eastAsia="en-AU"/>
        </w:rPr>
        <w:t xml:space="preserve"> </w:t>
      </w:r>
      <w:r>
        <w:rPr>
          <w:lang w:eastAsia="en-AU"/>
        </w:rPr>
        <w:fldChar w:fldCharType="begin"/>
      </w:r>
      <w:r>
        <w:rPr>
          <w:lang w:eastAsia="en-AU"/>
        </w:rPr>
        <w:instrText xml:space="preserve"> REF _Ref142904061 \h </w:instrText>
      </w:r>
      <w:r w:rsidR="00477E59">
        <w:rPr>
          <w:lang w:eastAsia="en-AU"/>
        </w:rPr>
        <w:instrText xml:space="preserve"> \* MERGEFORMAT </w:instrText>
      </w:r>
      <w:r>
        <w:rPr>
          <w:lang w:eastAsia="en-AU"/>
        </w:rPr>
      </w:r>
      <w:r>
        <w:rPr>
          <w:lang w:eastAsia="en-AU"/>
        </w:rPr>
        <w:fldChar w:fldCharType="separate"/>
      </w:r>
      <w:r w:rsidR="00291532">
        <w:t xml:space="preserve">Table </w:t>
      </w:r>
      <w:r w:rsidR="00291532">
        <w:rPr>
          <w:noProof/>
        </w:rPr>
        <w:t>18</w:t>
      </w:r>
      <w:r>
        <w:rPr>
          <w:lang w:eastAsia="en-AU"/>
        </w:rPr>
        <w:fldChar w:fldCharType="end"/>
      </w:r>
      <w:r w:rsidR="004B4912">
        <w:rPr>
          <w:lang w:eastAsia="en-AU"/>
        </w:rPr>
        <w:t xml:space="preserve"> above</w:t>
      </w:r>
      <w:r>
        <w:rPr>
          <w:lang w:eastAsia="en-AU"/>
        </w:rPr>
        <w:t xml:space="preserve">. Some of these are very discrete and can easily </w:t>
      </w:r>
      <w:r w:rsidR="00AA245A">
        <w:rPr>
          <w:lang w:eastAsia="en-AU"/>
        </w:rPr>
        <w:t xml:space="preserve">be </w:t>
      </w:r>
      <w:r>
        <w:rPr>
          <w:lang w:eastAsia="en-AU"/>
        </w:rPr>
        <w:t>quantifi</w:t>
      </w:r>
      <w:r w:rsidR="007B6458">
        <w:rPr>
          <w:lang w:eastAsia="en-AU"/>
        </w:rPr>
        <w:t>ed</w:t>
      </w:r>
      <w:r>
        <w:rPr>
          <w:lang w:eastAsia="en-AU"/>
        </w:rPr>
        <w:t>, while others are more intangible</w:t>
      </w:r>
      <w:r w:rsidR="00E003F8">
        <w:rPr>
          <w:lang w:eastAsia="en-AU"/>
        </w:rPr>
        <w:t xml:space="preserve"> and may be </w:t>
      </w:r>
      <w:r w:rsidR="00E003F8">
        <w:rPr>
          <w:lang w:eastAsia="en-AU"/>
        </w:rPr>
        <w:lastRenderedPageBreak/>
        <w:t>difficult to measure</w:t>
      </w:r>
      <w:r w:rsidR="009157AA">
        <w:rPr>
          <w:lang w:eastAsia="en-AU"/>
        </w:rPr>
        <w:t>.</w:t>
      </w:r>
      <w:r>
        <w:rPr>
          <w:lang w:eastAsia="en-AU"/>
        </w:rPr>
        <w:t xml:space="preserve"> There was also limited reference during consultations about who is responsible for tracking indicators and monitoring the KLC’s progress in the post-determination space. </w:t>
      </w:r>
    </w:p>
    <w:p w14:paraId="6B309D5A" w14:textId="77777777" w:rsidR="00D4503F" w:rsidRPr="00892188" w:rsidRDefault="00D4503F" w:rsidP="004B4912">
      <w:pPr>
        <w:pStyle w:val="Heading5"/>
      </w:pPr>
      <w:r w:rsidRPr="00892188">
        <w:t xml:space="preserve">The KLC used its platform to advocate for </w:t>
      </w:r>
      <w:r>
        <w:t xml:space="preserve">PBCs in </w:t>
      </w:r>
      <w:r w:rsidRPr="00892188">
        <w:t xml:space="preserve">reform </w:t>
      </w:r>
      <w:r>
        <w:t>of</w:t>
      </w:r>
      <w:r w:rsidRPr="00892188">
        <w:t xml:space="preserve"> matters related to native title</w:t>
      </w:r>
      <w:r>
        <w:t xml:space="preserve"> </w:t>
      </w:r>
    </w:p>
    <w:p w14:paraId="43116D06" w14:textId="4AC9D9AE" w:rsidR="00D4503F" w:rsidRPr="00892188" w:rsidRDefault="00BE2860" w:rsidP="00D4503F">
      <w:pPr>
        <w:rPr>
          <w:lang w:eastAsia="en-AU"/>
        </w:rPr>
      </w:pPr>
      <w:r>
        <w:rPr>
          <w:noProof/>
          <w:lang w:eastAsia="en-AU"/>
        </w:rPr>
        <mc:AlternateContent>
          <mc:Choice Requires="wps">
            <w:drawing>
              <wp:anchor distT="0" distB="0" distL="114300" distR="114300" simplePos="0" relativeHeight="251658243" behindDoc="0" locked="0" layoutInCell="1" allowOverlap="1" wp14:anchorId="0CCD3A5D" wp14:editId="771F7E77">
                <wp:simplePos x="0" y="0"/>
                <wp:positionH relativeFrom="margin">
                  <wp:posOffset>-635</wp:posOffset>
                </wp:positionH>
                <wp:positionV relativeFrom="paragraph">
                  <wp:posOffset>747793</wp:posOffset>
                </wp:positionV>
                <wp:extent cx="1672590" cy="2234565"/>
                <wp:effectExtent l="0" t="0" r="3810" b="0"/>
                <wp:wrapSquare wrapText="bothSides"/>
                <wp:docPr id="507" name="Text Box 7"/>
                <wp:cNvGraphicFramePr/>
                <a:graphic xmlns:a="http://schemas.openxmlformats.org/drawingml/2006/main">
                  <a:graphicData uri="http://schemas.microsoft.com/office/word/2010/wordprocessingShape">
                    <wps:wsp>
                      <wps:cNvSpPr txBox="1"/>
                      <wps:spPr>
                        <a:xfrm>
                          <a:off x="0" y="0"/>
                          <a:ext cx="1672590" cy="2234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E6A9C" w14:textId="067244B9" w:rsidR="00BE2860" w:rsidRDefault="00BE2860" w:rsidP="00A62B3A">
                            <w:pPr>
                              <w:pStyle w:val="Callout"/>
                              <w:rPr>
                                <w:color w:val="F25E21" w:themeColor="accent2"/>
                                <w:sz w:val="19"/>
                                <w:szCs w:val="19"/>
                              </w:rPr>
                            </w:pPr>
                            <w:r>
                              <w:rPr>
                                <w:color w:val="F25E21" w:themeColor="accent2"/>
                                <w:sz w:val="19"/>
                                <w:szCs w:val="19"/>
                              </w:rPr>
                              <w:t>“</w:t>
                            </w:r>
                            <w:r w:rsidRPr="00215837">
                              <w:rPr>
                                <w:color w:val="F25E21" w:themeColor="accent2"/>
                                <w:sz w:val="19"/>
                                <w:szCs w:val="19"/>
                              </w:rPr>
                              <w:t>In November 2019 the KLC made a written submission… on the critical importance of regulatory and policy change to ensure that PBCs can recover costs incurred in responding to third party initiated Future Acts processes.</w:t>
                            </w:r>
                            <w:r>
                              <w:rPr>
                                <w:color w:val="F25E21" w:themeColor="accent2"/>
                                <w:sz w:val="19"/>
                                <w:szCs w:val="19"/>
                              </w:rPr>
                              <w:t>”</w:t>
                            </w:r>
                          </w:p>
                          <w:p w14:paraId="2CCEADEB" w14:textId="565BF0A8" w:rsidR="00BE2860" w:rsidRPr="00885462" w:rsidRDefault="00237166" w:rsidP="00215837">
                            <w:pPr>
                              <w:pStyle w:val="Callout"/>
                              <w:jc w:val="right"/>
                              <w:rPr>
                                <w:color w:val="F25E21" w:themeColor="accent2"/>
                              </w:rPr>
                            </w:pPr>
                            <w:r>
                              <w:rPr>
                                <w:color w:val="00264D" w:themeColor="background2"/>
                                <w:sz w:val="19"/>
                                <w:szCs w:val="19"/>
                              </w:rPr>
                              <w:t>KLC</w:t>
                            </w:r>
                            <w:r w:rsidR="00BE2860" w:rsidRPr="00215837">
                              <w:rPr>
                                <w:color w:val="00264D" w:themeColor="background2"/>
                                <w:sz w:val="19"/>
                                <w:szCs w:val="19"/>
                              </w:rPr>
                              <w:t xml:space="preserve"> Annual Report 2019-20.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anchor>
            </w:drawing>
          </mc:Choice>
          <mc:Fallback>
            <w:pict>
              <v:shapetype w14:anchorId="0CCD3A5D" id="_x0000_t202" coordsize="21600,21600" o:spt="202" path="m,l,21600r21600,l21600,xe">
                <v:stroke joinstyle="miter"/>
                <v:path gradientshapeok="t" o:connecttype="rect"/>
              </v:shapetype>
              <v:shape id="Text Box 7" o:spid="_x0000_s1026" type="#_x0000_t202" style="position:absolute;margin-left:-.05pt;margin-top:58.9pt;width:131.7pt;height:175.95pt;z-index:251658243;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" fillcolor="white [3201]" stroked="f" strokeweight=".5pt">
                <v:textbox style="mso-fit-shape-to-text:t" inset="0,,1mm">
                  <w:txbxContent>
                    <w:p w14:paraId="331E6A9C" w14:textId="067244B9" w:rsidR="00BE2860" w:rsidRDefault="00BE2860" w:rsidP="00A62B3A">
                      <w:pPr>
                        <w:pStyle w:val="Callout"/>
                        <w:rPr>
                          <w:color w:val="F25E21" w:themeColor="accent2"/>
                          <w:sz w:val="19"/>
                          <w:szCs w:val="19"/>
                        </w:rPr>
                      </w:pPr>
                      <w:r>
                        <w:rPr>
                          <w:color w:val="F25E21" w:themeColor="accent2"/>
                          <w:sz w:val="19"/>
                          <w:szCs w:val="19"/>
                        </w:rPr>
                        <w:t>“</w:t>
                      </w:r>
                      <w:r w:rsidRPr="00215837">
                        <w:rPr>
                          <w:color w:val="F25E21" w:themeColor="accent2"/>
                          <w:sz w:val="19"/>
                          <w:szCs w:val="19"/>
                        </w:rPr>
                        <w:t>In November 2019 the KLC made a written submission… on the critical importance of regulatory and policy change to ensure that PBCs can recover costs incurred in responding to third party initiated Future Acts processes.</w:t>
                      </w:r>
                      <w:r>
                        <w:rPr>
                          <w:color w:val="F25E21" w:themeColor="accent2"/>
                          <w:sz w:val="19"/>
                          <w:szCs w:val="19"/>
                        </w:rPr>
                        <w:t>”</w:t>
                      </w:r>
                    </w:p>
                    <w:p w14:paraId="2CCEADEB" w14:textId="565BF0A8" w:rsidR="00BE2860" w:rsidRPr="00885462" w:rsidRDefault="00237166" w:rsidP="00215837">
                      <w:pPr>
                        <w:pStyle w:val="Callout"/>
                        <w:jc w:val="right"/>
                        <w:rPr>
                          <w:color w:val="F25E21" w:themeColor="accent2"/>
                        </w:rPr>
                      </w:pPr>
                      <w:r>
                        <w:rPr>
                          <w:color w:val="00264D" w:themeColor="background2"/>
                          <w:sz w:val="19"/>
                          <w:szCs w:val="19"/>
                        </w:rPr>
                        <w:t>KLC</w:t>
                      </w:r>
                      <w:r w:rsidR="00BE2860" w:rsidRPr="00215837">
                        <w:rPr>
                          <w:color w:val="00264D" w:themeColor="background2"/>
                          <w:sz w:val="19"/>
                          <w:szCs w:val="19"/>
                        </w:rPr>
                        <w:t xml:space="preserve"> Annual Report 2019-20. </w:t>
                      </w:r>
                    </w:p>
                  </w:txbxContent>
                </v:textbox>
                <w10:wrap type="square" anchorx="margin"/>
              </v:shape>
            </w:pict>
          </mc:Fallback>
        </mc:AlternateContent>
      </w:r>
      <w:r w:rsidR="00D4503F">
        <w:rPr>
          <w:lang w:eastAsia="en-AU"/>
        </w:rPr>
        <w:t xml:space="preserve">As part of the KLC’s broader policy and advocacy </w:t>
      </w:r>
      <w:r w:rsidR="00D4503F" w:rsidRPr="007C0966">
        <w:rPr>
          <w:lang w:eastAsia="en-AU"/>
        </w:rPr>
        <w:t>role it frequently engaged PBCs to understand Traditional Owner sentiment on topics that concern Aboriginal affairs in the Kimberley. During the Review period the KLC leveraged its status as a prominent</w:t>
      </w:r>
      <w:r w:rsidR="00D4503F" w:rsidRPr="00892188">
        <w:rPr>
          <w:lang w:eastAsia="en-AU"/>
        </w:rPr>
        <w:t xml:space="preserve"> voice for political change to </w:t>
      </w:r>
      <w:r w:rsidR="00D4503F">
        <w:rPr>
          <w:lang w:eastAsia="en-AU"/>
        </w:rPr>
        <w:t>advocate for</w:t>
      </w:r>
      <w:r w:rsidR="00D4503F" w:rsidRPr="00892188">
        <w:rPr>
          <w:lang w:eastAsia="en-AU"/>
        </w:rPr>
        <w:t xml:space="preserve"> reforms to the </w:t>
      </w:r>
      <w:r w:rsidR="00AE249F" w:rsidRPr="00AE249F">
        <w:rPr>
          <w:lang w:eastAsia="en-AU"/>
        </w:rPr>
        <w:t xml:space="preserve">Western Australian </w:t>
      </w:r>
      <w:r w:rsidR="00D4503F" w:rsidRPr="00892188">
        <w:rPr>
          <w:lang w:eastAsia="en-AU"/>
        </w:rPr>
        <w:t xml:space="preserve">Government’s original </w:t>
      </w:r>
      <w:r w:rsidR="00D4503F" w:rsidRPr="00892188">
        <w:rPr>
          <w:i/>
          <w:iCs/>
          <w:lang w:eastAsia="en-AU"/>
        </w:rPr>
        <w:t>Aboriginal Heritage Act (1972)</w:t>
      </w:r>
      <w:r w:rsidR="00D4503F" w:rsidRPr="00892188">
        <w:rPr>
          <w:lang w:eastAsia="en-AU"/>
        </w:rPr>
        <w:t xml:space="preserve"> and amended </w:t>
      </w:r>
      <w:r w:rsidR="00D4503F" w:rsidRPr="00892188">
        <w:rPr>
          <w:i/>
          <w:iCs/>
          <w:lang w:eastAsia="en-AU"/>
        </w:rPr>
        <w:t>Aboriginal Cultural Heritage Act (2021)</w:t>
      </w:r>
      <w:r w:rsidR="00D4503F" w:rsidRPr="00892188">
        <w:rPr>
          <w:lang w:eastAsia="en-AU"/>
        </w:rPr>
        <w:t xml:space="preserve">. The KLC also campaigned for the </w:t>
      </w:r>
      <w:r w:rsidR="00AE249F" w:rsidRPr="00AE249F">
        <w:rPr>
          <w:lang w:eastAsia="en-AU"/>
        </w:rPr>
        <w:t xml:space="preserve">Western Australian </w:t>
      </w:r>
      <w:r w:rsidR="00D4503F" w:rsidRPr="00892188">
        <w:rPr>
          <w:lang w:eastAsia="en-AU"/>
        </w:rPr>
        <w:t xml:space="preserve">Government to protect the nationally heritage-listed Martuwarra (Fitzroy River), the largest registered Aboriginal cultural heritage site in </w:t>
      </w:r>
      <w:r w:rsidR="00E57D84" w:rsidRPr="00983B3D">
        <w:t>Western Australia</w:t>
      </w:r>
      <w:r w:rsidR="00D4503F" w:rsidRPr="00892188">
        <w:rPr>
          <w:lang w:eastAsia="en-AU"/>
        </w:rPr>
        <w:t xml:space="preserve">. The KLC’s advocacy </w:t>
      </w:r>
      <w:r w:rsidR="00D4503F">
        <w:rPr>
          <w:lang w:eastAsia="en-AU"/>
        </w:rPr>
        <w:t>saw</w:t>
      </w:r>
      <w:r w:rsidR="00D4503F" w:rsidRPr="00892188">
        <w:rPr>
          <w:lang w:eastAsia="en-AU"/>
        </w:rPr>
        <w:t xml:space="preserve"> </w:t>
      </w:r>
      <w:r w:rsidR="00D4503F">
        <w:rPr>
          <w:lang w:eastAsia="en-AU"/>
        </w:rPr>
        <w:t>it</w:t>
      </w:r>
      <w:r w:rsidR="00D4503F" w:rsidRPr="00892188">
        <w:rPr>
          <w:lang w:eastAsia="en-AU"/>
        </w:rPr>
        <w:t xml:space="preserve"> hold consultations with Traditional Owners across the Kimberley, collaborate with the </w:t>
      </w:r>
      <w:r w:rsidR="00E57D84" w:rsidRPr="00983B3D">
        <w:t>Western Australia</w:t>
      </w:r>
      <w:r w:rsidR="00E57D84" w:rsidRPr="00892188">
        <w:rPr>
          <w:lang w:eastAsia="en-AU"/>
        </w:rPr>
        <w:t xml:space="preserve"> </w:t>
      </w:r>
      <w:r w:rsidR="00D4503F" w:rsidRPr="00892188">
        <w:rPr>
          <w:lang w:eastAsia="en-AU"/>
        </w:rPr>
        <w:t xml:space="preserve">Alliance of NTRB-SPs and the National Native Title Council, and engage with </w:t>
      </w:r>
      <w:r w:rsidR="004B4912">
        <w:rPr>
          <w:lang w:eastAsia="en-AU"/>
        </w:rPr>
        <w:t>s</w:t>
      </w:r>
      <w:r w:rsidR="00D4503F" w:rsidRPr="00892188">
        <w:rPr>
          <w:lang w:eastAsia="en-AU"/>
        </w:rPr>
        <w:t>tate representatives on these important issues.</w:t>
      </w:r>
    </w:p>
    <w:p w14:paraId="4FBD08A1" w14:textId="1C77D0B0" w:rsidR="00D4503F" w:rsidRDefault="00D4503F" w:rsidP="00D4503F">
      <w:pPr>
        <w:rPr>
          <w:lang w:eastAsia="en-AU"/>
        </w:rPr>
      </w:pPr>
      <w:r w:rsidRPr="00892188">
        <w:rPr>
          <w:lang w:eastAsia="en-AU"/>
        </w:rPr>
        <w:t xml:space="preserve">In addition, the KLC championed reform of relevant </w:t>
      </w:r>
      <w:r w:rsidR="00BE2860">
        <w:rPr>
          <w:lang w:eastAsia="en-AU"/>
        </w:rPr>
        <w:t>Australian</w:t>
      </w:r>
      <w:r w:rsidR="00BE2860" w:rsidRPr="00892188">
        <w:rPr>
          <w:lang w:eastAsia="en-AU"/>
        </w:rPr>
        <w:t xml:space="preserve"> </w:t>
      </w:r>
      <w:r w:rsidRPr="00892188">
        <w:rPr>
          <w:lang w:eastAsia="en-AU"/>
        </w:rPr>
        <w:t>Government legislation, notably in response to the Senate Standing Committee Inquiry into the Native Title Legislation Amendment Bill 2019.</w:t>
      </w:r>
      <w:r w:rsidR="008D67CB">
        <w:rPr>
          <w:lang w:eastAsia="en-AU"/>
        </w:rPr>
        <w:t xml:space="preserve"> </w:t>
      </w:r>
    </w:p>
    <w:p w14:paraId="231A2C1E" w14:textId="1255CBE6" w:rsidR="00446C8E" w:rsidRPr="004A25E9" w:rsidRDefault="00A86343" w:rsidP="004A25E9">
      <w:pPr>
        <w:pStyle w:val="Heading5"/>
        <w:rPr>
          <w:rFonts w:eastAsiaTheme="minorHAnsi"/>
        </w:rPr>
      </w:pPr>
      <w:r>
        <w:rPr>
          <w:rFonts w:eastAsiaTheme="minorHAnsi"/>
        </w:rPr>
        <w:t xml:space="preserve">Some Traditional Owners and PBCs are concerned </w:t>
      </w:r>
      <w:r w:rsidR="00C14F82">
        <w:rPr>
          <w:rFonts w:eastAsiaTheme="minorHAnsi"/>
        </w:rPr>
        <w:t>that the</w:t>
      </w:r>
      <w:r w:rsidR="004A25E9">
        <w:rPr>
          <w:rFonts w:eastAsiaTheme="minorHAnsi"/>
        </w:rPr>
        <w:t>r</w:t>
      </w:r>
      <w:r w:rsidR="00C14F82">
        <w:rPr>
          <w:rFonts w:eastAsiaTheme="minorHAnsi"/>
        </w:rPr>
        <w:t>e</w:t>
      </w:r>
      <w:r w:rsidR="00446C8E" w:rsidRPr="004A25E9">
        <w:rPr>
          <w:rFonts w:eastAsiaTheme="minorHAnsi"/>
        </w:rPr>
        <w:t xml:space="preserve"> is a conflict between the KLC’s reason for being and its</w:t>
      </w:r>
      <w:r w:rsidR="00F85B77">
        <w:rPr>
          <w:rFonts w:eastAsiaTheme="minorHAnsi"/>
        </w:rPr>
        <w:t xml:space="preserve"> own</w:t>
      </w:r>
      <w:r w:rsidR="00446C8E" w:rsidRPr="004A25E9">
        <w:rPr>
          <w:rFonts w:eastAsiaTheme="minorHAnsi"/>
        </w:rPr>
        <w:t xml:space="preserve"> future financial sustainability</w:t>
      </w:r>
    </w:p>
    <w:p w14:paraId="3E1B417B" w14:textId="470240FC" w:rsidR="00446C8E" w:rsidRDefault="00446C8E" w:rsidP="00446C8E">
      <w:pPr>
        <w:rPr>
          <w:lang w:eastAsia="en-AU"/>
        </w:rPr>
      </w:pPr>
      <w:r>
        <w:rPr>
          <w:lang w:eastAsia="en-AU"/>
        </w:rPr>
        <w:t xml:space="preserve">The KLC acknowledges the importance of its own financial sustainability in achieving its post-determination objectives. However, some </w:t>
      </w:r>
      <w:r w:rsidR="008D58C5">
        <w:rPr>
          <w:lang w:eastAsia="en-AU"/>
        </w:rPr>
        <w:t>n</w:t>
      </w:r>
      <w:r>
        <w:rPr>
          <w:lang w:eastAsia="en-AU"/>
        </w:rPr>
        <w:t xml:space="preserve">ative </w:t>
      </w:r>
      <w:r w:rsidR="008D58C5">
        <w:rPr>
          <w:lang w:eastAsia="en-AU"/>
        </w:rPr>
        <w:t>t</w:t>
      </w:r>
      <w:r>
        <w:rPr>
          <w:lang w:eastAsia="en-AU"/>
        </w:rPr>
        <w:t>itle holders reported that this need for improved financial sustainability has impeded progress of PBC</w:t>
      </w:r>
      <w:r w:rsidR="001A209E">
        <w:rPr>
          <w:lang w:eastAsia="en-AU"/>
        </w:rPr>
        <w:t>s towards</w:t>
      </w:r>
      <w:r>
        <w:rPr>
          <w:lang w:eastAsia="en-AU"/>
        </w:rPr>
        <w:t xml:space="preserve"> autonomy and led </w:t>
      </w:r>
      <w:r w:rsidR="001A209E">
        <w:rPr>
          <w:lang w:eastAsia="en-AU"/>
        </w:rPr>
        <w:t xml:space="preserve">the </w:t>
      </w:r>
      <w:r>
        <w:rPr>
          <w:lang w:eastAsia="en-AU"/>
        </w:rPr>
        <w:t xml:space="preserve">KLC to drift from its </w:t>
      </w:r>
      <w:r w:rsidR="00F75888">
        <w:rPr>
          <w:lang w:eastAsia="en-AU"/>
        </w:rPr>
        <w:t>core native title</w:t>
      </w:r>
      <w:r>
        <w:rPr>
          <w:lang w:eastAsia="en-AU"/>
        </w:rPr>
        <w:t xml:space="preserve"> </w:t>
      </w:r>
      <w:r w:rsidR="008D58C5">
        <w:rPr>
          <w:lang w:eastAsia="en-AU"/>
        </w:rPr>
        <w:t>purpose</w:t>
      </w:r>
      <w:r w:rsidR="00C9445D">
        <w:rPr>
          <w:lang w:eastAsia="en-AU"/>
        </w:rPr>
        <w:t>.</w:t>
      </w:r>
    </w:p>
    <w:p w14:paraId="2DC38A53" w14:textId="3A0DB66F" w:rsidR="001D6D67" w:rsidRDefault="00446C8E" w:rsidP="00446C8E">
      <w:pPr>
        <w:rPr>
          <w:lang w:eastAsia="en-AU"/>
        </w:rPr>
      </w:pPr>
      <w:r>
        <w:rPr>
          <w:lang w:eastAsia="en-AU"/>
        </w:rPr>
        <w:t>Since its establishment, the KLC’s mission has been to advance the interests of the Kimberley Aboriginal community through land rights</w:t>
      </w:r>
      <w:r w:rsidR="00765DDB">
        <w:rPr>
          <w:lang w:eastAsia="en-AU"/>
        </w:rPr>
        <w:t>, including</w:t>
      </w:r>
      <w:r w:rsidR="002C6D0F">
        <w:rPr>
          <w:lang w:eastAsia="en-AU"/>
        </w:rPr>
        <w:t xml:space="preserve"> n</w:t>
      </w:r>
      <w:r>
        <w:rPr>
          <w:lang w:eastAsia="en-AU"/>
        </w:rPr>
        <w:t xml:space="preserve">ative </w:t>
      </w:r>
      <w:r w:rsidR="002C6D0F">
        <w:rPr>
          <w:lang w:eastAsia="en-AU"/>
        </w:rPr>
        <w:t>t</w:t>
      </w:r>
      <w:r>
        <w:rPr>
          <w:lang w:eastAsia="en-AU"/>
        </w:rPr>
        <w:t>itle. Over the last 15 years, KLC has been involved in the creation of several local companies, including KRED and</w:t>
      </w:r>
      <w:r w:rsidR="000E3B51">
        <w:rPr>
          <w:lang w:eastAsia="en-AU"/>
        </w:rPr>
        <w:t xml:space="preserve"> KRED’s subsidiaries</w:t>
      </w:r>
      <w:r>
        <w:rPr>
          <w:lang w:eastAsia="en-AU"/>
        </w:rPr>
        <w:t>.</w:t>
      </w:r>
      <w:r w:rsidR="008D67CB">
        <w:rPr>
          <w:lang w:eastAsia="en-AU"/>
        </w:rPr>
        <w:t xml:space="preserve"> </w:t>
      </w:r>
      <w:r w:rsidR="009D0C44">
        <w:rPr>
          <w:lang w:eastAsia="en-AU"/>
        </w:rPr>
        <w:t>Some</w:t>
      </w:r>
      <w:r w:rsidR="009D0C44" w:rsidRPr="009D0C44">
        <w:rPr>
          <w:lang w:eastAsia="en-AU"/>
        </w:rPr>
        <w:t xml:space="preserve"> Traditional Owners were concerned about the KLC’s established links </w:t>
      </w:r>
      <w:r w:rsidR="009D0C44">
        <w:rPr>
          <w:lang w:eastAsia="en-AU"/>
        </w:rPr>
        <w:t xml:space="preserve">with these </w:t>
      </w:r>
      <w:r w:rsidR="00AE265D">
        <w:rPr>
          <w:lang w:eastAsia="en-AU"/>
        </w:rPr>
        <w:t xml:space="preserve">organisations, </w:t>
      </w:r>
      <w:r w:rsidR="009D0C44" w:rsidRPr="009D0C44">
        <w:rPr>
          <w:lang w:eastAsia="en-AU"/>
        </w:rPr>
        <w:t xml:space="preserve">which they felt </w:t>
      </w:r>
      <w:r w:rsidR="001D0010">
        <w:rPr>
          <w:lang w:eastAsia="en-AU"/>
        </w:rPr>
        <w:t>could potentially</w:t>
      </w:r>
      <w:r w:rsidR="00173F04">
        <w:rPr>
          <w:lang w:eastAsia="en-AU"/>
        </w:rPr>
        <w:t xml:space="preserve"> be in competition</w:t>
      </w:r>
      <w:r w:rsidR="009D0C44" w:rsidRPr="009D0C44">
        <w:rPr>
          <w:lang w:eastAsia="en-AU"/>
        </w:rPr>
        <w:t xml:space="preserve"> with PBCs</w:t>
      </w:r>
      <w:r w:rsidR="001D0010">
        <w:rPr>
          <w:lang w:eastAsia="en-AU"/>
        </w:rPr>
        <w:t>.</w:t>
      </w:r>
      <w:r w:rsidR="009D0C44" w:rsidRPr="009D0C44">
        <w:rPr>
          <w:lang w:eastAsia="en-AU"/>
        </w:rPr>
        <w:t xml:space="preserve"> </w:t>
      </w:r>
    </w:p>
    <w:p w14:paraId="36ABE992" w14:textId="40216888" w:rsidR="00446C8E" w:rsidRDefault="00446C8E" w:rsidP="00446C8E">
      <w:pPr>
        <w:rPr>
          <w:lang w:eastAsia="en-AU"/>
        </w:rPr>
      </w:pPr>
      <w:r>
        <w:rPr>
          <w:lang w:eastAsia="en-AU"/>
        </w:rPr>
        <w:t xml:space="preserve">KLC describes </w:t>
      </w:r>
      <w:r w:rsidR="00683784">
        <w:rPr>
          <w:lang w:eastAsia="en-AU"/>
        </w:rPr>
        <w:t>its</w:t>
      </w:r>
      <w:r>
        <w:rPr>
          <w:lang w:eastAsia="en-AU"/>
        </w:rPr>
        <w:t xml:space="preserve"> model as stimulating the development of economically sustainable enterprises for the community – not running businesses themselves to compete with PBCs for </w:t>
      </w:r>
      <w:r w:rsidR="002913EE">
        <w:rPr>
          <w:lang w:eastAsia="en-AU"/>
        </w:rPr>
        <w:t xml:space="preserve">the </w:t>
      </w:r>
      <w:r>
        <w:rPr>
          <w:lang w:eastAsia="en-AU"/>
        </w:rPr>
        <w:t xml:space="preserve">limited opportunities in the region. KLC has encouraged PBCs to undertake their own business, including handing management of Ranger programs solely back to the PBCs running them. </w:t>
      </w:r>
    </w:p>
    <w:p w14:paraId="7C2C505D" w14:textId="7489501D" w:rsidR="00446C8E" w:rsidRPr="00531154" w:rsidRDefault="00446C8E" w:rsidP="00446C8E">
      <w:pPr>
        <w:rPr>
          <w:lang w:eastAsia="en-AU"/>
        </w:rPr>
      </w:pPr>
      <w:r>
        <w:rPr>
          <w:lang w:eastAsia="en-AU"/>
        </w:rPr>
        <w:t xml:space="preserve">While there are complexities to the financial sustainability of both PBCs and the KLC, </w:t>
      </w:r>
      <w:r w:rsidR="00711745">
        <w:rPr>
          <w:lang w:eastAsia="en-AU"/>
        </w:rPr>
        <w:t>the concerns of some Traditional Owners</w:t>
      </w:r>
      <w:r>
        <w:rPr>
          <w:lang w:eastAsia="en-AU"/>
        </w:rPr>
        <w:t xml:space="preserve"> highlight the </w:t>
      </w:r>
      <w:r w:rsidR="000809F3">
        <w:rPr>
          <w:lang w:eastAsia="en-AU"/>
        </w:rPr>
        <w:t>need to guard against any perception</w:t>
      </w:r>
      <w:r w:rsidR="004A557A">
        <w:rPr>
          <w:lang w:eastAsia="en-AU"/>
        </w:rPr>
        <w:t xml:space="preserve"> </w:t>
      </w:r>
      <w:r w:rsidR="00252704">
        <w:rPr>
          <w:lang w:eastAsia="en-AU"/>
        </w:rPr>
        <w:t>that there is</w:t>
      </w:r>
      <w:r>
        <w:rPr>
          <w:lang w:eastAsia="en-AU"/>
        </w:rPr>
        <w:t xml:space="preserve"> economic competition between the KLC and the PBCs in the region.</w:t>
      </w:r>
    </w:p>
    <w:p w14:paraId="76CDAC9D" w14:textId="49F428D2" w:rsidR="00446C8E" w:rsidRDefault="00446C8E" w:rsidP="00446C8E">
      <w:pPr>
        <w:pStyle w:val="Heading3"/>
        <w:numPr>
          <w:ilvl w:val="2"/>
          <w:numId w:val="2"/>
        </w:numPr>
      </w:pPr>
      <w:r>
        <w:t>TOR 7: External facto</w:t>
      </w:r>
      <w:r w:rsidR="005545BC">
        <w:t>rs</w:t>
      </w:r>
    </w:p>
    <w:p w14:paraId="497BDB30" w14:textId="7CDF6ED5" w:rsidR="00FE7367" w:rsidRPr="00FE7367" w:rsidRDefault="00FE7367" w:rsidP="00FE7367">
      <w:pPr>
        <w:rPr>
          <w:lang w:eastAsia="en-AU"/>
        </w:rPr>
      </w:pPr>
      <w:r w:rsidRPr="00FE7367">
        <w:rPr>
          <w:lang w:eastAsia="en-AU"/>
        </w:rPr>
        <w:t xml:space="preserve">This section presents an analysis of factors that impacted on performance that were beyond </w:t>
      </w:r>
      <w:r w:rsidR="00237166">
        <w:rPr>
          <w:lang w:eastAsia="en-AU"/>
        </w:rPr>
        <w:t xml:space="preserve">the </w:t>
      </w:r>
      <w:r>
        <w:rPr>
          <w:lang w:eastAsia="en-AU"/>
        </w:rPr>
        <w:t>KLC</w:t>
      </w:r>
      <w:r w:rsidRPr="00FE7367">
        <w:rPr>
          <w:lang w:eastAsia="en-AU"/>
        </w:rPr>
        <w:t>'s control.</w:t>
      </w:r>
    </w:p>
    <w:p w14:paraId="4B63E9B0" w14:textId="77777777" w:rsidR="00446C8E" w:rsidRDefault="00446C8E" w:rsidP="00446C8E">
      <w:pPr>
        <w:pStyle w:val="Heading4"/>
      </w:pPr>
      <w:r>
        <w:lastRenderedPageBreak/>
        <w:t>Progress towards a post-determination environment</w:t>
      </w:r>
    </w:p>
    <w:p w14:paraId="5308D915" w14:textId="77777777" w:rsidR="00446C8E" w:rsidRPr="00A50E2B" w:rsidRDefault="00446C8E" w:rsidP="00A50E2B">
      <w:pPr>
        <w:pStyle w:val="Heading5"/>
      </w:pPr>
      <w:r w:rsidRPr="00A50E2B">
        <w:t>The KLC has an ongoing claims load, but also a significant number of established PBCs in the region</w:t>
      </w:r>
    </w:p>
    <w:p w14:paraId="70D5F26D" w14:textId="2EEA1122" w:rsidR="00446C8E" w:rsidRDefault="00237166" w:rsidP="00446C8E">
      <w:pPr>
        <w:rPr>
          <w:lang w:eastAsia="en-AU"/>
        </w:rPr>
      </w:pPr>
      <w:r>
        <w:rPr>
          <w:lang w:eastAsia="en-AU"/>
        </w:rPr>
        <w:t>Ninety-seven</w:t>
      </w:r>
      <w:r w:rsidR="00446C8E">
        <w:rPr>
          <w:lang w:eastAsia="en-AU"/>
        </w:rPr>
        <w:t xml:space="preserve"> per cent of the land regions within the KLC RATSIB area ha</w:t>
      </w:r>
      <w:r w:rsidR="001329D0">
        <w:rPr>
          <w:lang w:eastAsia="en-AU"/>
        </w:rPr>
        <w:t>s</w:t>
      </w:r>
      <w:r w:rsidR="00446C8E">
        <w:rPr>
          <w:lang w:eastAsia="en-AU"/>
        </w:rPr>
        <w:t xml:space="preserve"> already been determined. As described </w:t>
      </w:r>
      <w:r w:rsidR="00435483">
        <w:t xml:space="preserve">under </w:t>
      </w:r>
      <w:r w:rsidR="00446C8E">
        <w:rPr>
          <w:lang w:eastAsia="en-AU"/>
        </w:rPr>
        <w:t xml:space="preserve">TOR 6, there are also large number of PBCs established in the region, of which a significant number require </w:t>
      </w:r>
      <w:r w:rsidR="00565F50">
        <w:rPr>
          <w:lang w:eastAsia="en-AU"/>
        </w:rPr>
        <w:t xml:space="preserve">the </w:t>
      </w:r>
      <w:r w:rsidR="00446C8E">
        <w:rPr>
          <w:lang w:eastAsia="en-AU"/>
        </w:rPr>
        <w:t xml:space="preserve">KLC’s support. </w:t>
      </w:r>
      <w:r w:rsidR="001F555D">
        <w:rPr>
          <w:lang w:eastAsia="en-AU"/>
        </w:rPr>
        <w:t>Future compen</w:t>
      </w:r>
      <w:r w:rsidR="009C5E65">
        <w:rPr>
          <w:lang w:eastAsia="en-AU"/>
        </w:rPr>
        <w:t xml:space="preserve">sation claims have the potential to </w:t>
      </w:r>
      <w:r w:rsidR="00AD69D2">
        <w:rPr>
          <w:lang w:eastAsia="en-AU"/>
        </w:rPr>
        <w:t>improve</w:t>
      </w:r>
      <w:r w:rsidR="00902487">
        <w:rPr>
          <w:lang w:eastAsia="en-AU"/>
        </w:rPr>
        <w:t xml:space="preserve"> PBC </w:t>
      </w:r>
      <w:r w:rsidR="00687217">
        <w:rPr>
          <w:lang w:eastAsia="en-AU"/>
        </w:rPr>
        <w:t xml:space="preserve">resources. </w:t>
      </w:r>
      <w:r w:rsidR="00CB6B60">
        <w:rPr>
          <w:lang w:eastAsia="en-AU"/>
        </w:rPr>
        <w:t>Th</w:t>
      </w:r>
      <w:r w:rsidR="00D812D5">
        <w:rPr>
          <w:lang w:eastAsia="en-AU"/>
        </w:rPr>
        <w:t xml:space="preserve">is suggests that the </w:t>
      </w:r>
      <w:r w:rsidR="00F24E56">
        <w:rPr>
          <w:lang w:eastAsia="en-AU"/>
        </w:rPr>
        <w:t>region is well progressed towards a post-determination environment</w:t>
      </w:r>
      <w:r w:rsidR="00210AE4">
        <w:rPr>
          <w:lang w:eastAsia="en-AU"/>
        </w:rPr>
        <w:t>.</w:t>
      </w:r>
    </w:p>
    <w:p w14:paraId="68D4501E" w14:textId="77777777" w:rsidR="00446C8E" w:rsidRDefault="00446C8E" w:rsidP="00446C8E">
      <w:pPr>
        <w:pStyle w:val="Heading3"/>
        <w:numPr>
          <w:ilvl w:val="2"/>
          <w:numId w:val="2"/>
        </w:numPr>
      </w:pPr>
      <w:r>
        <w:t>TOR 7: Recommendations</w:t>
      </w:r>
    </w:p>
    <w:tbl>
      <w:tblPr>
        <w:tblStyle w:val="TableGrid"/>
        <w:tblW w:w="0" w:type="auto"/>
        <w:tblBorders>
          <w:top w:val="none" w:sz="0" w:space="0" w:color="auto"/>
          <w:bottom w:val="none" w:sz="0" w:space="0" w:color="auto"/>
          <w:insideH w:val="none" w:sz="0" w:space="0" w:color="auto"/>
        </w:tblBorders>
        <w:tblLook w:val="0600" w:firstRow="0" w:lastRow="0" w:firstColumn="0" w:lastColumn="0" w:noHBand="1" w:noVBand="1"/>
      </w:tblPr>
      <w:tblGrid>
        <w:gridCol w:w="8223"/>
        <w:gridCol w:w="707"/>
      </w:tblGrid>
      <w:tr w:rsidR="00F222EA" w14:paraId="42F7B5B1" w14:textId="77777777" w:rsidTr="00F222EA">
        <w:trPr>
          <w:trHeight w:val="360"/>
        </w:trPr>
        <w:tc>
          <w:tcPr>
            <w:tcW w:w="8223" w:type="dxa"/>
          </w:tcPr>
          <w:p w14:paraId="0A234636" w14:textId="77777777" w:rsidR="00F222EA" w:rsidRDefault="00F222EA" w:rsidP="00F222EA">
            <w:pPr>
              <w:rPr>
                <w:lang w:eastAsia="en-AU"/>
              </w:rPr>
            </w:pPr>
            <w:r w:rsidRPr="00F97AB5">
              <w:rPr>
                <w:noProof/>
                <w:lang w:eastAsia="en-AU"/>
              </w:rPr>
              <w:drawing>
                <wp:inline distT="0" distB="0" distL="0" distR="0" wp14:anchorId="59325D0D" wp14:editId="7C289123">
                  <wp:extent cx="5114199" cy="287655"/>
                  <wp:effectExtent l="0" t="0" r="0" b="0"/>
                  <wp:docPr id="898670830" name="Picture 89867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06493EB7" w14:textId="7D16481C" w:rsidR="00F222EA" w:rsidRPr="00F97AB5" w:rsidRDefault="00F222EA" w:rsidP="00F222EA">
            <w:pPr>
              <w:spacing w:after="100" w:afterAutospacing="1"/>
              <w:jc w:val="center"/>
              <w:rPr>
                <w:sz w:val="30"/>
                <w:szCs w:val="30"/>
                <w:lang w:eastAsia="en-AU"/>
              </w:rPr>
            </w:pPr>
            <w:r>
              <w:rPr>
                <w:color w:val="FFFFFF" w:themeColor="background1"/>
                <w:sz w:val="30"/>
                <w:szCs w:val="30"/>
                <w:lang w:eastAsia="en-AU"/>
              </w:rPr>
              <w:t>1</w:t>
            </w:r>
            <w:r w:rsidR="003C01E0">
              <w:rPr>
                <w:color w:val="FFFFFF" w:themeColor="background1"/>
                <w:sz w:val="30"/>
                <w:szCs w:val="30"/>
                <w:lang w:eastAsia="en-AU"/>
              </w:rPr>
              <w:t>0</w:t>
            </w:r>
          </w:p>
        </w:tc>
      </w:tr>
      <w:tr w:rsidR="00F222EA" w14:paraId="50599847" w14:textId="77777777" w:rsidTr="00F222EA">
        <w:tc>
          <w:tcPr>
            <w:tcW w:w="8930" w:type="dxa"/>
            <w:gridSpan w:val="2"/>
            <w:tcBorders>
              <w:right w:val="single" w:sz="18" w:space="0" w:color="F8981D" w:themeColor="accent3"/>
            </w:tcBorders>
          </w:tcPr>
          <w:p w14:paraId="34021E85" w14:textId="5C746173" w:rsidR="00F222EA" w:rsidRPr="00BD37ED" w:rsidRDefault="00F222EA" w:rsidP="00F222EA">
            <w:bookmarkStart w:id="64" w:name="_Hlk167697230"/>
            <w:r w:rsidRPr="00F70FB0">
              <w:t xml:space="preserve">Consider </w:t>
            </w:r>
            <w:r>
              <w:t>how indicators of</w:t>
            </w:r>
            <w:r w:rsidR="00237166">
              <w:t xml:space="preserve"> the</w:t>
            </w:r>
            <w:r>
              <w:t xml:space="preserve"> K</w:t>
            </w:r>
            <w:r w:rsidRPr="00F70FB0">
              <w:t xml:space="preserve">LC </w:t>
            </w:r>
            <w:r>
              <w:t xml:space="preserve">development </w:t>
            </w:r>
            <w:r w:rsidRPr="00F70FB0">
              <w:t>in a post-determination environment</w:t>
            </w:r>
            <w:r>
              <w:t xml:space="preserve"> can be more clearly documented and communicated, and assign responsibility for tracking and monitoring progress.</w:t>
            </w:r>
            <w:bookmarkEnd w:id="64"/>
          </w:p>
        </w:tc>
      </w:tr>
      <w:tr w:rsidR="00F222EA" w14:paraId="1FE9672D" w14:textId="77777777" w:rsidTr="00F222EA">
        <w:trPr>
          <w:trHeight w:val="360"/>
        </w:trPr>
        <w:tc>
          <w:tcPr>
            <w:tcW w:w="8223" w:type="dxa"/>
          </w:tcPr>
          <w:p w14:paraId="1833ABF8" w14:textId="77777777" w:rsidR="00F222EA" w:rsidRDefault="00F222EA" w:rsidP="00F222EA">
            <w:pPr>
              <w:rPr>
                <w:lang w:eastAsia="en-AU"/>
              </w:rPr>
            </w:pPr>
            <w:r w:rsidRPr="00F97AB5">
              <w:rPr>
                <w:noProof/>
                <w:lang w:eastAsia="en-AU"/>
              </w:rPr>
              <w:drawing>
                <wp:inline distT="0" distB="0" distL="0" distR="0" wp14:anchorId="3B54EE9D" wp14:editId="4452E376">
                  <wp:extent cx="5114199" cy="287655"/>
                  <wp:effectExtent l="0" t="0" r="0" b="0"/>
                  <wp:docPr id="593941580" name="Picture 59394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shd w:val="clear" w:color="auto" w:fill="F8981D" w:themeFill="accent3"/>
          </w:tcPr>
          <w:p w14:paraId="11590A36" w14:textId="5EB4EEE6" w:rsidR="00F222EA" w:rsidRPr="00F97AB5" w:rsidRDefault="00F222EA" w:rsidP="00F222EA">
            <w:pPr>
              <w:spacing w:after="100" w:afterAutospacing="1"/>
              <w:jc w:val="center"/>
              <w:rPr>
                <w:sz w:val="30"/>
                <w:szCs w:val="30"/>
                <w:lang w:eastAsia="en-AU"/>
              </w:rPr>
            </w:pPr>
            <w:r>
              <w:rPr>
                <w:color w:val="FFFFFF" w:themeColor="background1"/>
                <w:sz w:val="30"/>
                <w:szCs w:val="30"/>
                <w:lang w:eastAsia="en-AU"/>
              </w:rPr>
              <w:t>1</w:t>
            </w:r>
            <w:r w:rsidR="003C01E0">
              <w:rPr>
                <w:color w:val="FFFFFF" w:themeColor="background1"/>
                <w:sz w:val="30"/>
                <w:szCs w:val="30"/>
                <w:lang w:eastAsia="en-AU"/>
              </w:rPr>
              <w:t>1</w:t>
            </w:r>
          </w:p>
        </w:tc>
      </w:tr>
      <w:tr w:rsidR="00F222EA" w14:paraId="0ED33F5C" w14:textId="77777777" w:rsidTr="00F222EA">
        <w:tc>
          <w:tcPr>
            <w:tcW w:w="8930" w:type="dxa"/>
            <w:gridSpan w:val="2"/>
            <w:tcBorders>
              <w:bottom w:val="single" w:sz="4" w:space="0" w:color="F8981D" w:themeColor="accent3"/>
              <w:right w:val="single" w:sz="18" w:space="0" w:color="F8981D" w:themeColor="accent3"/>
            </w:tcBorders>
          </w:tcPr>
          <w:p w14:paraId="5827ED9B" w14:textId="75AB33FF" w:rsidR="00F222EA" w:rsidRPr="00BD37ED" w:rsidRDefault="00F222EA" w:rsidP="00F222EA">
            <w:bookmarkStart w:id="65" w:name="_Hlk167697240"/>
            <w:r>
              <w:t xml:space="preserve">Seek ways to better communicate the role of </w:t>
            </w:r>
            <w:r w:rsidR="00237166">
              <w:t xml:space="preserve">the </w:t>
            </w:r>
            <w:r>
              <w:t>KLC in the post-determination world in supporting, and not competing, with PBCs.</w:t>
            </w:r>
            <w:bookmarkEnd w:id="65"/>
          </w:p>
        </w:tc>
      </w:tr>
    </w:tbl>
    <w:p w14:paraId="672EA66D" w14:textId="77777777" w:rsidR="00A50E2B" w:rsidRPr="001E64E4" w:rsidRDefault="00A50E2B" w:rsidP="00446C8E">
      <w:pPr>
        <w:rPr>
          <w:lang w:eastAsia="en-AU"/>
        </w:rPr>
      </w:pPr>
    </w:p>
    <w:p w14:paraId="247A01AA" w14:textId="334D6DA2" w:rsidR="00C74E12" w:rsidRPr="00683699" w:rsidRDefault="00446C8E" w:rsidP="00446C8E">
      <w:pPr>
        <w:pStyle w:val="Bullet"/>
        <w:numPr>
          <w:ilvl w:val="0"/>
          <w:numId w:val="0"/>
        </w:numPr>
        <w:ind w:left="340" w:hanging="340"/>
      </w:pPr>
      <w:r>
        <w:br w:type="page"/>
      </w:r>
    </w:p>
    <w:p w14:paraId="49D3A1E4" w14:textId="68285445" w:rsidR="009C3779" w:rsidRDefault="009C3779" w:rsidP="00665EA7">
      <w:pPr>
        <w:pStyle w:val="xAppendixLevel1"/>
      </w:pPr>
      <w:bookmarkStart w:id="66" w:name="_Ref494201132"/>
      <w:bookmarkStart w:id="67" w:name="_Toc129103569"/>
      <w:bookmarkStart w:id="68" w:name="_Ref163046335"/>
      <w:bookmarkStart w:id="69" w:name="_Toc170470108"/>
      <w:r w:rsidRPr="00E729CF">
        <w:rPr>
          <w:szCs w:val="36"/>
        </w:rPr>
        <w:lastRenderedPageBreak/>
        <w:t>Project Terms of Reference</w:t>
      </w:r>
      <w:bookmarkEnd w:id="66"/>
      <w:bookmarkEnd w:id="67"/>
      <w:r w:rsidR="002411D1">
        <w:rPr>
          <w:szCs w:val="36"/>
        </w:rPr>
        <w:t xml:space="preserve"> </w:t>
      </w:r>
      <w:r w:rsidR="002411D1">
        <w:t>and performance indicators for individual reports</w:t>
      </w:r>
      <w:bookmarkEnd w:id="68"/>
      <w:bookmarkEnd w:id="69"/>
    </w:p>
    <w:p w14:paraId="54800586" w14:textId="4249AA20" w:rsidR="008C3DF8" w:rsidRPr="008C3DF8" w:rsidRDefault="008C3DF8" w:rsidP="008C3DF8">
      <w:pPr>
        <w:rPr>
          <w:lang w:eastAsia="en-AU"/>
        </w:rPr>
      </w:pPr>
      <w:r w:rsidRPr="008C3DF8">
        <w:rPr>
          <w:lang w:eastAsia="en-AU"/>
        </w:rPr>
        <w:t xml:space="preserve">The methodology for the Review was developed by Nous against the TORs, as discussed in the Scope of the Review, see section </w:t>
      </w:r>
      <w:r>
        <w:rPr>
          <w:lang w:eastAsia="en-AU"/>
        </w:rPr>
        <w:fldChar w:fldCharType="begin"/>
      </w:r>
      <w:r>
        <w:rPr>
          <w:lang w:eastAsia="en-AU"/>
        </w:rPr>
        <w:instrText xml:space="preserve"> REF _Ref170473252 \n \h </w:instrText>
      </w:r>
      <w:r>
        <w:rPr>
          <w:lang w:eastAsia="en-AU"/>
        </w:rPr>
      </w:r>
      <w:r>
        <w:rPr>
          <w:lang w:eastAsia="en-AU"/>
        </w:rPr>
        <w:fldChar w:fldCharType="separate"/>
      </w:r>
      <w:r w:rsidR="00291532">
        <w:rPr>
          <w:lang w:eastAsia="en-AU"/>
        </w:rPr>
        <w:t>2</w:t>
      </w:r>
      <w:r>
        <w:rPr>
          <w:lang w:eastAsia="en-AU"/>
        </w:rPr>
        <w:fldChar w:fldCharType="end"/>
      </w:r>
      <w:r w:rsidRPr="008C3DF8">
        <w:rPr>
          <w:lang w:eastAsia="en-AU"/>
        </w:rPr>
        <w:t>. For each TOR the methodology listed a number of performance indicators and external factors to ensure a consistent approach across all the NTRB-SP reviews and to enable a comparison of performance. The TOR and associated performance indicators and external factors are listed below.</w:t>
      </w:r>
    </w:p>
    <w:p w14:paraId="67649B99" w14:textId="47ED96E9" w:rsidR="002F4C42" w:rsidRPr="00D12186" w:rsidRDefault="002F4C42" w:rsidP="007630C9">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Focussing on the period 1 July 2019 </w:t>
      </w:r>
      <w:r>
        <w:rPr>
          <w:szCs w:val="19"/>
        </w:rPr>
        <w:t>to</w:t>
      </w:r>
      <w:r w:rsidRPr="00D12186">
        <w:rPr>
          <w:szCs w:val="19"/>
        </w:rPr>
        <w:t xml:space="preserve"> 30 June 2022 and addressing developments since the previous </w:t>
      </w:r>
      <w:r w:rsidR="001401F5">
        <w:rPr>
          <w:szCs w:val="19"/>
        </w:rPr>
        <w:t>R</w:t>
      </w:r>
      <w:r w:rsidRPr="00D12186">
        <w:rPr>
          <w:szCs w:val="19"/>
        </w:rPr>
        <w:t xml:space="preserve">eview of each organisation the Service Provider will: </w:t>
      </w:r>
    </w:p>
    <w:p w14:paraId="19B22D21" w14:textId="77777777" w:rsidR="002F4C42" w:rsidRPr="00D12186" w:rsidRDefault="002F4C42" w:rsidP="002F4C42">
      <w:pPr>
        <w:pStyle w:val="ListParagraph"/>
        <w:spacing w:after="0"/>
        <w:rPr>
          <w:szCs w:val="19"/>
        </w:rPr>
      </w:pPr>
    </w:p>
    <w:p w14:paraId="6379F7B8" w14:textId="77777777" w:rsidR="002F4C42" w:rsidRPr="00D12186" w:rsidRDefault="002F4C42" w:rsidP="007630C9">
      <w:pPr>
        <w:pStyle w:val="ListParagraph"/>
        <w:numPr>
          <w:ilvl w:val="0"/>
          <w:numId w:val="18"/>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Review and assess the extent to which each organisation: </w:t>
      </w:r>
    </w:p>
    <w:p w14:paraId="5921388A" w14:textId="77777777" w:rsidR="002F4C42" w:rsidRPr="00D12186" w:rsidRDefault="002F4C42" w:rsidP="002F4C42">
      <w:pPr>
        <w:pStyle w:val="ListParagraph"/>
        <w:spacing w:after="0"/>
        <w:ind w:left="0"/>
        <w:rPr>
          <w:szCs w:val="19"/>
        </w:rPr>
      </w:pPr>
    </w:p>
    <w:p w14:paraId="6A82F925" w14:textId="77777777" w:rsidR="002F4C42" w:rsidRDefault="002F4C42" w:rsidP="007630C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achieved positive native title outcomes for persons who hold or may hold native title in its region taking account, where relevant, of disruptions caused by COVID-19</w:t>
      </w:r>
      <w:r>
        <w:rPr>
          <w:szCs w:val="19"/>
        </w:rPr>
        <w:t xml:space="preserve">. </w:t>
      </w:r>
    </w:p>
    <w:p w14:paraId="3D9CF9AD"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A2337A4" w14:textId="77777777" w:rsidR="002F4C42" w:rsidRPr="00E016A6"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t xml:space="preserve">Performance indicators: </w:t>
      </w:r>
    </w:p>
    <w:p w14:paraId="441A6798" w14:textId="77777777" w:rsidR="002F4C42"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756305">
        <w:rPr>
          <w:szCs w:val="19"/>
        </w:rPr>
        <w:t>Native</w:t>
      </w:r>
      <w:r w:rsidRPr="00881FE5">
        <w:t xml:space="preserve"> title outcomes including from facilitation and assistance, certification, notification, dispute resolution and other relevant functions</w:t>
      </w:r>
      <w:r>
        <w:t>.</w:t>
      </w:r>
    </w:p>
    <w:p w14:paraId="440503F7"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Anthropological research.</w:t>
      </w:r>
    </w:p>
    <w:p w14:paraId="0F75FB17"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Future Acts and ILUAs.</w:t>
      </w:r>
    </w:p>
    <w:p w14:paraId="3C2E6B76"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claims resulting in a determination of native title or ILUA settlement as a proportion of total filed claims.</w:t>
      </w:r>
    </w:p>
    <w:p w14:paraId="5BDD59FE"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claim groups the NTRB-SP has acted for or assisted via brief out arrangements in a native title determination application during the Review period.</w:t>
      </w:r>
    </w:p>
    <w:p w14:paraId="55D25417"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Proportion of claimable land within the RATSIB area not subject to a registered claim or a determination.</w:t>
      </w:r>
    </w:p>
    <w:p w14:paraId="00F0E900"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Average time between filing an application for a determination of native title to the date a determination is made.</w:t>
      </w:r>
    </w:p>
    <w:p w14:paraId="35275508"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56305">
        <w:rPr>
          <w:szCs w:val="19"/>
        </w:rPr>
        <w:t>Number of common law native title holders/RNTBCs the NTRB-SP has acted for in a native title compensation application proceeding.</w:t>
      </w:r>
    </w:p>
    <w:p w14:paraId="40F5D7F1" w14:textId="77777777" w:rsidR="002F4C42" w:rsidRPr="00756305"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326A1B32" w14:textId="77777777" w:rsidR="002F4C42"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116271">
        <w:t xml:space="preserve">State government </w:t>
      </w:r>
      <w:r>
        <w:t>policy and legislation.</w:t>
      </w:r>
    </w:p>
    <w:p w14:paraId="2BA218D8" w14:textId="77777777" w:rsidR="002F4C42"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remaining claims.</w:t>
      </w:r>
    </w:p>
    <w:p w14:paraId="049FDB7B" w14:textId="77777777" w:rsidR="002F4C42"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History of previous claims.</w:t>
      </w:r>
    </w:p>
    <w:p w14:paraId="03B3BC54" w14:textId="77777777" w:rsidR="002F4C42"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Complexity of land use and tenure.</w:t>
      </w:r>
    </w:p>
    <w:p w14:paraId="214C904D" w14:textId="77777777" w:rsidR="002F4C42"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COVID-19.</w:t>
      </w:r>
    </w:p>
    <w:p w14:paraId="11488CC7" w14:textId="77777777" w:rsidR="002F4C42" w:rsidRPr="005D43D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t>Amount of funding.</w:t>
      </w:r>
    </w:p>
    <w:p w14:paraId="274D679D" w14:textId="77777777" w:rsidR="002F4C42" w:rsidRPr="00D12186" w:rsidRDefault="002F4C42" w:rsidP="002F4C42">
      <w:pPr>
        <w:pStyle w:val="ListParagraph"/>
        <w:spacing w:after="0"/>
        <w:ind w:left="204"/>
        <w:rPr>
          <w:szCs w:val="19"/>
        </w:rPr>
      </w:pPr>
    </w:p>
    <w:p w14:paraId="5F8CCA26" w14:textId="77777777" w:rsidR="002F4C42" w:rsidRDefault="002F4C42" w:rsidP="007630C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A</w:t>
      </w:r>
      <w:r w:rsidRPr="00D12186">
        <w:rPr>
          <w:szCs w:val="19"/>
        </w:rPr>
        <w:t>ssesses and prioritises applications for assistance in a manner that is equitable, transparent and robust and is well publicised and understood by clients and potential clients</w:t>
      </w:r>
      <w:r>
        <w:rPr>
          <w:szCs w:val="19"/>
        </w:rPr>
        <w:t>.</w:t>
      </w:r>
    </w:p>
    <w:p w14:paraId="37340506"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61B17C43" w14:textId="77777777" w:rsidR="002F4C42" w:rsidRPr="00E016A6"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E016A6">
        <w:rPr>
          <w:rFonts w:asciiTheme="majorHAnsi" w:hAnsiTheme="majorHAnsi" w:cstheme="majorHAnsi"/>
          <w:szCs w:val="19"/>
        </w:rPr>
        <w:lastRenderedPageBreak/>
        <w:t xml:space="preserve">Performance indicators: </w:t>
      </w:r>
    </w:p>
    <w:p w14:paraId="70F9024F" w14:textId="64FAE4CC" w:rsidR="002F4C42" w:rsidRPr="005E2F28"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Equity, transparency and robustness of assessment and prioritisation process</w:t>
      </w:r>
      <w:r w:rsidR="003C532D">
        <w:rPr>
          <w:szCs w:val="19"/>
        </w:rPr>
        <w:t>.</w:t>
      </w:r>
    </w:p>
    <w:p w14:paraId="1BDA8717" w14:textId="0FF92B32" w:rsidR="002F4C42" w:rsidRPr="005E2F28"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Client and potential client awareness of the process</w:t>
      </w:r>
      <w:r w:rsidR="003C532D">
        <w:rPr>
          <w:szCs w:val="19"/>
        </w:rPr>
        <w:t>.</w:t>
      </w:r>
    </w:p>
    <w:p w14:paraId="297D3088" w14:textId="08284978" w:rsidR="002F4C42"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5E2F28">
        <w:rPr>
          <w:szCs w:val="19"/>
        </w:rPr>
        <w:t>Traditional Owner satisfaction with the assessment and prioritisation process and its outcome</w:t>
      </w:r>
      <w:r w:rsidR="003C532D">
        <w:rPr>
          <w:szCs w:val="19"/>
        </w:rPr>
        <w:t>.</w:t>
      </w:r>
    </w:p>
    <w:p w14:paraId="42BBAD91"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34FE7D8D" w14:textId="77777777" w:rsidR="002F4C42" w:rsidRPr="0075630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A57EB6">
        <w:rPr>
          <w:szCs w:val="19"/>
        </w:rPr>
        <w:t>Number</w:t>
      </w:r>
      <w:r>
        <w:t xml:space="preserve"> of claims relative to NTRB-SP size and resourcing.</w:t>
      </w:r>
    </w:p>
    <w:p w14:paraId="222356F4" w14:textId="77777777" w:rsidR="002F4C42" w:rsidRPr="00D12186"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0CB821E" w14:textId="77777777" w:rsidR="002F4C42" w:rsidRDefault="002F4C42" w:rsidP="007630C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D</w:t>
      </w:r>
      <w:r w:rsidRPr="00D12186">
        <w:rPr>
          <w:szCs w:val="19"/>
        </w:rPr>
        <w:t>eals respectfully, equitably, transparently and in a culturally appropriate manner with persons who hold or may hold native title in its region, including by adequately investigating and resolving complaints</w:t>
      </w:r>
      <w:r>
        <w:rPr>
          <w:szCs w:val="19"/>
        </w:rPr>
        <w:t>.</w:t>
      </w:r>
    </w:p>
    <w:p w14:paraId="5A4B8A92"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1F0FDC6E" w14:textId="77777777" w:rsidR="002F4C42" w:rsidRPr="00F454BA"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3E883630" w14:textId="77777777" w:rsidR="002F4C42" w:rsidRPr="00F454BA"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Respectful and transparent engagement</w:t>
      </w:r>
      <w:r>
        <w:rPr>
          <w:szCs w:val="19"/>
        </w:rPr>
        <w:t>.</w:t>
      </w:r>
      <w:r w:rsidRPr="00F454BA">
        <w:rPr>
          <w:szCs w:val="19"/>
        </w:rPr>
        <w:t xml:space="preserve"> </w:t>
      </w:r>
    </w:p>
    <w:p w14:paraId="0A939B32" w14:textId="77777777" w:rsidR="002F4C42" w:rsidRPr="00F454BA"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Culturally appropriate engagement</w:t>
      </w:r>
      <w:r>
        <w:rPr>
          <w:szCs w:val="19"/>
        </w:rPr>
        <w:t>.</w:t>
      </w:r>
    </w:p>
    <w:p w14:paraId="5BB572C7" w14:textId="77777777" w:rsidR="002F4C42" w:rsidRPr="00F454BA"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Complaints</w:t>
      </w:r>
      <w:r>
        <w:rPr>
          <w:szCs w:val="19"/>
        </w:rPr>
        <w:t>.</w:t>
      </w:r>
    </w:p>
    <w:p w14:paraId="5B011D2D" w14:textId="77777777" w:rsidR="002F4C42" w:rsidRPr="00F454BA"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Internal review</w:t>
      </w:r>
      <w:r>
        <w:rPr>
          <w:szCs w:val="19"/>
        </w:rPr>
        <w:t>.</w:t>
      </w:r>
    </w:p>
    <w:p w14:paraId="54C91BDE" w14:textId="77777777" w:rsidR="002F4C42" w:rsidRPr="00F454BA"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454BA">
        <w:rPr>
          <w:szCs w:val="19"/>
        </w:rPr>
        <w:t>Use of cultural materials</w:t>
      </w:r>
      <w:r>
        <w:rPr>
          <w:szCs w:val="19"/>
        </w:rPr>
        <w:t>.</w:t>
      </w:r>
    </w:p>
    <w:p w14:paraId="423EE94B"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288AD54"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No external factors have been identified for TOR 3.</w:t>
      </w:r>
    </w:p>
    <w:p w14:paraId="506E2324" w14:textId="77777777" w:rsidR="002F4C42" w:rsidRPr="00A57EB6"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2C46FBB1" w14:textId="77777777" w:rsidR="002F4C42" w:rsidRDefault="002F4C42" w:rsidP="007630C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P</w:t>
      </w:r>
      <w:r w:rsidRPr="00D12186">
        <w:rPr>
          <w:szCs w:val="19"/>
        </w:rPr>
        <w:t>erforms its functions in a cost-effective manner, including by identifying the key cost drivers for the organisation</w:t>
      </w:r>
      <w:r>
        <w:rPr>
          <w:szCs w:val="19"/>
        </w:rPr>
        <w:t>.</w:t>
      </w:r>
    </w:p>
    <w:p w14:paraId="3A327717"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D0F7344"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14C5BD3D" w14:textId="03662BE8" w:rsidR="002F4C42" w:rsidRPr="00DE65A7"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Expenditure on salaries (legal, anthropological, </w:t>
      </w:r>
      <w:r w:rsidR="007E3986">
        <w:rPr>
          <w:szCs w:val="19"/>
        </w:rPr>
        <w:t>B</w:t>
      </w:r>
      <w:r w:rsidRPr="00DE65A7">
        <w:rPr>
          <w:szCs w:val="19"/>
        </w:rPr>
        <w:t>oard, CEO, HR, etc.), operations (travel, legal, offices, etc.) or other relevant items.</w:t>
      </w:r>
    </w:p>
    <w:p w14:paraId="00F99638" w14:textId="77777777" w:rsidR="002F4C42" w:rsidRPr="00DE65A7"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Cost-saving actions, strategies and/or discussions</w:t>
      </w:r>
      <w:r>
        <w:rPr>
          <w:szCs w:val="19"/>
        </w:rPr>
        <w:t>.</w:t>
      </w:r>
    </w:p>
    <w:p w14:paraId="020499A5" w14:textId="77777777" w:rsidR="002F4C42" w:rsidRPr="00DE65A7"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processes for claim group meetings</w:t>
      </w:r>
      <w:r>
        <w:rPr>
          <w:szCs w:val="19"/>
        </w:rPr>
        <w:t>.</w:t>
      </w:r>
    </w:p>
    <w:p w14:paraId="0587045F" w14:textId="77777777" w:rsidR="002F4C42" w:rsidRPr="00DE65A7"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 xml:space="preserve">Annual yearly expenditure per claimant group. </w:t>
      </w:r>
    </w:p>
    <w:p w14:paraId="27BF5CAE" w14:textId="77777777" w:rsidR="002F4C42" w:rsidRPr="00DE65A7"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Travel assistance policies for claim group meetings.</w:t>
      </w:r>
    </w:p>
    <w:p w14:paraId="73535832" w14:textId="77777777" w:rsidR="002F4C42" w:rsidRPr="00DE65A7"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E65A7">
        <w:rPr>
          <w:szCs w:val="19"/>
        </w:rPr>
        <w:t>Appropriate rationale for use of external consultants</w:t>
      </w:r>
      <w:r>
        <w:rPr>
          <w:szCs w:val="19"/>
        </w:rPr>
        <w:t>.</w:t>
      </w:r>
    </w:p>
    <w:p w14:paraId="5F6B66DB"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3655C097" w14:textId="77777777" w:rsidR="002F4C42" w:rsidRPr="0068117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Size of RATSIB area</w:t>
      </w:r>
      <w:r>
        <w:rPr>
          <w:szCs w:val="19"/>
        </w:rPr>
        <w:t>.</w:t>
      </w:r>
    </w:p>
    <w:p w14:paraId="12CA4350" w14:textId="77777777" w:rsidR="002F4C42" w:rsidRPr="0068117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Remoteness of RATSIB area</w:t>
      </w:r>
      <w:r>
        <w:rPr>
          <w:szCs w:val="19"/>
        </w:rPr>
        <w:t>.</w:t>
      </w:r>
    </w:p>
    <w:p w14:paraId="74852176" w14:textId="77777777" w:rsidR="002F4C42" w:rsidRPr="00681175"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Average number of people within a claim group</w:t>
      </w:r>
      <w:r>
        <w:rPr>
          <w:szCs w:val="19"/>
        </w:rPr>
        <w:t>.</w:t>
      </w:r>
    </w:p>
    <w:p w14:paraId="32619E0F" w14:textId="77777777" w:rsidR="002F4C42" w:rsidRPr="00D12186"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681175">
        <w:rPr>
          <w:szCs w:val="19"/>
        </w:rPr>
        <w:t>Interpreters</w:t>
      </w:r>
      <w:r>
        <w:rPr>
          <w:szCs w:val="19"/>
        </w:rPr>
        <w:t>.</w:t>
      </w:r>
    </w:p>
    <w:p w14:paraId="65F97865" w14:textId="77777777" w:rsidR="002F4C42" w:rsidRPr="00D12186" w:rsidRDefault="002F4C42" w:rsidP="002F4C42">
      <w:pPr>
        <w:pStyle w:val="ListParagraph"/>
        <w:spacing w:after="0"/>
        <w:ind w:left="204"/>
        <w:rPr>
          <w:szCs w:val="19"/>
        </w:rPr>
      </w:pPr>
    </w:p>
    <w:p w14:paraId="2E8C9774" w14:textId="77777777" w:rsidR="002F4C42" w:rsidRDefault="002F4C42" w:rsidP="007630C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governance and management structures, and organisational policies and an organisational culture that support efficient and effective project delivery</w:t>
      </w:r>
      <w:r>
        <w:rPr>
          <w:szCs w:val="19"/>
        </w:rPr>
        <w:t>.</w:t>
      </w:r>
    </w:p>
    <w:p w14:paraId="629B1208"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20FB563"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5FAE9A2A" w14:textId="77777777" w:rsidR="002F4C42" w:rsidRPr="00DF6A1C"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Breakdown of roles, responsibilities and decision making between the organisation’s Board, Chairperson, CEO and senior staff</w:t>
      </w:r>
      <w:r>
        <w:rPr>
          <w:szCs w:val="19"/>
        </w:rPr>
        <w:t>.</w:t>
      </w:r>
    </w:p>
    <w:p w14:paraId="485D1932" w14:textId="77777777" w:rsidR="002F4C42" w:rsidRPr="00DF6A1C"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Board integrity and capability</w:t>
      </w:r>
      <w:r>
        <w:rPr>
          <w:szCs w:val="19"/>
        </w:rPr>
        <w:t>.</w:t>
      </w:r>
    </w:p>
    <w:p w14:paraId="369C6822" w14:textId="77777777" w:rsidR="002F4C42" w:rsidRPr="00DF6A1C"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Conflicts of interest</w:t>
      </w:r>
      <w:r>
        <w:rPr>
          <w:szCs w:val="19"/>
        </w:rPr>
        <w:t>.</w:t>
      </w:r>
    </w:p>
    <w:p w14:paraId="2953B971" w14:textId="77777777" w:rsidR="002F4C42" w:rsidRPr="00DF6A1C"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Culture and values</w:t>
      </w:r>
      <w:r>
        <w:rPr>
          <w:szCs w:val="19"/>
        </w:rPr>
        <w:t>.</w:t>
      </w:r>
    </w:p>
    <w:p w14:paraId="0BFDFCC5" w14:textId="77777777" w:rsidR="002F4C42" w:rsidRPr="00DF6A1C"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lastRenderedPageBreak/>
        <w:t>Financial management</w:t>
      </w:r>
      <w:r>
        <w:rPr>
          <w:szCs w:val="19"/>
        </w:rPr>
        <w:t>.</w:t>
      </w:r>
    </w:p>
    <w:p w14:paraId="29D6C771" w14:textId="77777777" w:rsidR="002F4C42" w:rsidRPr="00DF6A1C"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Training and professional development</w:t>
      </w:r>
      <w:r>
        <w:rPr>
          <w:szCs w:val="19"/>
        </w:rPr>
        <w:t>.</w:t>
      </w:r>
    </w:p>
    <w:p w14:paraId="2FAE0488" w14:textId="50920063" w:rsidR="002F4C42" w:rsidRPr="00DF6A1C"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DF6A1C">
        <w:rPr>
          <w:szCs w:val="19"/>
        </w:rPr>
        <w:t>Level of</w:t>
      </w:r>
      <w:r w:rsidR="007E3986">
        <w:rPr>
          <w:szCs w:val="19"/>
        </w:rPr>
        <w:t xml:space="preserve"> staff</w:t>
      </w:r>
      <w:r w:rsidRPr="00DF6A1C">
        <w:rPr>
          <w:szCs w:val="19"/>
        </w:rPr>
        <w:t xml:space="preserve"> turnover</w:t>
      </w:r>
      <w:r>
        <w:rPr>
          <w:szCs w:val="19"/>
        </w:rPr>
        <w:t>.</w:t>
      </w:r>
    </w:p>
    <w:p w14:paraId="41F09E03"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46EAB34E" w14:textId="1C1E4BCA"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Pr>
          <w:lang w:eastAsia="en-AU"/>
        </w:rPr>
        <w:t xml:space="preserve">No external factors have been identified for TOR </w:t>
      </w:r>
      <w:r w:rsidR="007E3986">
        <w:rPr>
          <w:lang w:eastAsia="en-AU"/>
        </w:rPr>
        <w:t>5</w:t>
      </w:r>
      <w:r>
        <w:rPr>
          <w:lang w:eastAsia="en-AU"/>
        </w:rPr>
        <w:t>.</w:t>
      </w:r>
    </w:p>
    <w:p w14:paraId="34ED857D" w14:textId="77777777" w:rsidR="002F4C42" w:rsidRDefault="002F4C42" w:rsidP="007630C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I</w:t>
      </w:r>
      <w:r w:rsidRPr="00D12186">
        <w:rPr>
          <w:szCs w:val="19"/>
        </w:rPr>
        <w:t>s adequately supporting Prescribed Bod</w:t>
      </w:r>
      <w:r>
        <w:rPr>
          <w:szCs w:val="19"/>
        </w:rPr>
        <w:t>y</w:t>
      </w:r>
      <w:r w:rsidRPr="00D12186">
        <w:rPr>
          <w:szCs w:val="19"/>
        </w:rPr>
        <w:t xml:space="preserve"> Corporate</w:t>
      </w:r>
      <w:r>
        <w:rPr>
          <w:szCs w:val="19"/>
        </w:rPr>
        <w:t>s</w:t>
      </w:r>
      <w:r w:rsidRPr="00D12186">
        <w:rPr>
          <w:szCs w:val="19"/>
        </w:rPr>
        <w:t xml:space="preserve"> towards self</w:t>
      </w:r>
      <w:r w:rsidRPr="00D12186">
        <w:rPr>
          <w:szCs w:val="19"/>
        </w:rPr>
        <w:noBreakHyphen/>
        <w:t>sufficiency</w:t>
      </w:r>
      <w:r>
        <w:rPr>
          <w:szCs w:val="19"/>
        </w:rPr>
        <w:t>.</w:t>
      </w:r>
    </w:p>
    <w:p w14:paraId="1726D132"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7343B43"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39D259D9" w14:textId="77777777" w:rsidR="002F4C42" w:rsidRPr="00790D3B"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supported by the NTRB-SP</w:t>
      </w:r>
      <w:r>
        <w:rPr>
          <w:szCs w:val="19"/>
        </w:rPr>
        <w:t>.</w:t>
      </w:r>
    </w:p>
    <w:p w14:paraId="55CDB1DF" w14:textId="77777777" w:rsidR="002F4C42" w:rsidRPr="00790D3B"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the NTRB-SP who have had intervention from ORIC or other regulator</w:t>
      </w:r>
      <w:r>
        <w:rPr>
          <w:szCs w:val="19"/>
        </w:rPr>
        <w:t>.</w:t>
      </w:r>
    </w:p>
    <w:p w14:paraId="4F2DA242" w14:textId="77777777" w:rsidR="002F4C42" w:rsidRPr="00790D3B"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Progress towards self-sufficiency for PBCs/RNTBCs supported by the NTRB-SP</w:t>
      </w:r>
      <w:r>
        <w:rPr>
          <w:szCs w:val="19"/>
        </w:rPr>
        <w:t>.</w:t>
      </w:r>
    </w:p>
    <w:p w14:paraId="24B6AD8C" w14:textId="77777777" w:rsidR="002F4C42" w:rsidRPr="00790D3B"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NTRB-SP’s progress in returning cultural materials to PBCs/RNTBCs and Traditional Owners</w:t>
      </w:r>
      <w:r>
        <w:rPr>
          <w:szCs w:val="19"/>
        </w:rPr>
        <w:t>.</w:t>
      </w:r>
    </w:p>
    <w:p w14:paraId="0F2C9919" w14:textId="77777777" w:rsidR="002F4C42" w:rsidRPr="00790D3B"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Percentage of PBCs/RNTBCs supported by NTRB-SP with formal service agreements in place with NTRB-SP</w:t>
      </w:r>
      <w:r>
        <w:rPr>
          <w:szCs w:val="19"/>
        </w:rPr>
        <w:t>.</w:t>
      </w:r>
    </w:p>
    <w:p w14:paraId="3CFA0144" w14:textId="77777777" w:rsidR="002F4C42" w:rsidRPr="00790D3B"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Satisfaction of PBCs/RNTBCs with the process of negotiating service agreements between the NTRB-SP and the PBC/RNTBC</w:t>
      </w:r>
      <w:r>
        <w:rPr>
          <w:szCs w:val="19"/>
        </w:rPr>
        <w:t>.</w:t>
      </w:r>
    </w:p>
    <w:p w14:paraId="5E0F557C"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D4F5057" w14:textId="77777777" w:rsidR="002F4C42" w:rsidRPr="00D12186"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790D3B">
        <w:rPr>
          <w:szCs w:val="19"/>
        </w:rPr>
        <w:t>Extent to which self-sufficiency for PBCs/RNTBCs is achievable</w:t>
      </w:r>
      <w:r>
        <w:rPr>
          <w:szCs w:val="19"/>
        </w:rPr>
        <w:t>.</w:t>
      </w:r>
    </w:p>
    <w:p w14:paraId="36C9C85D" w14:textId="77777777" w:rsidR="002F4C42" w:rsidRPr="00D12186" w:rsidRDefault="002F4C42" w:rsidP="002F4C42">
      <w:pPr>
        <w:pStyle w:val="ListParagraph"/>
        <w:spacing w:after="0"/>
        <w:ind w:left="564"/>
        <w:rPr>
          <w:szCs w:val="19"/>
        </w:rPr>
      </w:pPr>
    </w:p>
    <w:p w14:paraId="76185872" w14:textId="77777777" w:rsidR="002F4C42" w:rsidRDefault="002F4C42" w:rsidP="007630C9">
      <w:pPr>
        <w:pStyle w:val="ListParagraph"/>
        <w:numPr>
          <w:ilvl w:val="1"/>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Pr>
          <w:szCs w:val="19"/>
        </w:rPr>
        <w:t>H</w:t>
      </w:r>
      <w:r w:rsidRPr="00D12186">
        <w:rPr>
          <w:szCs w:val="19"/>
        </w:rPr>
        <w:t>as developed its planning for a post-determination environment</w:t>
      </w:r>
      <w:r>
        <w:rPr>
          <w:szCs w:val="19"/>
        </w:rPr>
        <w:t>.</w:t>
      </w:r>
    </w:p>
    <w:p w14:paraId="1F060441"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4DDE863"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454BA">
        <w:rPr>
          <w:rFonts w:asciiTheme="majorHAnsi" w:hAnsiTheme="majorHAnsi" w:cstheme="majorHAnsi"/>
          <w:szCs w:val="19"/>
        </w:rPr>
        <w:t xml:space="preserve">Performance indicators: </w:t>
      </w:r>
    </w:p>
    <w:p w14:paraId="1028EF57" w14:textId="41EE6DC3" w:rsidR="002F4C42" w:rsidRPr="00341067"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Adequacy of post</w:t>
      </w:r>
      <w:r w:rsidR="004B1827">
        <w:rPr>
          <w:szCs w:val="19"/>
        </w:rPr>
        <w:t>-</w:t>
      </w:r>
      <w:r w:rsidRPr="00341067">
        <w:rPr>
          <w:szCs w:val="19"/>
        </w:rPr>
        <w:t>determination strategic planning</w:t>
      </w:r>
      <w:r w:rsidR="003C532D">
        <w:rPr>
          <w:szCs w:val="19"/>
        </w:rPr>
        <w:t>.</w:t>
      </w:r>
    </w:p>
    <w:p w14:paraId="0D729A20" w14:textId="77777777" w:rsidR="002F4C42" w:rsidRDefault="002F4C42" w:rsidP="002F4C42">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756305">
        <w:rPr>
          <w:rFonts w:asciiTheme="majorHAnsi" w:hAnsiTheme="majorHAnsi" w:cstheme="majorHAnsi"/>
          <w:szCs w:val="19"/>
        </w:rPr>
        <w:t>External factors:</w:t>
      </w:r>
    </w:p>
    <w:p w14:paraId="008F75FA" w14:textId="026C4E01" w:rsidR="002F4C42" w:rsidRPr="00D12186" w:rsidRDefault="002F4C42" w:rsidP="007630C9">
      <w:pPr>
        <w:pStyle w:val="ListParagraph"/>
        <w:numPr>
          <w:ilvl w:val="2"/>
          <w:numId w:val="19"/>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Progress towards a post-determination environment</w:t>
      </w:r>
      <w:r w:rsidR="003C532D">
        <w:rPr>
          <w:szCs w:val="19"/>
        </w:rPr>
        <w:t>.</w:t>
      </w:r>
    </w:p>
    <w:p w14:paraId="1AAD9BB7" w14:textId="77777777" w:rsidR="002F4C42" w:rsidRPr="00D12186" w:rsidRDefault="002F4C42" w:rsidP="002F4C42">
      <w:pPr>
        <w:pStyle w:val="ListParagraph"/>
        <w:spacing w:after="0"/>
        <w:rPr>
          <w:szCs w:val="19"/>
        </w:rPr>
      </w:pPr>
    </w:p>
    <w:p w14:paraId="113B6F2F" w14:textId="77777777" w:rsidR="002F4C42" w:rsidRPr="00D12186" w:rsidRDefault="002F4C42" w:rsidP="007630C9">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The Service Provider will provide the following reports, reflecting the Service Provider’s independent views, to assist with Agency decision-making: </w:t>
      </w:r>
    </w:p>
    <w:p w14:paraId="302529CA" w14:textId="77777777" w:rsidR="002F4C42" w:rsidRPr="00D12186" w:rsidRDefault="002F4C42" w:rsidP="002F4C42">
      <w:pPr>
        <w:pStyle w:val="ListParagraph"/>
        <w:spacing w:after="0"/>
        <w:ind w:left="360"/>
        <w:rPr>
          <w:szCs w:val="19"/>
        </w:rPr>
      </w:pPr>
    </w:p>
    <w:p w14:paraId="1CC1060F" w14:textId="77777777" w:rsidR="002F4C42" w:rsidRPr="009248A4" w:rsidRDefault="002F4C42" w:rsidP="007630C9">
      <w:pPr>
        <w:pStyle w:val="ListParagraph"/>
        <w:numPr>
          <w:ilvl w:val="0"/>
          <w:numId w:val="20"/>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D12186">
        <w:rPr>
          <w:szCs w:val="19"/>
        </w:rPr>
        <w:t xml:space="preserve">An individual report for each organisation reviewed, including recommendations on what changes, if any, the organisation could make to improve its performance against each of the criteria listed in 1(a) above. </w:t>
      </w:r>
    </w:p>
    <w:p w14:paraId="7B5E9C1A" w14:textId="6E8EF3AE" w:rsidR="002F4C42" w:rsidRDefault="002F4C42" w:rsidP="00665EA7">
      <w:pPr>
        <w:pStyle w:val="xAppendixLevel1"/>
      </w:pPr>
      <w:bookmarkStart w:id="70" w:name="_Ref144268691"/>
      <w:bookmarkStart w:id="71" w:name="_Toc148425651"/>
      <w:bookmarkStart w:id="72" w:name="_Toc170470109"/>
      <w:r>
        <w:lastRenderedPageBreak/>
        <w:t>Stakeholders consulted</w:t>
      </w:r>
      <w:bookmarkEnd w:id="70"/>
      <w:bookmarkEnd w:id="71"/>
      <w:bookmarkEnd w:id="72"/>
    </w:p>
    <w:p w14:paraId="089D5DAE" w14:textId="1521C067" w:rsidR="00BB7826" w:rsidRDefault="00BB7826" w:rsidP="00BB7826">
      <w:pPr>
        <w:rPr>
          <w:lang w:eastAsia="en-AU"/>
        </w:rPr>
      </w:pPr>
      <w:r w:rsidRPr="004B723A">
        <w:rPr>
          <w:lang w:eastAsia="en-AU"/>
        </w:rPr>
        <w:t xml:space="preserve">The Review </w:t>
      </w:r>
      <w:r>
        <w:rPr>
          <w:lang w:eastAsia="en-AU"/>
        </w:rPr>
        <w:t>held consultations</w:t>
      </w:r>
      <w:r w:rsidRPr="004B723A">
        <w:rPr>
          <w:lang w:eastAsia="en-AU"/>
        </w:rPr>
        <w:t xml:space="preserve"> </w:t>
      </w:r>
      <w:r>
        <w:rPr>
          <w:lang w:eastAsia="en-AU"/>
        </w:rPr>
        <w:t xml:space="preserve">in person and virtually </w:t>
      </w:r>
      <w:r w:rsidRPr="004B723A">
        <w:rPr>
          <w:lang w:eastAsia="en-AU"/>
        </w:rPr>
        <w:t xml:space="preserve">with </w:t>
      </w:r>
      <w:r>
        <w:rPr>
          <w:lang w:eastAsia="en-AU"/>
        </w:rPr>
        <w:t xml:space="preserve">a range of </w:t>
      </w:r>
      <w:r w:rsidRPr="004B723A">
        <w:rPr>
          <w:lang w:eastAsia="en-AU"/>
        </w:rPr>
        <w:t xml:space="preserve">stakeholders in relation to </w:t>
      </w:r>
      <w:r>
        <w:rPr>
          <w:lang w:eastAsia="en-AU"/>
        </w:rPr>
        <w:t>the KLC’s</w:t>
      </w:r>
      <w:r w:rsidRPr="004B723A">
        <w:rPr>
          <w:lang w:eastAsia="en-AU"/>
        </w:rPr>
        <w:t xml:space="preserve"> performance. </w:t>
      </w:r>
      <w:r>
        <w:rPr>
          <w:lang w:eastAsia="en-AU"/>
        </w:rPr>
        <w:t>The Review’s approach to consultations was documented in the Consultation Plan, provided to all NTRB-SPs in advance of the Review.</w:t>
      </w:r>
      <w:r w:rsidRPr="00DD003E">
        <w:rPr>
          <w:lang w:eastAsia="en-AU"/>
        </w:rPr>
        <w:t xml:space="preserve"> </w:t>
      </w:r>
      <w:r>
        <w:rPr>
          <w:lang w:eastAsia="en-AU"/>
        </w:rPr>
        <w:t xml:space="preserve">Nous used various approaches to engage with stakeholders who might wish to </w:t>
      </w:r>
      <w:r w:rsidR="00296484">
        <w:rPr>
          <w:lang w:eastAsia="en-AU"/>
        </w:rPr>
        <w:t>be involved</w:t>
      </w:r>
      <w:r>
        <w:rPr>
          <w:lang w:eastAsia="en-AU"/>
        </w:rPr>
        <w:t xml:space="preserve"> with the Review. Surveys were distributed on behalf of the Review by </w:t>
      </w:r>
      <w:r w:rsidR="00237166">
        <w:rPr>
          <w:lang w:eastAsia="en-AU"/>
        </w:rPr>
        <w:t xml:space="preserve">the </w:t>
      </w:r>
      <w:r w:rsidR="00EC0143">
        <w:rPr>
          <w:lang w:eastAsia="en-AU"/>
        </w:rPr>
        <w:t>KLC</w:t>
      </w:r>
      <w:r>
        <w:rPr>
          <w:lang w:eastAsia="en-AU"/>
        </w:rPr>
        <w:t xml:space="preserve"> to all staff and to Traditional Owners. </w:t>
      </w:r>
      <w:r>
        <w:t>Where feasible, notices were placed in relevant newspapers and other media to inform Traditional Owners of the opportunity to speak to the Review.</w:t>
      </w:r>
    </w:p>
    <w:p w14:paraId="0F65D375" w14:textId="1C4EE45D" w:rsidR="00BB7826" w:rsidRDefault="00BB7826" w:rsidP="00BB7826">
      <w:pPr>
        <w:rPr>
          <w:lang w:eastAsia="en-AU"/>
        </w:rPr>
      </w:pPr>
      <w:r w:rsidRPr="3FECA777">
        <w:rPr>
          <w:lang w:eastAsia="en-AU"/>
        </w:rPr>
        <w:t>Consultations were in-person in Broome and virtual across the Kimberley, commencing in late July 2023 and extending across a three-to-four-week period. All consultations were conducted in confidence</w:t>
      </w:r>
      <w:r w:rsidR="00B134BB" w:rsidRPr="00B134BB">
        <w:rPr>
          <w:lang w:eastAsia="en-AU"/>
        </w:rPr>
        <w:t xml:space="preserve"> </w:t>
      </w:r>
      <w:r w:rsidR="00B134BB" w:rsidRPr="008B2574">
        <w:rPr>
          <w:lang w:eastAsia="en-AU"/>
        </w:rPr>
        <w:t>and with the full consent of participants.</w:t>
      </w:r>
    </w:p>
    <w:p w14:paraId="1AC3C853" w14:textId="7F165B53" w:rsidR="007B76FC" w:rsidRPr="004B723A" w:rsidRDefault="007B76FC" w:rsidP="007B76FC">
      <w:pPr>
        <w:rPr>
          <w:lang w:eastAsia="en-AU"/>
        </w:rPr>
      </w:pPr>
      <w:r>
        <w:rPr>
          <w:lang w:eastAsia="en-AU"/>
        </w:rPr>
        <w:t>Those</w:t>
      </w:r>
      <w:r w:rsidRPr="004B723A">
        <w:rPr>
          <w:lang w:eastAsia="en-AU"/>
        </w:rPr>
        <w:t xml:space="preserve"> consulted included:</w:t>
      </w:r>
    </w:p>
    <w:p w14:paraId="1B60B7B7" w14:textId="236EB594" w:rsidR="00EC0143" w:rsidRDefault="00933A8E" w:rsidP="00EC0143">
      <w:pPr>
        <w:pStyle w:val="Bullet"/>
      </w:pPr>
      <w:r>
        <w:t>t</w:t>
      </w:r>
      <w:r w:rsidR="00195865">
        <w:t>wenty-eight</w:t>
      </w:r>
      <w:r w:rsidR="005D3497">
        <w:t xml:space="preserve"> Traditional Owners including:</w:t>
      </w:r>
    </w:p>
    <w:p w14:paraId="23D75B47" w14:textId="77777777" w:rsidR="002F4C42" w:rsidRDefault="002F4C42" w:rsidP="00195865">
      <w:pPr>
        <w:pStyle w:val="Bullet"/>
        <w:numPr>
          <w:ilvl w:val="1"/>
          <w:numId w:val="5"/>
        </w:numPr>
      </w:pPr>
      <w:r>
        <w:t>clients who have been represented by the KLC (including members of PBCs)</w:t>
      </w:r>
    </w:p>
    <w:p w14:paraId="17D58178" w14:textId="737573F2" w:rsidR="002F4C42" w:rsidRDefault="002F4C42" w:rsidP="00195865">
      <w:pPr>
        <w:pStyle w:val="Bullet"/>
        <w:numPr>
          <w:ilvl w:val="1"/>
          <w:numId w:val="5"/>
        </w:numPr>
      </w:pPr>
      <w:r>
        <w:t xml:space="preserve">potential clients in the KLC’s RATSIB area/people who have engaged private legal representation to register a claim in </w:t>
      </w:r>
      <w:r w:rsidR="00FA7688">
        <w:t xml:space="preserve">the </w:t>
      </w:r>
      <w:r>
        <w:t>KLC’s RATSIB area</w:t>
      </w:r>
    </w:p>
    <w:p w14:paraId="74D4A7CA" w14:textId="77777777" w:rsidR="002F4C42" w:rsidRDefault="002F4C42" w:rsidP="002F4C42">
      <w:pPr>
        <w:pStyle w:val="Bullet"/>
      </w:pPr>
      <w:r>
        <w:t>the Federal Court of Australia</w:t>
      </w:r>
    </w:p>
    <w:p w14:paraId="1D35F05D" w14:textId="77777777" w:rsidR="002F4C42" w:rsidRDefault="002F4C42" w:rsidP="002F4C42">
      <w:pPr>
        <w:pStyle w:val="Bullet"/>
      </w:pPr>
      <w:r>
        <w:t>the NIAA</w:t>
      </w:r>
    </w:p>
    <w:p w14:paraId="3952DC8E" w14:textId="77777777" w:rsidR="002F4C42" w:rsidRDefault="002F4C42" w:rsidP="002F4C42">
      <w:pPr>
        <w:pStyle w:val="Bullet"/>
      </w:pPr>
      <w:r>
        <w:t xml:space="preserve">representatives of the </w:t>
      </w:r>
      <w:r>
        <w:rPr>
          <w:bCs/>
          <w:iCs/>
        </w:rPr>
        <w:t>Western Australia</w:t>
      </w:r>
      <w:r w:rsidRPr="00E64EAC">
        <w:rPr>
          <w:bCs/>
          <w:iCs/>
        </w:rPr>
        <w:t xml:space="preserve"> </w:t>
      </w:r>
      <w:r>
        <w:t>Government</w:t>
      </w:r>
    </w:p>
    <w:p w14:paraId="55ED2DEC" w14:textId="37629C61" w:rsidR="00BB7826" w:rsidRDefault="00BB7826" w:rsidP="00BB7826">
      <w:pPr>
        <w:pStyle w:val="Bullet"/>
      </w:pPr>
      <w:r>
        <w:t>KLC Board Directors</w:t>
      </w:r>
    </w:p>
    <w:p w14:paraId="2CA1C18B" w14:textId="093A83A0" w:rsidR="009D45CE" w:rsidRDefault="009D45CE" w:rsidP="009D45CE">
      <w:pPr>
        <w:pStyle w:val="Bullet"/>
      </w:pPr>
      <w:r>
        <w:t>KLC CEO and senior staff</w:t>
      </w:r>
    </w:p>
    <w:p w14:paraId="144E2FC7" w14:textId="2AC88ABC" w:rsidR="002F4C42" w:rsidRDefault="002F4C42" w:rsidP="002F4C42">
      <w:pPr>
        <w:pStyle w:val="Bullet"/>
      </w:pPr>
      <w:r>
        <w:t>current KLC staff.</w:t>
      </w:r>
    </w:p>
    <w:p w14:paraId="3765EDDC" w14:textId="77777777" w:rsidR="00D93283" w:rsidRDefault="00D93283" w:rsidP="00D93283">
      <w:pPr>
        <w:pStyle w:val="xAppendixLevel1"/>
      </w:pPr>
      <w:bookmarkStart w:id="73" w:name="_Ref144268693"/>
      <w:bookmarkStart w:id="74" w:name="_Toc148425652"/>
      <w:bookmarkStart w:id="75" w:name="_Ref163046345"/>
      <w:bookmarkStart w:id="76" w:name="_Toc170470110"/>
      <w:r>
        <w:lastRenderedPageBreak/>
        <w:t xml:space="preserve">Documents </w:t>
      </w:r>
      <w:bookmarkEnd w:id="73"/>
      <w:bookmarkEnd w:id="74"/>
      <w:r>
        <w:t>reviewed</w:t>
      </w:r>
      <w:bookmarkEnd w:id="75"/>
      <w:bookmarkEnd w:id="76"/>
      <w:r>
        <w:t xml:space="preserve"> </w:t>
      </w:r>
    </w:p>
    <w:tbl>
      <w:tblPr>
        <w:tblStyle w:val="NOUSSideHeader1"/>
        <w:tblW w:w="0" w:type="auto"/>
        <w:tblLook w:val="04A0" w:firstRow="1" w:lastRow="0" w:firstColumn="1" w:lastColumn="0" w:noHBand="0" w:noVBand="1"/>
      </w:tblPr>
      <w:tblGrid>
        <w:gridCol w:w="2127"/>
        <w:gridCol w:w="6780"/>
        <w:gridCol w:w="23"/>
      </w:tblGrid>
      <w:tr w:rsidR="00026AA0" w:rsidRPr="0028519C" w14:paraId="0230FF44" w14:textId="77777777">
        <w:trPr>
          <w:gridAfter w:val="1"/>
          <w:cnfStyle w:val="100000000000" w:firstRow="1" w:lastRow="0" w:firstColumn="0" w:lastColumn="0" w:oddVBand="0" w:evenVBand="0" w:oddHBand="0" w:evenHBand="0" w:firstRowFirstColumn="0" w:firstRowLastColumn="0" w:lastRowFirstColumn="0" w:lastRowLastColumn="0"/>
          <w:wAfter w:w="23" w:type="dxa"/>
        </w:trPr>
        <w:tc>
          <w:tcPr>
            <w:tcW w:w="2127" w:type="dxa"/>
          </w:tcPr>
          <w:p w14:paraId="68338B89" w14:textId="77777777" w:rsidR="00026AA0" w:rsidRPr="0028519C" w:rsidRDefault="00026AA0">
            <w:pPr>
              <w:pStyle w:val="TableNheader"/>
            </w:pPr>
            <w:r w:rsidRPr="0028519C">
              <w:t>Category</w:t>
            </w:r>
          </w:p>
        </w:tc>
        <w:tc>
          <w:tcPr>
            <w:tcW w:w="6780" w:type="dxa"/>
          </w:tcPr>
          <w:p w14:paraId="1C7CFE35" w14:textId="77777777" w:rsidR="00026AA0" w:rsidRPr="0028519C" w:rsidRDefault="00026AA0">
            <w:pPr>
              <w:pStyle w:val="TableNheader"/>
            </w:pPr>
            <w:r w:rsidRPr="0028519C">
              <w:t xml:space="preserve">Description </w:t>
            </w:r>
          </w:p>
        </w:tc>
      </w:tr>
      <w:tr w:rsidR="00026AA0" w:rsidRPr="0028519C" w14:paraId="130810CC"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2CBD762C" w14:textId="2C429E5D" w:rsidR="00026AA0" w:rsidRPr="007D027C" w:rsidRDefault="00026AA0">
            <w:pPr>
              <w:pStyle w:val="TableNText"/>
              <w:rPr>
                <w:rFonts w:asciiTheme="majorHAnsi" w:hAnsiTheme="majorHAnsi" w:cstheme="majorHAnsi"/>
                <w:lang w:eastAsia="en-AU"/>
              </w:rPr>
            </w:pPr>
            <w:r w:rsidRPr="007D027C">
              <w:rPr>
                <w:rFonts w:asciiTheme="majorHAnsi" w:hAnsiTheme="majorHAnsi" w:cstheme="majorHAnsi"/>
                <w:lang w:eastAsia="en-AU"/>
              </w:rPr>
              <w:t xml:space="preserve">Annual </w:t>
            </w:r>
            <w:r w:rsidR="00237166">
              <w:rPr>
                <w:rFonts w:asciiTheme="majorHAnsi" w:hAnsiTheme="majorHAnsi" w:cstheme="majorHAnsi"/>
                <w:lang w:eastAsia="en-AU"/>
              </w:rPr>
              <w:t>r</w:t>
            </w:r>
            <w:r w:rsidRPr="007D027C">
              <w:rPr>
                <w:rFonts w:asciiTheme="majorHAnsi" w:hAnsiTheme="majorHAnsi" w:cstheme="majorHAnsi"/>
                <w:lang w:eastAsia="en-AU"/>
              </w:rPr>
              <w:t>eports</w:t>
            </w:r>
          </w:p>
        </w:tc>
        <w:tc>
          <w:tcPr>
            <w:tcW w:w="6803" w:type="dxa"/>
            <w:gridSpan w:val="2"/>
          </w:tcPr>
          <w:p w14:paraId="7B6B3EBD" w14:textId="77777777" w:rsidR="00026AA0" w:rsidRDefault="00026AA0">
            <w:pPr>
              <w:pStyle w:val="TableNText"/>
            </w:pPr>
            <w:r>
              <w:t>KLC Annual Report 2021/22</w:t>
            </w:r>
          </w:p>
          <w:p w14:paraId="5C52D7D0" w14:textId="77777777" w:rsidR="00026AA0" w:rsidRDefault="00026AA0">
            <w:pPr>
              <w:pStyle w:val="TableNText"/>
            </w:pPr>
            <w:r>
              <w:t>KLC Annual Report 2020/21</w:t>
            </w:r>
          </w:p>
          <w:p w14:paraId="712E29D7" w14:textId="77777777" w:rsidR="00026AA0" w:rsidRPr="0028519C" w:rsidRDefault="00026AA0">
            <w:pPr>
              <w:pStyle w:val="TableNText"/>
            </w:pPr>
            <w:r>
              <w:t>KLC Annual Report 2019/20</w:t>
            </w:r>
          </w:p>
        </w:tc>
      </w:tr>
      <w:tr w:rsidR="00026AA0" w:rsidRPr="0028519C" w14:paraId="3ABE3FDC" w14:textId="77777777">
        <w:trPr>
          <w:cnfStyle w:val="000000010000" w:firstRow="0" w:lastRow="0" w:firstColumn="0" w:lastColumn="0" w:oddVBand="0" w:evenVBand="0" w:oddHBand="0" w:evenHBand="1" w:firstRowFirstColumn="0" w:firstRowLastColumn="0" w:lastRowFirstColumn="0" w:lastRowLastColumn="0"/>
        </w:trPr>
        <w:tc>
          <w:tcPr>
            <w:tcW w:w="2127" w:type="dxa"/>
          </w:tcPr>
          <w:p w14:paraId="377926F8" w14:textId="77777777" w:rsidR="00026AA0" w:rsidRPr="007D027C" w:rsidRDefault="00026AA0">
            <w:pPr>
              <w:pStyle w:val="TableNText"/>
              <w:rPr>
                <w:rFonts w:asciiTheme="majorHAnsi" w:hAnsiTheme="majorHAnsi" w:cstheme="majorHAnsi"/>
                <w:lang w:eastAsia="en-AU"/>
              </w:rPr>
            </w:pPr>
            <w:r w:rsidRPr="007D027C">
              <w:rPr>
                <w:rFonts w:asciiTheme="majorHAnsi" w:hAnsiTheme="majorHAnsi" w:cstheme="majorHAnsi"/>
                <w:lang w:eastAsia="en-AU"/>
              </w:rPr>
              <w:t>Policies</w:t>
            </w:r>
          </w:p>
        </w:tc>
        <w:tc>
          <w:tcPr>
            <w:tcW w:w="6803" w:type="dxa"/>
            <w:gridSpan w:val="2"/>
          </w:tcPr>
          <w:p w14:paraId="3DD8CF29" w14:textId="77777777" w:rsidR="00026AA0" w:rsidRDefault="00026AA0">
            <w:pPr>
              <w:pStyle w:val="TableNText"/>
            </w:pPr>
            <w:r>
              <w:t>Recruitment and selection policy</w:t>
            </w:r>
          </w:p>
          <w:p w14:paraId="41903448" w14:textId="77777777" w:rsidR="00026AA0" w:rsidRDefault="00026AA0">
            <w:pPr>
              <w:pStyle w:val="TableNText"/>
            </w:pPr>
            <w:r>
              <w:t>Policy on the provision of legal services to PBCs</w:t>
            </w:r>
          </w:p>
          <w:p w14:paraId="54328692" w14:textId="77777777" w:rsidR="00026AA0" w:rsidRDefault="00026AA0">
            <w:pPr>
              <w:pStyle w:val="TableNText"/>
            </w:pPr>
            <w:r>
              <w:t>Transfer of materials policy</w:t>
            </w:r>
          </w:p>
          <w:p w14:paraId="316175C4" w14:textId="77777777" w:rsidR="00026AA0" w:rsidRDefault="00026AA0">
            <w:pPr>
              <w:pStyle w:val="TableNText"/>
            </w:pPr>
            <w:r>
              <w:t>Interim policy on PBC support 2021</w:t>
            </w:r>
          </w:p>
          <w:p w14:paraId="02EFBB2C" w14:textId="77777777" w:rsidR="00026AA0" w:rsidRDefault="00026AA0">
            <w:pPr>
              <w:pStyle w:val="TableNText"/>
            </w:pPr>
            <w:r>
              <w:t>Application for assistance guidelines</w:t>
            </w:r>
          </w:p>
          <w:p w14:paraId="41EC27BA" w14:textId="77777777" w:rsidR="00026AA0" w:rsidRDefault="00026AA0">
            <w:pPr>
              <w:pStyle w:val="TableNText"/>
            </w:pPr>
            <w:r>
              <w:t>Disclosure of interest policy</w:t>
            </w:r>
          </w:p>
          <w:p w14:paraId="1BBCF2E0" w14:textId="77777777" w:rsidR="00026AA0" w:rsidRPr="0028519C" w:rsidRDefault="00026AA0">
            <w:pPr>
              <w:pStyle w:val="TableNText"/>
            </w:pPr>
            <w:r>
              <w:t>Handling of conflicts of interest policy</w:t>
            </w:r>
          </w:p>
        </w:tc>
      </w:tr>
      <w:tr w:rsidR="00026AA0" w:rsidRPr="0028519C" w14:paraId="52A4E9B5"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2FA4B583" w14:textId="77777777" w:rsidR="00026AA0" w:rsidRPr="007D027C" w:rsidRDefault="00026AA0">
            <w:pPr>
              <w:pStyle w:val="TableNText"/>
              <w:rPr>
                <w:rFonts w:asciiTheme="majorHAnsi" w:hAnsiTheme="majorHAnsi" w:cstheme="majorHAnsi"/>
                <w:lang w:eastAsia="en-AU"/>
              </w:rPr>
            </w:pPr>
            <w:r w:rsidRPr="007D027C">
              <w:rPr>
                <w:rFonts w:asciiTheme="majorHAnsi" w:hAnsiTheme="majorHAnsi" w:cstheme="majorHAnsi"/>
                <w:lang w:eastAsia="en-AU"/>
              </w:rPr>
              <w:t>Financial, operational and performance documents</w:t>
            </w:r>
          </w:p>
        </w:tc>
        <w:tc>
          <w:tcPr>
            <w:tcW w:w="6803" w:type="dxa"/>
            <w:gridSpan w:val="2"/>
          </w:tcPr>
          <w:p w14:paraId="5CD42D38" w14:textId="77777777" w:rsidR="00026AA0" w:rsidRDefault="00026AA0">
            <w:pPr>
              <w:pStyle w:val="TableNText"/>
            </w:pPr>
            <w:r>
              <w:t>Performance and Financial Report July 2021 – December 2021</w:t>
            </w:r>
          </w:p>
          <w:p w14:paraId="52D793E3" w14:textId="77777777" w:rsidR="00026AA0" w:rsidRDefault="00026AA0">
            <w:pPr>
              <w:pStyle w:val="TableNText"/>
            </w:pPr>
            <w:r>
              <w:t xml:space="preserve">Performance and Financial Report July 2020 – June 2021 </w:t>
            </w:r>
          </w:p>
          <w:p w14:paraId="33513D70" w14:textId="77777777" w:rsidR="00026AA0" w:rsidRDefault="00026AA0">
            <w:pPr>
              <w:pStyle w:val="TableNText"/>
            </w:pPr>
            <w:r>
              <w:t>Performance and Financial Report July 2019 – June 2020</w:t>
            </w:r>
          </w:p>
          <w:p w14:paraId="4EAEC096" w14:textId="77777777" w:rsidR="00026AA0" w:rsidRPr="00285C80" w:rsidRDefault="00026AA0">
            <w:pPr>
              <w:pStyle w:val="TableNText"/>
            </w:pPr>
            <w:r>
              <w:t>Operational Plan July 2019 – June 2020</w:t>
            </w:r>
          </w:p>
          <w:p w14:paraId="211F1E99" w14:textId="77777777" w:rsidR="00026AA0" w:rsidRDefault="00026AA0">
            <w:pPr>
              <w:pStyle w:val="TableNText"/>
            </w:pPr>
            <w:r>
              <w:t>Operational Plan July 2020 – June 2021</w:t>
            </w:r>
          </w:p>
          <w:p w14:paraId="41E5A0D5" w14:textId="77777777" w:rsidR="00026AA0" w:rsidRDefault="00026AA0">
            <w:pPr>
              <w:pStyle w:val="TableNText"/>
            </w:pPr>
            <w:r w:rsidRPr="00520530">
              <w:t xml:space="preserve">Operational Plan </w:t>
            </w:r>
            <w:r>
              <w:t xml:space="preserve">July </w:t>
            </w:r>
            <w:r w:rsidRPr="00520530">
              <w:t>202</w:t>
            </w:r>
            <w:r>
              <w:t>1</w:t>
            </w:r>
            <w:r w:rsidRPr="00520530">
              <w:t xml:space="preserve"> – </w:t>
            </w:r>
            <w:r>
              <w:t>June 2022</w:t>
            </w:r>
          </w:p>
          <w:p w14:paraId="2157EFA3" w14:textId="77777777" w:rsidR="00026AA0" w:rsidRPr="00C038BC" w:rsidRDefault="00026AA0">
            <w:pPr>
              <w:pStyle w:val="TableNText"/>
            </w:pPr>
            <w:r>
              <w:t>K</w:t>
            </w:r>
            <w:r w:rsidRPr="00F86A0B">
              <w:t xml:space="preserve">LC </w:t>
            </w:r>
            <w:r>
              <w:t>employment report July 2019 – June 2020</w:t>
            </w:r>
          </w:p>
          <w:p w14:paraId="4590F50A" w14:textId="77777777" w:rsidR="00026AA0" w:rsidRPr="00C038BC" w:rsidRDefault="00026AA0">
            <w:pPr>
              <w:pStyle w:val="TableNText"/>
            </w:pPr>
            <w:r>
              <w:t>K</w:t>
            </w:r>
            <w:r w:rsidRPr="00F86A0B">
              <w:t xml:space="preserve">LC </w:t>
            </w:r>
            <w:r>
              <w:t>employment report July 2020 – June 2021</w:t>
            </w:r>
          </w:p>
          <w:p w14:paraId="65155CA5" w14:textId="77777777" w:rsidR="00026AA0" w:rsidRDefault="00026AA0">
            <w:pPr>
              <w:pStyle w:val="TableNText"/>
            </w:pPr>
            <w:r>
              <w:t>K</w:t>
            </w:r>
            <w:r w:rsidRPr="00F86A0B">
              <w:t xml:space="preserve">LC </w:t>
            </w:r>
            <w:r>
              <w:t>employment report July 2021 – June 2021</w:t>
            </w:r>
          </w:p>
          <w:p w14:paraId="7F9001E0" w14:textId="77777777" w:rsidR="00026AA0" w:rsidRPr="0028519C" w:rsidRDefault="00026AA0">
            <w:pPr>
              <w:pStyle w:val="TableNText"/>
              <w:rPr>
                <w:lang w:eastAsia="en-AU"/>
              </w:rPr>
            </w:pPr>
            <w:r>
              <w:t>Staff turnover and demographics 2019 – 2023</w:t>
            </w:r>
          </w:p>
        </w:tc>
      </w:tr>
      <w:tr w:rsidR="00026AA0" w:rsidRPr="0028519C" w14:paraId="6C4603DA" w14:textId="77777777">
        <w:trPr>
          <w:cnfStyle w:val="000000010000" w:firstRow="0" w:lastRow="0" w:firstColumn="0" w:lastColumn="0" w:oddVBand="0" w:evenVBand="0" w:oddHBand="0" w:evenHBand="1" w:firstRowFirstColumn="0" w:firstRowLastColumn="0" w:lastRowFirstColumn="0" w:lastRowLastColumn="0"/>
        </w:trPr>
        <w:tc>
          <w:tcPr>
            <w:tcW w:w="2127" w:type="dxa"/>
          </w:tcPr>
          <w:p w14:paraId="1BA69DFF" w14:textId="77777777" w:rsidR="00026AA0" w:rsidRPr="007D027C" w:rsidRDefault="00026AA0">
            <w:pPr>
              <w:pStyle w:val="TableNText"/>
              <w:rPr>
                <w:rFonts w:asciiTheme="majorHAnsi" w:hAnsiTheme="majorHAnsi" w:cstheme="majorHAnsi"/>
                <w:lang w:eastAsia="en-AU"/>
              </w:rPr>
            </w:pPr>
            <w:r w:rsidRPr="007D027C">
              <w:rPr>
                <w:rFonts w:asciiTheme="majorHAnsi" w:hAnsiTheme="majorHAnsi" w:cstheme="majorHAnsi"/>
                <w:lang w:eastAsia="en-AU"/>
              </w:rPr>
              <w:t xml:space="preserve">COVID-19 </w:t>
            </w:r>
          </w:p>
        </w:tc>
        <w:tc>
          <w:tcPr>
            <w:tcW w:w="6803" w:type="dxa"/>
            <w:gridSpan w:val="2"/>
          </w:tcPr>
          <w:p w14:paraId="6207FFEC" w14:textId="77777777" w:rsidR="00026AA0" w:rsidRPr="001740AE" w:rsidRDefault="00026AA0">
            <w:pPr>
              <w:pStyle w:val="TableNText"/>
              <w:rPr>
                <w:b/>
                <w:bCs/>
              </w:rPr>
            </w:pPr>
            <w:r>
              <w:t>COVID-19 Response Plan 2022</w:t>
            </w:r>
          </w:p>
          <w:p w14:paraId="67F1FB17" w14:textId="77777777" w:rsidR="00026AA0" w:rsidRPr="001740AE" w:rsidRDefault="00026AA0">
            <w:pPr>
              <w:pStyle w:val="TableNText"/>
              <w:rPr>
                <w:b/>
                <w:bCs/>
              </w:rPr>
            </w:pPr>
            <w:r>
              <w:t>COVID-19 Response home page</w:t>
            </w:r>
          </w:p>
          <w:p w14:paraId="493A92F2" w14:textId="77777777" w:rsidR="00026AA0" w:rsidRPr="00975076" w:rsidRDefault="00026AA0">
            <w:pPr>
              <w:pStyle w:val="TableNText"/>
              <w:rPr>
                <w:b/>
                <w:bCs/>
              </w:rPr>
            </w:pPr>
            <w:r>
              <w:t>COVID-19 Sharepoint pages 2020-21</w:t>
            </w:r>
          </w:p>
          <w:p w14:paraId="672435D6" w14:textId="77777777" w:rsidR="00026AA0" w:rsidRPr="00975076" w:rsidRDefault="00026AA0">
            <w:pPr>
              <w:pStyle w:val="TableNText"/>
              <w:rPr>
                <w:b/>
                <w:bCs/>
              </w:rPr>
            </w:pPr>
            <w:r>
              <w:t>Process for travellers from outside the Kimberley 2022</w:t>
            </w:r>
          </w:p>
          <w:p w14:paraId="73325078" w14:textId="77777777" w:rsidR="00026AA0" w:rsidRPr="007D027C" w:rsidRDefault="00026AA0">
            <w:pPr>
              <w:pStyle w:val="TableNText"/>
              <w:rPr>
                <w:b/>
                <w:bCs/>
              </w:rPr>
            </w:pPr>
            <w:r>
              <w:t>Proof of vaccination requirements</w:t>
            </w:r>
          </w:p>
        </w:tc>
      </w:tr>
      <w:tr w:rsidR="00026AA0" w:rsidRPr="0028519C" w14:paraId="1A50826E" w14:textId="77777777">
        <w:trPr>
          <w:cnfStyle w:val="000000100000" w:firstRow="0" w:lastRow="0" w:firstColumn="0" w:lastColumn="0" w:oddVBand="0" w:evenVBand="0" w:oddHBand="1" w:evenHBand="0" w:firstRowFirstColumn="0" w:firstRowLastColumn="0" w:lastRowFirstColumn="0" w:lastRowLastColumn="0"/>
        </w:trPr>
        <w:tc>
          <w:tcPr>
            <w:tcW w:w="2127" w:type="dxa"/>
          </w:tcPr>
          <w:p w14:paraId="550EB090" w14:textId="77777777" w:rsidR="00026AA0" w:rsidRPr="007D027C" w:rsidRDefault="00026AA0">
            <w:pPr>
              <w:pStyle w:val="TableNText"/>
              <w:rPr>
                <w:rFonts w:asciiTheme="majorHAnsi" w:hAnsiTheme="majorHAnsi" w:cstheme="majorHAnsi"/>
              </w:rPr>
            </w:pPr>
            <w:r w:rsidRPr="007D027C">
              <w:rPr>
                <w:rFonts w:asciiTheme="majorHAnsi" w:hAnsiTheme="majorHAnsi" w:cstheme="majorHAnsi"/>
              </w:rPr>
              <w:t>Other</w:t>
            </w:r>
          </w:p>
        </w:tc>
        <w:tc>
          <w:tcPr>
            <w:tcW w:w="6803" w:type="dxa"/>
            <w:gridSpan w:val="2"/>
          </w:tcPr>
          <w:p w14:paraId="2F987395" w14:textId="2495A524" w:rsidR="00026AA0" w:rsidRDefault="00026AA0">
            <w:pPr>
              <w:pStyle w:val="TableNText"/>
            </w:pPr>
            <w:r>
              <w:t xml:space="preserve">KLC </w:t>
            </w:r>
            <w:r w:rsidR="00237166">
              <w:t>Executive Board Gover</w:t>
            </w:r>
            <w:r>
              <w:t>nance manual</w:t>
            </w:r>
          </w:p>
          <w:p w14:paraId="0696EADB" w14:textId="77777777" w:rsidR="00026AA0" w:rsidRPr="008011F6" w:rsidRDefault="00026AA0">
            <w:pPr>
              <w:pStyle w:val="TableNText"/>
            </w:pPr>
            <w:r>
              <w:t>KLC consolidated rule book July 2022</w:t>
            </w:r>
          </w:p>
          <w:p w14:paraId="66BC9139" w14:textId="77777777" w:rsidR="00026AA0" w:rsidRPr="00C1081F" w:rsidRDefault="00026AA0">
            <w:pPr>
              <w:pStyle w:val="TableNText"/>
            </w:pPr>
            <w:r>
              <w:t>KLC o</w:t>
            </w:r>
            <w:r w:rsidRPr="00C1081F">
              <w:t>rganisational chart</w:t>
            </w:r>
          </w:p>
          <w:p w14:paraId="6B1C245A" w14:textId="649A0E45" w:rsidR="00026AA0" w:rsidRDefault="00026AA0">
            <w:pPr>
              <w:pStyle w:val="TableNText"/>
            </w:pPr>
            <w:r>
              <w:t>K</w:t>
            </w:r>
            <w:r w:rsidRPr="00C1081F">
              <w:t>LC Strategic Plan 20</w:t>
            </w:r>
            <w:r>
              <w:t>20</w:t>
            </w:r>
            <w:r w:rsidR="00237166">
              <w:t>-</w:t>
            </w:r>
            <w:r w:rsidRPr="00C1081F">
              <w:t>2</w:t>
            </w:r>
            <w:r>
              <w:t>4</w:t>
            </w:r>
          </w:p>
          <w:p w14:paraId="31AB7912" w14:textId="6A49A7D4" w:rsidR="00026AA0" w:rsidRPr="0028519C" w:rsidRDefault="00026AA0">
            <w:pPr>
              <w:pStyle w:val="TableNText"/>
              <w:rPr>
                <w:lang w:eastAsia="en-AU"/>
              </w:rPr>
            </w:pPr>
            <w:r>
              <w:t>Board meeting minutes (redacted) 2019</w:t>
            </w:r>
            <w:r w:rsidR="00237166">
              <w:t>-</w:t>
            </w:r>
            <w:r>
              <w:t>2023</w:t>
            </w:r>
          </w:p>
        </w:tc>
      </w:tr>
    </w:tbl>
    <w:p w14:paraId="57F8400E" w14:textId="77777777" w:rsidR="003F1AB6" w:rsidRDefault="003F1AB6" w:rsidP="003F1AB6">
      <w:pPr>
        <w:rPr>
          <w:rFonts w:eastAsia="Times New Roman" w:cs="Times New Roman"/>
          <w:szCs w:val="19"/>
          <w:lang w:eastAsia="en-AU"/>
        </w:rPr>
      </w:pPr>
    </w:p>
    <w:p w14:paraId="41249ABA" w14:textId="3450A3B1" w:rsidR="003F1AB6" w:rsidRPr="00965F09" w:rsidRDefault="003F1AB6" w:rsidP="007630C9">
      <w:pPr>
        <w:tabs>
          <w:tab w:val="left" w:pos="6360"/>
        </w:tabs>
      </w:pPr>
      <w:r>
        <w:rPr>
          <w:lang w:eastAsia="en-AU"/>
        </w:rPr>
        <w:tab/>
      </w:r>
    </w:p>
    <w:p w14:paraId="18183BF0" w14:textId="7D294017" w:rsidR="00E729CF" w:rsidRDefault="00E729CF" w:rsidP="00665EA7">
      <w:pPr>
        <w:pStyle w:val="xAppendixLevel1"/>
      </w:pPr>
      <w:bookmarkStart w:id="77" w:name="_Toc170470111"/>
      <w:r>
        <w:lastRenderedPageBreak/>
        <w:t>Glossary</w:t>
      </w:r>
      <w:bookmarkEnd w:id="77"/>
    </w:p>
    <w:p w14:paraId="74C0305D" w14:textId="69920A93" w:rsidR="00E729CF" w:rsidRPr="00407282" w:rsidRDefault="00E729CF" w:rsidP="00E729CF">
      <w:pPr>
        <w:rPr>
          <w:lang w:eastAsia="en-AU"/>
        </w:rPr>
      </w:pPr>
      <w:r w:rsidRPr="00407282">
        <w:t xml:space="preserve">Throughout this document, the following terms have the meaning prescribed in </w:t>
      </w:r>
      <w:r w:rsidRPr="00407282">
        <w:fldChar w:fldCharType="begin"/>
      </w:r>
      <w:r w:rsidRPr="00407282">
        <w:instrText xml:space="preserve"> REF _Ref504381411 \h  \* MERGEFORMAT </w:instrText>
      </w:r>
      <w:r w:rsidRPr="00407282">
        <w:fldChar w:fldCharType="separate"/>
      </w:r>
      <w:r w:rsidR="00291532" w:rsidRPr="00407282">
        <w:t xml:space="preserve">Table </w:t>
      </w:r>
      <w:r w:rsidR="00291532">
        <w:rPr>
          <w:noProof/>
        </w:rPr>
        <w:t>19</w:t>
      </w:r>
      <w:r w:rsidRPr="00407282">
        <w:fldChar w:fldCharType="end"/>
      </w:r>
      <w:r w:rsidRPr="00407282">
        <w:t>.</w:t>
      </w:r>
    </w:p>
    <w:p w14:paraId="0C0C593F" w14:textId="48E98378" w:rsidR="00E729CF" w:rsidRDefault="00E729CF" w:rsidP="00E729CF">
      <w:pPr>
        <w:pStyle w:val="Caption"/>
      </w:pPr>
      <w:bookmarkStart w:id="78" w:name="_Ref504381411"/>
      <w:r w:rsidRPr="00407282">
        <w:t xml:space="preserve">Table </w:t>
      </w:r>
      <w:r w:rsidRPr="00407282">
        <w:fldChar w:fldCharType="begin"/>
      </w:r>
      <w:r w:rsidRPr="00407282">
        <w:instrText xml:space="preserve"> SEQ Table \* ARABIC </w:instrText>
      </w:r>
      <w:r w:rsidRPr="00407282">
        <w:fldChar w:fldCharType="separate"/>
      </w:r>
      <w:r w:rsidR="00291532">
        <w:rPr>
          <w:noProof/>
        </w:rPr>
        <w:t>19</w:t>
      </w:r>
      <w:r w:rsidRPr="00407282">
        <w:fldChar w:fldCharType="end"/>
      </w:r>
      <w:bookmarkEnd w:id="78"/>
      <w:r w:rsidRPr="00407282">
        <w:t xml:space="preserve"> | Glossary</w:t>
      </w:r>
    </w:p>
    <w:tbl>
      <w:tblPr>
        <w:tblStyle w:val="AEMO1"/>
        <w:tblW w:w="0" w:type="auto"/>
        <w:tblLook w:val="04A0" w:firstRow="1" w:lastRow="0" w:firstColumn="1" w:lastColumn="0" w:noHBand="0" w:noVBand="1"/>
      </w:tblPr>
      <w:tblGrid>
        <w:gridCol w:w="2332"/>
        <w:gridCol w:w="6598"/>
      </w:tblGrid>
      <w:tr w:rsidR="004A6F7B" w:rsidRPr="00D463C2" w14:paraId="08378A1C" w14:textId="77777777" w:rsidTr="002F2CD2">
        <w:trPr>
          <w:cnfStyle w:val="100000000000" w:firstRow="1" w:lastRow="0" w:firstColumn="0" w:lastColumn="0" w:oddVBand="0" w:evenVBand="0" w:oddHBand="0" w:evenHBand="0" w:firstRowFirstColumn="0" w:firstRowLastColumn="0" w:lastRowFirstColumn="0" w:lastRowLastColumn="0"/>
        </w:trPr>
        <w:tc>
          <w:tcPr>
            <w:tcW w:w="2332" w:type="dxa"/>
          </w:tcPr>
          <w:p w14:paraId="5347C8B6" w14:textId="77777777" w:rsidR="004A6F7B" w:rsidRPr="004A6F7B" w:rsidRDefault="004A6F7B" w:rsidP="004A6F7B">
            <w:pPr>
              <w:pStyle w:val="TableNheader"/>
              <w:rPr>
                <w:b w:val="0"/>
                <w:bCs/>
              </w:rPr>
            </w:pPr>
            <w:r w:rsidRPr="004A6F7B">
              <w:rPr>
                <w:b w:val="0"/>
                <w:bCs/>
              </w:rPr>
              <w:t>Term</w:t>
            </w:r>
          </w:p>
        </w:tc>
        <w:tc>
          <w:tcPr>
            <w:tcW w:w="6598" w:type="dxa"/>
          </w:tcPr>
          <w:p w14:paraId="03EBCD81" w14:textId="77777777" w:rsidR="004A6F7B" w:rsidRPr="004A6F7B" w:rsidRDefault="004A6F7B" w:rsidP="004A6F7B">
            <w:pPr>
              <w:pStyle w:val="TableNheader"/>
              <w:rPr>
                <w:b w:val="0"/>
                <w:bCs/>
              </w:rPr>
            </w:pPr>
            <w:r w:rsidRPr="004A6F7B">
              <w:rPr>
                <w:b w:val="0"/>
                <w:bCs/>
              </w:rPr>
              <w:t>Meaning</w:t>
            </w:r>
          </w:p>
        </w:tc>
      </w:tr>
      <w:tr w:rsidR="004A6F7B" w:rsidRPr="00D463C2" w14:paraId="4835FA6E" w14:textId="77777777" w:rsidTr="002F2CD2">
        <w:tc>
          <w:tcPr>
            <w:tcW w:w="2332" w:type="dxa"/>
          </w:tcPr>
          <w:p w14:paraId="524C9A3D"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6598" w:type="dxa"/>
          </w:tcPr>
          <w:p w14:paraId="5FC5F432" w14:textId="77777777" w:rsidR="004A6F7B" w:rsidRPr="00D463C2" w:rsidRDefault="004A6F7B" w:rsidP="002F2CD2">
            <w:pPr>
              <w:rPr>
                <w:rFonts w:cs="Segoe UI"/>
                <w:color w:val="000000" w:themeColor="text1"/>
                <w:sz w:val="17"/>
                <w:szCs w:val="17"/>
                <w:lang w:val="en-US"/>
              </w:rPr>
            </w:pPr>
            <w:r w:rsidRPr="00D463C2">
              <w:rPr>
                <w:rFonts w:cs="Segoe UI"/>
                <w:color w:val="000000" w:themeColor="text1"/>
                <w:sz w:val="17"/>
                <w:szCs w:val="17"/>
                <w:lang w:val="en-US"/>
              </w:rPr>
              <w:t>Any person or persons who have been authorised as the selected representative(s) of a native title claim group in native title or determination proceedings.</w:t>
            </w:r>
          </w:p>
        </w:tc>
      </w:tr>
      <w:tr w:rsidR="004A6F7B" w:rsidRPr="00D463C2" w14:paraId="67AC5B5C" w14:textId="77777777" w:rsidTr="002F2CD2">
        <w:tc>
          <w:tcPr>
            <w:tcW w:w="2332" w:type="dxa"/>
          </w:tcPr>
          <w:p w14:paraId="59D526C0"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6598" w:type="dxa"/>
          </w:tcPr>
          <w:p w14:paraId="613C76F4"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provided assistance by a </w:t>
            </w:r>
            <w:r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service provider</w:t>
            </w:r>
            <w:r w:rsidRPr="00D463C2">
              <w:rPr>
                <w:rFonts w:cs="Segoe UI"/>
                <w:color w:val="000000" w:themeColor="text1"/>
                <w:sz w:val="17"/>
                <w:szCs w:val="17"/>
                <w:lang w:eastAsia="en-AU"/>
              </w:rPr>
              <w:t xml:space="preserve"> (including assistance with claims, research and/or PBC support).</w:t>
            </w:r>
          </w:p>
        </w:tc>
      </w:tr>
      <w:tr w:rsidR="004A6F7B" w:rsidRPr="00D463C2" w14:paraId="35AAB11A" w14:textId="77777777" w:rsidTr="002F2CD2">
        <w:tc>
          <w:tcPr>
            <w:tcW w:w="2332" w:type="dxa"/>
          </w:tcPr>
          <w:p w14:paraId="5A39C7C4"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6598" w:type="dxa"/>
          </w:tcPr>
          <w:p w14:paraId="75B180E4" w14:textId="77777777" w:rsidR="004A6F7B" w:rsidRPr="00D463C2" w:rsidRDefault="004A6F7B" w:rsidP="002F2CD2">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4A6F7B" w:rsidRPr="00D463C2" w14:paraId="1ADE3355" w14:textId="77777777" w:rsidTr="002F2CD2">
        <w:tc>
          <w:tcPr>
            <w:tcW w:w="2332" w:type="dxa"/>
          </w:tcPr>
          <w:p w14:paraId="7058F91A" w14:textId="77777777" w:rsidR="004A6F7B" w:rsidRPr="00D463C2" w:rsidRDefault="004A6F7B" w:rsidP="002F2CD2">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(Cth) (</w:t>
            </w:r>
            <w:r w:rsidRPr="00A76ED9">
              <w:rPr>
                <w:rFonts w:cs="Segoe UI"/>
                <w:color w:val="000000" w:themeColor="text1"/>
                <w:sz w:val="17"/>
                <w:szCs w:val="17"/>
                <w:lang w:val="en-US"/>
              </w:rPr>
              <w:t>the CATSI Act)</w:t>
            </w:r>
          </w:p>
        </w:tc>
        <w:tc>
          <w:tcPr>
            <w:tcW w:w="6598" w:type="dxa"/>
          </w:tcPr>
          <w:p w14:paraId="20593F4D" w14:textId="77777777" w:rsidR="004A6F7B" w:rsidRPr="00D463C2" w:rsidRDefault="004A6F7B" w:rsidP="002F2CD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(Cth) is the law that establishes the role of the Registrar of Indigenous Corporations and enables Aboriginal and Torres Strait Islander groups to form Aboriginal and Torres Strait Islander corporations.</w:t>
            </w:r>
          </w:p>
        </w:tc>
      </w:tr>
      <w:tr w:rsidR="004A6F7B" w:rsidRPr="00D463C2" w14:paraId="04EF1293" w14:textId="77777777" w:rsidTr="002F2CD2">
        <w:tc>
          <w:tcPr>
            <w:tcW w:w="2332" w:type="dxa"/>
          </w:tcPr>
          <w:p w14:paraId="59640CDC"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6598" w:type="dxa"/>
          </w:tcPr>
          <w:p w14:paraId="6E4E2A9D" w14:textId="77777777" w:rsidR="004A6F7B" w:rsidRPr="004A6F7B" w:rsidRDefault="004A6F7B" w:rsidP="002F2CD2">
            <w:pPr>
              <w:pStyle w:val="TableNbiophoto"/>
              <w:rPr>
                <w:lang w:val="en-US"/>
              </w:rPr>
            </w:pPr>
            <w:r w:rsidRPr="004A6F7B">
              <w:rPr>
                <w:lang w:val="en-US"/>
              </w:rPr>
              <w:t>A decision by the Federal Court or High Court of Australia. A determination is made either when parties have reached an agreement (consent determination) or following a trial process (litigated determination).</w:t>
            </w:r>
          </w:p>
          <w:p w14:paraId="47C5A8F1" w14:textId="77777777" w:rsidR="004A6F7B" w:rsidRPr="004A6F7B" w:rsidRDefault="004A6F7B" w:rsidP="002F2CD2">
            <w:pPr>
              <w:pStyle w:val="TableNbiophoto"/>
              <w:rPr>
                <w:lang w:val="en-US"/>
              </w:rPr>
            </w:pPr>
            <w:r w:rsidRPr="004A6F7B">
              <w:rPr>
                <w:lang w:val="en-US"/>
              </w:rPr>
              <w:t>In the context of the Review, a “positive” determination is where the court finds that native title exists and a “negative” determination is a finding that native title has been extinguished or does not exist.</w:t>
            </w:r>
          </w:p>
        </w:tc>
      </w:tr>
      <w:tr w:rsidR="004A6F7B" w:rsidRPr="00D463C2" w14:paraId="221A8C77" w14:textId="77777777" w:rsidTr="002F2CD2">
        <w:tc>
          <w:tcPr>
            <w:tcW w:w="2332" w:type="dxa"/>
          </w:tcPr>
          <w:p w14:paraId="62A84FE4"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6598" w:type="dxa"/>
          </w:tcPr>
          <w:p w14:paraId="6E0DCA66" w14:textId="77777777" w:rsidR="004A6F7B" w:rsidRPr="004A6F7B" w:rsidRDefault="004A6F7B" w:rsidP="002F2CD2">
            <w:pPr>
              <w:rPr>
                <w:rFonts w:cs="Segoe UI"/>
                <w:color w:val="000000" w:themeColor="text1"/>
                <w:sz w:val="17"/>
                <w:szCs w:val="17"/>
                <w:lang w:val="en-US"/>
              </w:rPr>
            </w:pPr>
            <w:r w:rsidRPr="004A6F7B">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4A6F7B" w:rsidRPr="00D463C2" w14:paraId="4A5F60B4" w14:textId="77777777" w:rsidTr="002F2CD2">
        <w:tc>
          <w:tcPr>
            <w:tcW w:w="2332" w:type="dxa"/>
          </w:tcPr>
          <w:p w14:paraId="6F8B69CC"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6598" w:type="dxa"/>
          </w:tcPr>
          <w:p w14:paraId="5266BCA1" w14:textId="16E314D6" w:rsidR="004A6F7B" w:rsidRPr="004A6F7B" w:rsidRDefault="004A6F7B" w:rsidP="002F2CD2">
            <w:pPr>
              <w:autoSpaceDE w:val="0"/>
              <w:autoSpaceDN w:val="0"/>
              <w:adjustRightInd w:val="0"/>
              <w:spacing w:after="0"/>
              <w:rPr>
                <w:rFonts w:cs="Segoe UI"/>
                <w:color w:val="000000" w:themeColor="text1"/>
                <w:sz w:val="17"/>
                <w:szCs w:val="17"/>
              </w:rPr>
            </w:pPr>
            <w:r w:rsidRPr="004A6F7B">
              <w:rPr>
                <w:rFonts w:cs="Segoe UI"/>
                <w:color w:val="000000" w:themeColor="text1"/>
                <w:sz w:val="17"/>
                <w:szCs w:val="17"/>
              </w:rPr>
              <w:t xml:space="preserve">A legislative or non-legislative </w:t>
            </w:r>
            <w:r w:rsidR="00237166">
              <w:rPr>
                <w:rFonts w:cs="Segoe UI"/>
                <w:color w:val="000000" w:themeColor="text1"/>
                <w:sz w:val="17"/>
                <w:szCs w:val="17"/>
              </w:rPr>
              <w:t>a</w:t>
            </w:r>
            <w:r w:rsidRPr="004A6F7B">
              <w:rPr>
                <w:rFonts w:cs="Segoe UI"/>
                <w:color w:val="000000" w:themeColor="text1"/>
                <w:sz w:val="17"/>
                <w:szCs w:val="17"/>
              </w:rPr>
              <w:t>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4A6F7B" w:rsidRPr="00D463C2" w14:paraId="2925829E" w14:textId="77777777" w:rsidTr="002F2CD2">
        <w:tc>
          <w:tcPr>
            <w:tcW w:w="2332" w:type="dxa"/>
          </w:tcPr>
          <w:p w14:paraId="480DA8AA"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6598" w:type="dxa"/>
          </w:tcPr>
          <w:p w14:paraId="4F0C6257"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lang w:eastAsia="en-AU"/>
              </w:rPr>
              <w:t>Native Title Representative Bodies and 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4A6F7B" w:rsidRPr="00D463C2" w14:paraId="01F34175" w14:textId="77777777" w:rsidTr="002F2CD2">
        <w:tc>
          <w:tcPr>
            <w:tcW w:w="2332" w:type="dxa"/>
          </w:tcPr>
          <w:p w14:paraId="1F10A72A"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6598" w:type="dxa"/>
          </w:tcPr>
          <w:p w14:paraId="5CE9BFD6" w14:textId="77777777" w:rsidR="004A6F7B" w:rsidRPr="00D463C2" w:rsidRDefault="004A6F7B" w:rsidP="002F2CD2">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sidRPr="00D463C2">
              <w:rPr>
                <w:rFonts w:cs="Segoe UI"/>
                <w:color w:val="000000" w:themeColor="text1"/>
                <w:sz w:val="17"/>
                <w:szCs w:val="17"/>
                <w:lang w:val="en-US"/>
              </w:rPr>
              <w:t>to assist people in resolving native title issues by:</w:t>
            </w:r>
          </w:p>
          <w:p w14:paraId="0E715CD2" w14:textId="77777777" w:rsidR="004A6F7B" w:rsidRPr="00D463C2" w:rsidRDefault="004A6F7B" w:rsidP="004A6F7B">
            <w:pPr>
              <w:numPr>
                <w:ilvl w:val="0"/>
                <w:numId w:val="30"/>
              </w:numPr>
              <w:spacing w:before="60" w:after="60"/>
              <w:rPr>
                <w:sz w:val="17"/>
                <w:szCs w:val="17"/>
                <w:lang w:val="en-US"/>
              </w:rPr>
            </w:pPr>
            <w:r w:rsidRPr="00D463C2">
              <w:rPr>
                <w:sz w:val="17"/>
                <w:szCs w:val="17"/>
                <w:lang w:val="en-US"/>
              </w:rPr>
              <w:t>mediating between the parties to native title applications at the direction of the Federal Court</w:t>
            </w:r>
          </w:p>
          <w:p w14:paraId="2E02A33B" w14:textId="77777777" w:rsidR="004A6F7B" w:rsidRPr="00D463C2" w:rsidRDefault="004A6F7B" w:rsidP="004A6F7B">
            <w:pPr>
              <w:numPr>
                <w:ilvl w:val="0"/>
                <w:numId w:val="30"/>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363CD817" w14:textId="77777777" w:rsidR="004A6F7B" w:rsidRPr="00D463C2" w:rsidRDefault="004A6F7B" w:rsidP="004A6F7B">
            <w:pPr>
              <w:numPr>
                <w:ilvl w:val="0"/>
                <w:numId w:val="30"/>
              </w:numPr>
              <w:spacing w:before="60" w:after="60"/>
              <w:rPr>
                <w:sz w:val="16"/>
                <w:lang w:val="en-US"/>
              </w:rPr>
            </w:pPr>
            <w:r w:rsidRPr="00D463C2">
              <w:rPr>
                <w:sz w:val="17"/>
                <w:szCs w:val="17"/>
                <w:lang w:val="en-US"/>
              </w:rPr>
              <w:lastRenderedPageBreak/>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573AB309" w14:textId="77777777" w:rsidR="004A6F7B" w:rsidRPr="00D463C2" w:rsidRDefault="004A6F7B" w:rsidP="002F2CD2">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4A6F7B" w:rsidRPr="00D463C2" w14:paraId="5D9E0905" w14:textId="77777777" w:rsidTr="002F2CD2">
        <w:tc>
          <w:tcPr>
            <w:tcW w:w="2332" w:type="dxa"/>
          </w:tcPr>
          <w:p w14:paraId="6C22C92B"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6598" w:type="dxa"/>
          </w:tcPr>
          <w:p w14:paraId="0D8C6226" w14:textId="77777777" w:rsidR="004A6F7B" w:rsidRPr="00D463C2" w:rsidRDefault="004A6F7B" w:rsidP="002F2CD2">
            <w:pPr>
              <w:rPr>
                <w:rFonts w:cs="Segoe UI"/>
                <w:color w:val="000000" w:themeColor="text1"/>
                <w:sz w:val="17"/>
                <w:szCs w:val="17"/>
                <w:lang w:val="en-US"/>
              </w:rPr>
            </w:pPr>
            <w:r w:rsidRPr="00D463C2">
              <w:rPr>
                <w:rFonts w:cs="Segoe UI"/>
                <w:color w:val="000000" w:themeColor="text1"/>
                <w:sz w:val="17"/>
                <w:szCs w:val="17"/>
                <w:lang w:val="en-US"/>
              </w:rPr>
              <w:t>The communal, group or individual rights and interests of Aboriginal peoples and Torres Strait Islanders in relation to land and waters, possessed under traditional law and custom, by which those people have a connection with an area which is recognised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w:t>
            </w:r>
            <w:r w:rsidRPr="00D463C2">
              <w:rPr>
                <w:rFonts w:cs="Segoe UI"/>
                <w:color w:val="000000" w:themeColor="text1"/>
                <w:sz w:val="17"/>
                <w:szCs w:val="17"/>
                <w:lang w:val="en-US"/>
              </w:rPr>
              <w:t>).</w:t>
            </w:r>
          </w:p>
        </w:tc>
      </w:tr>
      <w:tr w:rsidR="004A6F7B" w:rsidRPr="00D463C2" w14:paraId="0ECC325F" w14:textId="77777777" w:rsidTr="002F2CD2">
        <w:tc>
          <w:tcPr>
            <w:tcW w:w="2332" w:type="dxa"/>
          </w:tcPr>
          <w:p w14:paraId="12CCEE05" w14:textId="77777777" w:rsidR="004A6F7B" w:rsidRPr="00D463C2" w:rsidRDefault="004A6F7B" w:rsidP="002F2CD2">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6598" w:type="dxa"/>
          </w:tcPr>
          <w:p w14:paraId="5AD3EA31" w14:textId="77777777" w:rsidR="004A6F7B" w:rsidRPr="00D463C2" w:rsidRDefault="004A6F7B" w:rsidP="002F2CD2">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(Cth)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4A6F7B" w:rsidRPr="00D463C2" w14:paraId="309D0A5C" w14:textId="77777777" w:rsidTr="002F2CD2">
        <w:tc>
          <w:tcPr>
            <w:tcW w:w="2332" w:type="dxa"/>
          </w:tcPr>
          <w:p w14:paraId="4AB50E73"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Body (NTRB)</w:t>
            </w:r>
          </w:p>
        </w:tc>
        <w:tc>
          <w:tcPr>
            <w:tcW w:w="6598" w:type="dxa"/>
          </w:tcPr>
          <w:p w14:paraId="1EF82480" w14:textId="77777777" w:rsidR="004A6F7B" w:rsidRPr="004A6F7B" w:rsidRDefault="004A6F7B" w:rsidP="002F2CD2">
            <w:pPr>
              <w:autoSpaceDE w:val="0"/>
              <w:autoSpaceDN w:val="0"/>
              <w:adjustRightInd w:val="0"/>
              <w:spacing w:after="0"/>
              <w:rPr>
                <w:rFonts w:cs="Segoe UI"/>
                <w:color w:val="000000" w:themeColor="text1"/>
                <w:sz w:val="17"/>
                <w:szCs w:val="17"/>
              </w:rPr>
            </w:pPr>
            <w:r w:rsidRPr="004A6F7B">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4A6F7B">
              <w:rPr>
                <w:rFonts w:cs="Segoe UI"/>
                <w:i/>
                <w:color w:val="000000" w:themeColor="text1"/>
                <w:sz w:val="17"/>
                <w:szCs w:val="17"/>
                <w:lang w:eastAsia="en-AU"/>
              </w:rPr>
              <w:t>Native Title Act 1993</w:t>
            </w:r>
            <w:r w:rsidRPr="004A6F7B">
              <w:rPr>
                <w:rFonts w:cs="Segoe UI"/>
                <w:color w:val="000000" w:themeColor="text1"/>
                <w:sz w:val="17"/>
                <w:szCs w:val="17"/>
                <w:lang w:eastAsia="en-AU"/>
              </w:rPr>
              <w:t xml:space="preserve"> (Cth)</w:t>
            </w:r>
            <w:r w:rsidRPr="004A6F7B">
              <w:rPr>
                <w:rFonts w:cs="Segoe UI"/>
                <w:color w:val="000000" w:themeColor="text1"/>
                <w:sz w:val="17"/>
                <w:szCs w:val="17"/>
              </w:rPr>
              <w:t xml:space="preserve">. </w:t>
            </w:r>
          </w:p>
        </w:tc>
      </w:tr>
      <w:tr w:rsidR="004A6F7B" w:rsidRPr="00D463C2" w14:paraId="5F8C90A2" w14:textId="77777777" w:rsidTr="002F2CD2">
        <w:tc>
          <w:tcPr>
            <w:tcW w:w="2332" w:type="dxa"/>
          </w:tcPr>
          <w:p w14:paraId="13A32652"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Native title service provider (NTSP)</w:t>
            </w:r>
          </w:p>
        </w:tc>
        <w:tc>
          <w:tcPr>
            <w:tcW w:w="6598" w:type="dxa"/>
          </w:tcPr>
          <w:p w14:paraId="7501C26C" w14:textId="77777777" w:rsidR="004A6F7B" w:rsidRPr="004A6F7B" w:rsidRDefault="004A6F7B" w:rsidP="002F2CD2">
            <w:pPr>
              <w:autoSpaceDE w:val="0"/>
              <w:autoSpaceDN w:val="0"/>
              <w:adjustRightInd w:val="0"/>
              <w:spacing w:after="0"/>
              <w:rPr>
                <w:rFonts w:cs="Segoe UI"/>
                <w:color w:val="000000" w:themeColor="text1"/>
                <w:sz w:val="17"/>
                <w:szCs w:val="17"/>
              </w:rPr>
            </w:pPr>
            <w:r w:rsidRPr="004A6F7B">
              <w:rPr>
                <w:rFonts w:cs="Segoe UI"/>
                <w:color w:val="000000" w:themeColor="text1"/>
                <w:sz w:val="17"/>
                <w:szCs w:val="17"/>
              </w:rPr>
              <w:t xml:space="preserve">Organisations funded by the Australian Government to perform all or some of the same functions as </w:t>
            </w:r>
            <w:r w:rsidRPr="004A6F7B">
              <w:rPr>
                <w:rFonts w:cs="Segoe UI"/>
                <w:color w:val="000000" w:themeColor="text1"/>
                <w:sz w:val="17"/>
                <w:szCs w:val="17"/>
                <w:lang w:eastAsia="en-AU"/>
              </w:rPr>
              <w:t xml:space="preserve">Native Title Representative Bodies </w:t>
            </w:r>
            <w:r w:rsidRPr="004A6F7B">
              <w:rPr>
                <w:rFonts w:cs="Segoe UI"/>
                <w:color w:val="000000" w:themeColor="text1"/>
                <w:sz w:val="17"/>
                <w:szCs w:val="17"/>
              </w:rPr>
              <w:t>in areas where Native Title Representative Bodies and Service Providers have not been recognised in law.</w:t>
            </w:r>
          </w:p>
        </w:tc>
      </w:tr>
      <w:tr w:rsidR="004A6F7B" w:rsidRPr="00D463C2" w14:paraId="3BF057AC" w14:textId="77777777" w:rsidTr="002F2CD2">
        <w:tc>
          <w:tcPr>
            <w:tcW w:w="2332" w:type="dxa"/>
          </w:tcPr>
          <w:p w14:paraId="2E958A2B" w14:textId="77777777" w:rsidR="004A6F7B" w:rsidRPr="00D463C2" w:rsidRDefault="004A6F7B" w:rsidP="002F2CD2">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Title Representative Bodies and Service Providers </w:t>
            </w:r>
            <w:r>
              <w:rPr>
                <w:rFonts w:cs="Segoe UI"/>
                <w:color w:val="000000" w:themeColor="text1"/>
                <w:sz w:val="17"/>
                <w:szCs w:val="17"/>
                <w:lang w:eastAsia="en-AU"/>
              </w:rPr>
              <w:t>(NTRB-SPs)</w:t>
            </w:r>
          </w:p>
        </w:tc>
        <w:tc>
          <w:tcPr>
            <w:tcW w:w="6598" w:type="dxa"/>
          </w:tcPr>
          <w:p w14:paraId="39E25C01" w14:textId="77777777" w:rsidR="004A6F7B" w:rsidRPr="004A6F7B" w:rsidRDefault="004A6F7B" w:rsidP="002F2CD2">
            <w:pPr>
              <w:autoSpaceDE w:val="0"/>
              <w:autoSpaceDN w:val="0"/>
              <w:adjustRightInd w:val="0"/>
              <w:spacing w:after="0"/>
              <w:rPr>
                <w:rFonts w:cs="Segoe UI"/>
                <w:color w:val="000000" w:themeColor="text1"/>
                <w:sz w:val="17"/>
                <w:szCs w:val="17"/>
              </w:rPr>
            </w:pPr>
            <w:r w:rsidRPr="004A6F7B">
              <w:rPr>
                <w:rFonts w:cs="Segoe UI"/>
                <w:color w:val="000000" w:themeColor="text1"/>
                <w:sz w:val="17"/>
                <w:szCs w:val="17"/>
                <w:lang w:eastAsia="en-AU"/>
              </w:rPr>
              <w:t>Native Title Representative Bodies and Service Providers</w:t>
            </w:r>
            <w:r w:rsidRPr="004A6F7B">
              <w:rPr>
                <w:rFonts w:cs="Segoe UI"/>
                <w:color w:val="000000" w:themeColor="text1"/>
                <w:sz w:val="17"/>
                <w:szCs w:val="17"/>
              </w:rPr>
              <w:t xml:space="preserve"> refers to the cohort of N</w:t>
            </w:r>
            <w:r w:rsidRPr="004A6F7B">
              <w:rPr>
                <w:rFonts w:cs="Segoe UI"/>
                <w:color w:val="000000" w:themeColor="text1"/>
                <w:sz w:val="17"/>
                <w:szCs w:val="17"/>
                <w:lang w:eastAsia="en-AU"/>
              </w:rPr>
              <w:t xml:space="preserve">ative Title Representative Bodies </w:t>
            </w:r>
            <w:r w:rsidRPr="004A6F7B">
              <w:rPr>
                <w:rFonts w:cs="Segoe UI"/>
                <w:color w:val="000000" w:themeColor="text1"/>
                <w:sz w:val="17"/>
                <w:szCs w:val="17"/>
              </w:rPr>
              <w:t>and N</w:t>
            </w:r>
            <w:r w:rsidRPr="004A6F7B">
              <w:rPr>
                <w:rFonts w:cs="Segoe UI"/>
                <w:color w:val="000000" w:themeColor="text1"/>
                <w:sz w:val="17"/>
                <w:szCs w:val="17"/>
                <w:lang w:eastAsia="en-AU"/>
              </w:rPr>
              <w:t xml:space="preserve">ative Title Service Providers </w:t>
            </w:r>
            <w:r w:rsidRPr="004A6F7B">
              <w:rPr>
                <w:rFonts w:cs="Segoe UI"/>
                <w:color w:val="000000" w:themeColor="text1"/>
                <w:sz w:val="17"/>
                <w:szCs w:val="17"/>
              </w:rPr>
              <w:t xml:space="preserve">that are being evaluated by the Review. </w:t>
            </w:r>
          </w:p>
        </w:tc>
      </w:tr>
      <w:tr w:rsidR="004A6F7B" w:rsidRPr="00D463C2" w14:paraId="6D96210E" w14:textId="77777777" w:rsidTr="002F2CD2">
        <w:tc>
          <w:tcPr>
            <w:tcW w:w="2332" w:type="dxa"/>
          </w:tcPr>
          <w:p w14:paraId="0E603C00"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6598" w:type="dxa"/>
          </w:tcPr>
          <w:p w14:paraId="1CEA8FAA" w14:textId="77777777" w:rsidR="004A6F7B" w:rsidRPr="004A6F7B" w:rsidRDefault="004A6F7B" w:rsidP="002F2CD2">
            <w:pPr>
              <w:rPr>
                <w:rFonts w:cs="Segoe UI"/>
                <w:color w:val="000000" w:themeColor="text1"/>
                <w:sz w:val="17"/>
                <w:szCs w:val="17"/>
                <w:lang w:val="en-US"/>
              </w:rPr>
            </w:pPr>
            <w:r w:rsidRPr="004A6F7B">
              <w:rPr>
                <w:rFonts w:cs="Segoe UI"/>
                <w:color w:val="000000" w:themeColor="text1"/>
                <w:sz w:val="17"/>
                <w:szCs w:val="17"/>
                <w:lang w:val="en-US"/>
              </w:rPr>
              <w:t>An application made by a person who does not claim to have native title but who seeks a determination that native title does or does not exist.</w:t>
            </w:r>
          </w:p>
        </w:tc>
      </w:tr>
      <w:tr w:rsidR="004A6F7B" w:rsidRPr="00D463C2" w14:paraId="674BC721" w14:textId="77777777" w:rsidTr="002F2CD2">
        <w:tc>
          <w:tcPr>
            <w:tcW w:w="2332" w:type="dxa"/>
          </w:tcPr>
          <w:p w14:paraId="557D0CB9"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6598" w:type="dxa"/>
          </w:tcPr>
          <w:p w14:paraId="395E0753" w14:textId="77777777" w:rsidR="004A6F7B" w:rsidRPr="004A6F7B" w:rsidRDefault="004A6F7B" w:rsidP="002F2CD2">
            <w:pPr>
              <w:rPr>
                <w:rFonts w:cs="Segoe UI"/>
                <w:color w:val="000000" w:themeColor="text1"/>
                <w:sz w:val="17"/>
                <w:szCs w:val="17"/>
                <w:lang w:eastAsia="en-AU"/>
              </w:rPr>
            </w:pPr>
            <w:bookmarkStart w:id="79" w:name="_Hlk34644586"/>
            <w:r w:rsidRPr="004A6F7B">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79"/>
            <w:r w:rsidRPr="004A6F7B">
              <w:rPr>
                <w:rFonts w:cs="Segoe UI"/>
                <w:color w:val="000000" w:themeColor="text1"/>
                <w:sz w:val="17"/>
                <w:szCs w:val="17"/>
                <w:lang w:eastAsia="en-AU"/>
              </w:rPr>
              <w:t xml:space="preserve">Native title rights often co-exist with pastoral lease rights. </w:t>
            </w:r>
          </w:p>
        </w:tc>
      </w:tr>
      <w:tr w:rsidR="004A6F7B" w:rsidRPr="00D463C2" w14:paraId="2C42DF0D" w14:textId="77777777" w:rsidTr="002F2CD2">
        <w:tc>
          <w:tcPr>
            <w:tcW w:w="2332" w:type="dxa"/>
          </w:tcPr>
          <w:p w14:paraId="61231DDE"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6598" w:type="dxa"/>
          </w:tcPr>
          <w:p w14:paraId="1B3DC889" w14:textId="77777777" w:rsidR="004A6F7B" w:rsidRPr="004A6F7B" w:rsidRDefault="004A6F7B" w:rsidP="002F2CD2">
            <w:pPr>
              <w:rPr>
                <w:rFonts w:cs="Segoe UI"/>
                <w:color w:val="000000" w:themeColor="text1"/>
                <w:sz w:val="17"/>
                <w:szCs w:val="17"/>
                <w:lang w:eastAsia="en-AU"/>
              </w:rPr>
            </w:pPr>
            <w:r w:rsidRPr="004A6F7B">
              <w:rPr>
                <w:rFonts w:cs="Segoe UI"/>
                <w:color w:val="000000" w:themeColor="text1"/>
                <w:sz w:val="17"/>
                <w:szCs w:val="17"/>
                <w:lang w:eastAsia="en-AU"/>
              </w:rPr>
              <w:t>At a claim level, refers to the period following a determination that native title exists. At a Native Title Representative Body and Service Provider life cycle level, refers to the period following the resolution of all active applications within a Representative Aboriginal/Torres Strait Islander Body area.</w:t>
            </w:r>
          </w:p>
        </w:tc>
      </w:tr>
      <w:tr w:rsidR="004A6F7B" w:rsidRPr="00D463C2" w14:paraId="7D405879" w14:textId="77777777" w:rsidTr="002F2CD2">
        <w:tc>
          <w:tcPr>
            <w:tcW w:w="2332" w:type="dxa"/>
          </w:tcPr>
          <w:p w14:paraId="1C73C0CE"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6598" w:type="dxa"/>
          </w:tcPr>
          <w:p w14:paraId="1FB85277" w14:textId="77777777" w:rsidR="004A6F7B" w:rsidRPr="004A6F7B" w:rsidRDefault="004A6F7B" w:rsidP="002F2CD2">
            <w:pPr>
              <w:pStyle w:val="TableNbiophoto"/>
              <w:rPr>
                <w:lang w:eastAsia="en-AU"/>
              </w:rPr>
            </w:pPr>
            <w:r w:rsidRPr="004A6F7B">
              <w:rPr>
                <w:lang w:val="en-US"/>
              </w:rPr>
              <w:t xml:space="preserve">A body, established under the </w:t>
            </w:r>
            <w:r w:rsidRPr="004A6F7B">
              <w:rPr>
                <w:i/>
                <w:lang w:val="en-US"/>
              </w:rPr>
              <w:t xml:space="preserve">Corporations (Aboriginal and Torres Strait Islander) Act 2006 </w:t>
            </w:r>
            <w:r w:rsidRPr="004A6F7B">
              <w:rPr>
                <w:lang w:val="en-US"/>
              </w:rPr>
              <w:t>(Cth), nominated by native title holders which will manage their native title rights and interests once a determination that native title exists has been made.</w:t>
            </w:r>
          </w:p>
        </w:tc>
      </w:tr>
      <w:tr w:rsidR="004A6F7B" w:rsidRPr="00D463C2" w14:paraId="2E32409F" w14:textId="77777777" w:rsidTr="002F2CD2">
        <w:tc>
          <w:tcPr>
            <w:tcW w:w="2332" w:type="dxa"/>
          </w:tcPr>
          <w:p w14:paraId="288F1178"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6598" w:type="dxa"/>
          </w:tcPr>
          <w:p w14:paraId="139DF7A5" w14:textId="77777777" w:rsidR="004A6F7B" w:rsidRPr="004A6F7B" w:rsidRDefault="004A6F7B" w:rsidP="002F2CD2">
            <w:pPr>
              <w:rPr>
                <w:rFonts w:cs="Segoe UI"/>
                <w:color w:val="000000" w:themeColor="text1"/>
                <w:sz w:val="17"/>
                <w:szCs w:val="17"/>
                <w:lang w:val="en-US"/>
              </w:rPr>
            </w:pPr>
            <w:r w:rsidRPr="004A6F7B">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4A6F7B">
              <w:rPr>
                <w:rFonts w:cs="Segoe UI"/>
                <w:i/>
                <w:color w:val="000000" w:themeColor="text1"/>
                <w:sz w:val="17"/>
                <w:szCs w:val="17"/>
                <w:lang w:eastAsia="en-AU"/>
              </w:rPr>
              <w:t>Native Title Act 1993</w:t>
            </w:r>
            <w:r w:rsidRPr="004A6F7B">
              <w:rPr>
                <w:rFonts w:cs="Segoe UI"/>
                <w:color w:val="000000" w:themeColor="text1"/>
                <w:sz w:val="17"/>
                <w:szCs w:val="17"/>
                <w:lang w:eastAsia="en-AU"/>
              </w:rPr>
              <w:t xml:space="preserve"> (Cth)</w:t>
            </w:r>
            <w:r w:rsidRPr="004A6F7B">
              <w:rPr>
                <w:rFonts w:cs="Segoe UI"/>
                <w:color w:val="000000" w:themeColor="text1"/>
                <w:sz w:val="17"/>
                <w:szCs w:val="17"/>
                <w:lang w:val="en-US"/>
              </w:rPr>
              <w:t>.</w:t>
            </w:r>
          </w:p>
        </w:tc>
      </w:tr>
      <w:tr w:rsidR="004A6F7B" w:rsidRPr="00D463C2" w14:paraId="6A35CF2E" w14:textId="77777777" w:rsidTr="002F2CD2">
        <w:tc>
          <w:tcPr>
            <w:tcW w:w="2332" w:type="dxa"/>
          </w:tcPr>
          <w:p w14:paraId="58E5D8C5"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6598" w:type="dxa"/>
          </w:tcPr>
          <w:p w14:paraId="04B9E293" w14:textId="77777777" w:rsidR="004A6F7B" w:rsidRPr="004A6F7B" w:rsidRDefault="004A6F7B" w:rsidP="002F2CD2">
            <w:pPr>
              <w:rPr>
                <w:rFonts w:cs="Segoe UI"/>
                <w:color w:val="000000" w:themeColor="text1"/>
                <w:sz w:val="17"/>
                <w:szCs w:val="17"/>
                <w:lang w:eastAsia="en-AU"/>
              </w:rPr>
            </w:pPr>
            <w:r w:rsidRPr="004A6F7B">
              <w:rPr>
                <w:rFonts w:cs="Segoe UI"/>
                <w:color w:val="000000" w:themeColor="text1"/>
                <w:sz w:val="17"/>
                <w:szCs w:val="17"/>
                <w:lang w:val="en-US"/>
              </w:rPr>
              <w:t>The area over which a Native Title Representative Body and Service Provider holds jurisdiction.</w:t>
            </w:r>
          </w:p>
        </w:tc>
      </w:tr>
      <w:tr w:rsidR="004A6F7B" w:rsidRPr="00D463C2" w14:paraId="7E555C95" w14:textId="77777777" w:rsidTr="002F2CD2">
        <w:tc>
          <w:tcPr>
            <w:tcW w:w="2332" w:type="dxa"/>
          </w:tcPr>
          <w:p w14:paraId="2D5A173E"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lastRenderedPageBreak/>
              <w:t>Terms of Reference (TOR)</w:t>
            </w:r>
          </w:p>
        </w:tc>
        <w:tc>
          <w:tcPr>
            <w:tcW w:w="6598" w:type="dxa"/>
          </w:tcPr>
          <w:p w14:paraId="743A5ED7" w14:textId="6ACB2302"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Pr="00D463C2">
              <w:rPr>
                <w:rFonts w:cs="Segoe UI"/>
                <w:color w:val="000000" w:themeColor="text1"/>
                <w:sz w:val="17"/>
                <w:szCs w:val="17"/>
                <w:lang w:eastAsia="en-AU"/>
              </w:rPr>
              <w:fldChar w:fldCharType="begin"/>
            </w:r>
            <w:r w:rsidRPr="00D463C2">
              <w:rPr>
                <w:rFonts w:cs="Segoe UI"/>
                <w:color w:val="000000" w:themeColor="text1"/>
                <w:sz w:val="17"/>
                <w:szCs w:val="17"/>
                <w:lang w:eastAsia="en-AU"/>
              </w:rPr>
              <w:instrText xml:space="preserve"> REF _Ref494201132 \n \h </w:instrText>
            </w:r>
            <w:r w:rsidRPr="00D463C2">
              <w:rPr>
                <w:rFonts w:cs="Segoe UI"/>
                <w:color w:val="000000" w:themeColor="text1"/>
                <w:sz w:val="17"/>
                <w:szCs w:val="17"/>
                <w:lang w:eastAsia="en-AU"/>
              </w:rPr>
            </w:r>
            <w:r w:rsidRPr="00D463C2">
              <w:rPr>
                <w:rFonts w:cs="Segoe UI"/>
                <w:color w:val="000000" w:themeColor="text1"/>
                <w:sz w:val="17"/>
                <w:szCs w:val="17"/>
                <w:lang w:eastAsia="en-AU"/>
              </w:rPr>
              <w:fldChar w:fldCharType="separate"/>
            </w:r>
            <w:r w:rsidR="00291532">
              <w:rPr>
                <w:rFonts w:cs="Segoe UI"/>
                <w:color w:val="000000" w:themeColor="text1"/>
                <w:sz w:val="17"/>
                <w:szCs w:val="17"/>
                <w:lang w:eastAsia="en-AU"/>
              </w:rPr>
              <w:t>Appendix A</w:t>
            </w:r>
            <w:r w:rsidRPr="00D463C2">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4A6F7B" w:rsidRPr="00D463C2" w14:paraId="22CA765A" w14:textId="77777777" w:rsidTr="002F2CD2">
        <w:tc>
          <w:tcPr>
            <w:tcW w:w="2332" w:type="dxa"/>
          </w:tcPr>
          <w:p w14:paraId="2BCDB159"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6598" w:type="dxa"/>
          </w:tcPr>
          <w:p w14:paraId="0D19687F" w14:textId="77777777" w:rsidR="004A6F7B" w:rsidRPr="00D463C2" w:rsidRDefault="004A6F7B" w:rsidP="002F2CD2">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48F36BBC" w14:textId="79F28934" w:rsidR="00E729CF" w:rsidRPr="00407282" w:rsidRDefault="00611A66" w:rsidP="00E729CF">
      <w:pPr>
        <w:rPr>
          <w:lang w:eastAsia="en-AU"/>
        </w:rPr>
      </w:pPr>
      <w:r>
        <w:rPr>
          <w:lang w:eastAsia="en-AU"/>
        </w:rPr>
        <w:br/>
      </w:r>
      <w:r w:rsidR="00E729CF" w:rsidRPr="00407282">
        <w:rPr>
          <w:lang w:eastAsia="en-AU"/>
        </w:rPr>
        <w:t xml:space="preserve">This document refers to the functions of NTRB-SPs outlined under the </w:t>
      </w:r>
      <w:r w:rsidR="00E729CF" w:rsidRPr="005A77E2">
        <w:rPr>
          <w:lang w:eastAsia="en-AU"/>
        </w:rPr>
        <w:t>NTA</w:t>
      </w:r>
      <w:r w:rsidR="00E729CF" w:rsidRPr="00407282">
        <w:rPr>
          <w:i/>
          <w:lang w:eastAsia="en-AU"/>
        </w:rPr>
        <w:t xml:space="preserve"> </w:t>
      </w:r>
      <w:r w:rsidR="00E729CF" w:rsidRPr="00407282">
        <w:rPr>
          <w:lang w:eastAsia="en-AU"/>
        </w:rPr>
        <w:t xml:space="preserve">and captured in </w:t>
      </w:r>
      <w:r w:rsidR="00E729CF" w:rsidRPr="00407282">
        <w:rPr>
          <w:lang w:eastAsia="en-AU"/>
        </w:rPr>
        <w:fldChar w:fldCharType="begin"/>
      </w:r>
      <w:r w:rsidR="00E729CF" w:rsidRPr="00407282">
        <w:rPr>
          <w:lang w:eastAsia="en-AU"/>
        </w:rPr>
        <w:instrText xml:space="preserve"> REF _Ref504381314 \h  \* MERGEFORMAT </w:instrText>
      </w:r>
      <w:r w:rsidR="00E729CF" w:rsidRPr="00407282">
        <w:rPr>
          <w:lang w:eastAsia="en-AU"/>
        </w:rPr>
      </w:r>
      <w:r w:rsidR="00E729CF" w:rsidRPr="00407282">
        <w:rPr>
          <w:lang w:eastAsia="en-AU"/>
        </w:rPr>
        <w:fldChar w:fldCharType="separate"/>
      </w:r>
      <w:r w:rsidR="00291532" w:rsidRPr="00407282">
        <w:t xml:space="preserve">Table </w:t>
      </w:r>
      <w:r w:rsidR="00291532">
        <w:rPr>
          <w:noProof/>
        </w:rPr>
        <w:t>20</w:t>
      </w:r>
      <w:r w:rsidR="00E729CF" w:rsidRPr="00407282">
        <w:rPr>
          <w:lang w:eastAsia="en-AU"/>
        </w:rPr>
        <w:fldChar w:fldCharType="end"/>
      </w:r>
      <w:r w:rsidR="00E729CF" w:rsidRPr="00407282">
        <w:rPr>
          <w:lang w:eastAsia="en-AU"/>
        </w:rPr>
        <w:t>.</w:t>
      </w:r>
    </w:p>
    <w:p w14:paraId="3D78E25D" w14:textId="4D0825DB" w:rsidR="00E729CF" w:rsidRPr="00407282" w:rsidRDefault="00E729CF" w:rsidP="00E729CF">
      <w:pPr>
        <w:pStyle w:val="Caption"/>
      </w:pPr>
      <w:bookmarkStart w:id="80" w:name="_Ref504381314"/>
      <w:r w:rsidRPr="00407282">
        <w:t xml:space="preserve">Table </w:t>
      </w:r>
      <w:r w:rsidRPr="00407282">
        <w:fldChar w:fldCharType="begin"/>
      </w:r>
      <w:r w:rsidRPr="00407282">
        <w:instrText xml:space="preserve"> SEQ Table \* ARABIC </w:instrText>
      </w:r>
      <w:r w:rsidRPr="00407282">
        <w:fldChar w:fldCharType="separate"/>
      </w:r>
      <w:r w:rsidR="00291532">
        <w:rPr>
          <w:noProof/>
        </w:rPr>
        <w:t>20</w:t>
      </w:r>
      <w:r w:rsidRPr="00407282">
        <w:fldChar w:fldCharType="end"/>
      </w:r>
      <w:bookmarkEnd w:id="80"/>
      <w:r w:rsidRPr="00407282">
        <w:t xml:space="preserve"> | NTRB functions under the </w:t>
      </w:r>
      <w:r w:rsidR="00665EA7" w:rsidRPr="00665EA7">
        <w:rPr>
          <w:iCs/>
        </w:rPr>
        <w:t>NTA</w:t>
      </w:r>
    </w:p>
    <w:tbl>
      <w:tblPr>
        <w:tblStyle w:val="AEMO1"/>
        <w:tblW w:w="0" w:type="auto"/>
        <w:tblLook w:val="04A0" w:firstRow="1" w:lastRow="0" w:firstColumn="1" w:lastColumn="0" w:noHBand="0" w:noVBand="1"/>
      </w:tblPr>
      <w:tblGrid>
        <w:gridCol w:w="1075"/>
        <w:gridCol w:w="2233"/>
        <w:gridCol w:w="5622"/>
      </w:tblGrid>
      <w:tr w:rsidR="00052D50" w:rsidRPr="00D463C2" w14:paraId="6F3024ED" w14:textId="77777777" w:rsidTr="002F2CD2">
        <w:trPr>
          <w:cnfStyle w:val="100000000000" w:firstRow="1" w:lastRow="0" w:firstColumn="0" w:lastColumn="0" w:oddVBand="0" w:evenVBand="0" w:oddHBand="0" w:evenHBand="0" w:firstRowFirstColumn="0" w:firstRowLastColumn="0" w:lastRowFirstColumn="0" w:lastRowLastColumn="0"/>
        </w:trPr>
        <w:tc>
          <w:tcPr>
            <w:tcW w:w="1078" w:type="dxa"/>
          </w:tcPr>
          <w:p w14:paraId="6E1D04A0" w14:textId="77777777" w:rsidR="00052D50" w:rsidRPr="00052D50" w:rsidRDefault="00052D50" w:rsidP="00052D50">
            <w:pPr>
              <w:pStyle w:val="TableNheader"/>
              <w:rPr>
                <w:b w:val="0"/>
                <w:bCs/>
              </w:rPr>
            </w:pPr>
            <w:r w:rsidRPr="00052D50">
              <w:rPr>
                <w:b w:val="0"/>
                <w:bCs/>
              </w:rPr>
              <w:t xml:space="preserve">Reference </w:t>
            </w:r>
          </w:p>
        </w:tc>
        <w:tc>
          <w:tcPr>
            <w:tcW w:w="2268" w:type="dxa"/>
          </w:tcPr>
          <w:p w14:paraId="6A476F73" w14:textId="77777777" w:rsidR="00052D50" w:rsidRPr="00052D50" w:rsidRDefault="00052D50" w:rsidP="00052D50">
            <w:pPr>
              <w:pStyle w:val="TableNheader"/>
              <w:rPr>
                <w:b w:val="0"/>
                <w:bCs/>
              </w:rPr>
            </w:pPr>
            <w:r w:rsidRPr="00052D50">
              <w:rPr>
                <w:b w:val="0"/>
                <w:bCs/>
              </w:rPr>
              <w:t>Function</w:t>
            </w:r>
          </w:p>
        </w:tc>
        <w:tc>
          <w:tcPr>
            <w:tcW w:w="5754" w:type="dxa"/>
          </w:tcPr>
          <w:p w14:paraId="518B7C66" w14:textId="77777777" w:rsidR="00052D50" w:rsidRPr="00052D50" w:rsidRDefault="00052D50" w:rsidP="00052D50">
            <w:pPr>
              <w:pStyle w:val="TableNheader"/>
              <w:rPr>
                <w:b w:val="0"/>
                <w:bCs/>
              </w:rPr>
            </w:pPr>
            <w:r w:rsidRPr="00052D50">
              <w:rPr>
                <w:b w:val="0"/>
                <w:bCs/>
              </w:rPr>
              <w:t>Detail</w:t>
            </w:r>
          </w:p>
        </w:tc>
      </w:tr>
      <w:tr w:rsidR="00052D50" w:rsidRPr="00D463C2" w14:paraId="0D5F4079" w14:textId="77777777" w:rsidTr="002F2CD2">
        <w:tc>
          <w:tcPr>
            <w:tcW w:w="1078" w:type="dxa"/>
          </w:tcPr>
          <w:p w14:paraId="25058A11" w14:textId="77777777" w:rsidR="00052D50" w:rsidRPr="00D463C2" w:rsidRDefault="00052D50" w:rsidP="002F2CD2">
            <w:pPr>
              <w:rPr>
                <w:sz w:val="17"/>
                <w:szCs w:val="17"/>
                <w:lang w:eastAsia="en-AU"/>
              </w:rPr>
            </w:pPr>
            <w:r w:rsidRPr="00D463C2">
              <w:rPr>
                <w:sz w:val="17"/>
                <w:szCs w:val="17"/>
                <w:lang w:eastAsia="en-AU"/>
              </w:rPr>
              <w:t>s203BB</w:t>
            </w:r>
          </w:p>
        </w:tc>
        <w:tc>
          <w:tcPr>
            <w:tcW w:w="2268" w:type="dxa"/>
          </w:tcPr>
          <w:p w14:paraId="608E6C4A" w14:textId="77777777" w:rsidR="00052D50" w:rsidRPr="00D463C2" w:rsidRDefault="00052D50" w:rsidP="002F2CD2">
            <w:pPr>
              <w:rPr>
                <w:sz w:val="17"/>
                <w:szCs w:val="17"/>
                <w:lang w:eastAsia="en-AU"/>
              </w:rPr>
            </w:pPr>
            <w:r w:rsidRPr="00D463C2">
              <w:rPr>
                <w:sz w:val="17"/>
                <w:szCs w:val="17"/>
                <w:lang w:eastAsia="en-AU"/>
              </w:rPr>
              <w:t>Facilitation and assistance</w:t>
            </w:r>
          </w:p>
        </w:tc>
        <w:tc>
          <w:tcPr>
            <w:tcW w:w="5754" w:type="dxa"/>
          </w:tcPr>
          <w:p w14:paraId="52DD42FA" w14:textId="77777777" w:rsidR="00052D50" w:rsidRPr="00D463C2" w:rsidRDefault="00052D50" w:rsidP="002F2CD2">
            <w:pPr>
              <w:rPr>
                <w:sz w:val="17"/>
                <w:szCs w:val="17"/>
                <w:lang w:eastAsia="en-AU"/>
              </w:rPr>
            </w:pPr>
            <w:r w:rsidRPr="00D463C2">
              <w:rPr>
                <w:sz w:val="17"/>
                <w:szCs w:val="17"/>
                <w:lang w:eastAsia="en-AU"/>
              </w:rPr>
              <w:t>NTRB-SPs provide assistance to native title interest holders in relation to native title applications, Future Acts, agreements, rights of access and other matters.</w:t>
            </w:r>
          </w:p>
        </w:tc>
      </w:tr>
      <w:tr w:rsidR="00052D50" w:rsidRPr="00D463C2" w14:paraId="5E57D77C" w14:textId="77777777" w:rsidTr="002F2CD2">
        <w:tc>
          <w:tcPr>
            <w:tcW w:w="1078" w:type="dxa"/>
          </w:tcPr>
          <w:p w14:paraId="1A3918A8" w14:textId="77777777" w:rsidR="00052D50" w:rsidRPr="00D463C2" w:rsidRDefault="00052D50" w:rsidP="002F2CD2">
            <w:pPr>
              <w:rPr>
                <w:sz w:val="17"/>
                <w:szCs w:val="17"/>
                <w:lang w:eastAsia="en-AU"/>
              </w:rPr>
            </w:pPr>
            <w:r w:rsidRPr="00D463C2">
              <w:rPr>
                <w:sz w:val="17"/>
                <w:szCs w:val="17"/>
                <w:lang w:eastAsia="en-AU"/>
              </w:rPr>
              <w:t>s203BF</w:t>
            </w:r>
          </w:p>
        </w:tc>
        <w:tc>
          <w:tcPr>
            <w:tcW w:w="2268" w:type="dxa"/>
          </w:tcPr>
          <w:p w14:paraId="1B73AF70" w14:textId="77777777" w:rsidR="00052D50" w:rsidRPr="00D463C2" w:rsidRDefault="00052D50" w:rsidP="002F2CD2">
            <w:pPr>
              <w:rPr>
                <w:sz w:val="17"/>
                <w:szCs w:val="17"/>
                <w:lang w:eastAsia="en-AU"/>
              </w:rPr>
            </w:pPr>
            <w:r w:rsidRPr="00D463C2">
              <w:rPr>
                <w:sz w:val="17"/>
                <w:szCs w:val="17"/>
                <w:lang w:eastAsia="en-AU"/>
              </w:rPr>
              <w:t>Certification</w:t>
            </w:r>
          </w:p>
        </w:tc>
        <w:tc>
          <w:tcPr>
            <w:tcW w:w="5754" w:type="dxa"/>
          </w:tcPr>
          <w:p w14:paraId="401E1D53" w14:textId="77777777" w:rsidR="00052D50" w:rsidRPr="00D463C2" w:rsidRDefault="00052D50" w:rsidP="002F2CD2">
            <w:pPr>
              <w:rPr>
                <w:sz w:val="17"/>
                <w:szCs w:val="17"/>
                <w:lang w:eastAsia="en-AU"/>
              </w:rPr>
            </w:pPr>
            <w:r w:rsidRPr="00D463C2">
              <w:rPr>
                <w:sz w:val="17"/>
                <w:szCs w:val="17"/>
                <w:lang w:eastAsia="en-AU"/>
              </w:rPr>
              <w:t xml:space="preserve">NTRB-SPs certify applications for native title determinations and certify the registration of ILUAs. </w:t>
            </w:r>
          </w:p>
        </w:tc>
      </w:tr>
      <w:tr w:rsidR="00052D50" w:rsidRPr="00D463C2" w14:paraId="38611C27" w14:textId="77777777" w:rsidTr="002F2CD2">
        <w:tc>
          <w:tcPr>
            <w:tcW w:w="1078" w:type="dxa"/>
          </w:tcPr>
          <w:p w14:paraId="6AF2A42F" w14:textId="77777777" w:rsidR="00052D50" w:rsidRPr="00D463C2" w:rsidRDefault="00052D50" w:rsidP="002F2CD2">
            <w:pPr>
              <w:rPr>
                <w:sz w:val="17"/>
                <w:szCs w:val="17"/>
                <w:lang w:eastAsia="en-AU"/>
              </w:rPr>
            </w:pPr>
            <w:r w:rsidRPr="00D463C2">
              <w:rPr>
                <w:sz w:val="17"/>
                <w:szCs w:val="17"/>
                <w:lang w:eastAsia="en-AU"/>
              </w:rPr>
              <w:t>s203BF</w:t>
            </w:r>
          </w:p>
        </w:tc>
        <w:tc>
          <w:tcPr>
            <w:tcW w:w="2268" w:type="dxa"/>
          </w:tcPr>
          <w:p w14:paraId="79918DBD" w14:textId="77777777" w:rsidR="00052D50" w:rsidRPr="00D463C2" w:rsidRDefault="00052D50" w:rsidP="002F2CD2">
            <w:pPr>
              <w:rPr>
                <w:sz w:val="17"/>
                <w:szCs w:val="17"/>
                <w:lang w:eastAsia="en-AU"/>
              </w:rPr>
            </w:pPr>
            <w:r w:rsidRPr="00D463C2">
              <w:rPr>
                <w:sz w:val="17"/>
                <w:szCs w:val="17"/>
                <w:lang w:eastAsia="en-AU"/>
              </w:rPr>
              <w:t>Dispute resolution</w:t>
            </w:r>
          </w:p>
        </w:tc>
        <w:tc>
          <w:tcPr>
            <w:tcW w:w="5754" w:type="dxa"/>
          </w:tcPr>
          <w:p w14:paraId="5FF796CD" w14:textId="77777777" w:rsidR="00052D50" w:rsidRPr="00D463C2" w:rsidRDefault="00052D50" w:rsidP="002F2CD2">
            <w:pPr>
              <w:rPr>
                <w:sz w:val="17"/>
                <w:szCs w:val="17"/>
                <w:lang w:eastAsia="en-AU"/>
              </w:rPr>
            </w:pPr>
            <w:r w:rsidRPr="00D463C2">
              <w:rPr>
                <w:sz w:val="17"/>
                <w:szCs w:val="17"/>
                <w:lang w:eastAsia="en-AU"/>
              </w:rPr>
              <w:t xml:space="preserve">NTRB-SPs promote agreement and mediate disputes between native title groups. </w:t>
            </w:r>
          </w:p>
        </w:tc>
      </w:tr>
      <w:tr w:rsidR="00052D50" w:rsidRPr="00D463C2" w14:paraId="7E67C7CF" w14:textId="77777777" w:rsidTr="002F2CD2">
        <w:tc>
          <w:tcPr>
            <w:tcW w:w="1078" w:type="dxa"/>
          </w:tcPr>
          <w:p w14:paraId="0081CA4E" w14:textId="77777777" w:rsidR="00052D50" w:rsidRPr="00D463C2" w:rsidRDefault="00052D50" w:rsidP="002F2CD2">
            <w:pPr>
              <w:rPr>
                <w:sz w:val="17"/>
                <w:szCs w:val="17"/>
                <w:lang w:eastAsia="en-AU"/>
              </w:rPr>
            </w:pPr>
            <w:r w:rsidRPr="00D463C2">
              <w:rPr>
                <w:sz w:val="17"/>
                <w:szCs w:val="17"/>
                <w:lang w:eastAsia="en-AU"/>
              </w:rPr>
              <w:t>s203BG</w:t>
            </w:r>
          </w:p>
        </w:tc>
        <w:tc>
          <w:tcPr>
            <w:tcW w:w="2268" w:type="dxa"/>
          </w:tcPr>
          <w:p w14:paraId="0E3AC66A" w14:textId="77777777" w:rsidR="00052D50" w:rsidRPr="00D463C2" w:rsidRDefault="00052D50" w:rsidP="002F2CD2">
            <w:pPr>
              <w:rPr>
                <w:sz w:val="17"/>
                <w:szCs w:val="17"/>
                <w:lang w:eastAsia="en-AU"/>
              </w:rPr>
            </w:pPr>
            <w:r w:rsidRPr="00D463C2">
              <w:rPr>
                <w:sz w:val="17"/>
                <w:szCs w:val="17"/>
                <w:lang w:eastAsia="en-AU"/>
              </w:rPr>
              <w:t>Notification</w:t>
            </w:r>
          </w:p>
        </w:tc>
        <w:tc>
          <w:tcPr>
            <w:tcW w:w="5754" w:type="dxa"/>
          </w:tcPr>
          <w:p w14:paraId="7FDA8D33" w14:textId="77777777" w:rsidR="00052D50" w:rsidRPr="00D463C2" w:rsidRDefault="00052D50" w:rsidP="002F2CD2">
            <w:pPr>
              <w:rPr>
                <w:sz w:val="17"/>
                <w:szCs w:val="17"/>
                <w:lang w:eastAsia="en-AU"/>
              </w:rPr>
            </w:pPr>
            <w:r w:rsidRPr="00D463C2">
              <w:rPr>
                <w:sz w:val="17"/>
                <w:szCs w:val="17"/>
                <w:lang w:eastAsia="en-AU"/>
              </w:rPr>
              <w:t xml:space="preserve">NTRB-SPs ensure that people with a possible native title interest are informed of other claims and of Future Acts and the time limits for responding to these. </w:t>
            </w:r>
          </w:p>
        </w:tc>
      </w:tr>
      <w:tr w:rsidR="00052D50" w:rsidRPr="00D463C2" w14:paraId="5AAC4000" w14:textId="77777777" w:rsidTr="002F2CD2">
        <w:tc>
          <w:tcPr>
            <w:tcW w:w="1078" w:type="dxa"/>
          </w:tcPr>
          <w:p w14:paraId="6E69568B" w14:textId="77777777" w:rsidR="00052D50" w:rsidRPr="00D463C2" w:rsidRDefault="00052D50" w:rsidP="002F2CD2">
            <w:pPr>
              <w:rPr>
                <w:sz w:val="17"/>
                <w:szCs w:val="17"/>
                <w:lang w:eastAsia="en-AU"/>
              </w:rPr>
            </w:pPr>
            <w:r w:rsidRPr="00D463C2">
              <w:rPr>
                <w:sz w:val="17"/>
                <w:szCs w:val="17"/>
                <w:lang w:eastAsia="en-AU"/>
              </w:rPr>
              <w:t>s203BH</w:t>
            </w:r>
          </w:p>
        </w:tc>
        <w:tc>
          <w:tcPr>
            <w:tcW w:w="2268" w:type="dxa"/>
          </w:tcPr>
          <w:p w14:paraId="5A2A068F" w14:textId="77777777" w:rsidR="00052D50" w:rsidRPr="00D463C2" w:rsidRDefault="00052D50" w:rsidP="002F2CD2">
            <w:pPr>
              <w:rPr>
                <w:sz w:val="17"/>
                <w:szCs w:val="17"/>
                <w:lang w:eastAsia="en-AU"/>
              </w:rPr>
            </w:pPr>
            <w:r w:rsidRPr="00D463C2">
              <w:rPr>
                <w:sz w:val="17"/>
                <w:szCs w:val="17"/>
                <w:lang w:eastAsia="en-AU"/>
              </w:rPr>
              <w:t>Agreement making</w:t>
            </w:r>
          </w:p>
        </w:tc>
        <w:tc>
          <w:tcPr>
            <w:tcW w:w="5754" w:type="dxa"/>
          </w:tcPr>
          <w:p w14:paraId="194A83BA" w14:textId="77777777" w:rsidR="00052D50" w:rsidRPr="00D463C2" w:rsidRDefault="00052D50" w:rsidP="002F2CD2">
            <w:pPr>
              <w:rPr>
                <w:sz w:val="17"/>
                <w:szCs w:val="17"/>
                <w:lang w:eastAsia="en-AU"/>
              </w:rPr>
            </w:pPr>
            <w:r w:rsidRPr="00D463C2">
              <w:rPr>
                <w:sz w:val="17"/>
                <w:szCs w:val="17"/>
                <w:lang w:eastAsia="en-AU"/>
              </w:rPr>
              <w:t>NTRB-SPs can be a party to ILUAs or other agreements.</w:t>
            </w:r>
          </w:p>
        </w:tc>
      </w:tr>
      <w:tr w:rsidR="00052D50" w:rsidRPr="00D463C2" w14:paraId="6963F5AF" w14:textId="77777777" w:rsidTr="002F2CD2">
        <w:tc>
          <w:tcPr>
            <w:tcW w:w="1078" w:type="dxa"/>
          </w:tcPr>
          <w:p w14:paraId="1D201A24" w14:textId="77777777" w:rsidR="00052D50" w:rsidRPr="00D463C2" w:rsidRDefault="00052D50" w:rsidP="002F2CD2">
            <w:pPr>
              <w:rPr>
                <w:sz w:val="17"/>
                <w:szCs w:val="17"/>
                <w:lang w:eastAsia="en-AU"/>
              </w:rPr>
            </w:pPr>
            <w:r w:rsidRPr="00D463C2">
              <w:rPr>
                <w:sz w:val="17"/>
                <w:szCs w:val="17"/>
                <w:lang w:eastAsia="en-AU"/>
              </w:rPr>
              <w:t>s203BI</w:t>
            </w:r>
          </w:p>
        </w:tc>
        <w:tc>
          <w:tcPr>
            <w:tcW w:w="2268" w:type="dxa"/>
          </w:tcPr>
          <w:p w14:paraId="73979E42" w14:textId="77777777" w:rsidR="00052D50" w:rsidRPr="00D463C2" w:rsidRDefault="00052D50" w:rsidP="002F2CD2">
            <w:pPr>
              <w:rPr>
                <w:sz w:val="17"/>
                <w:szCs w:val="17"/>
                <w:lang w:eastAsia="en-AU"/>
              </w:rPr>
            </w:pPr>
            <w:r w:rsidRPr="00D463C2">
              <w:rPr>
                <w:sz w:val="17"/>
                <w:szCs w:val="17"/>
                <w:lang w:eastAsia="en-AU"/>
              </w:rPr>
              <w:t>Internal review</w:t>
            </w:r>
          </w:p>
        </w:tc>
        <w:tc>
          <w:tcPr>
            <w:tcW w:w="5754" w:type="dxa"/>
            <w:vAlign w:val="top"/>
          </w:tcPr>
          <w:p w14:paraId="1A9F393F" w14:textId="77777777" w:rsidR="00052D50" w:rsidRPr="00D463C2" w:rsidRDefault="00052D50" w:rsidP="002F2CD2">
            <w:pPr>
              <w:pStyle w:val="TableNbiophoto"/>
              <w:rPr>
                <w:szCs w:val="17"/>
                <w:lang w:eastAsia="en-AU"/>
              </w:rPr>
            </w:pPr>
            <w:r w:rsidRPr="00236917">
              <w:rPr>
                <w:lang w:eastAsia="en-AU"/>
              </w:rPr>
              <w:t xml:space="preserve">NTRB-SPs have a process by which </w:t>
            </w:r>
            <w:r>
              <w:rPr>
                <w:lang w:eastAsia="en-AU"/>
              </w:rPr>
              <w:t>clients</w:t>
            </w:r>
            <w:r w:rsidRPr="00236917">
              <w:rPr>
                <w:lang w:eastAsia="en-AU"/>
              </w:rPr>
              <w:t xml:space="preserve"> can seek a review of decisions and actions they have made and promote access to this process for clients.</w:t>
            </w:r>
          </w:p>
        </w:tc>
      </w:tr>
      <w:tr w:rsidR="00052D50" w:rsidRPr="00D463C2" w14:paraId="32EB301B" w14:textId="77777777" w:rsidTr="002F2CD2">
        <w:tc>
          <w:tcPr>
            <w:tcW w:w="1078" w:type="dxa"/>
          </w:tcPr>
          <w:p w14:paraId="3AD52593" w14:textId="77777777" w:rsidR="00052D50" w:rsidRPr="00D463C2" w:rsidRDefault="00052D50" w:rsidP="002F2CD2">
            <w:pPr>
              <w:rPr>
                <w:sz w:val="17"/>
                <w:szCs w:val="17"/>
                <w:lang w:eastAsia="en-AU"/>
              </w:rPr>
            </w:pPr>
            <w:r w:rsidRPr="00D463C2">
              <w:rPr>
                <w:sz w:val="17"/>
                <w:szCs w:val="17"/>
                <w:lang w:eastAsia="en-AU"/>
              </w:rPr>
              <w:t>s203BJ</w:t>
            </w:r>
          </w:p>
        </w:tc>
        <w:tc>
          <w:tcPr>
            <w:tcW w:w="2268" w:type="dxa"/>
          </w:tcPr>
          <w:p w14:paraId="1E0F3A91" w14:textId="77777777" w:rsidR="00052D50" w:rsidRPr="00D463C2" w:rsidRDefault="00052D50" w:rsidP="002F2CD2">
            <w:pPr>
              <w:rPr>
                <w:sz w:val="17"/>
                <w:szCs w:val="17"/>
                <w:lang w:eastAsia="en-AU"/>
              </w:rPr>
            </w:pPr>
            <w:r w:rsidRPr="00D463C2">
              <w:rPr>
                <w:sz w:val="17"/>
                <w:szCs w:val="17"/>
                <w:lang w:eastAsia="en-AU"/>
              </w:rPr>
              <w:t xml:space="preserve">Other functions conferred by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(Cth) </w:t>
            </w:r>
            <w:r w:rsidRPr="00D463C2">
              <w:rPr>
                <w:sz w:val="17"/>
                <w:szCs w:val="17"/>
                <w:lang w:eastAsia="en-AU"/>
              </w:rPr>
              <w:t>or by any other law</w:t>
            </w:r>
          </w:p>
        </w:tc>
        <w:tc>
          <w:tcPr>
            <w:tcW w:w="5754" w:type="dxa"/>
          </w:tcPr>
          <w:p w14:paraId="49468F10" w14:textId="77777777" w:rsidR="00052D50" w:rsidRPr="00D463C2" w:rsidRDefault="00052D50" w:rsidP="002F2CD2">
            <w:pPr>
              <w:rPr>
                <w:sz w:val="17"/>
                <w:szCs w:val="17"/>
                <w:lang w:eastAsia="en-AU"/>
              </w:rPr>
            </w:pPr>
            <w:r w:rsidRPr="00D463C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06822441" w14:textId="77777777" w:rsidR="00C74E12" w:rsidRPr="00407282" w:rsidRDefault="00C74E12" w:rsidP="00F863D2">
      <w:pPr>
        <w:rPr>
          <w:lang w:eastAsia="en-AU"/>
        </w:rPr>
      </w:pPr>
    </w:p>
    <w:p w14:paraId="610E3B8A" w14:textId="77777777" w:rsidR="00574B74" w:rsidRPr="003D796E" w:rsidRDefault="00574B74" w:rsidP="00574B74">
      <w:pPr>
        <w:pStyle w:val="Bullet"/>
        <w:numPr>
          <w:ilvl w:val="0"/>
          <w:numId w:val="0"/>
        </w:numPr>
        <w:ind w:left="340"/>
        <w:rPr>
          <w:highlight w:val="yellow"/>
        </w:rPr>
      </w:pPr>
    </w:p>
    <w:p w14:paraId="10EA0A3E" w14:textId="41DAC735" w:rsidR="00984FF6" w:rsidRDefault="00984FF6">
      <w:pPr>
        <w:spacing w:after="165"/>
        <w:rPr>
          <w:lang w:eastAsia="en-AU"/>
        </w:rPr>
      </w:pPr>
      <w:r>
        <w:rPr>
          <w:lang w:eastAsia="en-AU"/>
        </w:rPr>
        <w:br w:type="page"/>
      </w:r>
    </w:p>
    <w:p w14:paraId="0DE10097" w14:textId="0C2BFD3A" w:rsidR="00F863D2" w:rsidRPr="00F863D2" w:rsidRDefault="00984FF6" w:rsidP="00E729CF">
      <w:pPr>
        <w:spacing w:after="165"/>
        <w:rPr>
          <w:lang w:eastAsia="en-AU"/>
        </w:rPr>
      </w:pPr>
      <w:r>
        <w:rPr>
          <w:noProof/>
          <w:lang w:eastAsia="en-AU"/>
        </w:rPr>
        <w:lastRenderedPageBreak/>
        <w:drawing>
          <wp:anchor distT="0" distB="0" distL="114300" distR="114300" simplePos="0" relativeHeight="251658241" behindDoc="0" locked="0" layoutInCell="1" allowOverlap="1" wp14:anchorId="365E0614" wp14:editId="0E9E53FE">
            <wp:simplePos x="0" y="0"/>
            <wp:positionH relativeFrom="column">
              <wp:posOffset>-985520</wp:posOffset>
            </wp:positionH>
            <wp:positionV relativeFrom="paragraph">
              <wp:posOffset>1270</wp:posOffset>
            </wp:positionV>
            <wp:extent cx="7563332" cy="9787442"/>
            <wp:effectExtent l="0" t="0" r="0" b="4445"/>
            <wp:wrapNone/>
            <wp:docPr id="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F863D2" w:rsidRPr="00F863D2" w:rsidSect="00F32834">
      <w:headerReference w:type="default" r:id="rId27"/>
      <w:footerReference w:type="default" r:id="rId28"/>
      <w:headerReference w:type="first" r:id="rId29"/>
      <w:footerReference w:type="first" r:id="rId30"/>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32E72" w14:textId="77777777" w:rsidR="001E0EC1" w:rsidRDefault="001E0EC1" w:rsidP="00302076">
      <w:pPr>
        <w:spacing w:after="0"/>
      </w:pPr>
      <w:r>
        <w:separator/>
      </w:r>
    </w:p>
  </w:endnote>
  <w:endnote w:type="continuationSeparator" w:id="0">
    <w:p w14:paraId="4F17A190" w14:textId="77777777" w:rsidR="001E0EC1" w:rsidRDefault="001E0EC1" w:rsidP="00302076">
      <w:pPr>
        <w:spacing w:after="0"/>
      </w:pPr>
      <w:r>
        <w:continuationSeparator/>
      </w:r>
    </w:p>
  </w:endnote>
  <w:endnote w:type="continuationNotice" w:id="1">
    <w:p w14:paraId="3CAF3036" w14:textId="77777777" w:rsidR="001E0EC1" w:rsidRDefault="001E0E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tka Text">
    <w:panose1 w:val="00000000000000000000"/>
    <w:charset w:val="00"/>
    <w:family w:val="auto"/>
    <w:pitch w:val="variable"/>
    <w:sig w:usb0="A00002EF" w:usb1="400020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itka Subheading">
    <w:panose1 w:val="00000000000000000000"/>
    <w:charset w:val="00"/>
    <w:family w:val="auto"/>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ExtB">
    <w:panose1 w:val="02010609060101010101"/>
    <w:charset w:val="86"/>
    <w:family w:val="modern"/>
    <w:pitch w:val="fixed"/>
    <w:sig w:usb0="00000003" w:usb1="0A0E0000" w:usb2="00000010" w:usb3="00000000" w:csb0="00040001" w:csb1="00000000"/>
  </w:font>
  <w:font w:name="Yu Gothic UI">
    <w:panose1 w:val="020B0500000000000000"/>
    <w:charset w:val="80"/>
    <w:family w:val="swiss"/>
    <w:pitch w:val="variable"/>
    <w:sig w:usb0="E00002FF" w:usb1="2AC7FDFF" w:usb2="00000016" w:usb3="00000000" w:csb0="0002009F" w:csb1="00000000"/>
  </w:font>
  <w:font w:name="Sitka Display">
    <w:panose1 w:val="00000000000000000000"/>
    <w:charset w:val="00"/>
    <w:family w:val="auto"/>
    <w:pitch w:val="variable"/>
    <w:sig w:usb0="A00002EF" w:usb1="4000204B"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Sitka Small">
    <w:panose1 w:val="00000000000000000000"/>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D3B18" w14:textId="1CCCC2D9" w:rsidR="0046699E" w:rsidRDefault="0046699E">
    <w:pPr>
      <w:pStyle w:val="Footer"/>
    </w:pPr>
    <w:r>
      <w:rPr>
        <w:noProof/>
      </w:rPr>
      <mc:AlternateContent>
        <mc:Choice Requires="wps">
          <w:drawing>
            <wp:anchor distT="0" distB="0" distL="0" distR="0" simplePos="0" relativeHeight="251665411" behindDoc="0" locked="0" layoutInCell="1" allowOverlap="1" wp14:anchorId="765BBD65" wp14:editId="24D1AABF">
              <wp:simplePos x="635" y="635"/>
              <wp:positionH relativeFrom="page">
                <wp:align>center</wp:align>
              </wp:positionH>
              <wp:positionV relativeFrom="page">
                <wp:align>bottom</wp:align>
              </wp:positionV>
              <wp:extent cx="686435" cy="379730"/>
              <wp:effectExtent l="0" t="0" r="18415" b="0"/>
              <wp:wrapNone/>
              <wp:docPr id="206362069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C868CE4" w14:textId="30D80096"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5BBD65" id="_x0000_t202" coordsize="21600,21600" o:spt="202" path="m,l,21600r21600,l21600,xe">
              <v:stroke joinstyle="miter"/>
              <v:path gradientshapeok="t" o:connecttype="rect"/>
            </v:shapetype>
            <v:shape id="_x0000_s1029" type="#_x0000_t202" alt="OFFICIAL" style="position:absolute;margin-left:0;margin-top:0;width:54.05pt;height:29.9pt;z-index:2516654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C868CE4" w14:textId="30D80096"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5770F322" w:rsidR="007F5733" w:rsidRPr="00FD4AB1" w:rsidRDefault="0046699E">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435" behindDoc="0" locked="0" layoutInCell="1" allowOverlap="1" wp14:anchorId="1B47D2B3" wp14:editId="67767990">
              <wp:simplePos x="635" y="635"/>
              <wp:positionH relativeFrom="page">
                <wp:align>center</wp:align>
              </wp:positionH>
              <wp:positionV relativeFrom="page">
                <wp:align>bottom</wp:align>
              </wp:positionV>
              <wp:extent cx="686435" cy="379730"/>
              <wp:effectExtent l="0" t="0" r="18415" b="0"/>
              <wp:wrapNone/>
              <wp:docPr id="211051636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B96429A" w14:textId="7E85FC50"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47D2B3" id="_x0000_t202" coordsize="21600,21600" o:spt="202" path="m,l,21600r21600,l21600,xe">
              <v:stroke joinstyle="miter"/>
              <v:path gradientshapeok="t" o:connecttype="rect"/>
            </v:shapetype>
            <v:shape id="Text Box 8" o:spid="_x0000_s1030" type="#_x0000_t202" alt="OFFICIAL" style="position:absolute;margin-left:0;margin-top:0;width:54.05pt;height:29.9pt;z-index:2516664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6B96429A" w14:textId="7E85FC50"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r w:rsidR="007F5733">
      <w:rPr>
        <w:color w:val="808080" w:themeColor="background1" w:themeShade="80"/>
        <w:szCs w:val="15"/>
        <w:lang w:eastAsia="en-AU"/>
      </w:rPr>
      <w:t xml:space="preserve">Nous Group | Review of Kimberley Land Council, 2019-22 | </w:t>
    </w:r>
    <w:r w:rsidR="007F5733" w:rsidRPr="00FD4AB1">
      <w:rPr>
        <w:rFonts w:ascii="Segoe UI Semibold" w:hAnsi="Segoe UI Semibold" w:cs="Segoe UI"/>
        <w:color w:val="A5A5A5"/>
      </w:rPr>
      <w:ptab w:relativeTo="margin" w:alignment="right" w:leader="none"/>
    </w:r>
    <w:r w:rsidR="007F5733" w:rsidRPr="00FD4AB1">
      <w:rPr>
        <w:rFonts w:cs="Segoe UI"/>
        <w:color w:val="A5A5A5"/>
      </w:rPr>
      <w:t xml:space="preserve">| </w:t>
    </w:r>
    <w:r w:rsidR="007F5733" w:rsidRPr="003B464C">
      <w:rPr>
        <w:rFonts w:cs="Segoe UI"/>
        <w:b/>
        <w:color w:val="A5A5A5"/>
        <w:sz w:val="16"/>
        <w:szCs w:val="16"/>
      </w:rPr>
      <w:fldChar w:fldCharType="begin"/>
    </w:r>
    <w:r w:rsidR="007F5733" w:rsidRPr="003B464C">
      <w:rPr>
        <w:rFonts w:cs="Segoe UI"/>
        <w:color w:val="A5A5A5"/>
        <w:sz w:val="16"/>
        <w:szCs w:val="16"/>
      </w:rPr>
      <w:instrText xml:space="preserve"> PAGE  \* roman  \* MERGEFORMAT </w:instrText>
    </w:r>
    <w:r w:rsidR="007F5733" w:rsidRPr="003B464C">
      <w:rPr>
        <w:rFonts w:cs="Segoe UI"/>
        <w:b/>
        <w:color w:val="A5A5A5"/>
        <w:sz w:val="16"/>
        <w:szCs w:val="16"/>
      </w:rPr>
      <w:fldChar w:fldCharType="separate"/>
    </w:r>
    <w:r w:rsidR="007F5733" w:rsidRPr="00F75386">
      <w:rPr>
        <w:rFonts w:cs="Segoe UI"/>
        <w:b/>
        <w:noProof/>
        <w:color w:val="A5A5A5"/>
        <w:sz w:val="16"/>
        <w:szCs w:val="16"/>
      </w:rPr>
      <w:t>i</w:t>
    </w:r>
    <w:r w:rsidR="007F5733" w:rsidRPr="003B464C">
      <w:rPr>
        <w:rFonts w:cs="Segoe UI"/>
        <w:b/>
        <w:color w:val="A5A5A5"/>
        <w:sz w:val="16"/>
        <w:szCs w:val="16"/>
      </w:rPr>
      <w:fldChar w:fldCharType="end"/>
    </w:r>
    <w:r w:rsidR="007F5733" w:rsidRPr="003B464C">
      <w:rPr>
        <w:rFonts w:cs="Segoe UI"/>
        <w:color w:val="A5A5A5"/>
        <w:sz w:val="16"/>
        <w:szCs w:val="16"/>
      </w:rPr>
      <w:t xml:space="preserve"> </w:t>
    </w:r>
    <w:r w:rsidR="007F5733"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0274" w14:textId="33A5F43B" w:rsidR="0046699E" w:rsidRDefault="0046699E">
    <w:pPr>
      <w:pStyle w:val="Footer"/>
    </w:pPr>
    <w:r>
      <w:rPr>
        <w:noProof/>
      </w:rPr>
      <mc:AlternateContent>
        <mc:Choice Requires="wps">
          <w:drawing>
            <wp:anchor distT="0" distB="0" distL="0" distR="0" simplePos="0" relativeHeight="251664387" behindDoc="0" locked="0" layoutInCell="1" allowOverlap="1" wp14:anchorId="00975C2C" wp14:editId="4D4F763D">
              <wp:simplePos x="991056" y="10195286"/>
              <wp:positionH relativeFrom="page">
                <wp:align>center</wp:align>
              </wp:positionH>
              <wp:positionV relativeFrom="page">
                <wp:align>bottom</wp:align>
              </wp:positionV>
              <wp:extent cx="686435" cy="379730"/>
              <wp:effectExtent l="0" t="0" r="18415" b="0"/>
              <wp:wrapNone/>
              <wp:docPr id="18487809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3DF7416" w14:textId="3E754902"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975C2C" id="_x0000_t202" coordsize="21600,21600" o:spt="202" path="m,l,21600r21600,l21600,xe">
              <v:stroke joinstyle="miter"/>
              <v:path gradientshapeok="t" o:connecttype="rect"/>
            </v:shapetype>
            <v:shape id="Text Box 6" o:spid="_x0000_s1032" type="#_x0000_t202" alt="OFFICIAL" style="position:absolute;margin-left:0;margin-top:0;width:54.05pt;height:29.9pt;z-index:2516643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3DF7416" w14:textId="3E754902"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E7F4" w14:textId="3E80D0EA" w:rsidR="007F5733" w:rsidRDefault="0046699E" w:rsidP="00EA270A">
    <w:pPr>
      <w:pStyle w:val="NousFooter"/>
    </w:pPr>
    <w:r>
      <w:rPr>
        <w:noProof/>
      </w:rPr>
      <mc:AlternateContent>
        <mc:Choice Requires="wps">
          <w:drawing>
            <wp:anchor distT="0" distB="0" distL="0" distR="0" simplePos="0" relativeHeight="251668483" behindDoc="0" locked="0" layoutInCell="1" allowOverlap="1" wp14:anchorId="6EDB83C3" wp14:editId="56679B4B">
              <wp:simplePos x="635" y="635"/>
              <wp:positionH relativeFrom="page">
                <wp:align>center</wp:align>
              </wp:positionH>
              <wp:positionV relativeFrom="page">
                <wp:align>bottom</wp:align>
              </wp:positionV>
              <wp:extent cx="686435" cy="379730"/>
              <wp:effectExtent l="0" t="0" r="18415" b="0"/>
              <wp:wrapNone/>
              <wp:docPr id="1915653135"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DC751E9" w14:textId="129E4F88"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DB83C3" id="_x0000_t202" coordsize="21600,21600" o:spt="202" path="m,l,21600r21600,l21600,xe">
              <v:stroke joinstyle="miter"/>
              <v:path gradientshapeok="t" o:connecttype="rect"/>
            </v:shapetype>
            <v:shape id="Text Box 10" o:spid="_x0000_s1034" type="#_x0000_t202" alt="OFFICIAL" style="position:absolute;margin-left:0;margin-top:0;width:54.05pt;height:29.9pt;z-index:2516684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DC751E9" w14:textId="129E4F88"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r w:rsidR="007F5733" w:rsidRPr="00CD334C">
      <w:t xml:space="preserve">Review of Kimberley Land Council | </w:t>
    </w:r>
    <w:r w:rsidR="00582338">
      <w:t>June 2024</w:t>
    </w:r>
    <w:r w:rsidR="007F5733" w:rsidRPr="00CD334C">
      <w:ptab w:relativeTo="margin" w:alignment="right" w:leader="none"/>
    </w:r>
    <w:r w:rsidR="007F5733" w:rsidRPr="00CD334C">
      <w:t xml:space="preserve">| </w:t>
    </w:r>
    <w:r w:rsidR="007F5733" w:rsidRPr="00CD334C">
      <w:fldChar w:fldCharType="begin"/>
    </w:r>
    <w:r w:rsidR="007F5733" w:rsidRPr="00CD334C">
      <w:instrText xml:space="preserve"> PAGE  \* Arabic  \* MERGEFORMAT </w:instrText>
    </w:r>
    <w:r w:rsidR="007F5733" w:rsidRPr="00CD334C">
      <w:fldChar w:fldCharType="separate"/>
    </w:r>
    <w:r w:rsidR="007F5733">
      <w:rPr>
        <w:noProof/>
      </w:rPr>
      <w:t>20</w:t>
    </w:r>
    <w:r w:rsidR="007F5733" w:rsidRPr="00CD334C">
      <w:fldChar w:fldCharType="end"/>
    </w:r>
    <w:r w:rsidR="007F5733" w:rsidRPr="00CD334C">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104D9DCC" w:rsidR="007F5733" w:rsidRDefault="0046699E">
    <w:pPr>
      <w:pStyle w:val="Footer"/>
    </w:pPr>
    <w:r>
      <w:rPr>
        <w:noProof/>
        <w:lang w:eastAsia="en-AU"/>
      </w:rPr>
      <mc:AlternateContent>
        <mc:Choice Requires="wps">
          <w:drawing>
            <wp:anchor distT="0" distB="0" distL="0" distR="0" simplePos="0" relativeHeight="251667459" behindDoc="0" locked="0" layoutInCell="1" allowOverlap="1" wp14:anchorId="0CAB49DE" wp14:editId="6E8CD857">
              <wp:simplePos x="990600" y="10099675"/>
              <wp:positionH relativeFrom="page">
                <wp:align>center</wp:align>
              </wp:positionH>
              <wp:positionV relativeFrom="page">
                <wp:align>bottom</wp:align>
              </wp:positionV>
              <wp:extent cx="686435" cy="379730"/>
              <wp:effectExtent l="0" t="0" r="18415" b="0"/>
              <wp:wrapNone/>
              <wp:docPr id="1472930211"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8C537C1" w14:textId="70F8D0E9"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B49DE" id="_x0000_t202" coordsize="21600,21600" o:spt="202" path="m,l,21600r21600,l21600,xe">
              <v:stroke joinstyle="miter"/>
              <v:path gradientshapeok="t" o:connecttype="rect"/>
            </v:shapetype>
            <v:shape id="Text Box 9" o:spid="_x0000_s1036" type="#_x0000_t202" alt="OFFICIAL" style="position:absolute;margin-left:0;margin-top:0;width:54.05pt;height:29.9pt;z-index:2516674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8C537C1" w14:textId="70F8D0E9"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r w:rsidR="007F5733">
      <w:rPr>
        <w:noProof/>
        <w:lang w:eastAsia="en-AU"/>
      </w:rPr>
      <w:drawing>
        <wp:anchor distT="0" distB="0" distL="114300" distR="114300" simplePos="0" relativeHeight="251658242" behindDoc="1" locked="0" layoutInCell="1" allowOverlap="1" wp14:anchorId="4DC0CCF9" wp14:editId="78844D1D">
          <wp:simplePos x="0" y="0"/>
          <wp:positionH relativeFrom="rightMargin">
            <wp:posOffset>-410845</wp:posOffset>
          </wp:positionH>
          <wp:positionV relativeFrom="paragraph">
            <wp:posOffset>-53340</wp:posOffset>
          </wp:positionV>
          <wp:extent cx="857431" cy="234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F117D" w14:textId="77777777" w:rsidR="001E0EC1" w:rsidRDefault="001E0EC1" w:rsidP="00302076">
      <w:pPr>
        <w:spacing w:after="0"/>
      </w:pPr>
      <w:r>
        <w:separator/>
      </w:r>
    </w:p>
  </w:footnote>
  <w:footnote w:type="continuationSeparator" w:id="0">
    <w:p w14:paraId="746AA8DE" w14:textId="77777777" w:rsidR="001E0EC1" w:rsidRDefault="001E0EC1" w:rsidP="00302076">
      <w:pPr>
        <w:spacing w:after="0"/>
      </w:pPr>
      <w:r>
        <w:continuationSeparator/>
      </w:r>
    </w:p>
  </w:footnote>
  <w:footnote w:type="continuationNotice" w:id="1">
    <w:p w14:paraId="56729D99" w14:textId="77777777" w:rsidR="001E0EC1" w:rsidRDefault="001E0EC1">
      <w:pPr>
        <w:spacing w:after="0" w:line="240" w:lineRule="auto"/>
      </w:pPr>
    </w:p>
  </w:footnote>
  <w:footnote w:id="2">
    <w:p w14:paraId="2CC8470D" w14:textId="765837A8" w:rsidR="007F5733" w:rsidRDefault="007F5733" w:rsidP="00390D6E">
      <w:pPr>
        <w:pStyle w:val="Footer"/>
      </w:pPr>
      <w:r>
        <w:rPr>
          <w:rStyle w:val="FootnoteReference"/>
        </w:rPr>
        <w:footnoteRef/>
      </w:r>
      <w:r>
        <w:t xml:space="preserve"> National Native Title Tribunal. </w:t>
      </w:r>
      <w:r w:rsidRPr="006B1A50">
        <w:t>Native Title Applications, Registration Decisions and Determinations</w:t>
      </w:r>
      <w:r>
        <w:t xml:space="preserve">. 2023. Accessed June 2023. </w:t>
      </w:r>
      <w:hyperlink r:id="rId1" w:history="1">
        <w:r w:rsidR="006B1A50" w:rsidRPr="00CC3E4D">
          <w:rPr>
            <w:rStyle w:val="Hyperlink"/>
          </w:rPr>
          <w:t>http://www.nntt.gov.au/searchRegApps/NativeTitleClaims/Pages/default.aspx</w:t>
        </w:r>
      </w:hyperlink>
      <w:r w:rsidR="006B1A50">
        <w:t xml:space="preserve"> </w:t>
      </w:r>
    </w:p>
  </w:footnote>
  <w:footnote w:id="3">
    <w:p w14:paraId="059B6207" w14:textId="0072367C" w:rsidR="007F5733" w:rsidRDefault="007F5733" w:rsidP="000031CE">
      <w:pPr>
        <w:pStyle w:val="Footer"/>
      </w:pPr>
      <w:r>
        <w:rPr>
          <w:rStyle w:val="FootnoteReference"/>
        </w:rPr>
        <w:footnoteRef/>
      </w:r>
      <w:r>
        <w:t xml:space="preserve"> </w:t>
      </w:r>
      <w:r w:rsidRPr="003F54C6">
        <w:t>See Walalakoo Aboriginal Corporation RNTBC v State of Western Australia [2023] FCA 1181 [26] – [51]</w:t>
      </w:r>
    </w:p>
  </w:footnote>
  <w:footnote w:id="4">
    <w:p w14:paraId="67C0C039" w14:textId="77777777" w:rsidR="007F5733" w:rsidRDefault="007F5733" w:rsidP="00642538">
      <w:pPr>
        <w:pStyle w:val="Footer"/>
      </w:pPr>
      <w:r>
        <w:rPr>
          <w:rStyle w:val="FootnoteReference"/>
        </w:rPr>
        <w:footnoteRef/>
      </w:r>
      <w:r>
        <w:t xml:space="preserve"> </w:t>
      </w:r>
      <w:r w:rsidRPr="001D3871">
        <w:t>Drill on behalf of the Purnululu Native Title Claim Group v State of Western Australia (No 2)</w:t>
      </w:r>
      <w:r>
        <w:t xml:space="preserve">. 2022. FCF </w:t>
      </w:r>
      <w:r w:rsidRPr="00856BC4">
        <w:t>WAD536/2018, WAD401/2018, WAD65/2019</w:t>
      </w:r>
      <w:r>
        <w:t xml:space="preserve">. Federal Court of Australia, FCA </w:t>
      </w:r>
      <w:r w:rsidRPr="008F46D9">
        <w:t>1</w:t>
      </w:r>
      <w:r>
        <w:t>538.</w:t>
      </w:r>
    </w:p>
  </w:footnote>
  <w:footnote w:id="5">
    <w:p w14:paraId="43F26967" w14:textId="77777777" w:rsidR="007F5733" w:rsidRDefault="007F5733" w:rsidP="00FA7DF9">
      <w:pPr>
        <w:pStyle w:val="Footer"/>
      </w:pPr>
      <w:r>
        <w:rPr>
          <w:rStyle w:val="FootnoteReference"/>
        </w:rPr>
        <w:footnoteRef/>
      </w:r>
      <w:r>
        <w:t xml:space="preserve"> </w:t>
      </w:r>
      <w:r w:rsidRPr="00BE7FAB">
        <w:t>Kimberley Land Council. Annual Report 20</w:t>
      </w:r>
      <w:r>
        <w:t>19</w:t>
      </w:r>
      <w:r w:rsidRPr="00BE7FAB">
        <w:t>-2</w:t>
      </w:r>
      <w:r>
        <w:t>0</w:t>
      </w:r>
      <w:r w:rsidRPr="00BE7FAB">
        <w:t>.</w:t>
      </w:r>
    </w:p>
  </w:footnote>
  <w:footnote w:id="6">
    <w:p w14:paraId="6D65B69F" w14:textId="24DA00CA" w:rsidR="00FC299C" w:rsidRDefault="00FC299C">
      <w:pPr>
        <w:pStyle w:val="FootnoteText"/>
      </w:pPr>
      <w:r>
        <w:rPr>
          <w:rStyle w:val="FootnoteReference"/>
        </w:rPr>
        <w:footnoteRef/>
      </w:r>
      <w:r>
        <w:t xml:space="preserve"> N</w:t>
      </w:r>
      <w:r w:rsidRPr="00FC299C">
        <w:t xml:space="preserve">otices originally issued with the expedited procedure statement, and for which the statement is subsequently withdrawn, are counted only under </w:t>
      </w:r>
      <w:r w:rsidR="00762D6A">
        <w:t>s</w:t>
      </w:r>
      <w:r w:rsidR="00762D6A" w:rsidRPr="00FC299C">
        <w:t xml:space="preserve">ection </w:t>
      </w:r>
      <w:r w:rsidRPr="00FC299C">
        <w:t>29 notifications (expedited)</w:t>
      </w:r>
      <w:r>
        <w:t>.</w:t>
      </w:r>
    </w:p>
  </w:footnote>
  <w:footnote w:id="7">
    <w:p w14:paraId="45C27CB8" w14:textId="77777777" w:rsidR="007F5733" w:rsidRDefault="007F5733" w:rsidP="00FA7DF9">
      <w:pPr>
        <w:pStyle w:val="Footer"/>
      </w:pPr>
      <w:r>
        <w:rPr>
          <w:rStyle w:val="FootnoteReference"/>
        </w:rPr>
        <w:footnoteRef/>
      </w:r>
      <w:r>
        <w:t xml:space="preserve"> </w:t>
      </w:r>
      <w:r w:rsidRPr="00BE7FAB">
        <w:t xml:space="preserve">Kimberley Land Council. Annual Report </w:t>
      </w:r>
      <w:r w:rsidRPr="00B84002">
        <w:t>FY</w:t>
      </w:r>
      <w:r w:rsidRPr="00560F94">
        <w:t>2021-22</w:t>
      </w:r>
      <w:r w:rsidRPr="00BE7FAB">
        <w:t>.</w:t>
      </w:r>
    </w:p>
  </w:footnote>
  <w:footnote w:id="8">
    <w:p w14:paraId="513772B0" w14:textId="77777777" w:rsidR="007F5733" w:rsidRDefault="007F5733" w:rsidP="00FA7DF9">
      <w:pPr>
        <w:pStyle w:val="Footer"/>
      </w:pPr>
      <w:r>
        <w:rPr>
          <w:rStyle w:val="FootnoteReference"/>
        </w:rPr>
        <w:footnoteRef/>
      </w:r>
      <w:r>
        <w:t xml:space="preserve"> </w:t>
      </w:r>
      <w:r w:rsidRPr="001B17AD">
        <w:t>Kimberley Land Council. Annual Report 2021-22.</w:t>
      </w:r>
    </w:p>
  </w:footnote>
  <w:footnote w:id="9">
    <w:p w14:paraId="1641B673" w14:textId="66CFE277" w:rsidR="007F5733" w:rsidRDefault="007F5733" w:rsidP="00123771">
      <w:pPr>
        <w:pStyle w:val="Footer"/>
      </w:pPr>
      <w:r>
        <w:rPr>
          <w:rStyle w:val="FootnoteReference"/>
        </w:rPr>
        <w:footnoteRef/>
      </w:r>
      <w:r>
        <w:t xml:space="preserve"> National Native Title Tribunal. </w:t>
      </w:r>
      <w:r w:rsidRPr="00B208B0">
        <w:t>Native Title Applications, Registration Decisions and Determinations</w:t>
      </w:r>
      <w:r>
        <w:t>. 2023. Accessed June 2023.</w:t>
      </w:r>
      <w:r w:rsidR="00B208B0">
        <w:t xml:space="preserve"> </w:t>
      </w:r>
      <w:hyperlink r:id="rId2" w:history="1">
        <w:r w:rsidR="00B208B0" w:rsidRPr="00CC3E4D">
          <w:rPr>
            <w:rStyle w:val="Hyperlink"/>
          </w:rPr>
          <w:t>http://www.nntt.gov.au/searchRegApps/NativeTitleClaims/Pages/default.aspx</w:t>
        </w:r>
      </w:hyperlink>
      <w:r w:rsidR="00B208B0">
        <w:t xml:space="preserve"> </w:t>
      </w:r>
    </w:p>
  </w:footnote>
  <w:footnote w:id="10">
    <w:p w14:paraId="3143F635" w14:textId="4A440037" w:rsidR="007F5733" w:rsidRDefault="007F5733" w:rsidP="00366B88">
      <w:pPr>
        <w:pStyle w:val="Footer"/>
      </w:pPr>
      <w:r>
        <w:rPr>
          <w:rStyle w:val="FootnoteReference"/>
        </w:rPr>
        <w:footnoteRef/>
      </w:r>
      <w:r>
        <w:t xml:space="preserve"> National Native Title Tribunal. </w:t>
      </w:r>
      <w:r w:rsidRPr="00B208B0">
        <w:t>Native Title Applications, Registration Decisions and Determinations</w:t>
      </w:r>
      <w:r>
        <w:t>. 2023. Accessed August 2023.</w:t>
      </w:r>
      <w:r w:rsidR="00B208B0">
        <w:t xml:space="preserve"> </w:t>
      </w:r>
      <w:hyperlink r:id="rId3" w:history="1">
        <w:r w:rsidR="00B208B0" w:rsidRPr="00CC3E4D">
          <w:rPr>
            <w:rStyle w:val="Hyperlink"/>
          </w:rPr>
          <w:t>http://www.nntt.gov.au/searchRegApps/NativeTitleClaims/Pages/default.aspx</w:t>
        </w:r>
      </w:hyperlink>
      <w:r w:rsidR="00B208B0">
        <w:t xml:space="preserve"> </w:t>
      </w:r>
    </w:p>
  </w:footnote>
  <w:footnote w:id="11">
    <w:p w14:paraId="17492EB7" w14:textId="1E8BA7BC" w:rsidR="007F5733" w:rsidRDefault="007F5733" w:rsidP="00366B88">
      <w:pPr>
        <w:pStyle w:val="Footer"/>
      </w:pPr>
      <w:r>
        <w:rPr>
          <w:rStyle w:val="FootnoteReference"/>
        </w:rPr>
        <w:footnoteRef/>
      </w:r>
      <w:r>
        <w:t xml:space="preserve"> Submission by </w:t>
      </w:r>
      <w:r w:rsidR="00A042EF">
        <w:t>t</w:t>
      </w:r>
      <w:r w:rsidR="00A042EF" w:rsidRPr="00A042EF">
        <w:t>he Australian Institute of Aboriginal and Torres Strait Islander Studies</w:t>
      </w:r>
      <w:r>
        <w:t xml:space="preserve">, Australian Law Reform Commission, </w:t>
      </w:r>
      <w:r w:rsidRPr="00937019">
        <w:t>Efficient resolution of native title claims</w:t>
      </w:r>
      <w:r>
        <w:t>. 2015. Accessed March 2024.</w:t>
      </w:r>
    </w:p>
  </w:footnote>
  <w:footnote w:id="12">
    <w:p w14:paraId="58A5C577" w14:textId="795172A4" w:rsidR="007F5733" w:rsidRDefault="007F5733" w:rsidP="00AE249F">
      <w:pPr>
        <w:pStyle w:val="Footer"/>
      </w:pPr>
      <w:r>
        <w:rPr>
          <w:rStyle w:val="FootnoteReference"/>
        </w:rPr>
        <w:footnoteRef/>
      </w:r>
      <w:r>
        <w:t xml:space="preserve"> </w:t>
      </w:r>
      <w:r w:rsidRPr="00AE249F">
        <w:t xml:space="preserve">Western Australian </w:t>
      </w:r>
      <w:r>
        <w:t xml:space="preserve">Government. 2021. Closing the Gap </w:t>
      </w:r>
      <w:r w:rsidRPr="00983B3D">
        <w:t>Western Australia</w:t>
      </w:r>
      <w:r>
        <w:t xml:space="preserve"> Implementation Plan. Accessed October 2023.</w:t>
      </w:r>
    </w:p>
  </w:footnote>
  <w:footnote w:id="13">
    <w:p w14:paraId="6A953919" w14:textId="77777777" w:rsidR="007F5733" w:rsidRDefault="007F5733" w:rsidP="00AE249F">
      <w:pPr>
        <w:pStyle w:val="Footer"/>
      </w:pPr>
      <w:r>
        <w:rPr>
          <w:rStyle w:val="FootnoteReference"/>
        </w:rPr>
        <w:footnoteRef/>
      </w:r>
      <w:r>
        <w:t xml:space="preserve"> </w:t>
      </w:r>
      <w:r w:rsidRPr="00011887">
        <w:t>Kimberley Land Council. Annual Report 20</w:t>
      </w:r>
      <w:r>
        <w:t>19</w:t>
      </w:r>
      <w:r w:rsidRPr="00011887">
        <w:t>-2</w:t>
      </w:r>
      <w:r>
        <w:t>0</w:t>
      </w:r>
      <w:r w:rsidRPr="00011887">
        <w:t>.</w:t>
      </w:r>
    </w:p>
  </w:footnote>
  <w:footnote w:id="14">
    <w:p w14:paraId="7867B3AE" w14:textId="517F8B7B" w:rsidR="007F5733" w:rsidRDefault="007F5733" w:rsidP="00AE249F">
      <w:pPr>
        <w:pStyle w:val="Footer"/>
      </w:pPr>
      <w:r>
        <w:rPr>
          <w:rStyle w:val="FootnoteReference"/>
        </w:rPr>
        <w:footnoteRef/>
      </w:r>
      <w:r>
        <w:t xml:space="preserve"> Kimberley Land Council. Annual Report 2019-20. </w:t>
      </w:r>
    </w:p>
  </w:footnote>
  <w:footnote w:id="15">
    <w:p w14:paraId="4EF65164" w14:textId="63705EDA" w:rsidR="007F5733" w:rsidRDefault="007F5733" w:rsidP="00BA691D">
      <w:pPr>
        <w:pStyle w:val="Footer"/>
      </w:pPr>
      <w:r>
        <w:rPr>
          <w:rStyle w:val="FootnoteReference"/>
        </w:rPr>
        <w:footnoteRef/>
      </w:r>
      <w:r>
        <w:t xml:space="preserve"> These estimates are calculated based on the t</w:t>
      </w:r>
      <w:r w:rsidRPr="00D27727">
        <w:t xml:space="preserve">otal funding received from the NIAA excluding PBC support </w:t>
      </w:r>
      <w:r w:rsidR="003C1C8E">
        <w:t>during the Review period</w:t>
      </w:r>
      <w:r>
        <w:t>, which was $22.8 million.</w:t>
      </w:r>
    </w:p>
  </w:footnote>
  <w:footnote w:id="16">
    <w:p w14:paraId="493DE29E" w14:textId="36B7A6C4" w:rsidR="007F5733" w:rsidRDefault="007F5733" w:rsidP="000031CE">
      <w:pPr>
        <w:pStyle w:val="Footer"/>
      </w:pPr>
      <w:r>
        <w:rPr>
          <w:rStyle w:val="FootnoteReference"/>
        </w:rPr>
        <w:footnoteRef/>
      </w:r>
      <w:r>
        <w:t xml:space="preserve"> KLC. Annual </w:t>
      </w:r>
      <w:r w:rsidR="00F43B1F">
        <w:t>R</w:t>
      </w:r>
      <w:r>
        <w:t xml:space="preserve">eport 2019-20 to 2021-22. </w:t>
      </w:r>
    </w:p>
  </w:footnote>
  <w:footnote w:id="17">
    <w:p w14:paraId="3CFE10AF" w14:textId="6673E4EC" w:rsidR="007F5733" w:rsidRDefault="007F5733" w:rsidP="000031CE">
      <w:pPr>
        <w:pStyle w:val="Footer"/>
      </w:pPr>
      <w:r>
        <w:rPr>
          <w:rStyle w:val="FootnoteReference"/>
        </w:rPr>
        <w:footnoteRef/>
      </w:r>
      <w:r>
        <w:t xml:space="preserve"> KLC. Complaints. 2022. Available at </w:t>
      </w:r>
      <w:hyperlink r:id="rId4" w:history="1">
        <w:r w:rsidRPr="00CD1674">
          <w:rPr>
            <w:rStyle w:val="Hyperlink"/>
            <w:lang w:eastAsia="en-AU"/>
          </w:rPr>
          <w:t>https://www.klc.org.au/complaints</w:t>
        </w:r>
      </w:hyperlink>
      <w:r>
        <w:rPr>
          <w:lang w:eastAsia="en-AU"/>
        </w:rPr>
        <w:t>, accessed 15 August 2023.</w:t>
      </w:r>
    </w:p>
  </w:footnote>
  <w:footnote w:id="18">
    <w:p w14:paraId="14F4E04B" w14:textId="6246A806" w:rsidR="007F5733" w:rsidRDefault="007F5733" w:rsidP="000031CE">
      <w:pPr>
        <w:pStyle w:val="Footer"/>
      </w:pPr>
      <w:r>
        <w:rPr>
          <w:rStyle w:val="FootnoteReference"/>
        </w:rPr>
        <w:footnoteRef/>
      </w:r>
      <w:r>
        <w:t xml:space="preserve"> KLC Code of Conduct.</w:t>
      </w:r>
    </w:p>
  </w:footnote>
  <w:footnote w:id="19">
    <w:p w14:paraId="7559E467" w14:textId="5FCF01BF" w:rsidR="007F5733" w:rsidRDefault="007F5733" w:rsidP="000031CE">
      <w:pPr>
        <w:pStyle w:val="Footer"/>
      </w:pPr>
      <w:r>
        <w:rPr>
          <w:rStyle w:val="FootnoteReference"/>
        </w:rPr>
        <w:footnoteRef/>
      </w:r>
      <w:r>
        <w:t xml:space="preserve"> KLC Annual Report 2019-20, 2020-21, 2021-22</w:t>
      </w:r>
      <w:r w:rsidR="0053643F">
        <w:t>.</w:t>
      </w:r>
    </w:p>
  </w:footnote>
  <w:footnote w:id="20">
    <w:p w14:paraId="3A66612B" w14:textId="77777777" w:rsidR="007F5733" w:rsidRDefault="007F5733" w:rsidP="00AE249F">
      <w:pPr>
        <w:pStyle w:val="Footer"/>
      </w:pPr>
      <w:r>
        <w:rPr>
          <w:rStyle w:val="FootnoteReference"/>
        </w:rPr>
        <w:footnoteRef/>
      </w:r>
      <w:r>
        <w:t xml:space="preserve"> KLC. Financial Report 2019-20 to 2021-22 (unpublished).</w:t>
      </w:r>
    </w:p>
  </w:footnote>
  <w:footnote w:id="21">
    <w:p w14:paraId="04AA8D69" w14:textId="77777777" w:rsidR="007F5733" w:rsidRDefault="007F5733" w:rsidP="00AE249F">
      <w:pPr>
        <w:pStyle w:val="Footer"/>
      </w:pPr>
      <w:r>
        <w:rPr>
          <w:rStyle w:val="FootnoteReference"/>
        </w:rPr>
        <w:footnoteRef/>
      </w:r>
      <w:r>
        <w:t xml:space="preserve"> KLC. Financial Report 2019-20 to 2021-22 (unpublished).</w:t>
      </w:r>
    </w:p>
  </w:footnote>
  <w:footnote w:id="22">
    <w:p w14:paraId="1DFFA002" w14:textId="77777777" w:rsidR="007F5733" w:rsidRDefault="007F5733" w:rsidP="00AE249F">
      <w:pPr>
        <w:pStyle w:val="Footer"/>
      </w:pPr>
      <w:r>
        <w:rPr>
          <w:rStyle w:val="FootnoteReference"/>
        </w:rPr>
        <w:footnoteRef/>
      </w:r>
      <w:r>
        <w:t xml:space="preserve"> KLC. Financial Report 2019-20 to 2021-22 (unpublished).</w:t>
      </w:r>
    </w:p>
  </w:footnote>
  <w:footnote w:id="23">
    <w:p w14:paraId="72AA1C4E" w14:textId="77777777" w:rsidR="007F5733" w:rsidRDefault="007F5733" w:rsidP="00AE249F">
      <w:pPr>
        <w:pStyle w:val="Footer"/>
      </w:pPr>
      <w:r>
        <w:rPr>
          <w:rStyle w:val="FootnoteReference"/>
        </w:rPr>
        <w:footnoteRef/>
      </w:r>
      <w:r>
        <w:t xml:space="preserve"> KLC. Performance Report 2019-20 to 2021-22 (unpublished). </w:t>
      </w:r>
    </w:p>
  </w:footnote>
  <w:footnote w:id="24">
    <w:p w14:paraId="030CC34B" w14:textId="05929C5A" w:rsidR="007F5733" w:rsidRDefault="007F5733" w:rsidP="00AE249F">
      <w:pPr>
        <w:pStyle w:val="Footer"/>
      </w:pPr>
      <w:r>
        <w:rPr>
          <w:rStyle w:val="FootnoteReference"/>
        </w:rPr>
        <w:footnoteRef/>
      </w:r>
      <w:r>
        <w:t xml:space="preserve"> KLC. Performance Report 2019-20 to 2021-22 (unpublished).</w:t>
      </w:r>
    </w:p>
  </w:footnote>
  <w:footnote w:id="25">
    <w:p w14:paraId="1BACB78A" w14:textId="77777777" w:rsidR="007F5733" w:rsidRDefault="007F5733" w:rsidP="00AE249F">
      <w:pPr>
        <w:pStyle w:val="Footer"/>
      </w:pPr>
      <w:r>
        <w:rPr>
          <w:rStyle w:val="FootnoteReference"/>
        </w:rPr>
        <w:footnoteRef/>
      </w:r>
      <w:r>
        <w:t xml:space="preserve"> KLC. Financial Report 2019-20 to 2021-22 (detailed, unpublished).</w:t>
      </w:r>
    </w:p>
  </w:footnote>
  <w:footnote w:id="26">
    <w:p w14:paraId="4C09F1D1" w14:textId="77777777" w:rsidR="007F5733" w:rsidRDefault="007F5733" w:rsidP="00AE249F">
      <w:pPr>
        <w:pStyle w:val="Footer"/>
      </w:pPr>
      <w:r>
        <w:rPr>
          <w:rStyle w:val="FootnoteReference"/>
        </w:rPr>
        <w:footnoteRef/>
      </w:r>
      <w:r>
        <w:t xml:space="preserve"> KLC. Financial Report 2019-20 to 2021-22 (detailed, unpublished).</w:t>
      </w:r>
    </w:p>
  </w:footnote>
  <w:footnote w:id="27">
    <w:p w14:paraId="348EB0C0" w14:textId="017B236D" w:rsidR="007F5733" w:rsidRDefault="007F5733" w:rsidP="008538AF">
      <w:pPr>
        <w:pStyle w:val="Footer"/>
      </w:pPr>
      <w:r>
        <w:rPr>
          <w:rStyle w:val="FootnoteReference"/>
        </w:rPr>
        <w:footnoteRef/>
      </w:r>
      <w:r>
        <w:t xml:space="preserve"> Native Title Vision.</w:t>
      </w:r>
      <w:r w:rsidRPr="00E81C60">
        <w:t xml:space="preserve"> Western Australia RATSIB areas with ARIA16 remoteness levels. 2023</w:t>
      </w:r>
      <w:r>
        <w:t>. Accessed August 2023.</w:t>
      </w:r>
      <w:r w:rsidR="00E81C60">
        <w:t xml:space="preserve"> </w:t>
      </w:r>
      <w:hyperlink r:id="rId5" w:history="1">
        <w:r w:rsidR="00E81C60" w:rsidRPr="00CC3E4D">
          <w:rPr>
            <w:rStyle w:val="Hyperlink"/>
          </w:rPr>
          <w:t>https://nntt.maps.arcgis.com/apps/webappviewer/index.html?id=c57f0e996a7c485480570c38c823398c</w:t>
        </w:r>
      </w:hyperlink>
      <w:r w:rsidR="00E81C60">
        <w:t xml:space="preserve"> </w:t>
      </w:r>
    </w:p>
  </w:footnote>
  <w:footnote w:id="28">
    <w:p w14:paraId="611F76B6" w14:textId="77777777" w:rsidR="007F5733" w:rsidRDefault="007F5733" w:rsidP="008538AF">
      <w:pPr>
        <w:pStyle w:val="Footer"/>
      </w:pPr>
      <w:r>
        <w:rPr>
          <w:rStyle w:val="FootnoteReference"/>
        </w:rPr>
        <w:footnoteRef/>
      </w:r>
      <w:r>
        <w:t xml:space="preserve"> KLC. Consultant Expenditure Report 2019-20 to 2021-22. (Unpublished)</w:t>
      </w:r>
    </w:p>
  </w:footnote>
  <w:footnote w:id="29">
    <w:p w14:paraId="67C88DFE" w14:textId="77777777" w:rsidR="007F5733" w:rsidRDefault="007F5733" w:rsidP="008538AF">
      <w:pPr>
        <w:pStyle w:val="Footer"/>
      </w:pPr>
      <w:r>
        <w:rPr>
          <w:rStyle w:val="FootnoteReference"/>
        </w:rPr>
        <w:footnoteRef/>
      </w:r>
      <w:r>
        <w:t xml:space="preserve"> KLC. KLC Annual Report 2021-22.</w:t>
      </w:r>
    </w:p>
  </w:footnote>
  <w:footnote w:id="30">
    <w:p w14:paraId="424CF132" w14:textId="0ADFA77A" w:rsidR="007F5733" w:rsidRDefault="007F5733" w:rsidP="00863E29">
      <w:pPr>
        <w:pStyle w:val="Footer"/>
      </w:pPr>
      <w:r>
        <w:rPr>
          <w:rStyle w:val="FootnoteReference"/>
        </w:rPr>
        <w:footnoteRef/>
      </w:r>
      <w:r>
        <w:t xml:space="preserve"> KLC. Annual report 2021-22. </w:t>
      </w:r>
    </w:p>
  </w:footnote>
  <w:footnote w:id="31">
    <w:p w14:paraId="7D3EC963" w14:textId="0AB64613" w:rsidR="007F5733" w:rsidRDefault="007F5733" w:rsidP="00863E29">
      <w:pPr>
        <w:pStyle w:val="Footer"/>
      </w:pPr>
      <w:r>
        <w:rPr>
          <w:rStyle w:val="FootnoteReference"/>
        </w:rPr>
        <w:footnoteRef/>
      </w:r>
      <w:r>
        <w:t xml:space="preserve"> The Inquiry was c</w:t>
      </w:r>
      <w:r w:rsidRPr="00AB3A04">
        <w:t xml:space="preserve">onducted over the course of 14 months </w:t>
      </w:r>
      <w:r>
        <w:t>and</w:t>
      </w:r>
      <w:r w:rsidRPr="00AB3A04">
        <w:t xml:space="preserve"> looked at more than 24,000 documents and included 78 interviews</w:t>
      </w:r>
      <w:r w:rsidR="007454D2">
        <w:t xml:space="preserve">. </w:t>
      </w:r>
      <w:hyperlink r:id="rId6" w:history="1">
        <w:r w:rsidR="007454D2" w:rsidRPr="007454D2">
          <w:rPr>
            <w:rStyle w:val="Hyperlink"/>
          </w:rPr>
          <w:t>https://www.klc.org.au/ksdct-report</w:t>
        </w:r>
      </w:hyperlink>
    </w:p>
  </w:footnote>
  <w:footnote w:id="32">
    <w:p w14:paraId="75F671BB" w14:textId="2DFA5ACB" w:rsidR="007F5733" w:rsidRDefault="007F5733" w:rsidP="00863E29">
      <w:pPr>
        <w:pStyle w:val="Footer"/>
      </w:pPr>
      <w:r>
        <w:rPr>
          <w:rStyle w:val="FootnoteReference"/>
        </w:rPr>
        <w:footnoteRef/>
      </w:r>
      <w:r>
        <w:t xml:space="preserve"> </w:t>
      </w:r>
      <w:hyperlink r:id="rId7" w:history="1">
        <w:r w:rsidRPr="006337DF">
          <w:rPr>
            <w:rStyle w:val="Hyperlink"/>
          </w:rPr>
          <w:t>https://www.klc.org.au/about-the-klc</w:t>
        </w:r>
      </w:hyperlink>
    </w:p>
  </w:footnote>
  <w:footnote w:id="33">
    <w:p w14:paraId="6F4D558C" w14:textId="590A53FD" w:rsidR="007F5733" w:rsidRDefault="007F5733" w:rsidP="00863E29">
      <w:pPr>
        <w:pStyle w:val="Footer"/>
      </w:pPr>
      <w:r>
        <w:rPr>
          <w:rStyle w:val="FootnoteReference"/>
        </w:rPr>
        <w:footnoteRef/>
      </w:r>
      <w:r>
        <w:t xml:space="preserve"> KLC Annual Report 2020-21.</w:t>
      </w:r>
    </w:p>
  </w:footnote>
  <w:footnote w:id="34">
    <w:p w14:paraId="5B095983" w14:textId="63CE860E" w:rsidR="007F5733" w:rsidRDefault="007F5733" w:rsidP="00863E29">
      <w:pPr>
        <w:pStyle w:val="Footer"/>
      </w:pPr>
      <w:r>
        <w:rPr>
          <w:rStyle w:val="FootnoteReference"/>
        </w:rPr>
        <w:footnoteRef/>
      </w:r>
      <w:r>
        <w:t xml:space="preserve"> Total staff numbers from Kimberley Land Council Annual Report 2019-20 to 2021-22. </w:t>
      </w:r>
    </w:p>
  </w:footnote>
  <w:footnote w:id="35">
    <w:p w14:paraId="0A75FE3C" w14:textId="1DCC714B" w:rsidR="007F5733" w:rsidRDefault="007F5733" w:rsidP="00863E29">
      <w:pPr>
        <w:pStyle w:val="Footer"/>
      </w:pPr>
      <w:r>
        <w:rPr>
          <w:rStyle w:val="FootnoteReference"/>
        </w:rPr>
        <w:footnoteRef/>
      </w:r>
      <w:r>
        <w:t xml:space="preserve"> All other data provided directly by the KLC; data excludes </w:t>
      </w:r>
      <w:r w:rsidR="0064763E">
        <w:t>LSMU</w:t>
      </w:r>
      <w:r>
        <w:t xml:space="preserve"> staff (that is, staff that do not directly provide services related to the delivery of native title outcomes).</w:t>
      </w:r>
    </w:p>
  </w:footnote>
  <w:footnote w:id="36">
    <w:p w14:paraId="6BA6FB77" w14:textId="547E14FA" w:rsidR="007F5733" w:rsidRDefault="007F5733" w:rsidP="000031CE">
      <w:pPr>
        <w:pStyle w:val="Footer"/>
      </w:pPr>
      <w:r>
        <w:rPr>
          <w:rStyle w:val="FootnoteReference"/>
        </w:rPr>
        <w:footnoteRef/>
      </w:r>
      <w:r>
        <w:t xml:space="preserve"> Indigenous staff numbers from KLC NTRB Staffing Report 2019-20 to 2021-22 (unpublished).</w:t>
      </w:r>
    </w:p>
  </w:footnote>
  <w:footnote w:id="37">
    <w:p w14:paraId="549095C3" w14:textId="77777777" w:rsidR="007F5733" w:rsidRDefault="007F5733" w:rsidP="00542E91">
      <w:pPr>
        <w:pStyle w:val="Footer"/>
      </w:pPr>
      <w:r>
        <w:rPr>
          <w:rStyle w:val="FootnoteReference"/>
        </w:rPr>
        <w:footnoteRef/>
      </w:r>
      <w:r>
        <w:t xml:space="preserve"> KLC. KLC Annual Report FY2021-22.</w:t>
      </w:r>
    </w:p>
  </w:footnote>
  <w:footnote w:id="38">
    <w:p w14:paraId="49CE4669" w14:textId="77777777" w:rsidR="007F5733" w:rsidRDefault="007F5733" w:rsidP="00542E91">
      <w:pPr>
        <w:pStyle w:val="Footer"/>
      </w:pPr>
      <w:r>
        <w:rPr>
          <w:rStyle w:val="FootnoteReference"/>
        </w:rPr>
        <w:footnoteRef/>
      </w:r>
      <w:r>
        <w:t xml:space="preserve"> KLC. KLC Annual Report FY2020-21.</w:t>
      </w:r>
    </w:p>
  </w:footnote>
  <w:footnote w:id="39">
    <w:p w14:paraId="09700B8E" w14:textId="77777777" w:rsidR="007F5733" w:rsidRDefault="007F5733" w:rsidP="00542E91">
      <w:pPr>
        <w:pStyle w:val="Footer"/>
      </w:pPr>
      <w:r>
        <w:rPr>
          <w:rStyle w:val="FootnoteReference"/>
        </w:rPr>
        <w:footnoteRef/>
      </w:r>
      <w:r>
        <w:t xml:space="preserve"> KLC. KLC Annual Report 2021-22.</w:t>
      </w:r>
    </w:p>
  </w:footnote>
  <w:footnote w:id="40">
    <w:p w14:paraId="4F57997B" w14:textId="4AF53E91" w:rsidR="007F5733" w:rsidRDefault="007F5733" w:rsidP="00863E29">
      <w:pPr>
        <w:pStyle w:val="Footer"/>
      </w:pPr>
      <w:r>
        <w:rPr>
          <w:rStyle w:val="FootnoteReference"/>
        </w:rPr>
        <w:footnoteRef/>
      </w:r>
      <w:r>
        <w:t xml:space="preserve"> </w:t>
      </w:r>
      <w:r w:rsidRPr="00EB06B8">
        <w:rPr>
          <w:lang w:eastAsia="en-AU"/>
        </w:rPr>
        <w:t>KLC Annual Report 2019-20</w:t>
      </w:r>
      <w:r>
        <w:rPr>
          <w:lang w:eastAsia="en-AU"/>
        </w:rPr>
        <w:t>.</w:t>
      </w:r>
    </w:p>
  </w:footnote>
  <w:footnote w:id="41">
    <w:p w14:paraId="0F7C1BD2" w14:textId="77777777" w:rsidR="007F5733" w:rsidRDefault="007F5733" w:rsidP="00863E29">
      <w:pPr>
        <w:pStyle w:val="Footer"/>
      </w:pPr>
      <w:r>
        <w:rPr>
          <w:rStyle w:val="FootnoteReference"/>
        </w:rPr>
        <w:footnoteRef/>
      </w:r>
      <w:r>
        <w:t xml:space="preserve"> The </w:t>
      </w:r>
      <w:r w:rsidRPr="000421F0">
        <w:t>Ngurrara Part A</w:t>
      </w:r>
      <w:r>
        <w:t xml:space="preserve"> (</w:t>
      </w:r>
      <w:r w:rsidRPr="000421F0">
        <w:t>WCD2007/005</w:t>
      </w:r>
      <w:r>
        <w:t xml:space="preserve">) determination occurred in 2007, however, the determination date of effect was in 2010, and hence the </w:t>
      </w:r>
      <w:r w:rsidRPr="00BE7C3F">
        <w:t>Yanunijarra Aboriginal Corporation RNTBC</w:t>
      </w:r>
      <w:r>
        <w:t xml:space="preserve"> was also registered in the year of effect.</w:t>
      </w:r>
    </w:p>
  </w:footnote>
  <w:footnote w:id="42">
    <w:p w14:paraId="72A803B9" w14:textId="02F62362" w:rsidR="007F5733" w:rsidRDefault="007F5733" w:rsidP="00863E29">
      <w:pPr>
        <w:pStyle w:val="Footer"/>
      </w:pPr>
      <w:r>
        <w:rPr>
          <w:rStyle w:val="FootnoteReference"/>
        </w:rPr>
        <w:footnoteRef/>
      </w:r>
      <w:r>
        <w:t xml:space="preserve"> </w:t>
      </w:r>
      <w:r w:rsidRPr="001F578A">
        <w:t>Tommy on behalf of the Yinhawangka Gobawarrah v State of Western Australia (No 2) [2019] FCA 1551</w:t>
      </w:r>
      <w:r w:rsidR="00A96247">
        <w:t>.</w:t>
      </w:r>
    </w:p>
  </w:footnote>
  <w:footnote w:id="43">
    <w:p w14:paraId="0AD9665D" w14:textId="774203E4" w:rsidR="007F5733" w:rsidRDefault="007F5733">
      <w:pPr>
        <w:pStyle w:val="FootnoteText"/>
      </w:pPr>
      <w:r>
        <w:rPr>
          <w:rStyle w:val="FootnoteReference"/>
        </w:rPr>
        <w:footnoteRef/>
      </w:r>
      <w:r>
        <w:t xml:space="preserve"> </w:t>
      </w:r>
      <w:r w:rsidR="00106929">
        <w:t>I</w:t>
      </w:r>
      <w:r>
        <w:t>bid</w:t>
      </w:r>
      <w:r w:rsidR="00106929">
        <w:t>.</w:t>
      </w:r>
    </w:p>
  </w:footnote>
  <w:footnote w:id="44">
    <w:p w14:paraId="5B1CB470" w14:textId="77777777" w:rsidR="007F5733" w:rsidRDefault="007F5733" w:rsidP="00863E29">
      <w:pPr>
        <w:pStyle w:val="Footer"/>
      </w:pPr>
      <w:r>
        <w:rPr>
          <w:rStyle w:val="FootnoteReference"/>
        </w:rPr>
        <w:footnoteRef/>
      </w:r>
      <w:r>
        <w:t xml:space="preserve"> KLC. Strategic Plan 2020-2024. </w:t>
      </w:r>
    </w:p>
  </w:footnote>
  <w:footnote w:id="45">
    <w:p w14:paraId="77430D91" w14:textId="196DDAB5" w:rsidR="007F5733" w:rsidRDefault="007F5733" w:rsidP="00863E29">
      <w:pPr>
        <w:pStyle w:val="Footer"/>
      </w:pPr>
      <w:r>
        <w:rPr>
          <w:rStyle w:val="FootnoteReference"/>
        </w:rPr>
        <w:footnoteRef/>
      </w:r>
      <w:r>
        <w:t xml:space="preserve"> KLC. Strategic Plan 2020-2024. </w:t>
      </w:r>
    </w:p>
  </w:footnote>
  <w:footnote w:id="46">
    <w:p w14:paraId="626C6E8E" w14:textId="77777777" w:rsidR="007F5733" w:rsidRDefault="007F5733" w:rsidP="00863E29">
      <w:pPr>
        <w:pStyle w:val="Footer"/>
      </w:pPr>
      <w:r>
        <w:rPr>
          <w:rStyle w:val="FootnoteReference"/>
        </w:rPr>
        <w:footnoteRef/>
      </w:r>
      <w:r>
        <w:t xml:space="preserve"> KLC. Annual Report 2019-20.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55217" w14:textId="6E582F7E" w:rsidR="0046699E" w:rsidRDefault="0046699E">
    <w:pPr>
      <w:pStyle w:val="Header"/>
    </w:pPr>
    <w:r>
      <w:rPr>
        <w:noProof/>
      </w:rPr>
      <mc:AlternateContent>
        <mc:Choice Requires="wps">
          <w:drawing>
            <wp:anchor distT="0" distB="0" distL="0" distR="0" simplePos="0" relativeHeight="251660291" behindDoc="0" locked="0" layoutInCell="1" allowOverlap="1" wp14:anchorId="4822DD73" wp14:editId="491CFDAF">
              <wp:simplePos x="635" y="635"/>
              <wp:positionH relativeFrom="page">
                <wp:align>center</wp:align>
              </wp:positionH>
              <wp:positionV relativeFrom="page">
                <wp:align>top</wp:align>
              </wp:positionV>
              <wp:extent cx="686435" cy="379730"/>
              <wp:effectExtent l="0" t="0" r="18415" b="1270"/>
              <wp:wrapNone/>
              <wp:docPr id="100935517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2F95EB5" w14:textId="03B30B24"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22DD73" id="_x0000_t202" coordsize="21600,21600" o:spt="202" path="m,l,21600r21600,l21600,xe">
              <v:stroke joinstyle="miter"/>
              <v:path gradientshapeok="t" o:connecttype="rect"/>
            </v:shapetype>
            <v:shape id="Text Box 2" o:spid="_x0000_s1027" type="#_x0000_t202" alt="OFFICIAL" style="position:absolute;margin-left:0;margin-top:0;width:54.05pt;height:29.9pt;z-index:251660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12F95EB5" w14:textId="03B30B24"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570DFBC8" w:rsidR="007F5733" w:rsidRDefault="0046699E">
    <w:pPr>
      <w:pStyle w:val="Header"/>
    </w:pPr>
    <w:r>
      <w:rPr>
        <w:noProof/>
        <w:sz w:val="20"/>
        <w:szCs w:val="20"/>
        <w:lang w:eastAsia="en-AU"/>
      </w:rPr>
      <mc:AlternateContent>
        <mc:Choice Requires="wps">
          <w:drawing>
            <wp:anchor distT="0" distB="0" distL="0" distR="0" simplePos="0" relativeHeight="251661315" behindDoc="0" locked="0" layoutInCell="1" allowOverlap="1" wp14:anchorId="4E810E62" wp14:editId="06E04223">
              <wp:simplePos x="635" y="635"/>
              <wp:positionH relativeFrom="page">
                <wp:align>center</wp:align>
              </wp:positionH>
              <wp:positionV relativeFrom="page">
                <wp:align>top</wp:align>
              </wp:positionV>
              <wp:extent cx="686435" cy="379730"/>
              <wp:effectExtent l="0" t="0" r="18415" b="1270"/>
              <wp:wrapNone/>
              <wp:docPr id="4256507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ED05DF6" w14:textId="6AB153D9"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10E62" id="_x0000_t202" coordsize="21600,21600" o:spt="202" path="m,l,21600r21600,l21600,xe">
              <v:stroke joinstyle="miter"/>
              <v:path gradientshapeok="t" o:connecttype="rect"/>
            </v:shapetype>
            <v:shape id="Text Box 3" o:spid="_x0000_s1028" type="#_x0000_t202" alt="OFFICIAL" style="position:absolute;margin-left:0;margin-top:0;width:54.05pt;height:29.9pt;z-index:2516613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0ED05DF6" w14:textId="6AB153D9"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r w:rsidR="007F5733">
      <w:rPr>
        <w:noProof/>
        <w:sz w:val="20"/>
        <w:szCs w:val="20"/>
        <w:lang w:eastAsia="en-AU"/>
      </w:rPr>
      <w:drawing>
        <wp:anchor distT="0" distB="0" distL="114300" distR="114300" simplePos="0" relativeHeight="251658243" behindDoc="0" locked="0" layoutInCell="1" allowOverlap="1" wp14:anchorId="40E94D3D" wp14:editId="5144ECF5">
          <wp:simplePos x="0" y="0"/>
          <wp:positionH relativeFrom="page">
            <wp:posOffset>3337</wp:posOffset>
          </wp:positionH>
          <wp:positionV relativeFrom="page">
            <wp:posOffset>-6985</wp:posOffset>
          </wp:positionV>
          <wp:extent cx="7559749" cy="116958"/>
          <wp:effectExtent l="0" t="0" r="0" b="0"/>
          <wp:wrapNone/>
          <wp:docPr id="496" name="Pictur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1C684EAC" w:rsidR="007F5733" w:rsidRDefault="0046699E">
    <w:pPr>
      <w:pStyle w:val="Header"/>
      <w:tabs>
        <w:tab w:val="clear" w:pos="4513"/>
        <w:tab w:val="clear" w:pos="9026"/>
        <w:tab w:val="left" w:pos="1758"/>
      </w:tabs>
    </w:pPr>
    <w:r>
      <w:rPr>
        <w:noProof/>
      </w:rPr>
      <mc:AlternateContent>
        <mc:Choice Requires="wps">
          <w:drawing>
            <wp:anchor distT="0" distB="0" distL="0" distR="0" simplePos="0" relativeHeight="251659267" behindDoc="0" locked="0" layoutInCell="1" allowOverlap="1" wp14:anchorId="689EE6F6" wp14:editId="677394B7">
              <wp:simplePos x="991056" y="470889"/>
              <wp:positionH relativeFrom="page">
                <wp:align>center</wp:align>
              </wp:positionH>
              <wp:positionV relativeFrom="page">
                <wp:align>top</wp:align>
              </wp:positionV>
              <wp:extent cx="686435" cy="379730"/>
              <wp:effectExtent l="0" t="0" r="18415" b="1270"/>
              <wp:wrapNone/>
              <wp:docPr id="12216083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805A9A7" w14:textId="6C4A56E3"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9EE6F6" id="_x0000_t202" coordsize="21600,21600" o:spt="202" path="m,l,21600r21600,l21600,xe">
              <v:stroke joinstyle="miter"/>
              <v:path gradientshapeok="t" o:connecttype="rect"/>
            </v:shapetype>
            <v:shape id="Text Box 1" o:spid="_x0000_s1031" type="#_x0000_t202" alt="OFFICIAL" style="position:absolute;margin-left:0;margin-top:0;width:54.05pt;height:29.9pt;z-index:251659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5805A9A7" w14:textId="6C4A56E3"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r w:rsidR="007F573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743F" w14:textId="4487CAF4" w:rsidR="007F5733" w:rsidRDefault="0046699E" w:rsidP="0050378C">
    <w:pPr>
      <w:pStyle w:val="Header"/>
    </w:pPr>
    <w:r>
      <w:rPr>
        <w:noProof/>
        <w:lang w:eastAsia="en-AU"/>
      </w:rPr>
      <mc:AlternateContent>
        <mc:Choice Requires="wps">
          <w:drawing>
            <wp:anchor distT="0" distB="0" distL="0" distR="0" simplePos="0" relativeHeight="251663363" behindDoc="0" locked="0" layoutInCell="1" allowOverlap="1" wp14:anchorId="2881BBB3" wp14:editId="071D030F">
              <wp:simplePos x="635" y="635"/>
              <wp:positionH relativeFrom="page">
                <wp:align>center</wp:align>
              </wp:positionH>
              <wp:positionV relativeFrom="page">
                <wp:align>top</wp:align>
              </wp:positionV>
              <wp:extent cx="686435" cy="379730"/>
              <wp:effectExtent l="0" t="0" r="18415" b="1270"/>
              <wp:wrapNone/>
              <wp:docPr id="147124589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3112494" w14:textId="73B54975"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81BBB3" id="_x0000_t202" coordsize="21600,21600" o:spt="202" path="m,l,21600r21600,l21600,xe">
              <v:stroke joinstyle="miter"/>
              <v:path gradientshapeok="t" o:connecttype="rect"/>
            </v:shapetype>
            <v:shape id="Text Box 5" o:spid="_x0000_s1033" type="#_x0000_t202" alt="OFFICIAL" style="position:absolute;margin-left:0;margin-top:0;width:54.05pt;height:29.9pt;z-index:2516633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73112494" w14:textId="73B54975"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r w:rsidR="007F5733" w:rsidRPr="007F3F81">
      <w:rPr>
        <w:noProof/>
        <w:lang w:eastAsia="en-AU"/>
      </w:rPr>
      <w:drawing>
        <wp:anchor distT="0" distB="0" distL="114300" distR="114300" simplePos="0" relativeHeight="251658240" behindDoc="0" locked="0" layoutInCell="1" allowOverlap="1" wp14:anchorId="41161B2A" wp14:editId="081CFBD1">
          <wp:simplePos x="0" y="0"/>
          <wp:positionH relativeFrom="page">
            <wp:align>center</wp:align>
          </wp:positionH>
          <wp:positionV relativeFrom="page">
            <wp:align>top</wp:align>
          </wp:positionV>
          <wp:extent cx="10699200" cy="1152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F0E820F" w14:textId="77777777" w:rsidR="007F5733" w:rsidRDefault="007F573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4EFF8939" w:rsidR="007F5733" w:rsidRDefault="0046699E" w:rsidP="009C08CE">
    <w:pPr>
      <w:pStyle w:val="Header"/>
      <w:tabs>
        <w:tab w:val="clear" w:pos="4513"/>
        <w:tab w:val="clear" w:pos="9026"/>
      </w:tabs>
    </w:pPr>
    <w:r>
      <w:rPr>
        <w:noProof/>
        <w:lang w:eastAsia="en-AU"/>
      </w:rPr>
      <mc:AlternateContent>
        <mc:Choice Requires="wps">
          <w:drawing>
            <wp:anchor distT="0" distB="0" distL="0" distR="0" simplePos="0" relativeHeight="251662339" behindDoc="0" locked="0" layoutInCell="1" allowOverlap="1" wp14:anchorId="3C402D85" wp14:editId="5725A695">
              <wp:simplePos x="990600" y="457835"/>
              <wp:positionH relativeFrom="page">
                <wp:align>center</wp:align>
              </wp:positionH>
              <wp:positionV relativeFrom="page">
                <wp:align>top</wp:align>
              </wp:positionV>
              <wp:extent cx="686435" cy="379730"/>
              <wp:effectExtent l="0" t="0" r="18415" b="1270"/>
              <wp:wrapNone/>
              <wp:docPr id="190423493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21140615" w14:textId="183A248E"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402D85" id="_x0000_t202" coordsize="21600,21600" o:spt="202" path="m,l,21600r21600,l21600,xe">
              <v:stroke joinstyle="miter"/>
              <v:path gradientshapeok="t" o:connecttype="rect"/>
            </v:shapetype>
            <v:shape id="Text Box 4" o:spid="_x0000_s1035" type="#_x0000_t202" alt="OFFICIAL" style="position:absolute;margin-left:0;margin-top:0;width:54.05pt;height:29.9pt;z-index:2516623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21140615" w14:textId="183A248E" w:rsidR="0046699E" w:rsidRPr="0046699E" w:rsidRDefault="0046699E" w:rsidP="0046699E">
                    <w:pPr>
                      <w:spacing w:after="0"/>
                      <w:rPr>
                        <w:rFonts w:ascii="Arial" w:eastAsia="Arial" w:hAnsi="Arial" w:cs="Arial"/>
                        <w:noProof/>
                        <w:color w:val="FF0000"/>
                        <w:sz w:val="24"/>
                        <w:szCs w:val="24"/>
                      </w:rPr>
                    </w:pPr>
                    <w:r w:rsidRPr="0046699E">
                      <w:rPr>
                        <w:rFonts w:ascii="Arial" w:eastAsia="Arial" w:hAnsi="Arial" w:cs="Arial"/>
                        <w:noProof/>
                        <w:color w:val="FF0000"/>
                        <w:sz w:val="24"/>
                        <w:szCs w:val="24"/>
                      </w:rPr>
                      <w:t>OFFICIAL</w:t>
                    </w:r>
                  </w:p>
                </w:txbxContent>
              </v:textbox>
              <w10:wrap anchorx="page" anchory="page"/>
            </v:shape>
          </w:pict>
        </mc:Fallback>
      </mc:AlternateContent>
    </w:r>
    <w:r w:rsidR="007F5733" w:rsidRPr="009C08CE">
      <w:rPr>
        <w:noProof/>
        <w:lang w:eastAsia="en-AU"/>
      </w:rPr>
      <w:drawing>
        <wp:anchor distT="0" distB="0" distL="114300" distR="114300" simplePos="0" relativeHeight="251658241" behindDoc="1" locked="0" layoutInCell="1" allowOverlap="1" wp14:anchorId="5AF5476F" wp14:editId="0EC2443F">
          <wp:simplePos x="0" y="0"/>
          <wp:positionH relativeFrom="page">
            <wp:align>center</wp:align>
          </wp:positionH>
          <wp:positionV relativeFrom="page">
            <wp:align>top</wp:align>
          </wp:positionV>
          <wp:extent cx="10908000" cy="1152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05FFB"/>
    <w:multiLevelType w:val="multilevel"/>
    <w:tmpl w:val="F2D8D162"/>
    <w:numStyleLink w:val="Listnumberedmultilevel"/>
  </w:abstractNum>
  <w:abstractNum w:abstractNumId="6"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7"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CE20FBF"/>
    <w:multiLevelType w:val="hybridMultilevel"/>
    <w:tmpl w:val="92CC1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B030FE"/>
    <w:multiLevelType w:val="multilevel"/>
    <w:tmpl w:val="7382DD10"/>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A5554F"/>
    <w:multiLevelType w:val="multilevel"/>
    <w:tmpl w:val="17ECF7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6125783"/>
    <w:multiLevelType w:val="hybridMultilevel"/>
    <w:tmpl w:val="EE7E1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810EB4"/>
    <w:multiLevelType w:val="hybridMultilevel"/>
    <w:tmpl w:val="8EB06BA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D1E291A"/>
    <w:multiLevelType w:val="hybridMultilevel"/>
    <w:tmpl w:val="A3C660C4"/>
    <w:lvl w:ilvl="0" w:tplc="0DB2C51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380306">
    <w:abstractNumId w:val="19"/>
  </w:num>
  <w:num w:numId="2" w16cid:durableId="133107069">
    <w:abstractNumId w:val="2"/>
  </w:num>
  <w:num w:numId="3" w16cid:durableId="60564889">
    <w:abstractNumId w:val="2"/>
  </w:num>
  <w:num w:numId="4" w16cid:durableId="1591349303">
    <w:abstractNumId w:val="9"/>
  </w:num>
  <w:num w:numId="5" w16cid:durableId="913900251">
    <w:abstractNumId w:val="22"/>
  </w:num>
  <w:num w:numId="6" w16cid:durableId="268393590">
    <w:abstractNumId w:val="10"/>
  </w:num>
  <w:num w:numId="7" w16cid:durableId="323974822">
    <w:abstractNumId w:val="11"/>
  </w:num>
  <w:num w:numId="8" w16cid:durableId="1858814631">
    <w:abstractNumId w:val="12"/>
  </w:num>
  <w:num w:numId="9" w16cid:durableId="802190295">
    <w:abstractNumId w:val="15"/>
  </w:num>
  <w:num w:numId="10" w16cid:durableId="1440180704">
    <w:abstractNumId w:val="1"/>
  </w:num>
  <w:num w:numId="11" w16cid:durableId="295988623">
    <w:abstractNumId w:val="4"/>
  </w:num>
  <w:num w:numId="12" w16cid:durableId="1178271998">
    <w:abstractNumId w:val="0"/>
  </w:num>
  <w:num w:numId="13" w16cid:durableId="450054071">
    <w:abstractNumId w:val="5"/>
  </w:num>
  <w:num w:numId="14" w16cid:durableId="1796218015">
    <w:abstractNumId w:val="16"/>
    <w:lvlOverride w:ilvl="0">
      <w:lvl w:ilvl="0">
        <w:start w:val="1"/>
        <w:numFmt w:val="decimal"/>
        <w:pStyle w:val="TableNListnumbered0"/>
        <w:lvlText w:val="%1."/>
        <w:lvlJc w:val="left"/>
        <w:pPr>
          <w:ind w:left="369" w:hanging="227"/>
        </w:pPr>
        <w:rPr>
          <w:rFonts w:ascii="Segoe UI" w:hAnsi="Segoe UI" w:hint="default"/>
          <w:b w:val="0"/>
          <w:i w:val="0"/>
          <w:sz w:val="17"/>
        </w:rPr>
      </w:lvl>
    </w:lvlOverride>
    <w:lvlOverride w:ilvl="1">
      <w:lvl w:ilvl="1">
        <w:start w:val="1"/>
        <w:numFmt w:val="lowerLetter"/>
        <w:lvlText w:val="%2."/>
        <w:lvlJc w:val="left"/>
        <w:pPr>
          <w:ind w:left="454" w:hanging="227"/>
        </w:pPr>
        <w:rPr>
          <w:rFonts w:ascii="Segoe UI" w:hAnsi="Segoe UI" w:hint="default"/>
          <w:b w:val="0"/>
          <w:i w:val="0"/>
          <w:sz w:val="17"/>
        </w:rPr>
      </w:lvl>
    </w:lvlOverride>
    <w:lvlOverride w:ilvl="2">
      <w:lvl w:ilvl="2">
        <w:start w:val="1"/>
        <w:numFmt w:val="lowerRoman"/>
        <w:lvlText w:val="%3."/>
        <w:lvlJc w:val="left"/>
        <w:pPr>
          <w:ind w:left="680" w:hanging="226"/>
        </w:pPr>
        <w:rPr>
          <w:rFonts w:ascii="Segoe UI" w:hAnsi="Segoe UI" w:hint="default"/>
          <w:b w:val="0"/>
          <w:i w:val="0"/>
          <w:sz w:val="17"/>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5" w16cid:durableId="177668548">
    <w:abstractNumId w:val="6"/>
  </w:num>
  <w:num w:numId="16" w16cid:durableId="589854867">
    <w:abstractNumId w:val="3"/>
  </w:num>
  <w:num w:numId="17" w16cid:durableId="2067335959">
    <w:abstractNumId w:val="7"/>
  </w:num>
  <w:num w:numId="18" w16cid:durableId="47342483">
    <w:abstractNumId w:val="17"/>
  </w:num>
  <w:num w:numId="19" w16cid:durableId="257518405">
    <w:abstractNumId w:val="13"/>
  </w:num>
  <w:num w:numId="20" w16cid:durableId="811024091">
    <w:abstractNumId w:val="21"/>
  </w:num>
  <w:num w:numId="21" w16cid:durableId="13203045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87868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48296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563981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990805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814758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4909236">
    <w:abstractNumId w:val="16"/>
  </w:num>
  <w:num w:numId="28" w16cid:durableId="800270342">
    <w:abstractNumId w:val="8"/>
  </w:num>
  <w:num w:numId="29" w16cid:durableId="404182539">
    <w:abstractNumId w:val="20"/>
  </w:num>
  <w:num w:numId="30" w16cid:durableId="177279425">
    <w:abstractNumId w:val="14"/>
  </w:num>
  <w:num w:numId="31" w16cid:durableId="1355494309">
    <w:abstractNumId w:val="18"/>
  </w:num>
  <w:num w:numId="32" w16cid:durableId="7427985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333038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84851321">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14C"/>
    <w:rsid w:val="000001B6"/>
    <w:rsid w:val="00000386"/>
    <w:rsid w:val="00000A9B"/>
    <w:rsid w:val="00000BF5"/>
    <w:rsid w:val="00001109"/>
    <w:rsid w:val="00001569"/>
    <w:rsid w:val="000015A3"/>
    <w:rsid w:val="00001752"/>
    <w:rsid w:val="0000199E"/>
    <w:rsid w:val="00001FB7"/>
    <w:rsid w:val="00002064"/>
    <w:rsid w:val="0000206C"/>
    <w:rsid w:val="00002175"/>
    <w:rsid w:val="000022BB"/>
    <w:rsid w:val="000023DF"/>
    <w:rsid w:val="0000259E"/>
    <w:rsid w:val="00002703"/>
    <w:rsid w:val="000029EF"/>
    <w:rsid w:val="00003130"/>
    <w:rsid w:val="000031CE"/>
    <w:rsid w:val="00003367"/>
    <w:rsid w:val="000034D9"/>
    <w:rsid w:val="000036CD"/>
    <w:rsid w:val="00003740"/>
    <w:rsid w:val="00003907"/>
    <w:rsid w:val="000040F3"/>
    <w:rsid w:val="00004145"/>
    <w:rsid w:val="00004823"/>
    <w:rsid w:val="00004BD6"/>
    <w:rsid w:val="000052D4"/>
    <w:rsid w:val="0000555F"/>
    <w:rsid w:val="0000569C"/>
    <w:rsid w:val="00005BD4"/>
    <w:rsid w:val="00005D62"/>
    <w:rsid w:val="00005EBB"/>
    <w:rsid w:val="00005F19"/>
    <w:rsid w:val="00005F58"/>
    <w:rsid w:val="000060D2"/>
    <w:rsid w:val="000060E7"/>
    <w:rsid w:val="0000647E"/>
    <w:rsid w:val="000069C5"/>
    <w:rsid w:val="00007387"/>
    <w:rsid w:val="00007514"/>
    <w:rsid w:val="00007881"/>
    <w:rsid w:val="00007C0A"/>
    <w:rsid w:val="00007C52"/>
    <w:rsid w:val="00007D7B"/>
    <w:rsid w:val="00007DC6"/>
    <w:rsid w:val="00007E05"/>
    <w:rsid w:val="0001027D"/>
    <w:rsid w:val="00010382"/>
    <w:rsid w:val="0001063F"/>
    <w:rsid w:val="000107CD"/>
    <w:rsid w:val="00010927"/>
    <w:rsid w:val="00010AC0"/>
    <w:rsid w:val="00010BA1"/>
    <w:rsid w:val="00010E99"/>
    <w:rsid w:val="000111F8"/>
    <w:rsid w:val="00011460"/>
    <w:rsid w:val="000114F4"/>
    <w:rsid w:val="00011772"/>
    <w:rsid w:val="0001187C"/>
    <w:rsid w:val="00011E3C"/>
    <w:rsid w:val="00012150"/>
    <w:rsid w:val="000123FA"/>
    <w:rsid w:val="00012477"/>
    <w:rsid w:val="000124E4"/>
    <w:rsid w:val="0001259B"/>
    <w:rsid w:val="00012D08"/>
    <w:rsid w:val="000131B6"/>
    <w:rsid w:val="00013441"/>
    <w:rsid w:val="000135BE"/>
    <w:rsid w:val="00013A1E"/>
    <w:rsid w:val="00013DC2"/>
    <w:rsid w:val="00013E6C"/>
    <w:rsid w:val="0001401C"/>
    <w:rsid w:val="00014362"/>
    <w:rsid w:val="0001444F"/>
    <w:rsid w:val="00014778"/>
    <w:rsid w:val="00014D66"/>
    <w:rsid w:val="000159EC"/>
    <w:rsid w:val="00015CD7"/>
    <w:rsid w:val="00015DC6"/>
    <w:rsid w:val="0001609E"/>
    <w:rsid w:val="000161A2"/>
    <w:rsid w:val="000162B2"/>
    <w:rsid w:val="00016AA3"/>
    <w:rsid w:val="00016EBD"/>
    <w:rsid w:val="000173AB"/>
    <w:rsid w:val="000175C5"/>
    <w:rsid w:val="00020D35"/>
    <w:rsid w:val="00021104"/>
    <w:rsid w:val="00021159"/>
    <w:rsid w:val="00021A3E"/>
    <w:rsid w:val="00021F62"/>
    <w:rsid w:val="00021F7F"/>
    <w:rsid w:val="000227BA"/>
    <w:rsid w:val="000228D2"/>
    <w:rsid w:val="00022AA1"/>
    <w:rsid w:val="00022AF1"/>
    <w:rsid w:val="00022D80"/>
    <w:rsid w:val="000238F9"/>
    <w:rsid w:val="00023AE2"/>
    <w:rsid w:val="00024157"/>
    <w:rsid w:val="00024360"/>
    <w:rsid w:val="0002439C"/>
    <w:rsid w:val="0002448D"/>
    <w:rsid w:val="000245D7"/>
    <w:rsid w:val="00024ABF"/>
    <w:rsid w:val="00024E60"/>
    <w:rsid w:val="0002523A"/>
    <w:rsid w:val="000254AA"/>
    <w:rsid w:val="00025936"/>
    <w:rsid w:val="000269DD"/>
    <w:rsid w:val="00026AA0"/>
    <w:rsid w:val="00027782"/>
    <w:rsid w:val="00027880"/>
    <w:rsid w:val="00030818"/>
    <w:rsid w:val="00030941"/>
    <w:rsid w:val="00031218"/>
    <w:rsid w:val="0003161B"/>
    <w:rsid w:val="00031712"/>
    <w:rsid w:val="000318BB"/>
    <w:rsid w:val="00032155"/>
    <w:rsid w:val="00032515"/>
    <w:rsid w:val="0003288E"/>
    <w:rsid w:val="00032AA7"/>
    <w:rsid w:val="00032E4B"/>
    <w:rsid w:val="000330CA"/>
    <w:rsid w:val="00033111"/>
    <w:rsid w:val="0003350B"/>
    <w:rsid w:val="00033DAD"/>
    <w:rsid w:val="00034408"/>
    <w:rsid w:val="000344B7"/>
    <w:rsid w:val="000347E0"/>
    <w:rsid w:val="00034C65"/>
    <w:rsid w:val="00034EC2"/>
    <w:rsid w:val="000350B2"/>
    <w:rsid w:val="00035870"/>
    <w:rsid w:val="00036339"/>
    <w:rsid w:val="00036753"/>
    <w:rsid w:val="00036A9F"/>
    <w:rsid w:val="00037553"/>
    <w:rsid w:val="0003770F"/>
    <w:rsid w:val="00037811"/>
    <w:rsid w:val="0003785D"/>
    <w:rsid w:val="00037BA5"/>
    <w:rsid w:val="000400F1"/>
    <w:rsid w:val="00040161"/>
    <w:rsid w:val="0004017A"/>
    <w:rsid w:val="00040EC0"/>
    <w:rsid w:val="00040FA8"/>
    <w:rsid w:val="000411D7"/>
    <w:rsid w:val="0004133F"/>
    <w:rsid w:val="00041577"/>
    <w:rsid w:val="00041AD3"/>
    <w:rsid w:val="00041B47"/>
    <w:rsid w:val="0004219E"/>
    <w:rsid w:val="00042A0D"/>
    <w:rsid w:val="00042D85"/>
    <w:rsid w:val="00042F7A"/>
    <w:rsid w:val="000434AA"/>
    <w:rsid w:val="000436B8"/>
    <w:rsid w:val="000439F8"/>
    <w:rsid w:val="00043A55"/>
    <w:rsid w:val="00043BF8"/>
    <w:rsid w:val="00043DA7"/>
    <w:rsid w:val="00043E9D"/>
    <w:rsid w:val="00043F82"/>
    <w:rsid w:val="0004454B"/>
    <w:rsid w:val="00044558"/>
    <w:rsid w:val="000445EA"/>
    <w:rsid w:val="000447AE"/>
    <w:rsid w:val="000449EA"/>
    <w:rsid w:val="00044A0D"/>
    <w:rsid w:val="00044EFD"/>
    <w:rsid w:val="00045395"/>
    <w:rsid w:val="00045FF5"/>
    <w:rsid w:val="00046103"/>
    <w:rsid w:val="00046685"/>
    <w:rsid w:val="00046737"/>
    <w:rsid w:val="00046E4B"/>
    <w:rsid w:val="00046F06"/>
    <w:rsid w:val="000474AA"/>
    <w:rsid w:val="000476AF"/>
    <w:rsid w:val="000476F6"/>
    <w:rsid w:val="00047F45"/>
    <w:rsid w:val="00047F80"/>
    <w:rsid w:val="00050482"/>
    <w:rsid w:val="00050515"/>
    <w:rsid w:val="000509C8"/>
    <w:rsid w:val="00050B3D"/>
    <w:rsid w:val="00050BDE"/>
    <w:rsid w:val="00050C83"/>
    <w:rsid w:val="00050CB5"/>
    <w:rsid w:val="00050D7C"/>
    <w:rsid w:val="00051540"/>
    <w:rsid w:val="0005195D"/>
    <w:rsid w:val="000524D7"/>
    <w:rsid w:val="00052800"/>
    <w:rsid w:val="00052807"/>
    <w:rsid w:val="0005289F"/>
    <w:rsid w:val="00052D50"/>
    <w:rsid w:val="000532CB"/>
    <w:rsid w:val="00053341"/>
    <w:rsid w:val="00053742"/>
    <w:rsid w:val="00053868"/>
    <w:rsid w:val="0005397E"/>
    <w:rsid w:val="00053D54"/>
    <w:rsid w:val="00053F07"/>
    <w:rsid w:val="00053F0B"/>
    <w:rsid w:val="00054001"/>
    <w:rsid w:val="00054CB8"/>
    <w:rsid w:val="00054D53"/>
    <w:rsid w:val="000550F5"/>
    <w:rsid w:val="00055205"/>
    <w:rsid w:val="00055453"/>
    <w:rsid w:val="0005548E"/>
    <w:rsid w:val="000554BA"/>
    <w:rsid w:val="00055527"/>
    <w:rsid w:val="0005575C"/>
    <w:rsid w:val="00055F30"/>
    <w:rsid w:val="00056250"/>
    <w:rsid w:val="0005634C"/>
    <w:rsid w:val="00056383"/>
    <w:rsid w:val="00056EBC"/>
    <w:rsid w:val="00056F85"/>
    <w:rsid w:val="00057121"/>
    <w:rsid w:val="00057546"/>
    <w:rsid w:val="000575AE"/>
    <w:rsid w:val="000577DB"/>
    <w:rsid w:val="0005789D"/>
    <w:rsid w:val="00057F04"/>
    <w:rsid w:val="0006003A"/>
    <w:rsid w:val="000601C5"/>
    <w:rsid w:val="000601ED"/>
    <w:rsid w:val="000610E5"/>
    <w:rsid w:val="00061103"/>
    <w:rsid w:val="00061524"/>
    <w:rsid w:val="0006179F"/>
    <w:rsid w:val="00061BDD"/>
    <w:rsid w:val="00061CD8"/>
    <w:rsid w:val="00061EB6"/>
    <w:rsid w:val="00061F2C"/>
    <w:rsid w:val="0006216E"/>
    <w:rsid w:val="000623EA"/>
    <w:rsid w:val="00062FFD"/>
    <w:rsid w:val="0006377E"/>
    <w:rsid w:val="000638E5"/>
    <w:rsid w:val="000639F2"/>
    <w:rsid w:val="0006479C"/>
    <w:rsid w:val="000648E7"/>
    <w:rsid w:val="000648FA"/>
    <w:rsid w:val="00064F7F"/>
    <w:rsid w:val="000650BD"/>
    <w:rsid w:val="000650C7"/>
    <w:rsid w:val="000656F3"/>
    <w:rsid w:val="00065C66"/>
    <w:rsid w:val="00065E13"/>
    <w:rsid w:val="00065E3A"/>
    <w:rsid w:val="00065F42"/>
    <w:rsid w:val="00065F95"/>
    <w:rsid w:val="0006624C"/>
    <w:rsid w:val="0006631F"/>
    <w:rsid w:val="00066474"/>
    <w:rsid w:val="00066A8C"/>
    <w:rsid w:val="00066E5F"/>
    <w:rsid w:val="00067963"/>
    <w:rsid w:val="000679DD"/>
    <w:rsid w:val="00067B98"/>
    <w:rsid w:val="00067DBE"/>
    <w:rsid w:val="000700AB"/>
    <w:rsid w:val="000706D0"/>
    <w:rsid w:val="000706F4"/>
    <w:rsid w:val="0007091B"/>
    <w:rsid w:val="00070B57"/>
    <w:rsid w:val="00070BAE"/>
    <w:rsid w:val="00070C54"/>
    <w:rsid w:val="00070CAE"/>
    <w:rsid w:val="00070ECE"/>
    <w:rsid w:val="000711D0"/>
    <w:rsid w:val="000714BE"/>
    <w:rsid w:val="00071694"/>
    <w:rsid w:val="00071C49"/>
    <w:rsid w:val="00071FA5"/>
    <w:rsid w:val="000720EE"/>
    <w:rsid w:val="000721AA"/>
    <w:rsid w:val="00072249"/>
    <w:rsid w:val="000722BD"/>
    <w:rsid w:val="00072360"/>
    <w:rsid w:val="000724EC"/>
    <w:rsid w:val="00072541"/>
    <w:rsid w:val="00072D1A"/>
    <w:rsid w:val="00072FD1"/>
    <w:rsid w:val="00073152"/>
    <w:rsid w:val="000735F6"/>
    <w:rsid w:val="0007372B"/>
    <w:rsid w:val="00073A84"/>
    <w:rsid w:val="00073BD0"/>
    <w:rsid w:val="0007422D"/>
    <w:rsid w:val="00074B4D"/>
    <w:rsid w:val="00074B5D"/>
    <w:rsid w:val="000751A5"/>
    <w:rsid w:val="0007543B"/>
    <w:rsid w:val="0007553A"/>
    <w:rsid w:val="000755C7"/>
    <w:rsid w:val="000756F7"/>
    <w:rsid w:val="00076BB0"/>
    <w:rsid w:val="00076D1F"/>
    <w:rsid w:val="000775F8"/>
    <w:rsid w:val="000777F4"/>
    <w:rsid w:val="00077974"/>
    <w:rsid w:val="00077B24"/>
    <w:rsid w:val="00080148"/>
    <w:rsid w:val="000809F3"/>
    <w:rsid w:val="00081121"/>
    <w:rsid w:val="0008157E"/>
    <w:rsid w:val="0008173A"/>
    <w:rsid w:val="0008173C"/>
    <w:rsid w:val="000817F5"/>
    <w:rsid w:val="00081D98"/>
    <w:rsid w:val="00082DC8"/>
    <w:rsid w:val="00082E94"/>
    <w:rsid w:val="000830A5"/>
    <w:rsid w:val="0008316A"/>
    <w:rsid w:val="00083992"/>
    <w:rsid w:val="00083AFF"/>
    <w:rsid w:val="00083E98"/>
    <w:rsid w:val="00084281"/>
    <w:rsid w:val="000843C9"/>
    <w:rsid w:val="00084CE9"/>
    <w:rsid w:val="00084F6D"/>
    <w:rsid w:val="000850EB"/>
    <w:rsid w:val="0008551E"/>
    <w:rsid w:val="00085C25"/>
    <w:rsid w:val="00085FE6"/>
    <w:rsid w:val="0008616E"/>
    <w:rsid w:val="00086E77"/>
    <w:rsid w:val="00086F11"/>
    <w:rsid w:val="00087181"/>
    <w:rsid w:val="00087346"/>
    <w:rsid w:val="00087A5F"/>
    <w:rsid w:val="00087D40"/>
    <w:rsid w:val="000901B5"/>
    <w:rsid w:val="000902E7"/>
    <w:rsid w:val="00090365"/>
    <w:rsid w:val="0009076F"/>
    <w:rsid w:val="00090A6E"/>
    <w:rsid w:val="00090EC2"/>
    <w:rsid w:val="000915AC"/>
    <w:rsid w:val="000916F2"/>
    <w:rsid w:val="0009180C"/>
    <w:rsid w:val="00091A80"/>
    <w:rsid w:val="00091C1B"/>
    <w:rsid w:val="0009235D"/>
    <w:rsid w:val="00092698"/>
    <w:rsid w:val="00092789"/>
    <w:rsid w:val="000927AD"/>
    <w:rsid w:val="00092990"/>
    <w:rsid w:val="00092D1E"/>
    <w:rsid w:val="0009367E"/>
    <w:rsid w:val="00093A69"/>
    <w:rsid w:val="00093E7B"/>
    <w:rsid w:val="00093FA9"/>
    <w:rsid w:val="000944E6"/>
    <w:rsid w:val="0009474F"/>
    <w:rsid w:val="000948F5"/>
    <w:rsid w:val="0009499E"/>
    <w:rsid w:val="00094A3E"/>
    <w:rsid w:val="00094A7C"/>
    <w:rsid w:val="00094CC0"/>
    <w:rsid w:val="0009518A"/>
    <w:rsid w:val="000952DB"/>
    <w:rsid w:val="000953B3"/>
    <w:rsid w:val="00095604"/>
    <w:rsid w:val="000956CC"/>
    <w:rsid w:val="00095859"/>
    <w:rsid w:val="000959B7"/>
    <w:rsid w:val="00095FCF"/>
    <w:rsid w:val="000961ED"/>
    <w:rsid w:val="00096238"/>
    <w:rsid w:val="00096613"/>
    <w:rsid w:val="0009707C"/>
    <w:rsid w:val="000970D5"/>
    <w:rsid w:val="000975DF"/>
    <w:rsid w:val="0009776D"/>
    <w:rsid w:val="00097A60"/>
    <w:rsid w:val="00097C11"/>
    <w:rsid w:val="00097DD2"/>
    <w:rsid w:val="000A0006"/>
    <w:rsid w:val="000A023D"/>
    <w:rsid w:val="000A0310"/>
    <w:rsid w:val="000A03DB"/>
    <w:rsid w:val="000A0623"/>
    <w:rsid w:val="000A09F9"/>
    <w:rsid w:val="000A0E9F"/>
    <w:rsid w:val="000A102C"/>
    <w:rsid w:val="000A1228"/>
    <w:rsid w:val="000A13C3"/>
    <w:rsid w:val="000A1B03"/>
    <w:rsid w:val="000A1B13"/>
    <w:rsid w:val="000A1C5C"/>
    <w:rsid w:val="000A2F42"/>
    <w:rsid w:val="000A2F52"/>
    <w:rsid w:val="000A3017"/>
    <w:rsid w:val="000A31A5"/>
    <w:rsid w:val="000A33FD"/>
    <w:rsid w:val="000A340D"/>
    <w:rsid w:val="000A35FA"/>
    <w:rsid w:val="000A3C2F"/>
    <w:rsid w:val="000A3CB1"/>
    <w:rsid w:val="000A42CC"/>
    <w:rsid w:val="000A43BC"/>
    <w:rsid w:val="000A509F"/>
    <w:rsid w:val="000A50FA"/>
    <w:rsid w:val="000A5637"/>
    <w:rsid w:val="000A566B"/>
    <w:rsid w:val="000A5879"/>
    <w:rsid w:val="000A5FC0"/>
    <w:rsid w:val="000A61C0"/>
    <w:rsid w:val="000A636A"/>
    <w:rsid w:val="000A66A5"/>
    <w:rsid w:val="000A6826"/>
    <w:rsid w:val="000A68EA"/>
    <w:rsid w:val="000A704A"/>
    <w:rsid w:val="000A70A9"/>
    <w:rsid w:val="000A72C7"/>
    <w:rsid w:val="000A76B8"/>
    <w:rsid w:val="000A76BE"/>
    <w:rsid w:val="000A7E2C"/>
    <w:rsid w:val="000B00AE"/>
    <w:rsid w:val="000B0527"/>
    <w:rsid w:val="000B0CB0"/>
    <w:rsid w:val="000B1134"/>
    <w:rsid w:val="000B12BC"/>
    <w:rsid w:val="000B19BC"/>
    <w:rsid w:val="000B1D14"/>
    <w:rsid w:val="000B26E9"/>
    <w:rsid w:val="000B2DF8"/>
    <w:rsid w:val="000B3058"/>
    <w:rsid w:val="000B305B"/>
    <w:rsid w:val="000B3191"/>
    <w:rsid w:val="000B3470"/>
    <w:rsid w:val="000B37AF"/>
    <w:rsid w:val="000B382E"/>
    <w:rsid w:val="000B398E"/>
    <w:rsid w:val="000B3C3B"/>
    <w:rsid w:val="000B3DBE"/>
    <w:rsid w:val="000B3EE6"/>
    <w:rsid w:val="000B3FD8"/>
    <w:rsid w:val="000B4084"/>
    <w:rsid w:val="000B416A"/>
    <w:rsid w:val="000B4316"/>
    <w:rsid w:val="000B4F40"/>
    <w:rsid w:val="000B4F6A"/>
    <w:rsid w:val="000B5042"/>
    <w:rsid w:val="000B52B0"/>
    <w:rsid w:val="000B5341"/>
    <w:rsid w:val="000B54B6"/>
    <w:rsid w:val="000B54CA"/>
    <w:rsid w:val="000B55C8"/>
    <w:rsid w:val="000B5D25"/>
    <w:rsid w:val="000B5DE0"/>
    <w:rsid w:val="000B63DB"/>
    <w:rsid w:val="000B644D"/>
    <w:rsid w:val="000B6553"/>
    <w:rsid w:val="000B6578"/>
    <w:rsid w:val="000B66BE"/>
    <w:rsid w:val="000B66FB"/>
    <w:rsid w:val="000B67E8"/>
    <w:rsid w:val="000B67FA"/>
    <w:rsid w:val="000B6AAE"/>
    <w:rsid w:val="000B6C51"/>
    <w:rsid w:val="000B6EC3"/>
    <w:rsid w:val="000B6F43"/>
    <w:rsid w:val="000B7187"/>
    <w:rsid w:val="000B77F5"/>
    <w:rsid w:val="000B7B4F"/>
    <w:rsid w:val="000B7C05"/>
    <w:rsid w:val="000B7DD1"/>
    <w:rsid w:val="000C0144"/>
    <w:rsid w:val="000C0D11"/>
    <w:rsid w:val="000C0EB6"/>
    <w:rsid w:val="000C104F"/>
    <w:rsid w:val="000C10B6"/>
    <w:rsid w:val="000C124B"/>
    <w:rsid w:val="000C139A"/>
    <w:rsid w:val="000C15D1"/>
    <w:rsid w:val="000C16D8"/>
    <w:rsid w:val="000C19CA"/>
    <w:rsid w:val="000C2499"/>
    <w:rsid w:val="000C252A"/>
    <w:rsid w:val="000C2C82"/>
    <w:rsid w:val="000C2F18"/>
    <w:rsid w:val="000C36A4"/>
    <w:rsid w:val="000C3743"/>
    <w:rsid w:val="000C387E"/>
    <w:rsid w:val="000C39FD"/>
    <w:rsid w:val="000C3D1E"/>
    <w:rsid w:val="000C3F85"/>
    <w:rsid w:val="000C40F3"/>
    <w:rsid w:val="000C433D"/>
    <w:rsid w:val="000C4821"/>
    <w:rsid w:val="000C4FA5"/>
    <w:rsid w:val="000C5020"/>
    <w:rsid w:val="000C5256"/>
    <w:rsid w:val="000C54DE"/>
    <w:rsid w:val="000C5F3C"/>
    <w:rsid w:val="000C62AD"/>
    <w:rsid w:val="000C62C0"/>
    <w:rsid w:val="000C633B"/>
    <w:rsid w:val="000C645A"/>
    <w:rsid w:val="000C654D"/>
    <w:rsid w:val="000C678C"/>
    <w:rsid w:val="000C6AE5"/>
    <w:rsid w:val="000C70B9"/>
    <w:rsid w:val="000C714F"/>
    <w:rsid w:val="000C7463"/>
    <w:rsid w:val="000C746C"/>
    <w:rsid w:val="000C75A1"/>
    <w:rsid w:val="000C7926"/>
    <w:rsid w:val="000C7B92"/>
    <w:rsid w:val="000C7C66"/>
    <w:rsid w:val="000C7F19"/>
    <w:rsid w:val="000D01FB"/>
    <w:rsid w:val="000D051E"/>
    <w:rsid w:val="000D0AB3"/>
    <w:rsid w:val="000D0B2C"/>
    <w:rsid w:val="000D0BC8"/>
    <w:rsid w:val="000D1245"/>
    <w:rsid w:val="000D1253"/>
    <w:rsid w:val="000D133D"/>
    <w:rsid w:val="000D13FD"/>
    <w:rsid w:val="000D16F6"/>
    <w:rsid w:val="000D17A7"/>
    <w:rsid w:val="000D1FD1"/>
    <w:rsid w:val="000D21E9"/>
    <w:rsid w:val="000D2804"/>
    <w:rsid w:val="000D2CB1"/>
    <w:rsid w:val="000D325F"/>
    <w:rsid w:val="000D328B"/>
    <w:rsid w:val="000D32CA"/>
    <w:rsid w:val="000D335D"/>
    <w:rsid w:val="000D3496"/>
    <w:rsid w:val="000D3865"/>
    <w:rsid w:val="000D3F21"/>
    <w:rsid w:val="000D4195"/>
    <w:rsid w:val="000D423C"/>
    <w:rsid w:val="000D42DB"/>
    <w:rsid w:val="000D4BE0"/>
    <w:rsid w:val="000D4CB2"/>
    <w:rsid w:val="000D5177"/>
    <w:rsid w:val="000D5286"/>
    <w:rsid w:val="000D52F9"/>
    <w:rsid w:val="000D5312"/>
    <w:rsid w:val="000D56E3"/>
    <w:rsid w:val="000D5800"/>
    <w:rsid w:val="000D5968"/>
    <w:rsid w:val="000D5B86"/>
    <w:rsid w:val="000D5BEF"/>
    <w:rsid w:val="000D5CE3"/>
    <w:rsid w:val="000D5E5A"/>
    <w:rsid w:val="000D5F65"/>
    <w:rsid w:val="000D5FCF"/>
    <w:rsid w:val="000D65FE"/>
    <w:rsid w:val="000D69FE"/>
    <w:rsid w:val="000D6A84"/>
    <w:rsid w:val="000D6B35"/>
    <w:rsid w:val="000D6E3D"/>
    <w:rsid w:val="000D6F94"/>
    <w:rsid w:val="000D6F9C"/>
    <w:rsid w:val="000D70F4"/>
    <w:rsid w:val="000E0571"/>
    <w:rsid w:val="000E0589"/>
    <w:rsid w:val="000E058C"/>
    <w:rsid w:val="000E0B67"/>
    <w:rsid w:val="000E10B3"/>
    <w:rsid w:val="000E130B"/>
    <w:rsid w:val="000E1509"/>
    <w:rsid w:val="000E1614"/>
    <w:rsid w:val="000E1A94"/>
    <w:rsid w:val="000E2317"/>
    <w:rsid w:val="000E2621"/>
    <w:rsid w:val="000E268D"/>
    <w:rsid w:val="000E28F0"/>
    <w:rsid w:val="000E29B8"/>
    <w:rsid w:val="000E2EFE"/>
    <w:rsid w:val="000E3197"/>
    <w:rsid w:val="000E347B"/>
    <w:rsid w:val="000E3666"/>
    <w:rsid w:val="000E3B36"/>
    <w:rsid w:val="000E3B4D"/>
    <w:rsid w:val="000E3B51"/>
    <w:rsid w:val="000E4394"/>
    <w:rsid w:val="000E44BE"/>
    <w:rsid w:val="000E44C0"/>
    <w:rsid w:val="000E45FF"/>
    <w:rsid w:val="000E51AF"/>
    <w:rsid w:val="000E5A3C"/>
    <w:rsid w:val="000E5D03"/>
    <w:rsid w:val="000E6108"/>
    <w:rsid w:val="000E6155"/>
    <w:rsid w:val="000E63A4"/>
    <w:rsid w:val="000E6453"/>
    <w:rsid w:val="000E67B9"/>
    <w:rsid w:val="000E680F"/>
    <w:rsid w:val="000E6AC8"/>
    <w:rsid w:val="000E6B97"/>
    <w:rsid w:val="000E6BB4"/>
    <w:rsid w:val="000E6CF6"/>
    <w:rsid w:val="000E6D04"/>
    <w:rsid w:val="000E7153"/>
    <w:rsid w:val="000E7360"/>
    <w:rsid w:val="000E75A0"/>
    <w:rsid w:val="000E78E9"/>
    <w:rsid w:val="000E7AFC"/>
    <w:rsid w:val="000E7C25"/>
    <w:rsid w:val="000E7CB7"/>
    <w:rsid w:val="000E7E26"/>
    <w:rsid w:val="000F0134"/>
    <w:rsid w:val="000F0338"/>
    <w:rsid w:val="000F0B40"/>
    <w:rsid w:val="000F0E73"/>
    <w:rsid w:val="000F1305"/>
    <w:rsid w:val="000F163B"/>
    <w:rsid w:val="000F1951"/>
    <w:rsid w:val="000F1B51"/>
    <w:rsid w:val="000F1E6B"/>
    <w:rsid w:val="000F1F1E"/>
    <w:rsid w:val="000F25B5"/>
    <w:rsid w:val="000F2839"/>
    <w:rsid w:val="000F285F"/>
    <w:rsid w:val="000F28D2"/>
    <w:rsid w:val="000F2CCE"/>
    <w:rsid w:val="000F2DEF"/>
    <w:rsid w:val="000F31D8"/>
    <w:rsid w:val="000F332F"/>
    <w:rsid w:val="000F34D2"/>
    <w:rsid w:val="000F3564"/>
    <w:rsid w:val="000F382E"/>
    <w:rsid w:val="000F3A5B"/>
    <w:rsid w:val="000F3CF8"/>
    <w:rsid w:val="000F4451"/>
    <w:rsid w:val="000F5225"/>
    <w:rsid w:val="000F5564"/>
    <w:rsid w:val="000F57C0"/>
    <w:rsid w:val="000F59B7"/>
    <w:rsid w:val="000F5B51"/>
    <w:rsid w:val="000F5C8C"/>
    <w:rsid w:val="000F5CD1"/>
    <w:rsid w:val="000F64AC"/>
    <w:rsid w:val="000F6780"/>
    <w:rsid w:val="000F6AA6"/>
    <w:rsid w:val="000F6D46"/>
    <w:rsid w:val="000F6FF5"/>
    <w:rsid w:val="000F7060"/>
    <w:rsid w:val="000F73E7"/>
    <w:rsid w:val="000F74C6"/>
    <w:rsid w:val="000F78AF"/>
    <w:rsid w:val="000F7EA1"/>
    <w:rsid w:val="000F7ED7"/>
    <w:rsid w:val="00100034"/>
    <w:rsid w:val="0010086D"/>
    <w:rsid w:val="00100B46"/>
    <w:rsid w:val="00100D5C"/>
    <w:rsid w:val="00100EA4"/>
    <w:rsid w:val="00100FE3"/>
    <w:rsid w:val="00101024"/>
    <w:rsid w:val="001011D9"/>
    <w:rsid w:val="00101213"/>
    <w:rsid w:val="00101D92"/>
    <w:rsid w:val="00101F31"/>
    <w:rsid w:val="00102288"/>
    <w:rsid w:val="001026D9"/>
    <w:rsid w:val="00102AE2"/>
    <w:rsid w:val="0010305E"/>
    <w:rsid w:val="0010332E"/>
    <w:rsid w:val="00103402"/>
    <w:rsid w:val="0010358B"/>
    <w:rsid w:val="0010399F"/>
    <w:rsid w:val="00103A78"/>
    <w:rsid w:val="00103AB1"/>
    <w:rsid w:val="00103ABB"/>
    <w:rsid w:val="00103F6F"/>
    <w:rsid w:val="00103FC4"/>
    <w:rsid w:val="00104105"/>
    <w:rsid w:val="0010462B"/>
    <w:rsid w:val="0010464A"/>
    <w:rsid w:val="0010473B"/>
    <w:rsid w:val="001047AC"/>
    <w:rsid w:val="00104905"/>
    <w:rsid w:val="001049C9"/>
    <w:rsid w:val="00104F6D"/>
    <w:rsid w:val="001050C1"/>
    <w:rsid w:val="00105851"/>
    <w:rsid w:val="00105A20"/>
    <w:rsid w:val="00105BEA"/>
    <w:rsid w:val="00106164"/>
    <w:rsid w:val="001066FF"/>
    <w:rsid w:val="00106929"/>
    <w:rsid w:val="00106F7D"/>
    <w:rsid w:val="001071DE"/>
    <w:rsid w:val="001073FD"/>
    <w:rsid w:val="00107514"/>
    <w:rsid w:val="00107759"/>
    <w:rsid w:val="00107812"/>
    <w:rsid w:val="001078D9"/>
    <w:rsid w:val="001079E9"/>
    <w:rsid w:val="00107ADC"/>
    <w:rsid w:val="00107E8F"/>
    <w:rsid w:val="001100DF"/>
    <w:rsid w:val="00110796"/>
    <w:rsid w:val="00110EF0"/>
    <w:rsid w:val="00110F7B"/>
    <w:rsid w:val="00111337"/>
    <w:rsid w:val="00111435"/>
    <w:rsid w:val="00111709"/>
    <w:rsid w:val="00111916"/>
    <w:rsid w:val="00111B2B"/>
    <w:rsid w:val="0011220F"/>
    <w:rsid w:val="001122A2"/>
    <w:rsid w:val="00112366"/>
    <w:rsid w:val="001124FA"/>
    <w:rsid w:val="00112A91"/>
    <w:rsid w:val="00112E53"/>
    <w:rsid w:val="00113150"/>
    <w:rsid w:val="001131DD"/>
    <w:rsid w:val="00113548"/>
    <w:rsid w:val="00113660"/>
    <w:rsid w:val="0011397F"/>
    <w:rsid w:val="00113BFA"/>
    <w:rsid w:val="00113D2A"/>
    <w:rsid w:val="00114324"/>
    <w:rsid w:val="00114440"/>
    <w:rsid w:val="0011473A"/>
    <w:rsid w:val="00114C24"/>
    <w:rsid w:val="00115716"/>
    <w:rsid w:val="001157AD"/>
    <w:rsid w:val="00115AB6"/>
    <w:rsid w:val="00115C02"/>
    <w:rsid w:val="00115E0E"/>
    <w:rsid w:val="001161DC"/>
    <w:rsid w:val="0011626B"/>
    <w:rsid w:val="0011641E"/>
    <w:rsid w:val="00116888"/>
    <w:rsid w:val="001169D9"/>
    <w:rsid w:val="001170BA"/>
    <w:rsid w:val="00117305"/>
    <w:rsid w:val="00117BE1"/>
    <w:rsid w:val="00117C8C"/>
    <w:rsid w:val="0012012D"/>
    <w:rsid w:val="0012015C"/>
    <w:rsid w:val="0012068B"/>
    <w:rsid w:val="001206E3"/>
    <w:rsid w:val="001209A4"/>
    <w:rsid w:val="00120B88"/>
    <w:rsid w:val="00120D45"/>
    <w:rsid w:val="0012157B"/>
    <w:rsid w:val="001215BC"/>
    <w:rsid w:val="00121641"/>
    <w:rsid w:val="001218D9"/>
    <w:rsid w:val="001218E5"/>
    <w:rsid w:val="0012211D"/>
    <w:rsid w:val="001227BA"/>
    <w:rsid w:val="00122A70"/>
    <w:rsid w:val="00122BC4"/>
    <w:rsid w:val="00122BF6"/>
    <w:rsid w:val="00122DE5"/>
    <w:rsid w:val="00122EF5"/>
    <w:rsid w:val="001230B7"/>
    <w:rsid w:val="0012367F"/>
    <w:rsid w:val="001236AF"/>
    <w:rsid w:val="001236FD"/>
    <w:rsid w:val="00123771"/>
    <w:rsid w:val="001240A2"/>
    <w:rsid w:val="001240CD"/>
    <w:rsid w:val="001240ED"/>
    <w:rsid w:val="00124119"/>
    <w:rsid w:val="00124251"/>
    <w:rsid w:val="00124700"/>
    <w:rsid w:val="00124A14"/>
    <w:rsid w:val="00124A51"/>
    <w:rsid w:val="00124B7E"/>
    <w:rsid w:val="00124BB9"/>
    <w:rsid w:val="00124E83"/>
    <w:rsid w:val="0012584B"/>
    <w:rsid w:val="00125D3F"/>
    <w:rsid w:val="001260FF"/>
    <w:rsid w:val="0012676E"/>
    <w:rsid w:val="00126A88"/>
    <w:rsid w:val="0012709D"/>
    <w:rsid w:val="00127535"/>
    <w:rsid w:val="001277AD"/>
    <w:rsid w:val="001279AC"/>
    <w:rsid w:val="00127ECF"/>
    <w:rsid w:val="00127F14"/>
    <w:rsid w:val="001300CE"/>
    <w:rsid w:val="0013036C"/>
    <w:rsid w:val="0013046F"/>
    <w:rsid w:val="0013053D"/>
    <w:rsid w:val="001307E2"/>
    <w:rsid w:val="001307E3"/>
    <w:rsid w:val="00130E77"/>
    <w:rsid w:val="00130F63"/>
    <w:rsid w:val="001310E0"/>
    <w:rsid w:val="001313F8"/>
    <w:rsid w:val="00131495"/>
    <w:rsid w:val="001317A2"/>
    <w:rsid w:val="00131A29"/>
    <w:rsid w:val="00131A4C"/>
    <w:rsid w:val="00131D1C"/>
    <w:rsid w:val="00131F14"/>
    <w:rsid w:val="00132025"/>
    <w:rsid w:val="001320D2"/>
    <w:rsid w:val="001328CB"/>
    <w:rsid w:val="001329D0"/>
    <w:rsid w:val="00132C79"/>
    <w:rsid w:val="00132E23"/>
    <w:rsid w:val="0013326D"/>
    <w:rsid w:val="001333DF"/>
    <w:rsid w:val="00133617"/>
    <w:rsid w:val="001339CF"/>
    <w:rsid w:val="00133CB3"/>
    <w:rsid w:val="00133F56"/>
    <w:rsid w:val="00133F7F"/>
    <w:rsid w:val="001342A9"/>
    <w:rsid w:val="00134492"/>
    <w:rsid w:val="001346E3"/>
    <w:rsid w:val="00134853"/>
    <w:rsid w:val="001348BF"/>
    <w:rsid w:val="00134A2D"/>
    <w:rsid w:val="00135701"/>
    <w:rsid w:val="001359AD"/>
    <w:rsid w:val="00135BFB"/>
    <w:rsid w:val="00135D89"/>
    <w:rsid w:val="0013664F"/>
    <w:rsid w:val="00136BF8"/>
    <w:rsid w:val="00136E74"/>
    <w:rsid w:val="00137070"/>
    <w:rsid w:val="001370F7"/>
    <w:rsid w:val="001371A3"/>
    <w:rsid w:val="001371B5"/>
    <w:rsid w:val="0013742E"/>
    <w:rsid w:val="001374DD"/>
    <w:rsid w:val="00137D34"/>
    <w:rsid w:val="00137EFC"/>
    <w:rsid w:val="001401F5"/>
    <w:rsid w:val="001408B6"/>
    <w:rsid w:val="00140EB6"/>
    <w:rsid w:val="001413CB"/>
    <w:rsid w:val="0014143F"/>
    <w:rsid w:val="00141562"/>
    <w:rsid w:val="001416A9"/>
    <w:rsid w:val="00141785"/>
    <w:rsid w:val="00141E82"/>
    <w:rsid w:val="001420E2"/>
    <w:rsid w:val="001421A8"/>
    <w:rsid w:val="00142C51"/>
    <w:rsid w:val="00142D0B"/>
    <w:rsid w:val="0014399F"/>
    <w:rsid w:val="00143A4E"/>
    <w:rsid w:val="00143EE2"/>
    <w:rsid w:val="0014475E"/>
    <w:rsid w:val="001449B4"/>
    <w:rsid w:val="00144A70"/>
    <w:rsid w:val="00144B84"/>
    <w:rsid w:val="00145862"/>
    <w:rsid w:val="00145A76"/>
    <w:rsid w:val="00145D3B"/>
    <w:rsid w:val="00145ED4"/>
    <w:rsid w:val="00146647"/>
    <w:rsid w:val="0014665D"/>
    <w:rsid w:val="00146717"/>
    <w:rsid w:val="001468E1"/>
    <w:rsid w:val="00146A36"/>
    <w:rsid w:val="00146FE2"/>
    <w:rsid w:val="00147356"/>
    <w:rsid w:val="00147595"/>
    <w:rsid w:val="001477B7"/>
    <w:rsid w:val="0014785E"/>
    <w:rsid w:val="001478D1"/>
    <w:rsid w:val="00147E22"/>
    <w:rsid w:val="00147FB4"/>
    <w:rsid w:val="001505A4"/>
    <w:rsid w:val="0015069B"/>
    <w:rsid w:val="00150A06"/>
    <w:rsid w:val="00150E5D"/>
    <w:rsid w:val="0015138F"/>
    <w:rsid w:val="001515F1"/>
    <w:rsid w:val="00151A66"/>
    <w:rsid w:val="00151AA5"/>
    <w:rsid w:val="00151CB4"/>
    <w:rsid w:val="00152373"/>
    <w:rsid w:val="00152383"/>
    <w:rsid w:val="0015263E"/>
    <w:rsid w:val="00152713"/>
    <w:rsid w:val="00152898"/>
    <w:rsid w:val="00152EE0"/>
    <w:rsid w:val="00152F02"/>
    <w:rsid w:val="00153502"/>
    <w:rsid w:val="001535FA"/>
    <w:rsid w:val="00153F58"/>
    <w:rsid w:val="001540E6"/>
    <w:rsid w:val="00154137"/>
    <w:rsid w:val="00154165"/>
    <w:rsid w:val="0015429E"/>
    <w:rsid w:val="00155066"/>
    <w:rsid w:val="0015531B"/>
    <w:rsid w:val="00155386"/>
    <w:rsid w:val="00155723"/>
    <w:rsid w:val="00155895"/>
    <w:rsid w:val="00155AD9"/>
    <w:rsid w:val="00155C1C"/>
    <w:rsid w:val="00155D95"/>
    <w:rsid w:val="001561D2"/>
    <w:rsid w:val="0015622F"/>
    <w:rsid w:val="0015639A"/>
    <w:rsid w:val="00156851"/>
    <w:rsid w:val="00156C38"/>
    <w:rsid w:val="0015742B"/>
    <w:rsid w:val="0015744F"/>
    <w:rsid w:val="001578B3"/>
    <w:rsid w:val="0015790F"/>
    <w:rsid w:val="00157B98"/>
    <w:rsid w:val="00157C79"/>
    <w:rsid w:val="00157F41"/>
    <w:rsid w:val="00160952"/>
    <w:rsid w:val="0016098A"/>
    <w:rsid w:val="00161AF9"/>
    <w:rsid w:val="00161E2B"/>
    <w:rsid w:val="001624E6"/>
    <w:rsid w:val="00162A35"/>
    <w:rsid w:val="00162C29"/>
    <w:rsid w:val="00162D44"/>
    <w:rsid w:val="0016309B"/>
    <w:rsid w:val="001631EF"/>
    <w:rsid w:val="001636FD"/>
    <w:rsid w:val="0016382F"/>
    <w:rsid w:val="0016396C"/>
    <w:rsid w:val="00163A11"/>
    <w:rsid w:val="00163C78"/>
    <w:rsid w:val="00163E50"/>
    <w:rsid w:val="00164229"/>
    <w:rsid w:val="0016438F"/>
    <w:rsid w:val="001644F5"/>
    <w:rsid w:val="00164752"/>
    <w:rsid w:val="00164F14"/>
    <w:rsid w:val="001651CD"/>
    <w:rsid w:val="00165513"/>
    <w:rsid w:val="001658DC"/>
    <w:rsid w:val="00165A2A"/>
    <w:rsid w:val="00165F33"/>
    <w:rsid w:val="001660E3"/>
    <w:rsid w:val="001661BF"/>
    <w:rsid w:val="001662B1"/>
    <w:rsid w:val="001663F2"/>
    <w:rsid w:val="00166A11"/>
    <w:rsid w:val="00166B54"/>
    <w:rsid w:val="00166BF4"/>
    <w:rsid w:val="00167493"/>
    <w:rsid w:val="00167786"/>
    <w:rsid w:val="00167862"/>
    <w:rsid w:val="00167898"/>
    <w:rsid w:val="00167C39"/>
    <w:rsid w:val="001702E7"/>
    <w:rsid w:val="00170397"/>
    <w:rsid w:val="0017051E"/>
    <w:rsid w:val="001705B7"/>
    <w:rsid w:val="00170B59"/>
    <w:rsid w:val="00170BC8"/>
    <w:rsid w:val="00170E1B"/>
    <w:rsid w:val="00171687"/>
    <w:rsid w:val="00171A8A"/>
    <w:rsid w:val="00171F79"/>
    <w:rsid w:val="00171FC4"/>
    <w:rsid w:val="001721D6"/>
    <w:rsid w:val="00172850"/>
    <w:rsid w:val="0017302C"/>
    <w:rsid w:val="001739EA"/>
    <w:rsid w:val="00173EF1"/>
    <w:rsid w:val="00173EF7"/>
    <w:rsid w:val="00173F04"/>
    <w:rsid w:val="001740AE"/>
    <w:rsid w:val="0017412C"/>
    <w:rsid w:val="001749FF"/>
    <w:rsid w:val="00174AB1"/>
    <w:rsid w:val="00174B2F"/>
    <w:rsid w:val="0017523E"/>
    <w:rsid w:val="001759BF"/>
    <w:rsid w:val="00176592"/>
    <w:rsid w:val="001766EE"/>
    <w:rsid w:val="00176A17"/>
    <w:rsid w:val="00176D1E"/>
    <w:rsid w:val="00177298"/>
    <w:rsid w:val="001772F2"/>
    <w:rsid w:val="001775A1"/>
    <w:rsid w:val="0017774A"/>
    <w:rsid w:val="00177CD5"/>
    <w:rsid w:val="00177E24"/>
    <w:rsid w:val="00180554"/>
    <w:rsid w:val="001805E4"/>
    <w:rsid w:val="00180841"/>
    <w:rsid w:val="00181023"/>
    <w:rsid w:val="0018178C"/>
    <w:rsid w:val="00181A9B"/>
    <w:rsid w:val="00181D9A"/>
    <w:rsid w:val="00181E63"/>
    <w:rsid w:val="00182005"/>
    <w:rsid w:val="0018229C"/>
    <w:rsid w:val="00182515"/>
    <w:rsid w:val="00182605"/>
    <w:rsid w:val="00182851"/>
    <w:rsid w:val="00182854"/>
    <w:rsid w:val="00182902"/>
    <w:rsid w:val="00182BD8"/>
    <w:rsid w:val="00182D1D"/>
    <w:rsid w:val="00182FF4"/>
    <w:rsid w:val="00183560"/>
    <w:rsid w:val="00183634"/>
    <w:rsid w:val="00183A89"/>
    <w:rsid w:val="00183BC1"/>
    <w:rsid w:val="00183C25"/>
    <w:rsid w:val="00183FFB"/>
    <w:rsid w:val="00184036"/>
    <w:rsid w:val="001843CE"/>
    <w:rsid w:val="001843DE"/>
    <w:rsid w:val="00184696"/>
    <w:rsid w:val="00184858"/>
    <w:rsid w:val="00184D50"/>
    <w:rsid w:val="00184DFE"/>
    <w:rsid w:val="00184FDB"/>
    <w:rsid w:val="0018575B"/>
    <w:rsid w:val="00185A38"/>
    <w:rsid w:val="00185B2B"/>
    <w:rsid w:val="00185E3F"/>
    <w:rsid w:val="0018662E"/>
    <w:rsid w:val="00186907"/>
    <w:rsid w:val="00186926"/>
    <w:rsid w:val="00186F50"/>
    <w:rsid w:val="001870B6"/>
    <w:rsid w:val="00187366"/>
    <w:rsid w:val="001876E3"/>
    <w:rsid w:val="0018789E"/>
    <w:rsid w:val="001905A9"/>
    <w:rsid w:val="00190BEF"/>
    <w:rsid w:val="00190CBC"/>
    <w:rsid w:val="001918F6"/>
    <w:rsid w:val="00191C5C"/>
    <w:rsid w:val="00191D50"/>
    <w:rsid w:val="00191DC3"/>
    <w:rsid w:val="00192AB5"/>
    <w:rsid w:val="00192FC0"/>
    <w:rsid w:val="00193203"/>
    <w:rsid w:val="00193717"/>
    <w:rsid w:val="00193E67"/>
    <w:rsid w:val="00194721"/>
    <w:rsid w:val="00194B1A"/>
    <w:rsid w:val="00195464"/>
    <w:rsid w:val="00195700"/>
    <w:rsid w:val="00195803"/>
    <w:rsid w:val="00195865"/>
    <w:rsid w:val="00195D68"/>
    <w:rsid w:val="001960B7"/>
    <w:rsid w:val="00196388"/>
    <w:rsid w:val="00196618"/>
    <w:rsid w:val="00196729"/>
    <w:rsid w:val="00196800"/>
    <w:rsid w:val="001969EC"/>
    <w:rsid w:val="00196A6D"/>
    <w:rsid w:val="00196E9A"/>
    <w:rsid w:val="001A01F7"/>
    <w:rsid w:val="001A0227"/>
    <w:rsid w:val="001A0264"/>
    <w:rsid w:val="001A03BE"/>
    <w:rsid w:val="001A097F"/>
    <w:rsid w:val="001A0F91"/>
    <w:rsid w:val="001A1039"/>
    <w:rsid w:val="001A10D9"/>
    <w:rsid w:val="001A15ED"/>
    <w:rsid w:val="001A1677"/>
    <w:rsid w:val="001A1912"/>
    <w:rsid w:val="001A209E"/>
    <w:rsid w:val="001A2FC8"/>
    <w:rsid w:val="001A2FDC"/>
    <w:rsid w:val="001A3492"/>
    <w:rsid w:val="001A36E9"/>
    <w:rsid w:val="001A3853"/>
    <w:rsid w:val="001A3CBE"/>
    <w:rsid w:val="001A3E2D"/>
    <w:rsid w:val="001A4477"/>
    <w:rsid w:val="001A4693"/>
    <w:rsid w:val="001A475E"/>
    <w:rsid w:val="001A4961"/>
    <w:rsid w:val="001A547E"/>
    <w:rsid w:val="001A55AB"/>
    <w:rsid w:val="001A583F"/>
    <w:rsid w:val="001A58E6"/>
    <w:rsid w:val="001A5926"/>
    <w:rsid w:val="001A63B9"/>
    <w:rsid w:val="001A6449"/>
    <w:rsid w:val="001A65FE"/>
    <w:rsid w:val="001A68EE"/>
    <w:rsid w:val="001A6C5B"/>
    <w:rsid w:val="001A6D3A"/>
    <w:rsid w:val="001A73C4"/>
    <w:rsid w:val="001A7756"/>
    <w:rsid w:val="001A778C"/>
    <w:rsid w:val="001A7A6F"/>
    <w:rsid w:val="001A7BDE"/>
    <w:rsid w:val="001A7E16"/>
    <w:rsid w:val="001A7EED"/>
    <w:rsid w:val="001B0019"/>
    <w:rsid w:val="001B025E"/>
    <w:rsid w:val="001B04BC"/>
    <w:rsid w:val="001B0615"/>
    <w:rsid w:val="001B06C1"/>
    <w:rsid w:val="001B0D76"/>
    <w:rsid w:val="001B0EC0"/>
    <w:rsid w:val="001B1012"/>
    <w:rsid w:val="001B10FE"/>
    <w:rsid w:val="001B12BB"/>
    <w:rsid w:val="001B136F"/>
    <w:rsid w:val="001B157A"/>
    <w:rsid w:val="001B1788"/>
    <w:rsid w:val="001B1FDD"/>
    <w:rsid w:val="001B241F"/>
    <w:rsid w:val="001B243D"/>
    <w:rsid w:val="001B2ABA"/>
    <w:rsid w:val="001B2BED"/>
    <w:rsid w:val="001B2D29"/>
    <w:rsid w:val="001B2F3D"/>
    <w:rsid w:val="001B30A2"/>
    <w:rsid w:val="001B30DF"/>
    <w:rsid w:val="001B31F1"/>
    <w:rsid w:val="001B3448"/>
    <w:rsid w:val="001B3668"/>
    <w:rsid w:val="001B39FB"/>
    <w:rsid w:val="001B3C39"/>
    <w:rsid w:val="001B3D33"/>
    <w:rsid w:val="001B4246"/>
    <w:rsid w:val="001B44C3"/>
    <w:rsid w:val="001B44C5"/>
    <w:rsid w:val="001B44E6"/>
    <w:rsid w:val="001B4617"/>
    <w:rsid w:val="001B4A2A"/>
    <w:rsid w:val="001B527F"/>
    <w:rsid w:val="001B59F1"/>
    <w:rsid w:val="001B6B24"/>
    <w:rsid w:val="001B6D39"/>
    <w:rsid w:val="001B6E2C"/>
    <w:rsid w:val="001B7080"/>
    <w:rsid w:val="001B7143"/>
    <w:rsid w:val="001B73D9"/>
    <w:rsid w:val="001B73FF"/>
    <w:rsid w:val="001B775B"/>
    <w:rsid w:val="001B77E5"/>
    <w:rsid w:val="001B7A19"/>
    <w:rsid w:val="001B7CA9"/>
    <w:rsid w:val="001C019D"/>
    <w:rsid w:val="001C01C9"/>
    <w:rsid w:val="001C07BC"/>
    <w:rsid w:val="001C0B0B"/>
    <w:rsid w:val="001C0B42"/>
    <w:rsid w:val="001C0C74"/>
    <w:rsid w:val="001C12E8"/>
    <w:rsid w:val="001C134F"/>
    <w:rsid w:val="001C1733"/>
    <w:rsid w:val="001C1921"/>
    <w:rsid w:val="001C1A56"/>
    <w:rsid w:val="001C1A5E"/>
    <w:rsid w:val="001C1DA4"/>
    <w:rsid w:val="001C210B"/>
    <w:rsid w:val="001C286C"/>
    <w:rsid w:val="001C2AEA"/>
    <w:rsid w:val="001C2FF8"/>
    <w:rsid w:val="001C3192"/>
    <w:rsid w:val="001C3542"/>
    <w:rsid w:val="001C38A9"/>
    <w:rsid w:val="001C3EC9"/>
    <w:rsid w:val="001C41C1"/>
    <w:rsid w:val="001C43F7"/>
    <w:rsid w:val="001C4675"/>
    <w:rsid w:val="001C4B8B"/>
    <w:rsid w:val="001C4F8B"/>
    <w:rsid w:val="001C51DF"/>
    <w:rsid w:val="001C524B"/>
    <w:rsid w:val="001C53F9"/>
    <w:rsid w:val="001C5578"/>
    <w:rsid w:val="001C595E"/>
    <w:rsid w:val="001C5AE3"/>
    <w:rsid w:val="001C64AA"/>
    <w:rsid w:val="001C6F4B"/>
    <w:rsid w:val="001C73D6"/>
    <w:rsid w:val="001C7406"/>
    <w:rsid w:val="001C769F"/>
    <w:rsid w:val="001C7A38"/>
    <w:rsid w:val="001C7CC2"/>
    <w:rsid w:val="001D0010"/>
    <w:rsid w:val="001D0489"/>
    <w:rsid w:val="001D0EAE"/>
    <w:rsid w:val="001D0F23"/>
    <w:rsid w:val="001D1D10"/>
    <w:rsid w:val="001D2325"/>
    <w:rsid w:val="001D2470"/>
    <w:rsid w:val="001D249A"/>
    <w:rsid w:val="001D2806"/>
    <w:rsid w:val="001D29C7"/>
    <w:rsid w:val="001D2D8F"/>
    <w:rsid w:val="001D2E2F"/>
    <w:rsid w:val="001D2F34"/>
    <w:rsid w:val="001D2FE5"/>
    <w:rsid w:val="001D3424"/>
    <w:rsid w:val="001D36D4"/>
    <w:rsid w:val="001D37A7"/>
    <w:rsid w:val="001D3871"/>
    <w:rsid w:val="001D3C24"/>
    <w:rsid w:val="001D3DB3"/>
    <w:rsid w:val="001D414A"/>
    <w:rsid w:val="001D42ED"/>
    <w:rsid w:val="001D461A"/>
    <w:rsid w:val="001D4666"/>
    <w:rsid w:val="001D467B"/>
    <w:rsid w:val="001D4728"/>
    <w:rsid w:val="001D474A"/>
    <w:rsid w:val="001D47B0"/>
    <w:rsid w:val="001D4865"/>
    <w:rsid w:val="001D48C1"/>
    <w:rsid w:val="001D49CD"/>
    <w:rsid w:val="001D4C84"/>
    <w:rsid w:val="001D4EFC"/>
    <w:rsid w:val="001D5285"/>
    <w:rsid w:val="001D57B2"/>
    <w:rsid w:val="001D57B5"/>
    <w:rsid w:val="001D59DF"/>
    <w:rsid w:val="001D5A8B"/>
    <w:rsid w:val="001D6043"/>
    <w:rsid w:val="001D611B"/>
    <w:rsid w:val="001D6793"/>
    <w:rsid w:val="001D69D0"/>
    <w:rsid w:val="001D6D67"/>
    <w:rsid w:val="001D6DB4"/>
    <w:rsid w:val="001D6DE7"/>
    <w:rsid w:val="001D767A"/>
    <w:rsid w:val="001D78CD"/>
    <w:rsid w:val="001D7A16"/>
    <w:rsid w:val="001E046F"/>
    <w:rsid w:val="001E04D2"/>
    <w:rsid w:val="001E06F1"/>
    <w:rsid w:val="001E08A7"/>
    <w:rsid w:val="001E09D2"/>
    <w:rsid w:val="001E0EC1"/>
    <w:rsid w:val="001E0F33"/>
    <w:rsid w:val="001E0F52"/>
    <w:rsid w:val="001E123E"/>
    <w:rsid w:val="001E1304"/>
    <w:rsid w:val="001E134D"/>
    <w:rsid w:val="001E16B3"/>
    <w:rsid w:val="001E1742"/>
    <w:rsid w:val="001E1838"/>
    <w:rsid w:val="001E1DB3"/>
    <w:rsid w:val="001E1F41"/>
    <w:rsid w:val="001E231A"/>
    <w:rsid w:val="001E28CB"/>
    <w:rsid w:val="001E2A0C"/>
    <w:rsid w:val="001E2FF0"/>
    <w:rsid w:val="001E3264"/>
    <w:rsid w:val="001E32D8"/>
    <w:rsid w:val="001E3450"/>
    <w:rsid w:val="001E34C9"/>
    <w:rsid w:val="001E3E85"/>
    <w:rsid w:val="001E411A"/>
    <w:rsid w:val="001E43F8"/>
    <w:rsid w:val="001E4745"/>
    <w:rsid w:val="001E4AEA"/>
    <w:rsid w:val="001E4BC0"/>
    <w:rsid w:val="001E4C65"/>
    <w:rsid w:val="001E5033"/>
    <w:rsid w:val="001E51B7"/>
    <w:rsid w:val="001E55D7"/>
    <w:rsid w:val="001E57B3"/>
    <w:rsid w:val="001E581C"/>
    <w:rsid w:val="001E593B"/>
    <w:rsid w:val="001E5BEF"/>
    <w:rsid w:val="001E5BF0"/>
    <w:rsid w:val="001E6062"/>
    <w:rsid w:val="001E638D"/>
    <w:rsid w:val="001E64E4"/>
    <w:rsid w:val="001E6D94"/>
    <w:rsid w:val="001E6F1C"/>
    <w:rsid w:val="001E70CF"/>
    <w:rsid w:val="001E726A"/>
    <w:rsid w:val="001E774A"/>
    <w:rsid w:val="001E7B4E"/>
    <w:rsid w:val="001E7F23"/>
    <w:rsid w:val="001F016F"/>
    <w:rsid w:val="001F03DE"/>
    <w:rsid w:val="001F0632"/>
    <w:rsid w:val="001F0905"/>
    <w:rsid w:val="001F1153"/>
    <w:rsid w:val="001F1242"/>
    <w:rsid w:val="001F166C"/>
    <w:rsid w:val="001F1CE2"/>
    <w:rsid w:val="001F1F61"/>
    <w:rsid w:val="001F215A"/>
    <w:rsid w:val="001F22A7"/>
    <w:rsid w:val="001F2328"/>
    <w:rsid w:val="001F235F"/>
    <w:rsid w:val="001F23DB"/>
    <w:rsid w:val="001F24E2"/>
    <w:rsid w:val="001F2505"/>
    <w:rsid w:val="001F2640"/>
    <w:rsid w:val="001F29BC"/>
    <w:rsid w:val="001F2BB0"/>
    <w:rsid w:val="001F2BC0"/>
    <w:rsid w:val="001F3031"/>
    <w:rsid w:val="001F330B"/>
    <w:rsid w:val="001F33AA"/>
    <w:rsid w:val="001F34A6"/>
    <w:rsid w:val="001F3561"/>
    <w:rsid w:val="001F35F8"/>
    <w:rsid w:val="001F3720"/>
    <w:rsid w:val="001F3782"/>
    <w:rsid w:val="001F3E24"/>
    <w:rsid w:val="001F4175"/>
    <w:rsid w:val="001F4448"/>
    <w:rsid w:val="001F45A1"/>
    <w:rsid w:val="001F4DA2"/>
    <w:rsid w:val="001F502D"/>
    <w:rsid w:val="001F52FE"/>
    <w:rsid w:val="001F555D"/>
    <w:rsid w:val="001F578A"/>
    <w:rsid w:val="001F579E"/>
    <w:rsid w:val="001F62E1"/>
    <w:rsid w:val="001F6761"/>
    <w:rsid w:val="001F68B0"/>
    <w:rsid w:val="001F6941"/>
    <w:rsid w:val="001F6963"/>
    <w:rsid w:val="001F6CFB"/>
    <w:rsid w:val="001F6DF0"/>
    <w:rsid w:val="001F6FA9"/>
    <w:rsid w:val="001F7160"/>
    <w:rsid w:val="001F720C"/>
    <w:rsid w:val="001F764E"/>
    <w:rsid w:val="001F7CB3"/>
    <w:rsid w:val="001F7D6E"/>
    <w:rsid w:val="001F7E49"/>
    <w:rsid w:val="001F7F8C"/>
    <w:rsid w:val="0020000D"/>
    <w:rsid w:val="0020011A"/>
    <w:rsid w:val="00200710"/>
    <w:rsid w:val="002007E6"/>
    <w:rsid w:val="002009EB"/>
    <w:rsid w:val="00200A2A"/>
    <w:rsid w:val="00200B20"/>
    <w:rsid w:val="002010A3"/>
    <w:rsid w:val="0020119B"/>
    <w:rsid w:val="002014AE"/>
    <w:rsid w:val="00201F1B"/>
    <w:rsid w:val="00201FB3"/>
    <w:rsid w:val="00202026"/>
    <w:rsid w:val="0020221E"/>
    <w:rsid w:val="002022B1"/>
    <w:rsid w:val="002023E3"/>
    <w:rsid w:val="0020252C"/>
    <w:rsid w:val="002026C2"/>
    <w:rsid w:val="00202FF7"/>
    <w:rsid w:val="0020301D"/>
    <w:rsid w:val="0020306B"/>
    <w:rsid w:val="0020335B"/>
    <w:rsid w:val="002034EE"/>
    <w:rsid w:val="00203AD3"/>
    <w:rsid w:val="00203B27"/>
    <w:rsid w:val="00203D99"/>
    <w:rsid w:val="00203ED2"/>
    <w:rsid w:val="00204235"/>
    <w:rsid w:val="0020478A"/>
    <w:rsid w:val="0020480D"/>
    <w:rsid w:val="00204B61"/>
    <w:rsid w:val="00204C97"/>
    <w:rsid w:val="00205795"/>
    <w:rsid w:val="002058EF"/>
    <w:rsid w:val="00205A7A"/>
    <w:rsid w:val="00205D35"/>
    <w:rsid w:val="002060F5"/>
    <w:rsid w:val="002061C6"/>
    <w:rsid w:val="002063F7"/>
    <w:rsid w:val="00206404"/>
    <w:rsid w:val="00207319"/>
    <w:rsid w:val="002102EF"/>
    <w:rsid w:val="00210472"/>
    <w:rsid w:val="002104E3"/>
    <w:rsid w:val="002106BD"/>
    <w:rsid w:val="0021073D"/>
    <w:rsid w:val="002107B0"/>
    <w:rsid w:val="00210862"/>
    <w:rsid w:val="00210A56"/>
    <w:rsid w:val="00210AE4"/>
    <w:rsid w:val="00210F65"/>
    <w:rsid w:val="00211005"/>
    <w:rsid w:val="00211598"/>
    <w:rsid w:val="00211622"/>
    <w:rsid w:val="00211634"/>
    <w:rsid w:val="0021163C"/>
    <w:rsid w:val="00211AC2"/>
    <w:rsid w:val="00211DFF"/>
    <w:rsid w:val="00211E61"/>
    <w:rsid w:val="00211E6C"/>
    <w:rsid w:val="002122EB"/>
    <w:rsid w:val="00212766"/>
    <w:rsid w:val="002127B3"/>
    <w:rsid w:val="002127C5"/>
    <w:rsid w:val="00212A46"/>
    <w:rsid w:val="00212C9E"/>
    <w:rsid w:val="00213204"/>
    <w:rsid w:val="002133FD"/>
    <w:rsid w:val="0021357C"/>
    <w:rsid w:val="002138A6"/>
    <w:rsid w:val="00213D44"/>
    <w:rsid w:val="00213D81"/>
    <w:rsid w:val="0021416C"/>
    <w:rsid w:val="002143B4"/>
    <w:rsid w:val="0021459C"/>
    <w:rsid w:val="00214A1E"/>
    <w:rsid w:val="00214A71"/>
    <w:rsid w:val="00214AFA"/>
    <w:rsid w:val="00214B17"/>
    <w:rsid w:val="00214C96"/>
    <w:rsid w:val="00215007"/>
    <w:rsid w:val="00215012"/>
    <w:rsid w:val="0021514B"/>
    <w:rsid w:val="002152BF"/>
    <w:rsid w:val="0021552B"/>
    <w:rsid w:val="00215675"/>
    <w:rsid w:val="00215724"/>
    <w:rsid w:val="00215837"/>
    <w:rsid w:val="00215B00"/>
    <w:rsid w:val="00215C3B"/>
    <w:rsid w:val="002162D4"/>
    <w:rsid w:val="002167B8"/>
    <w:rsid w:val="00216A05"/>
    <w:rsid w:val="00216DA9"/>
    <w:rsid w:val="00217177"/>
    <w:rsid w:val="0021721B"/>
    <w:rsid w:val="002172F7"/>
    <w:rsid w:val="002176B6"/>
    <w:rsid w:val="00217A32"/>
    <w:rsid w:val="00217B10"/>
    <w:rsid w:val="002201B6"/>
    <w:rsid w:val="00220B18"/>
    <w:rsid w:val="00220D0B"/>
    <w:rsid w:val="00221AE5"/>
    <w:rsid w:val="00221C20"/>
    <w:rsid w:val="00221D0F"/>
    <w:rsid w:val="00221F1A"/>
    <w:rsid w:val="00221FB1"/>
    <w:rsid w:val="00222111"/>
    <w:rsid w:val="00222330"/>
    <w:rsid w:val="002223CB"/>
    <w:rsid w:val="002224C5"/>
    <w:rsid w:val="00222904"/>
    <w:rsid w:val="0022322B"/>
    <w:rsid w:val="00223443"/>
    <w:rsid w:val="002235D2"/>
    <w:rsid w:val="00223655"/>
    <w:rsid w:val="0022390C"/>
    <w:rsid w:val="00223D76"/>
    <w:rsid w:val="002240BC"/>
    <w:rsid w:val="00224615"/>
    <w:rsid w:val="0022470E"/>
    <w:rsid w:val="00224B67"/>
    <w:rsid w:val="002255D0"/>
    <w:rsid w:val="00225A3E"/>
    <w:rsid w:val="00225F5A"/>
    <w:rsid w:val="00226292"/>
    <w:rsid w:val="0022667F"/>
    <w:rsid w:val="00226896"/>
    <w:rsid w:val="00226A29"/>
    <w:rsid w:val="00226E22"/>
    <w:rsid w:val="00226F86"/>
    <w:rsid w:val="0022704D"/>
    <w:rsid w:val="002270DB"/>
    <w:rsid w:val="002271B0"/>
    <w:rsid w:val="00227546"/>
    <w:rsid w:val="00227AD4"/>
    <w:rsid w:val="0023032E"/>
    <w:rsid w:val="00231127"/>
    <w:rsid w:val="002317FE"/>
    <w:rsid w:val="00231E9D"/>
    <w:rsid w:val="002323E8"/>
    <w:rsid w:val="00232411"/>
    <w:rsid w:val="002324A3"/>
    <w:rsid w:val="00232721"/>
    <w:rsid w:val="00232770"/>
    <w:rsid w:val="00232A98"/>
    <w:rsid w:val="00232BAD"/>
    <w:rsid w:val="002333AE"/>
    <w:rsid w:val="0023346F"/>
    <w:rsid w:val="00233794"/>
    <w:rsid w:val="00233E0C"/>
    <w:rsid w:val="00233E7F"/>
    <w:rsid w:val="0023425A"/>
    <w:rsid w:val="002342A7"/>
    <w:rsid w:val="00234387"/>
    <w:rsid w:val="002343C4"/>
    <w:rsid w:val="00234A33"/>
    <w:rsid w:val="00234BC0"/>
    <w:rsid w:val="00234F13"/>
    <w:rsid w:val="002353EB"/>
    <w:rsid w:val="0023565E"/>
    <w:rsid w:val="00235901"/>
    <w:rsid w:val="00235BB5"/>
    <w:rsid w:val="00235FAB"/>
    <w:rsid w:val="002360ED"/>
    <w:rsid w:val="0023634E"/>
    <w:rsid w:val="00236628"/>
    <w:rsid w:val="00236850"/>
    <w:rsid w:val="00236B76"/>
    <w:rsid w:val="00236DD5"/>
    <w:rsid w:val="00236EA7"/>
    <w:rsid w:val="00236F0C"/>
    <w:rsid w:val="00236FF3"/>
    <w:rsid w:val="00237166"/>
    <w:rsid w:val="002373DE"/>
    <w:rsid w:val="00237B73"/>
    <w:rsid w:val="00240087"/>
    <w:rsid w:val="0024009A"/>
    <w:rsid w:val="00240AF7"/>
    <w:rsid w:val="00240E78"/>
    <w:rsid w:val="002411D1"/>
    <w:rsid w:val="002419E1"/>
    <w:rsid w:val="00241AE2"/>
    <w:rsid w:val="00241D96"/>
    <w:rsid w:val="00241F40"/>
    <w:rsid w:val="0024258A"/>
    <w:rsid w:val="00242891"/>
    <w:rsid w:val="00242947"/>
    <w:rsid w:val="0024299C"/>
    <w:rsid w:val="00242C64"/>
    <w:rsid w:val="00242D66"/>
    <w:rsid w:val="002430D1"/>
    <w:rsid w:val="0024332D"/>
    <w:rsid w:val="00243A27"/>
    <w:rsid w:val="00243B5B"/>
    <w:rsid w:val="00243C70"/>
    <w:rsid w:val="00243C9A"/>
    <w:rsid w:val="00244519"/>
    <w:rsid w:val="00244607"/>
    <w:rsid w:val="002447BC"/>
    <w:rsid w:val="00244ED3"/>
    <w:rsid w:val="002453EB"/>
    <w:rsid w:val="002455BF"/>
    <w:rsid w:val="002456BA"/>
    <w:rsid w:val="00245FE1"/>
    <w:rsid w:val="002461A4"/>
    <w:rsid w:val="002461F9"/>
    <w:rsid w:val="0024673F"/>
    <w:rsid w:val="00246930"/>
    <w:rsid w:val="00246B67"/>
    <w:rsid w:val="00246FBD"/>
    <w:rsid w:val="002471C5"/>
    <w:rsid w:val="00247419"/>
    <w:rsid w:val="00247598"/>
    <w:rsid w:val="00247774"/>
    <w:rsid w:val="00247B07"/>
    <w:rsid w:val="00247BB2"/>
    <w:rsid w:val="002502FD"/>
    <w:rsid w:val="00250787"/>
    <w:rsid w:val="002508C8"/>
    <w:rsid w:val="00250AA3"/>
    <w:rsid w:val="00250BF7"/>
    <w:rsid w:val="0025115E"/>
    <w:rsid w:val="002512C1"/>
    <w:rsid w:val="00251727"/>
    <w:rsid w:val="00251BCF"/>
    <w:rsid w:val="00251E66"/>
    <w:rsid w:val="002523E1"/>
    <w:rsid w:val="002524CA"/>
    <w:rsid w:val="002525EA"/>
    <w:rsid w:val="00252704"/>
    <w:rsid w:val="00252830"/>
    <w:rsid w:val="0025286A"/>
    <w:rsid w:val="002529F5"/>
    <w:rsid w:val="00252EED"/>
    <w:rsid w:val="002533A2"/>
    <w:rsid w:val="0025370A"/>
    <w:rsid w:val="00253932"/>
    <w:rsid w:val="00253AC9"/>
    <w:rsid w:val="0025429A"/>
    <w:rsid w:val="00254393"/>
    <w:rsid w:val="00254B09"/>
    <w:rsid w:val="0025545D"/>
    <w:rsid w:val="00255525"/>
    <w:rsid w:val="002557DF"/>
    <w:rsid w:val="00255BF1"/>
    <w:rsid w:val="00255F72"/>
    <w:rsid w:val="002560FC"/>
    <w:rsid w:val="00256318"/>
    <w:rsid w:val="00256352"/>
    <w:rsid w:val="002564FF"/>
    <w:rsid w:val="002566F4"/>
    <w:rsid w:val="002570BE"/>
    <w:rsid w:val="002571F2"/>
    <w:rsid w:val="00257408"/>
    <w:rsid w:val="00257ACA"/>
    <w:rsid w:val="0026043F"/>
    <w:rsid w:val="00260B03"/>
    <w:rsid w:val="00260BC2"/>
    <w:rsid w:val="002618DA"/>
    <w:rsid w:val="00261C01"/>
    <w:rsid w:val="00262056"/>
    <w:rsid w:val="00262D76"/>
    <w:rsid w:val="002632A6"/>
    <w:rsid w:val="002632BB"/>
    <w:rsid w:val="002638CD"/>
    <w:rsid w:val="00263AA1"/>
    <w:rsid w:val="00263D14"/>
    <w:rsid w:val="00264346"/>
    <w:rsid w:val="00264923"/>
    <w:rsid w:val="00264995"/>
    <w:rsid w:val="00264D05"/>
    <w:rsid w:val="00264D48"/>
    <w:rsid w:val="00264DA6"/>
    <w:rsid w:val="00264F0C"/>
    <w:rsid w:val="00265420"/>
    <w:rsid w:val="00265450"/>
    <w:rsid w:val="0026566E"/>
    <w:rsid w:val="00265BBE"/>
    <w:rsid w:val="00265E61"/>
    <w:rsid w:val="0026608A"/>
    <w:rsid w:val="002664F9"/>
    <w:rsid w:val="00266CC5"/>
    <w:rsid w:val="00266E1C"/>
    <w:rsid w:val="00267178"/>
    <w:rsid w:val="002672CA"/>
    <w:rsid w:val="00267513"/>
    <w:rsid w:val="002677EE"/>
    <w:rsid w:val="00267ABF"/>
    <w:rsid w:val="0027090D"/>
    <w:rsid w:val="00270BD4"/>
    <w:rsid w:val="00270E87"/>
    <w:rsid w:val="00270EBC"/>
    <w:rsid w:val="00271378"/>
    <w:rsid w:val="00271931"/>
    <w:rsid w:val="00271DB1"/>
    <w:rsid w:val="00271EC9"/>
    <w:rsid w:val="00271F24"/>
    <w:rsid w:val="00272073"/>
    <w:rsid w:val="00273292"/>
    <w:rsid w:val="002736BA"/>
    <w:rsid w:val="00273ED4"/>
    <w:rsid w:val="00274156"/>
    <w:rsid w:val="0027487F"/>
    <w:rsid w:val="00274CA3"/>
    <w:rsid w:val="00274FD7"/>
    <w:rsid w:val="0027543F"/>
    <w:rsid w:val="002755B1"/>
    <w:rsid w:val="0027579E"/>
    <w:rsid w:val="002757D2"/>
    <w:rsid w:val="00275A08"/>
    <w:rsid w:val="0027614E"/>
    <w:rsid w:val="00276350"/>
    <w:rsid w:val="00276368"/>
    <w:rsid w:val="00276434"/>
    <w:rsid w:val="0027721F"/>
    <w:rsid w:val="00277506"/>
    <w:rsid w:val="0027761E"/>
    <w:rsid w:val="002777C9"/>
    <w:rsid w:val="002777E3"/>
    <w:rsid w:val="00277AB6"/>
    <w:rsid w:val="00277B3B"/>
    <w:rsid w:val="00277D4F"/>
    <w:rsid w:val="0028015B"/>
    <w:rsid w:val="002807E3"/>
    <w:rsid w:val="0028096C"/>
    <w:rsid w:val="002809A3"/>
    <w:rsid w:val="00280BCF"/>
    <w:rsid w:val="00280F38"/>
    <w:rsid w:val="002811C0"/>
    <w:rsid w:val="002811ED"/>
    <w:rsid w:val="002816C8"/>
    <w:rsid w:val="00281709"/>
    <w:rsid w:val="002817F7"/>
    <w:rsid w:val="002818C6"/>
    <w:rsid w:val="00281B14"/>
    <w:rsid w:val="00281C39"/>
    <w:rsid w:val="00281D42"/>
    <w:rsid w:val="00281E2E"/>
    <w:rsid w:val="00282A01"/>
    <w:rsid w:val="00282B82"/>
    <w:rsid w:val="00282BA4"/>
    <w:rsid w:val="00282F6C"/>
    <w:rsid w:val="00283006"/>
    <w:rsid w:val="0028353E"/>
    <w:rsid w:val="00283D7E"/>
    <w:rsid w:val="00283F40"/>
    <w:rsid w:val="0028405A"/>
    <w:rsid w:val="002847C2"/>
    <w:rsid w:val="00284B9F"/>
    <w:rsid w:val="00284C45"/>
    <w:rsid w:val="00284E22"/>
    <w:rsid w:val="00285E36"/>
    <w:rsid w:val="00285F6B"/>
    <w:rsid w:val="0028606D"/>
    <w:rsid w:val="002863A4"/>
    <w:rsid w:val="00286476"/>
    <w:rsid w:val="002867E0"/>
    <w:rsid w:val="002868E8"/>
    <w:rsid w:val="0028695D"/>
    <w:rsid w:val="00286D75"/>
    <w:rsid w:val="00286DBA"/>
    <w:rsid w:val="00286DD5"/>
    <w:rsid w:val="00286ED5"/>
    <w:rsid w:val="00286FA8"/>
    <w:rsid w:val="0028728E"/>
    <w:rsid w:val="002872D3"/>
    <w:rsid w:val="00287423"/>
    <w:rsid w:val="0028775E"/>
    <w:rsid w:val="00287A42"/>
    <w:rsid w:val="00287BA4"/>
    <w:rsid w:val="0029007E"/>
    <w:rsid w:val="00290D11"/>
    <w:rsid w:val="00290EC7"/>
    <w:rsid w:val="002913EE"/>
    <w:rsid w:val="002914B8"/>
    <w:rsid w:val="00291532"/>
    <w:rsid w:val="002917D7"/>
    <w:rsid w:val="002922A5"/>
    <w:rsid w:val="00292826"/>
    <w:rsid w:val="0029320C"/>
    <w:rsid w:val="00293318"/>
    <w:rsid w:val="002933A5"/>
    <w:rsid w:val="002934DA"/>
    <w:rsid w:val="0029398B"/>
    <w:rsid w:val="00293CAA"/>
    <w:rsid w:val="002943CA"/>
    <w:rsid w:val="002946B1"/>
    <w:rsid w:val="00294BDE"/>
    <w:rsid w:val="00294E09"/>
    <w:rsid w:val="002951CA"/>
    <w:rsid w:val="00295354"/>
    <w:rsid w:val="0029537D"/>
    <w:rsid w:val="0029556C"/>
    <w:rsid w:val="002957C7"/>
    <w:rsid w:val="002958D2"/>
    <w:rsid w:val="00295DEF"/>
    <w:rsid w:val="00296484"/>
    <w:rsid w:val="00296E69"/>
    <w:rsid w:val="0029735E"/>
    <w:rsid w:val="002973C7"/>
    <w:rsid w:val="002979AB"/>
    <w:rsid w:val="00297A88"/>
    <w:rsid w:val="00297B2C"/>
    <w:rsid w:val="00297F83"/>
    <w:rsid w:val="002A0054"/>
    <w:rsid w:val="002A0136"/>
    <w:rsid w:val="002A03F3"/>
    <w:rsid w:val="002A061D"/>
    <w:rsid w:val="002A0717"/>
    <w:rsid w:val="002A074E"/>
    <w:rsid w:val="002A0D14"/>
    <w:rsid w:val="002A125E"/>
    <w:rsid w:val="002A1992"/>
    <w:rsid w:val="002A19FD"/>
    <w:rsid w:val="002A1AB1"/>
    <w:rsid w:val="002A1B12"/>
    <w:rsid w:val="002A1B65"/>
    <w:rsid w:val="002A2194"/>
    <w:rsid w:val="002A21D4"/>
    <w:rsid w:val="002A2840"/>
    <w:rsid w:val="002A2D0D"/>
    <w:rsid w:val="002A304A"/>
    <w:rsid w:val="002A3166"/>
    <w:rsid w:val="002A3993"/>
    <w:rsid w:val="002A508C"/>
    <w:rsid w:val="002A5BA9"/>
    <w:rsid w:val="002A6032"/>
    <w:rsid w:val="002A60BF"/>
    <w:rsid w:val="002A611A"/>
    <w:rsid w:val="002A63ED"/>
    <w:rsid w:val="002A64E2"/>
    <w:rsid w:val="002A6620"/>
    <w:rsid w:val="002A6716"/>
    <w:rsid w:val="002A68B3"/>
    <w:rsid w:val="002A696C"/>
    <w:rsid w:val="002A6BFC"/>
    <w:rsid w:val="002A71DD"/>
    <w:rsid w:val="002A7326"/>
    <w:rsid w:val="002A736A"/>
    <w:rsid w:val="002A7F71"/>
    <w:rsid w:val="002B0099"/>
    <w:rsid w:val="002B027A"/>
    <w:rsid w:val="002B02B8"/>
    <w:rsid w:val="002B03BA"/>
    <w:rsid w:val="002B07FF"/>
    <w:rsid w:val="002B0D3F"/>
    <w:rsid w:val="002B0EB3"/>
    <w:rsid w:val="002B0FD3"/>
    <w:rsid w:val="002B1041"/>
    <w:rsid w:val="002B14DB"/>
    <w:rsid w:val="002B15ED"/>
    <w:rsid w:val="002B192F"/>
    <w:rsid w:val="002B1E53"/>
    <w:rsid w:val="002B262F"/>
    <w:rsid w:val="002B2961"/>
    <w:rsid w:val="002B2EC9"/>
    <w:rsid w:val="002B3347"/>
    <w:rsid w:val="002B3516"/>
    <w:rsid w:val="002B3553"/>
    <w:rsid w:val="002B369F"/>
    <w:rsid w:val="002B3D80"/>
    <w:rsid w:val="002B3E7E"/>
    <w:rsid w:val="002B41E6"/>
    <w:rsid w:val="002B426B"/>
    <w:rsid w:val="002B45CF"/>
    <w:rsid w:val="002B49C5"/>
    <w:rsid w:val="002B57E4"/>
    <w:rsid w:val="002B5822"/>
    <w:rsid w:val="002B5924"/>
    <w:rsid w:val="002B5C98"/>
    <w:rsid w:val="002B656C"/>
    <w:rsid w:val="002B6606"/>
    <w:rsid w:val="002B788B"/>
    <w:rsid w:val="002B7A6E"/>
    <w:rsid w:val="002B7D43"/>
    <w:rsid w:val="002C07A1"/>
    <w:rsid w:val="002C0BCE"/>
    <w:rsid w:val="002C0E13"/>
    <w:rsid w:val="002C11EB"/>
    <w:rsid w:val="002C1312"/>
    <w:rsid w:val="002C1A1D"/>
    <w:rsid w:val="002C1AF0"/>
    <w:rsid w:val="002C28F9"/>
    <w:rsid w:val="002C2E16"/>
    <w:rsid w:val="002C3004"/>
    <w:rsid w:val="002C315A"/>
    <w:rsid w:val="002C355B"/>
    <w:rsid w:val="002C35ED"/>
    <w:rsid w:val="002C3A10"/>
    <w:rsid w:val="002C3FEA"/>
    <w:rsid w:val="002C4667"/>
    <w:rsid w:val="002C47DF"/>
    <w:rsid w:val="002C47F3"/>
    <w:rsid w:val="002C483C"/>
    <w:rsid w:val="002C4C27"/>
    <w:rsid w:val="002C4D1F"/>
    <w:rsid w:val="002C51A8"/>
    <w:rsid w:val="002C53E2"/>
    <w:rsid w:val="002C5C8B"/>
    <w:rsid w:val="002C5CC8"/>
    <w:rsid w:val="002C60B6"/>
    <w:rsid w:val="002C630E"/>
    <w:rsid w:val="002C63EC"/>
    <w:rsid w:val="002C698E"/>
    <w:rsid w:val="002C6D0F"/>
    <w:rsid w:val="002C6E7A"/>
    <w:rsid w:val="002C7387"/>
    <w:rsid w:val="002C7CDD"/>
    <w:rsid w:val="002D0108"/>
    <w:rsid w:val="002D0380"/>
    <w:rsid w:val="002D04B7"/>
    <w:rsid w:val="002D07ED"/>
    <w:rsid w:val="002D0A22"/>
    <w:rsid w:val="002D0CDC"/>
    <w:rsid w:val="002D0EF7"/>
    <w:rsid w:val="002D1581"/>
    <w:rsid w:val="002D18A3"/>
    <w:rsid w:val="002D1B94"/>
    <w:rsid w:val="002D1B97"/>
    <w:rsid w:val="002D2740"/>
    <w:rsid w:val="002D2837"/>
    <w:rsid w:val="002D2B82"/>
    <w:rsid w:val="002D2CF4"/>
    <w:rsid w:val="002D2EA4"/>
    <w:rsid w:val="002D32A8"/>
    <w:rsid w:val="002D3763"/>
    <w:rsid w:val="002D3C8C"/>
    <w:rsid w:val="002D3ED9"/>
    <w:rsid w:val="002D4008"/>
    <w:rsid w:val="002D43B0"/>
    <w:rsid w:val="002D46E1"/>
    <w:rsid w:val="002D4BCE"/>
    <w:rsid w:val="002D4D3C"/>
    <w:rsid w:val="002D4DE0"/>
    <w:rsid w:val="002D4EFA"/>
    <w:rsid w:val="002D52E6"/>
    <w:rsid w:val="002D546B"/>
    <w:rsid w:val="002D58F5"/>
    <w:rsid w:val="002D5AF4"/>
    <w:rsid w:val="002D5D8F"/>
    <w:rsid w:val="002D632F"/>
    <w:rsid w:val="002D6A53"/>
    <w:rsid w:val="002D6A55"/>
    <w:rsid w:val="002D6B7B"/>
    <w:rsid w:val="002D6CE6"/>
    <w:rsid w:val="002D6D3F"/>
    <w:rsid w:val="002D6DC1"/>
    <w:rsid w:val="002D6DC4"/>
    <w:rsid w:val="002D7405"/>
    <w:rsid w:val="002D755C"/>
    <w:rsid w:val="002D76D7"/>
    <w:rsid w:val="002E02B6"/>
    <w:rsid w:val="002E0CDC"/>
    <w:rsid w:val="002E0CF0"/>
    <w:rsid w:val="002E0EB8"/>
    <w:rsid w:val="002E0FBA"/>
    <w:rsid w:val="002E1283"/>
    <w:rsid w:val="002E1385"/>
    <w:rsid w:val="002E15B4"/>
    <w:rsid w:val="002E1AF0"/>
    <w:rsid w:val="002E1C5E"/>
    <w:rsid w:val="002E228A"/>
    <w:rsid w:val="002E24AA"/>
    <w:rsid w:val="002E2628"/>
    <w:rsid w:val="002E2ECB"/>
    <w:rsid w:val="002E3826"/>
    <w:rsid w:val="002E3F1C"/>
    <w:rsid w:val="002E4485"/>
    <w:rsid w:val="002E47DE"/>
    <w:rsid w:val="002E4966"/>
    <w:rsid w:val="002E4B20"/>
    <w:rsid w:val="002E4BA8"/>
    <w:rsid w:val="002E547A"/>
    <w:rsid w:val="002E58AD"/>
    <w:rsid w:val="002E5AC3"/>
    <w:rsid w:val="002E5C89"/>
    <w:rsid w:val="002E5F39"/>
    <w:rsid w:val="002E5F76"/>
    <w:rsid w:val="002E608D"/>
    <w:rsid w:val="002E6114"/>
    <w:rsid w:val="002E629B"/>
    <w:rsid w:val="002E63AD"/>
    <w:rsid w:val="002E6C36"/>
    <w:rsid w:val="002E6ECE"/>
    <w:rsid w:val="002E7418"/>
    <w:rsid w:val="002E757A"/>
    <w:rsid w:val="002E7623"/>
    <w:rsid w:val="002E7775"/>
    <w:rsid w:val="002E77E7"/>
    <w:rsid w:val="002E7A2B"/>
    <w:rsid w:val="002F0071"/>
    <w:rsid w:val="002F032A"/>
    <w:rsid w:val="002F09E0"/>
    <w:rsid w:val="002F0B0E"/>
    <w:rsid w:val="002F0B23"/>
    <w:rsid w:val="002F0FBF"/>
    <w:rsid w:val="002F1097"/>
    <w:rsid w:val="002F1253"/>
    <w:rsid w:val="002F12A5"/>
    <w:rsid w:val="002F1BC0"/>
    <w:rsid w:val="002F1C3F"/>
    <w:rsid w:val="002F1C59"/>
    <w:rsid w:val="002F1D66"/>
    <w:rsid w:val="002F1F62"/>
    <w:rsid w:val="002F20A2"/>
    <w:rsid w:val="002F21D9"/>
    <w:rsid w:val="002F2929"/>
    <w:rsid w:val="002F2B3C"/>
    <w:rsid w:val="002F2C89"/>
    <w:rsid w:val="002F2C98"/>
    <w:rsid w:val="002F320C"/>
    <w:rsid w:val="002F3314"/>
    <w:rsid w:val="002F34C4"/>
    <w:rsid w:val="002F388C"/>
    <w:rsid w:val="002F3C87"/>
    <w:rsid w:val="002F3F5C"/>
    <w:rsid w:val="002F427E"/>
    <w:rsid w:val="002F4289"/>
    <w:rsid w:val="002F4770"/>
    <w:rsid w:val="002F47FD"/>
    <w:rsid w:val="002F48AB"/>
    <w:rsid w:val="002F48B9"/>
    <w:rsid w:val="002F4AE1"/>
    <w:rsid w:val="002F4B92"/>
    <w:rsid w:val="002F4C42"/>
    <w:rsid w:val="002F4F70"/>
    <w:rsid w:val="002F53C2"/>
    <w:rsid w:val="002F54D1"/>
    <w:rsid w:val="002F573F"/>
    <w:rsid w:val="002F5847"/>
    <w:rsid w:val="002F5C09"/>
    <w:rsid w:val="002F6CEC"/>
    <w:rsid w:val="002F6EA0"/>
    <w:rsid w:val="002F6F63"/>
    <w:rsid w:val="002F7182"/>
    <w:rsid w:val="002F7241"/>
    <w:rsid w:val="002F771E"/>
    <w:rsid w:val="002F7CA2"/>
    <w:rsid w:val="00300345"/>
    <w:rsid w:val="00300678"/>
    <w:rsid w:val="00300684"/>
    <w:rsid w:val="003006DB"/>
    <w:rsid w:val="00300C06"/>
    <w:rsid w:val="00300D96"/>
    <w:rsid w:val="00301153"/>
    <w:rsid w:val="00301416"/>
    <w:rsid w:val="003018A1"/>
    <w:rsid w:val="00301AE6"/>
    <w:rsid w:val="00302076"/>
    <w:rsid w:val="003022B8"/>
    <w:rsid w:val="003022FC"/>
    <w:rsid w:val="00302374"/>
    <w:rsid w:val="00302539"/>
    <w:rsid w:val="00302575"/>
    <w:rsid w:val="003025E6"/>
    <w:rsid w:val="003029F3"/>
    <w:rsid w:val="00302E4C"/>
    <w:rsid w:val="00302EEF"/>
    <w:rsid w:val="003033B6"/>
    <w:rsid w:val="00303633"/>
    <w:rsid w:val="00303817"/>
    <w:rsid w:val="00303C5E"/>
    <w:rsid w:val="00303E3E"/>
    <w:rsid w:val="0030472A"/>
    <w:rsid w:val="003049D9"/>
    <w:rsid w:val="00304D18"/>
    <w:rsid w:val="00304E2D"/>
    <w:rsid w:val="00304E7C"/>
    <w:rsid w:val="00304EE2"/>
    <w:rsid w:val="00305CFB"/>
    <w:rsid w:val="00305E6D"/>
    <w:rsid w:val="00305FD0"/>
    <w:rsid w:val="0030675A"/>
    <w:rsid w:val="00307121"/>
    <w:rsid w:val="0030791C"/>
    <w:rsid w:val="00307BFF"/>
    <w:rsid w:val="00310BF9"/>
    <w:rsid w:val="0031130C"/>
    <w:rsid w:val="0031133A"/>
    <w:rsid w:val="003113F3"/>
    <w:rsid w:val="0031167E"/>
    <w:rsid w:val="003116B9"/>
    <w:rsid w:val="00312094"/>
    <w:rsid w:val="00312111"/>
    <w:rsid w:val="00312524"/>
    <w:rsid w:val="00312530"/>
    <w:rsid w:val="00312750"/>
    <w:rsid w:val="00312A8E"/>
    <w:rsid w:val="00312D9C"/>
    <w:rsid w:val="00312DB5"/>
    <w:rsid w:val="00312DF4"/>
    <w:rsid w:val="00312F7B"/>
    <w:rsid w:val="003141EB"/>
    <w:rsid w:val="0031438B"/>
    <w:rsid w:val="00314541"/>
    <w:rsid w:val="00314626"/>
    <w:rsid w:val="00314728"/>
    <w:rsid w:val="003148FD"/>
    <w:rsid w:val="00314D30"/>
    <w:rsid w:val="00314D55"/>
    <w:rsid w:val="00315575"/>
    <w:rsid w:val="003159A4"/>
    <w:rsid w:val="00315A1B"/>
    <w:rsid w:val="00315D4B"/>
    <w:rsid w:val="00315E25"/>
    <w:rsid w:val="00315FDB"/>
    <w:rsid w:val="0031654B"/>
    <w:rsid w:val="00316631"/>
    <w:rsid w:val="0031697C"/>
    <w:rsid w:val="00316E26"/>
    <w:rsid w:val="00317142"/>
    <w:rsid w:val="003173B0"/>
    <w:rsid w:val="003174B3"/>
    <w:rsid w:val="0031751F"/>
    <w:rsid w:val="003176E0"/>
    <w:rsid w:val="00317971"/>
    <w:rsid w:val="00317EC5"/>
    <w:rsid w:val="0032003C"/>
    <w:rsid w:val="00320274"/>
    <w:rsid w:val="003203D0"/>
    <w:rsid w:val="0032099F"/>
    <w:rsid w:val="00320ACC"/>
    <w:rsid w:val="00320B40"/>
    <w:rsid w:val="00320BA2"/>
    <w:rsid w:val="00320BD9"/>
    <w:rsid w:val="00321301"/>
    <w:rsid w:val="00321610"/>
    <w:rsid w:val="00321750"/>
    <w:rsid w:val="00321A6D"/>
    <w:rsid w:val="00321EA8"/>
    <w:rsid w:val="003221B8"/>
    <w:rsid w:val="0032241B"/>
    <w:rsid w:val="00322574"/>
    <w:rsid w:val="00323043"/>
    <w:rsid w:val="00323057"/>
    <w:rsid w:val="003231C6"/>
    <w:rsid w:val="003235A2"/>
    <w:rsid w:val="0032394E"/>
    <w:rsid w:val="00323B17"/>
    <w:rsid w:val="00323C5D"/>
    <w:rsid w:val="00324019"/>
    <w:rsid w:val="003240A6"/>
    <w:rsid w:val="00324481"/>
    <w:rsid w:val="00324639"/>
    <w:rsid w:val="00324B96"/>
    <w:rsid w:val="003256A0"/>
    <w:rsid w:val="0032665E"/>
    <w:rsid w:val="0032667F"/>
    <w:rsid w:val="00326BD5"/>
    <w:rsid w:val="00326E8F"/>
    <w:rsid w:val="00326F29"/>
    <w:rsid w:val="003277BD"/>
    <w:rsid w:val="003278D5"/>
    <w:rsid w:val="00327AD4"/>
    <w:rsid w:val="00327CF4"/>
    <w:rsid w:val="00327EEB"/>
    <w:rsid w:val="00330120"/>
    <w:rsid w:val="0033075C"/>
    <w:rsid w:val="003307EB"/>
    <w:rsid w:val="00330D69"/>
    <w:rsid w:val="003318F2"/>
    <w:rsid w:val="00331FB8"/>
    <w:rsid w:val="00332080"/>
    <w:rsid w:val="003321D1"/>
    <w:rsid w:val="00332359"/>
    <w:rsid w:val="00332A6A"/>
    <w:rsid w:val="00332B71"/>
    <w:rsid w:val="00332E96"/>
    <w:rsid w:val="0033347F"/>
    <w:rsid w:val="003335C6"/>
    <w:rsid w:val="00333623"/>
    <w:rsid w:val="003337EC"/>
    <w:rsid w:val="00333A77"/>
    <w:rsid w:val="00333DD6"/>
    <w:rsid w:val="00333EF5"/>
    <w:rsid w:val="0033416A"/>
    <w:rsid w:val="00334343"/>
    <w:rsid w:val="003343F0"/>
    <w:rsid w:val="0033449B"/>
    <w:rsid w:val="00334541"/>
    <w:rsid w:val="0033477D"/>
    <w:rsid w:val="00334AA9"/>
    <w:rsid w:val="00334D16"/>
    <w:rsid w:val="00334FCB"/>
    <w:rsid w:val="00335285"/>
    <w:rsid w:val="00335A86"/>
    <w:rsid w:val="00335B10"/>
    <w:rsid w:val="00335CF6"/>
    <w:rsid w:val="00335D5E"/>
    <w:rsid w:val="003365FD"/>
    <w:rsid w:val="00336B7D"/>
    <w:rsid w:val="00336BDC"/>
    <w:rsid w:val="00336FE2"/>
    <w:rsid w:val="003372E2"/>
    <w:rsid w:val="003375B3"/>
    <w:rsid w:val="003376A0"/>
    <w:rsid w:val="00337713"/>
    <w:rsid w:val="00337819"/>
    <w:rsid w:val="003378CD"/>
    <w:rsid w:val="00337A6E"/>
    <w:rsid w:val="00340052"/>
    <w:rsid w:val="0034009E"/>
    <w:rsid w:val="00340480"/>
    <w:rsid w:val="0034048B"/>
    <w:rsid w:val="00340D18"/>
    <w:rsid w:val="00340D20"/>
    <w:rsid w:val="00340DED"/>
    <w:rsid w:val="00340E90"/>
    <w:rsid w:val="00340FFD"/>
    <w:rsid w:val="0034139A"/>
    <w:rsid w:val="00341919"/>
    <w:rsid w:val="00341F5F"/>
    <w:rsid w:val="0034288B"/>
    <w:rsid w:val="0034298E"/>
    <w:rsid w:val="00342D9D"/>
    <w:rsid w:val="003433C3"/>
    <w:rsid w:val="003434D0"/>
    <w:rsid w:val="00343542"/>
    <w:rsid w:val="003438A5"/>
    <w:rsid w:val="00343B63"/>
    <w:rsid w:val="00343BB0"/>
    <w:rsid w:val="00343C3E"/>
    <w:rsid w:val="00343E1D"/>
    <w:rsid w:val="00343F90"/>
    <w:rsid w:val="0034428E"/>
    <w:rsid w:val="0034479C"/>
    <w:rsid w:val="00344CE5"/>
    <w:rsid w:val="00344EC5"/>
    <w:rsid w:val="0034513F"/>
    <w:rsid w:val="003451E8"/>
    <w:rsid w:val="003453D3"/>
    <w:rsid w:val="0034587A"/>
    <w:rsid w:val="00345B28"/>
    <w:rsid w:val="00345B66"/>
    <w:rsid w:val="00345EED"/>
    <w:rsid w:val="00345F4A"/>
    <w:rsid w:val="00345F7B"/>
    <w:rsid w:val="00345FF3"/>
    <w:rsid w:val="003462ED"/>
    <w:rsid w:val="00346AF5"/>
    <w:rsid w:val="00346B10"/>
    <w:rsid w:val="00346F31"/>
    <w:rsid w:val="00346F52"/>
    <w:rsid w:val="00346F6E"/>
    <w:rsid w:val="00347E2B"/>
    <w:rsid w:val="003509C9"/>
    <w:rsid w:val="00350AD4"/>
    <w:rsid w:val="00350B47"/>
    <w:rsid w:val="00350BCC"/>
    <w:rsid w:val="00350C26"/>
    <w:rsid w:val="00350D6E"/>
    <w:rsid w:val="00350E66"/>
    <w:rsid w:val="0035178B"/>
    <w:rsid w:val="00351882"/>
    <w:rsid w:val="00351885"/>
    <w:rsid w:val="00351B44"/>
    <w:rsid w:val="0035203E"/>
    <w:rsid w:val="00352190"/>
    <w:rsid w:val="0035268B"/>
    <w:rsid w:val="003528EA"/>
    <w:rsid w:val="00352A31"/>
    <w:rsid w:val="00353198"/>
    <w:rsid w:val="0035319D"/>
    <w:rsid w:val="003535C7"/>
    <w:rsid w:val="00353735"/>
    <w:rsid w:val="00353769"/>
    <w:rsid w:val="00353D01"/>
    <w:rsid w:val="00353D2A"/>
    <w:rsid w:val="0035404C"/>
    <w:rsid w:val="00354ECD"/>
    <w:rsid w:val="00355AA4"/>
    <w:rsid w:val="00356098"/>
    <w:rsid w:val="003560B7"/>
    <w:rsid w:val="0035622A"/>
    <w:rsid w:val="003563F1"/>
    <w:rsid w:val="003564C9"/>
    <w:rsid w:val="0035688B"/>
    <w:rsid w:val="00357042"/>
    <w:rsid w:val="00357A0F"/>
    <w:rsid w:val="00357BDC"/>
    <w:rsid w:val="00357E43"/>
    <w:rsid w:val="00360BBD"/>
    <w:rsid w:val="00360C3B"/>
    <w:rsid w:val="00361217"/>
    <w:rsid w:val="00361742"/>
    <w:rsid w:val="00361D19"/>
    <w:rsid w:val="0036228B"/>
    <w:rsid w:val="0036233D"/>
    <w:rsid w:val="00362480"/>
    <w:rsid w:val="003624FA"/>
    <w:rsid w:val="00362F4C"/>
    <w:rsid w:val="00362FB6"/>
    <w:rsid w:val="00363006"/>
    <w:rsid w:val="0036361E"/>
    <w:rsid w:val="00363A1F"/>
    <w:rsid w:val="00363CBA"/>
    <w:rsid w:val="00363D41"/>
    <w:rsid w:val="00364360"/>
    <w:rsid w:val="003645D6"/>
    <w:rsid w:val="0036464B"/>
    <w:rsid w:val="00364693"/>
    <w:rsid w:val="003646D3"/>
    <w:rsid w:val="00364D07"/>
    <w:rsid w:val="00364E84"/>
    <w:rsid w:val="0036517B"/>
    <w:rsid w:val="0036544A"/>
    <w:rsid w:val="0036546A"/>
    <w:rsid w:val="003654D3"/>
    <w:rsid w:val="0036558A"/>
    <w:rsid w:val="00365B4B"/>
    <w:rsid w:val="00365C85"/>
    <w:rsid w:val="00365D82"/>
    <w:rsid w:val="0036625C"/>
    <w:rsid w:val="003662A2"/>
    <w:rsid w:val="00366381"/>
    <w:rsid w:val="00366B88"/>
    <w:rsid w:val="003670C8"/>
    <w:rsid w:val="00367567"/>
    <w:rsid w:val="0036760B"/>
    <w:rsid w:val="00367E1F"/>
    <w:rsid w:val="003704E8"/>
    <w:rsid w:val="00370622"/>
    <w:rsid w:val="00370633"/>
    <w:rsid w:val="0037167C"/>
    <w:rsid w:val="00371746"/>
    <w:rsid w:val="0037196E"/>
    <w:rsid w:val="00371AC6"/>
    <w:rsid w:val="00371B9B"/>
    <w:rsid w:val="00372227"/>
    <w:rsid w:val="00372914"/>
    <w:rsid w:val="00372949"/>
    <w:rsid w:val="00372DD2"/>
    <w:rsid w:val="00372F09"/>
    <w:rsid w:val="00373026"/>
    <w:rsid w:val="003733FD"/>
    <w:rsid w:val="00373BAA"/>
    <w:rsid w:val="00373C16"/>
    <w:rsid w:val="00373F51"/>
    <w:rsid w:val="00373F9A"/>
    <w:rsid w:val="00373FE1"/>
    <w:rsid w:val="0037421C"/>
    <w:rsid w:val="00374279"/>
    <w:rsid w:val="00374461"/>
    <w:rsid w:val="003746A3"/>
    <w:rsid w:val="003747D9"/>
    <w:rsid w:val="0037484A"/>
    <w:rsid w:val="00374C0E"/>
    <w:rsid w:val="00374FFF"/>
    <w:rsid w:val="0037507E"/>
    <w:rsid w:val="0037542F"/>
    <w:rsid w:val="0037551B"/>
    <w:rsid w:val="00375649"/>
    <w:rsid w:val="00375B33"/>
    <w:rsid w:val="00375B5B"/>
    <w:rsid w:val="00375EF7"/>
    <w:rsid w:val="00375F97"/>
    <w:rsid w:val="00376313"/>
    <w:rsid w:val="003765EC"/>
    <w:rsid w:val="0037678D"/>
    <w:rsid w:val="00376B73"/>
    <w:rsid w:val="00377079"/>
    <w:rsid w:val="0037707F"/>
    <w:rsid w:val="003771CE"/>
    <w:rsid w:val="003771EA"/>
    <w:rsid w:val="00377F79"/>
    <w:rsid w:val="00380337"/>
    <w:rsid w:val="00380EE6"/>
    <w:rsid w:val="003810E0"/>
    <w:rsid w:val="00381AD6"/>
    <w:rsid w:val="00382016"/>
    <w:rsid w:val="003826BF"/>
    <w:rsid w:val="0038275F"/>
    <w:rsid w:val="00382DEF"/>
    <w:rsid w:val="00382E5B"/>
    <w:rsid w:val="00382FAE"/>
    <w:rsid w:val="0038300C"/>
    <w:rsid w:val="00383182"/>
    <w:rsid w:val="00383268"/>
    <w:rsid w:val="00383DEB"/>
    <w:rsid w:val="003840D2"/>
    <w:rsid w:val="00384612"/>
    <w:rsid w:val="00384C66"/>
    <w:rsid w:val="00385106"/>
    <w:rsid w:val="0038519A"/>
    <w:rsid w:val="003852B9"/>
    <w:rsid w:val="003852F8"/>
    <w:rsid w:val="00385395"/>
    <w:rsid w:val="003857E5"/>
    <w:rsid w:val="00385831"/>
    <w:rsid w:val="00385911"/>
    <w:rsid w:val="00385984"/>
    <w:rsid w:val="00385AA4"/>
    <w:rsid w:val="00385C7F"/>
    <w:rsid w:val="003863B7"/>
    <w:rsid w:val="00386567"/>
    <w:rsid w:val="003868AE"/>
    <w:rsid w:val="003868BC"/>
    <w:rsid w:val="00387102"/>
    <w:rsid w:val="00387304"/>
    <w:rsid w:val="00387379"/>
    <w:rsid w:val="003874A4"/>
    <w:rsid w:val="003876F5"/>
    <w:rsid w:val="00390A7C"/>
    <w:rsid w:val="00390C92"/>
    <w:rsid w:val="00390D6E"/>
    <w:rsid w:val="0039133A"/>
    <w:rsid w:val="00391C54"/>
    <w:rsid w:val="0039264C"/>
    <w:rsid w:val="003929A3"/>
    <w:rsid w:val="00392F4D"/>
    <w:rsid w:val="003930BC"/>
    <w:rsid w:val="003932F6"/>
    <w:rsid w:val="00393453"/>
    <w:rsid w:val="0039353C"/>
    <w:rsid w:val="00393806"/>
    <w:rsid w:val="00393949"/>
    <w:rsid w:val="00393DAE"/>
    <w:rsid w:val="00393F8F"/>
    <w:rsid w:val="00394561"/>
    <w:rsid w:val="0039475F"/>
    <w:rsid w:val="00394952"/>
    <w:rsid w:val="00394AE6"/>
    <w:rsid w:val="00394D50"/>
    <w:rsid w:val="00394ED4"/>
    <w:rsid w:val="0039538D"/>
    <w:rsid w:val="003953D5"/>
    <w:rsid w:val="00395FA2"/>
    <w:rsid w:val="00396125"/>
    <w:rsid w:val="00396237"/>
    <w:rsid w:val="003965AC"/>
    <w:rsid w:val="003969C7"/>
    <w:rsid w:val="00396EC5"/>
    <w:rsid w:val="00396F78"/>
    <w:rsid w:val="003974A1"/>
    <w:rsid w:val="003974A6"/>
    <w:rsid w:val="00397B8C"/>
    <w:rsid w:val="00397C34"/>
    <w:rsid w:val="003A0075"/>
    <w:rsid w:val="003A0185"/>
    <w:rsid w:val="003A01B7"/>
    <w:rsid w:val="003A0C3C"/>
    <w:rsid w:val="003A1020"/>
    <w:rsid w:val="003A1A09"/>
    <w:rsid w:val="003A21E8"/>
    <w:rsid w:val="003A261A"/>
    <w:rsid w:val="003A2BC2"/>
    <w:rsid w:val="003A2D53"/>
    <w:rsid w:val="003A3C76"/>
    <w:rsid w:val="003A40BC"/>
    <w:rsid w:val="003A44FB"/>
    <w:rsid w:val="003A4E80"/>
    <w:rsid w:val="003A5021"/>
    <w:rsid w:val="003A5193"/>
    <w:rsid w:val="003A567F"/>
    <w:rsid w:val="003A5785"/>
    <w:rsid w:val="003A58CB"/>
    <w:rsid w:val="003A5A47"/>
    <w:rsid w:val="003A5C32"/>
    <w:rsid w:val="003A5D68"/>
    <w:rsid w:val="003A5D8D"/>
    <w:rsid w:val="003A611A"/>
    <w:rsid w:val="003A617F"/>
    <w:rsid w:val="003A6643"/>
    <w:rsid w:val="003A690A"/>
    <w:rsid w:val="003A6C8E"/>
    <w:rsid w:val="003A70E6"/>
    <w:rsid w:val="003A726D"/>
    <w:rsid w:val="003A748F"/>
    <w:rsid w:val="003A78B1"/>
    <w:rsid w:val="003A7A15"/>
    <w:rsid w:val="003A7A33"/>
    <w:rsid w:val="003A7B21"/>
    <w:rsid w:val="003A7BD9"/>
    <w:rsid w:val="003A7DE1"/>
    <w:rsid w:val="003A7F9C"/>
    <w:rsid w:val="003A7FA0"/>
    <w:rsid w:val="003B01F3"/>
    <w:rsid w:val="003B054A"/>
    <w:rsid w:val="003B05D1"/>
    <w:rsid w:val="003B05D7"/>
    <w:rsid w:val="003B07F0"/>
    <w:rsid w:val="003B0F21"/>
    <w:rsid w:val="003B1029"/>
    <w:rsid w:val="003B143E"/>
    <w:rsid w:val="003B163A"/>
    <w:rsid w:val="003B1B4B"/>
    <w:rsid w:val="003B1E25"/>
    <w:rsid w:val="003B2493"/>
    <w:rsid w:val="003B26C2"/>
    <w:rsid w:val="003B2725"/>
    <w:rsid w:val="003B2B44"/>
    <w:rsid w:val="003B30D0"/>
    <w:rsid w:val="003B3D29"/>
    <w:rsid w:val="003B421B"/>
    <w:rsid w:val="003B47E1"/>
    <w:rsid w:val="003B4F3F"/>
    <w:rsid w:val="003B50C2"/>
    <w:rsid w:val="003B5517"/>
    <w:rsid w:val="003B5548"/>
    <w:rsid w:val="003B5FD7"/>
    <w:rsid w:val="003B5FF0"/>
    <w:rsid w:val="003B61C3"/>
    <w:rsid w:val="003B62B0"/>
    <w:rsid w:val="003B62F6"/>
    <w:rsid w:val="003B6348"/>
    <w:rsid w:val="003B63B4"/>
    <w:rsid w:val="003B6716"/>
    <w:rsid w:val="003B7077"/>
    <w:rsid w:val="003B7220"/>
    <w:rsid w:val="003B7369"/>
    <w:rsid w:val="003B7621"/>
    <w:rsid w:val="003B77D1"/>
    <w:rsid w:val="003B7BB9"/>
    <w:rsid w:val="003C01E0"/>
    <w:rsid w:val="003C06F8"/>
    <w:rsid w:val="003C0835"/>
    <w:rsid w:val="003C0AD1"/>
    <w:rsid w:val="003C12BF"/>
    <w:rsid w:val="003C19A8"/>
    <w:rsid w:val="003C1C8E"/>
    <w:rsid w:val="003C2144"/>
    <w:rsid w:val="003C228D"/>
    <w:rsid w:val="003C22FA"/>
    <w:rsid w:val="003C2317"/>
    <w:rsid w:val="003C240E"/>
    <w:rsid w:val="003C2512"/>
    <w:rsid w:val="003C28A4"/>
    <w:rsid w:val="003C2A1D"/>
    <w:rsid w:val="003C2E35"/>
    <w:rsid w:val="003C2E3F"/>
    <w:rsid w:val="003C308A"/>
    <w:rsid w:val="003C32B0"/>
    <w:rsid w:val="003C352A"/>
    <w:rsid w:val="003C3644"/>
    <w:rsid w:val="003C3662"/>
    <w:rsid w:val="003C38EB"/>
    <w:rsid w:val="003C3BE2"/>
    <w:rsid w:val="003C3D23"/>
    <w:rsid w:val="003C42F0"/>
    <w:rsid w:val="003C43BD"/>
    <w:rsid w:val="003C4400"/>
    <w:rsid w:val="003C481A"/>
    <w:rsid w:val="003C4A73"/>
    <w:rsid w:val="003C4C9D"/>
    <w:rsid w:val="003C4CA4"/>
    <w:rsid w:val="003C4DC1"/>
    <w:rsid w:val="003C4E1B"/>
    <w:rsid w:val="003C50DA"/>
    <w:rsid w:val="003C516C"/>
    <w:rsid w:val="003C532D"/>
    <w:rsid w:val="003C57E8"/>
    <w:rsid w:val="003C5E66"/>
    <w:rsid w:val="003C65CF"/>
    <w:rsid w:val="003C68C1"/>
    <w:rsid w:val="003C6B52"/>
    <w:rsid w:val="003C6C07"/>
    <w:rsid w:val="003C6D97"/>
    <w:rsid w:val="003C6F20"/>
    <w:rsid w:val="003C739A"/>
    <w:rsid w:val="003C7AF8"/>
    <w:rsid w:val="003D00BD"/>
    <w:rsid w:val="003D01CB"/>
    <w:rsid w:val="003D0321"/>
    <w:rsid w:val="003D0501"/>
    <w:rsid w:val="003D05ED"/>
    <w:rsid w:val="003D10CA"/>
    <w:rsid w:val="003D128A"/>
    <w:rsid w:val="003D1A02"/>
    <w:rsid w:val="003D1CE9"/>
    <w:rsid w:val="003D1E95"/>
    <w:rsid w:val="003D2011"/>
    <w:rsid w:val="003D225D"/>
    <w:rsid w:val="003D2A03"/>
    <w:rsid w:val="003D2C1C"/>
    <w:rsid w:val="003D2EA2"/>
    <w:rsid w:val="003D2F58"/>
    <w:rsid w:val="003D326F"/>
    <w:rsid w:val="003D352A"/>
    <w:rsid w:val="003D3794"/>
    <w:rsid w:val="003D3DAF"/>
    <w:rsid w:val="003D405B"/>
    <w:rsid w:val="003D43D7"/>
    <w:rsid w:val="003D46ED"/>
    <w:rsid w:val="003D47B2"/>
    <w:rsid w:val="003D484D"/>
    <w:rsid w:val="003D4E36"/>
    <w:rsid w:val="003D4F26"/>
    <w:rsid w:val="003D54CE"/>
    <w:rsid w:val="003D5DBE"/>
    <w:rsid w:val="003D5EA9"/>
    <w:rsid w:val="003D67F0"/>
    <w:rsid w:val="003D6860"/>
    <w:rsid w:val="003D73A5"/>
    <w:rsid w:val="003D764E"/>
    <w:rsid w:val="003D76B1"/>
    <w:rsid w:val="003D787A"/>
    <w:rsid w:val="003D789E"/>
    <w:rsid w:val="003D7A7C"/>
    <w:rsid w:val="003D7B23"/>
    <w:rsid w:val="003D7D4F"/>
    <w:rsid w:val="003E0367"/>
    <w:rsid w:val="003E04CD"/>
    <w:rsid w:val="003E06EA"/>
    <w:rsid w:val="003E087B"/>
    <w:rsid w:val="003E0F5D"/>
    <w:rsid w:val="003E1126"/>
    <w:rsid w:val="003E1141"/>
    <w:rsid w:val="003E18A6"/>
    <w:rsid w:val="003E20EE"/>
    <w:rsid w:val="003E2228"/>
    <w:rsid w:val="003E28C3"/>
    <w:rsid w:val="003E2CE4"/>
    <w:rsid w:val="003E2DD4"/>
    <w:rsid w:val="003E4702"/>
    <w:rsid w:val="003E4799"/>
    <w:rsid w:val="003E4A60"/>
    <w:rsid w:val="003E541A"/>
    <w:rsid w:val="003E5DF8"/>
    <w:rsid w:val="003E62E8"/>
    <w:rsid w:val="003E650F"/>
    <w:rsid w:val="003E6946"/>
    <w:rsid w:val="003E6BEB"/>
    <w:rsid w:val="003E706F"/>
    <w:rsid w:val="003E710A"/>
    <w:rsid w:val="003E733D"/>
    <w:rsid w:val="003E7631"/>
    <w:rsid w:val="003E7648"/>
    <w:rsid w:val="003E769C"/>
    <w:rsid w:val="003E7832"/>
    <w:rsid w:val="003E7ADD"/>
    <w:rsid w:val="003E7CE0"/>
    <w:rsid w:val="003F004F"/>
    <w:rsid w:val="003F007C"/>
    <w:rsid w:val="003F02D2"/>
    <w:rsid w:val="003F06CE"/>
    <w:rsid w:val="003F0D9A"/>
    <w:rsid w:val="003F1A30"/>
    <w:rsid w:val="003F1AB6"/>
    <w:rsid w:val="003F1B8D"/>
    <w:rsid w:val="003F1DA1"/>
    <w:rsid w:val="003F1E6A"/>
    <w:rsid w:val="003F1EE9"/>
    <w:rsid w:val="003F23BD"/>
    <w:rsid w:val="003F2773"/>
    <w:rsid w:val="003F27E8"/>
    <w:rsid w:val="003F2BAA"/>
    <w:rsid w:val="003F2FBF"/>
    <w:rsid w:val="003F309E"/>
    <w:rsid w:val="003F335A"/>
    <w:rsid w:val="003F3403"/>
    <w:rsid w:val="003F372A"/>
    <w:rsid w:val="003F3A1E"/>
    <w:rsid w:val="003F3CB6"/>
    <w:rsid w:val="003F3CF5"/>
    <w:rsid w:val="003F3E7A"/>
    <w:rsid w:val="003F42F6"/>
    <w:rsid w:val="003F4DF0"/>
    <w:rsid w:val="003F54C6"/>
    <w:rsid w:val="003F5571"/>
    <w:rsid w:val="003F56A1"/>
    <w:rsid w:val="003F56B4"/>
    <w:rsid w:val="003F57C5"/>
    <w:rsid w:val="003F595A"/>
    <w:rsid w:val="003F603C"/>
    <w:rsid w:val="003F60B9"/>
    <w:rsid w:val="003F632F"/>
    <w:rsid w:val="003F6CD2"/>
    <w:rsid w:val="003F6EAD"/>
    <w:rsid w:val="003F6EE2"/>
    <w:rsid w:val="003F7421"/>
    <w:rsid w:val="003F758A"/>
    <w:rsid w:val="003F7618"/>
    <w:rsid w:val="003F782A"/>
    <w:rsid w:val="003F78CA"/>
    <w:rsid w:val="003F7D38"/>
    <w:rsid w:val="003F7FCB"/>
    <w:rsid w:val="00400F9F"/>
    <w:rsid w:val="004014B8"/>
    <w:rsid w:val="00401C7C"/>
    <w:rsid w:val="00401D95"/>
    <w:rsid w:val="00402617"/>
    <w:rsid w:val="00402991"/>
    <w:rsid w:val="00402AB0"/>
    <w:rsid w:val="00402D4A"/>
    <w:rsid w:val="004030C2"/>
    <w:rsid w:val="004030FA"/>
    <w:rsid w:val="004032C3"/>
    <w:rsid w:val="004037AF"/>
    <w:rsid w:val="004037D5"/>
    <w:rsid w:val="00403899"/>
    <w:rsid w:val="004038E5"/>
    <w:rsid w:val="004044F7"/>
    <w:rsid w:val="004046A5"/>
    <w:rsid w:val="00404A12"/>
    <w:rsid w:val="00404DE5"/>
    <w:rsid w:val="004052B9"/>
    <w:rsid w:val="004058D0"/>
    <w:rsid w:val="00405AD3"/>
    <w:rsid w:val="00405E1E"/>
    <w:rsid w:val="00406943"/>
    <w:rsid w:val="00406AAE"/>
    <w:rsid w:val="00406BD5"/>
    <w:rsid w:val="00407090"/>
    <w:rsid w:val="004075D1"/>
    <w:rsid w:val="00407B1E"/>
    <w:rsid w:val="00407D55"/>
    <w:rsid w:val="00407DBB"/>
    <w:rsid w:val="00407E5E"/>
    <w:rsid w:val="0041038B"/>
    <w:rsid w:val="00410865"/>
    <w:rsid w:val="00410CD4"/>
    <w:rsid w:val="00410F35"/>
    <w:rsid w:val="00410FA5"/>
    <w:rsid w:val="00411399"/>
    <w:rsid w:val="00411782"/>
    <w:rsid w:val="00412135"/>
    <w:rsid w:val="00412203"/>
    <w:rsid w:val="0041236D"/>
    <w:rsid w:val="00412697"/>
    <w:rsid w:val="00412721"/>
    <w:rsid w:val="00412BA4"/>
    <w:rsid w:val="00412C74"/>
    <w:rsid w:val="00412FAE"/>
    <w:rsid w:val="00412FFF"/>
    <w:rsid w:val="0041311A"/>
    <w:rsid w:val="0041348F"/>
    <w:rsid w:val="004136A5"/>
    <w:rsid w:val="0041371B"/>
    <w:rsid w:val="0041397D"/>
    <w:rsid w:val="00413A52"/>
    <w:rsid w:val="00413B1B"/>
    <w:rsid w:val="00413B45"/>
    <w:rsid w:val="00413C6A"/>
    <w:rsid w:val="0041406D"/>
    <w:rsid w:val="00414689"/>
    <w:rsid w:val="004149DE"/>
    <w:rsid w:val="00414A01"/>
    <w:rsid w:val="00414D03"/>
    <w:rsid w:val="00414D0F"/>
    <w:rsid w:val="0041503E"/>
    <w:rsid w:val="004156D8"/>
    <w:rsid w:val="00415AD8"/>
    <w:rsid w:val="00415AEF"/>
    <w:rsid w:val="00416233"/>
    <w:rsid w:val="00416ABE"/>
    <w:rsid w:val="0041710A"/>
    <w:rsid w:val="00417253"/>
    <w:rsid w:val="0041725A"/>
    <w:rsid w:val="004174D4"/>
    <w:rsid w:val="00417709"/>
    <w:rsid w:val="004202C9"/>
    <w:rsid w:val="00420388"/>
    <w:rsid w:val="0042058F"/>
    <w:rsid w:val="0042088F"/>
    <w:rsid w:val="00420B8D"/>
    <w:rsid w:val="00420F04"/>
    <w:rsid w:val="00421023"/>
    <w:rsid w:val="0042150C"/>
    <w:rsid w:val="0042161A"/>
    <w:rsid w:val="00421656"/>
    <w:rsid w:val="00421AE4"/>
    <w:rsid w:val="0042217C"/>
    <w:rsid w:val="00422BC0"/>
    <w:rsid w:val="00422C52"/>
    <w:rsid w:val="00422CD9"/>
    <w:rsid w:val="00422D13"/>
    <w:rsid w:val="00422EE7"/>
    <w:rsid w:val="00422F7A"/>
    <w:rsid w:val="00423215"/>
    <w:rsid w:val="004237D8"/>
    <w:rsid w:val="00423907"/>
    <w:rsid w:val="00423B2C"/>
    <w:rsid w:val="00423D1A"/>
    <w:rsid w:val="00423E3B"/>
    <w:rsid w:val="00424012"/>
    <w:rsid w:val="0042418A"/>
    <w:rsid w:val="00424435"/>
    <w:rsid w:val="0042445A"/>
    <w:rsid w:val="0042465D"/>
    <w:rsid w:val="004246DE"/>
    <w:rsid w:val="0042488F"/>
    <w:rsid w:val="00424A9F"/>
    <w:rsid w:val="00424F4E"/>
    <w:rsid w:val="00425071"/>
    <w:rsid w:val="00425092"/>
    <w:rsid w:val="00425324"/>
    <w:rsid w:val="004254C8"/>
    <w:rsid w:val="00425DAB"/>
    <w:rsid w:val="004264F4"/>
    <w:rsid w:val="00426589"/>
    <w:rsid w:val="004266B9"/>
    <w:rsid w:val="004267DF"/>
    <w:rsid w:val="00426AA9"/>
    <w:rsid w:val="00426B5B"/>
    <w:rsid w:val="00426FA6"/>
    <w:rsid w:val="0042711C"/>
    <w:rsid w:val="004272D0"/>
    <w:rsid w:val="004273FC"/>
    <w:rsid w:val="0042793F"/>
    <w:rsid w:val="00427E2C"/>
    <w:rsid w:val="00430043"/>
    <w:rsid w:val="004303FF"/>
    <w:rsid w:val="004306DB"/>
    <w:rsid w:val="00430A86"/>
    <w:rsid w:val="00430D28"/>
    <w:rsid w:val="00430FE4"/>
    <w:rsid w:val="004312C0"/>
    <w:rsid w:val="00431636"/>
    <w:rsid w:val="00431665"/>
    <w:rsid w:val="00431696"/>
    <w:rsid w:val="0043175B"/>
    <w:rsid w:val="004317C7"/>
    <w:rsid w:val="004318A8"/>
    <w:rsid w:val="00431EAB"/>
    <w:rsid w:val="004322FF"/>
    <w:rsid w:val="00432328"/>
    <w:rsid w:val="00432464"/>
    <w:rsid w:val="0043252A"/>
    <w:rsid w:val="00432713"/>
    <w:rsid w:val="00432C82"/>
    <w:rsid w:val="00433001"/>
    <w:rsid w:val="004332E7"/>
    <w:rsid w:val="004333EE"/>
    <w:rsid w:val="0043440D"/>
    <w:rsid w:val="00434C96"/>
    <w:rsid w:val="00434F60"/>
    <w:rsid w:val="00434F79"/>
    <w:rsid w:val="00435106"/>
    <w:rsid w:val="00435483"/>
    <w:rsid w:val="0043583B"/>
    <w:rsid w:val="00435ABC"/>
    <w:rsid w:val="0043615A"/>
    <w:rsid w:val="00436368"/>
    <w:rsid w:val="0043686B"/>
    <w:rsid w:val="00436AEF"/>
    <w:rsid w:val="00436B5B"/>
    <w:rsid w:val="00436B8B"/>
    <w:rsid w:val="00436E05"/>
    <w:rsid w:val="00436FB7"/>
    <w:rsid w:val="00437284"/>
    <w:rsid w:val="0043764B"/>
    <w:rsid w:val="004400BB"/>
    <w:rsid w:val="00440BB6"/>
    <w:rsid w:val="00441091"/>
    <w:rsid w:val="004411D2"/>
    <w:rsid w:val="00441A31"/>
    <w:rsid w:val="00441B69"/>
    <w:rsid w:val="00441C2A"/>
    <w:rsid w:val="00441FD0"/>
    <w:rsid w:val="00442047"/>
    <w:rsid w:val="00442321"/>
    <w:rsid w:val="004425D9"/>
    <w:rsid w:val="00442B7B"/>
    <w:rsid w:val="00442C0F"/>
    <w:rsid w:val="0044339B"/>
    <w:rsid w:val="004436D3"/>
    <w:rsid w:val="004441A6"/>
    <w:rsid w:val="004442D5"/>
    <w:rsid w:val="004443E3"/>
    <w:rsid w:val="00444BAF"/>
    <w:rsid w:val="00444D86"/>
    <w:rsid w:val="00444EC2"/>
    <w:rsid w:val="00444F7B"/>
    <w:rsid w:val="00444F8C"/>
    <w:rsid w:val="00444FDD"/>
    <w:rsid w:val="0044540A"/>
    <w:rsid w:val="00445425"/>
    <w:rsid w:val="0044550A"/>
    <w:rsid w:val="00445623"/>
    <w:rsid w:val="00445AC2"/>
    <w:rsid w:val="00445D27"/>
    <w:rsid w:val="00445E88"/>
    <w:rsid w:val="00446030"/>
    <w:rsid w:val="00446043"/>
    <w:rsid w:val="0044609F"/>
    <w:rsid w:val="0044614E"/>
    <w:rsid w:val="00446527"/>
    <w:rsid w:val="00446830"/>
    <w:rsid w:val="00446949"/>
    <w:rsid w:val="00446C8E"/>
    <w:rsid w:val="00447116"/>
    <w:rsid w:val="0044714C"/>
    <w:rsid w:val="00447797"/>
    <w:rsid w:val="00447852"/>
    <w:rsid w:val="00447AC2"/>
    <w:rsid w:val="00447CAC"/>
    <w:rsid w:val="00450228"/>
    <w:rsid w:val="004506B8"/>
    <w:rsid w:val="004507A3"/>
    <w:rsid w:val="0045084E"/>
    <w:rsid w:val="004509FE"/>
    <w:rsid w:val="00450B33"/>
    <w:rsid w:val="00450E13"/>
    <w:rsid w:val="00450F11"/>
    <w:rsid w:val="00451868"/>
    <w:rsid w:val="00451A88"/>
    <w:rsid w:val="00451EDD"/>
    <w:rsid w:val="00451FB6"/>
    <w:rsid w:val="00452416"/>
    <w:rsid w:val="004524D3"/>
    <w:rsid w:val="00453106"/>
    <w:rsid w:val="004533F1"/>
    <w:rsid w:val="004534D9"/>
    <w:rsid w:val="00453990"/>
    <w:rsid w:val="00453997"/>
    <w:rsid w:val="004539FC"/>
    <w:rsid w:val="00453C50"/>
    <w:rsid w:val="00453CB1"/>
    <w:rsid w:val="00453CF2"/>
    <w:rsid w:val="004541D9"/>
    <w:rsid w:val="004544DB"/>
    <w:rsid w:val="00454803"/>
    <w:rsid w:val="004549C2"/>
    <w:rsid w:val="00454B44"/>
    <w:rsid w:val="00454C8C"/>
    <w:rsid w:val="00454FB2"/>
    <w:rsid w:val="00455166"/>
    <w:rsid w:val="004551FA"/>
    <w:rsid w:val="004558D4"/>
    <w:rsid w:val="004560A2"/>
    <w:rsid w:val="00456538"/>
    <w:rsid w:val="00456A1B"/>
    <w:rsid w:val="00456B86"/>
    <w:rsid w:val="0045709B"/>
    <w:rsid w:val="00460027"/>
    <w:rsid w:val="0046003B"/>
    <w:rsid w:val="00460235"/>
    <w:rsid w:val="004609DA"/>
    <w:rsid w:val="00460C54"/>
    <w:rsid w:val="00460C57"/>
    <w:rsid w:val="00461622"/>
    <w:rsid w:val="00461F54"/>
    <w:rsid w:val="004620EC"/>
    <w:rsid w:val="00462192"/>
    <w:rsid w:val="004626BA"/>
    <w:rsid w:val="004627BB"/>
    <w:rsid w:val="004628D3"/>
    <w:rsid w:val="004628E7"/>
    <w:rsid w:val="00462B11"/>
    <w:rsid w:val="00463246"/>
    <w:rsid w:val="004633BB"/>
    <w:rsid w:val="0046374D"/>
    <w:rsid w:val="00463AB5"/>
    <w:rsid w:val="00463D0F"/>
    <w:rsid w:val="00464932"/>
    <w:rsid w:val="00464FCA"/>
    <w:rsid w:val="00465239"/>
    <w:rsid w:val="004653A4"/>
    <w:rsid w:val="004656B7"/>
    <w:rsid w:val="0046585F"/>
    <w:rsid w:val="0046649F"/>
    <w:rsid w:val="004665AF"/>
    <w:rsid w:val="00466623"/>
    <w:rsid w:val="004667E7"/>
    <w:rsid w:val="0046699E"/>
    <w:rsid w:val="00466CCA"/>
    <w:rsid w:val="00466F02"/>
    <w:rsid w:val="0046700A"/>
    <w:rsid w:val="00467085"/>
    <w:rsid w:val="0046709D"/>
    <w:rsid w:val="00467345"/>
    <w:rsid w:val="00467450"/>
    <w:rsid w:val="00467575"/>
    <w:rsid w:val="00467669"/>
    <w:rsid w:val="00467C09"/>
    <w:rsid w:val="00470335"/>
    <w:rsid w:val="0047114C"/>
    <w:rsid w:val="004716CF"/>
    <w:rsid w:val="0047172E"/>
    <w:rsid w:val="004717EA"/>
    <w:rsid w:val="00471B94"/>
    <w:rsid w:val="00471BE6"/>
    <w:rsid w:val="00472262"/>
    <w:rsid w:val="00472274"/>
    <w:rsid w:val="00472910"/>
    <w:rsid w:val="00472A2E"/>
    <w:rsid w:val="0047301E"/>
    <w:rsid w:val="00473976"/>
    <w:rsid w:val="00473A84"/>
    <w:rsid w:val="004744C6"/>
    <w:rsid w:val="0047476F"/>
    <w:rsid w:val="00474D57"/>
    <w:rsid w:val="00474FAD"/>
    <w:rsid w:val="00474FFA"/>
    <w:rsid w:val="0047581B"/>
    <w:rsid w:val="004758FB"/>
    <w:rsid w:val="00475FF5"/>
    <w:rsid w:val="0047609E"/>
    <w:rsid w:val="00476257"/>
    <w:rsid w:val="0047675C"/>
    <w:rsid w:val="00476829"/>
    <w:rsid w:val="00476951"/>
    <w:rsid w:val="00476ADD"/>
    <w:rsid w:val="00476BB5"/>
    <w:rsid w:val="00476D70"/>
    <w:rsid w:val="00476FD8"/>
    <w:rsid w:val="004770EE"/>
    <w:rsid w:val="00477252"/>
    <w:rsid w:val="00477518"/>
    <w:rsid w:val="00477652"/>
    <w:rsid w:val="00477E59"/>
    <w:rsid w:val="00477EC6"/>
    <w:rsid w:val="00480401"/>
    <w:rsid w:val="00480415"/>
    <w:rsid w:val="004804D2"/>
    <w:rsid w:val="004807A8"/>
    <w:rsid w:val="00480B04"/>
    <w:rsid w:val="00480D0A"/>
    <w:rsid w:val="00480D84"/>
    <w:rsid w:val="0048153D"/>
    <w:rsid w:val="004815D1"/>
    <w:rsid w:val="00481AF8"/>
    <w:rsid w:val="00482135"/>
    <w:rsid w:val="004821DE"/>
    <w:rsid w:val="0048223A"/>
    <w:rsid w:val="004823E4"/>
    <w:rsid w:val="00482B80"/>
    <w:rsid w:val="00482DA2"/>
    <w:rsid w:val="004832D2"/>
    <w:rsid w:val="00483650"/>
    <w:rsid w:val="00483800"/>
    <w:rsid w:val="00483C32"/>
    <w:rsid w:val="00483C75"/>
    <w:rsid w:val="00484091"/>
    <w:rsid w:val="00484496"/>
    <w:rsid w:val="00484787"/>
    <w:rsid w:val="00484C31"/>
    <w:rsid w:val="00485112"/>
    <w:rsid w:val="004853C4"/>
    <w:rsid w:val="00485B12"/>
    <w:rsid w:val="00485C11"/>
    <w:rsid w:val="00485D67"/>
    <w:rsid w:val="00486006"/>
    <w:rsid w:val="0048620D"/>
    <w:rsid w:val="004862D5"/>
    <w:rsid w:val="00486619"/>
    <w:rsid w:val="00486EBF"/>
    <w:rsid w:val="00487118"/>
    <w:rsid w:val="0048714F"/>
    <w:rsid w:val="0048721F"/>
    <w:rsid w:val="00487462"/>
    <w:rsid w:val="004875FB"/>
    <w:rsid w:val="00487D2B"/>
    <w:rsid w:val="00490211"/>
    <w:rsid w:val="00490315"/>
    <w:rsid w:val="0049034A"/>
    <w:rsid w:val="0049090C"/>
    <w:rsid w:val="004909BF"/>
    <w:rsid w:val="00490AF1"/>
    <w:rsid w:val="00490EEB"/>
    <w:rsid w:val="00491203"/>
    <w:rsid w:val="0049184F"/>
    <w:rsid w:val="00491A33"/>
    <w:rsid w:val="00492022"/>
    <w:rsid w:val="00492082"/>
    <w:rsid w:val="004922E5"/>
    <w:rsid w:val="004924B1"/>
    <w:rsid w:val="00492A13"/>
    <w:rsid w:val="00492D20"/>
    <w:rsid w:val="00493276"/>
    <w:rsid w:val="004935CE"/>
    <w:rsid w:val="004939E0"/>
    <w:rsid w:val="00493C53"/>
    <w:rsid w:val="00494279"/>
    <w:rsid w:val="00494411"/>
    <w:rsid w:val="00494791"/>
    <w:rsid w:val="0049499D"/>
    <w:rsid w:val="00494B00"/>
    <w:rsid w:val="00495156"/>
    <w:rsid w:val="00495223"/>
    <w:rsid w:val="004952A1"/>
    <w:rsid w:val="0049556A"/>
    <w:rsid w:val="00495589"/>
    <w:rsid w:val="004955CB"/>
    <w:rsid w:val="004955D0"/>
    <w:rsid w:val="00495ED3"/>
    <w:rsid w:val="0049623C"/>
    <w:rsid w:val="00496424"/>
    <w:rsid w:val="004966D6"/>
    <w:rsid w:val="00496B00"/>
    <w:rsid w:val="00496B91"/>
    <w:rsid w:val="00496F64"/>
    <w:rsid w:val="00497261"/>
    <w:rsid w:val="004A03DD"/>
    <w:rsid w:val="004A087D"/>
    <w:rsid w:val="004A0BD0"/>
    <w:rsid w:val="004A0E4C"/>
    <w:rsid w:val="004A1624"/>
    <w:rsid w:val="004A1738"/>
    <w:rsid w:val="004A17EE"/>
    <w:rsid w:val="004A1936"/>
    <w:rsid w:val="004A1A68"/>
    <w:rsid w:val="004A1B16"/>
    <w:rsid w:val="004A1C65"/>
    <w:rsid w:val="004A1D4B"/>
    <w:rsid w:val="004A221E"/>
    <w:rsid w:val="004A2389"/>
    <w:rsid w:val="004A24F7"/>
    <w:rsid w:val="004A25E9"/>
    <w:rsid w:val="004A2D28"/>
    <w:rsid w:val="004A2E6B"/>
    <w:rsid w:val="004A2FF1"/>
    <w:rsid w:val="004A334D"/>
    <w:rsid w:val="004A362C"/>
    <w:rsid w:val="004A3982"/>
    <w:rsid w:val="004A3B0A"/>
    <w:rsid w:val="004A3DDC"/>
    <w:rsid w:val="004A404E"/>
    <w:rsid w:val="004A410A"/>
    <w:rsid w:val="004A460F"/>
    <w:rsid w:val="004A4D30"/>
    <w:rsid w:val="004A4F14"/>
    <w:rsid w:val="004A5470"/>
    <w:rsid w:val="004A548E"/>
    <w:rsid w:val="004A557A"/>
    <w:rsid w:val="004A55DD"/>
    <w:rsid w:val="004A57CA"/>
    <w:rsid w:val="004A60F3"/>
    <w:rsid w:val="004A6110"/>
    <w:rsid w:val="004A63DD"/>
    <w:rsid w:val="004A64A7"/>
    <w:rsid w:val="004A64CE"/>
    <w:rsid w:val="004A6946"/>
    <w:rsid w:val="004A6AFB"/>
    <w:rsid w:val="004A6CCE"/>
    <w:rsid w:val="004A6CF3"/>
    <w:rsid w:val="004A6F7B"/>
    <w:rsid w:val="004A71E7"/>
    <w:rsid w:val="004A7238"/>
    <w:rsid w:val="004A74CE"/>
    <w:rsid w:val="004A7626"/>
    <w:rsid w:val="004A7818"/>
    <w:rsid w:val="004A7D47"/>
    <w:rsid w:val="004A7F41"/>
    <w:rsid w:val="004B0173"/>
    <w:rsid w:val="004B030F"/>
    <w:rsid w:val="004B0370"/>
    <w:rsid w:val="004B03AA"/>
    <w:rsid w:val="004B077B"/>
    <w:rsid w:val="004B0C24"/>
    <w:rsid w:val="004B111B"/>
    <w:rsid w:val="004B1264"/>
    <w:rsid w:val="004B16E8"/>
    <w:rsid w:val="004B17E7"/>
    <w:rsid w:val="004B1827"/>
    <w:rsid w:val="004B1967"/>
    <w:rsid w:val="004B1E9C"/>
    <w:rsid w:val="004B2041"/>
    <w:rsid w:val="004B2153"/>
    <w:rsid w:val="004B24D5"/>
    <w:rsid w:val="004B2500"/>
    <w:rsid w:val="004B250F"/>
    <w:rsid w:val="004B26DF"/>
    <w:rsid w:val="004B278D"/>
    <w:rsid w:val="004B31A7"/>
    <w:rsid w:val="004B3672"/>
    <w:rsid w:val="004B3DBB"/>
    <w:rsid w:val="004B40D7"/>
    <w:rsid w:val="004B424D"/>
    <w:rsid w:val="004B42C1"/>
    <w:rsid w:val="004B4499"/>
    <w:rsid w:val="004B4912"/>
    <w:rsid w:val="004B4E4E"/>
    <w:rsid w:val="004B58C7"/>
    <w:rsid w:val="004B5E57"/>
    <w:rsid w:val="004B5FF8"/>
    <w:rsid w:val="004B60FE"/>
    <w:rsid w:val="004B6113"/>
    <w:rsid w:val="004B67D0"/>
    <w:rsid w:val="004B6903"/>
    <w:rsid w:val="004B6CAC"/>
    <w:rsid w:val="004B6ED3"/>
    <w:rsid w:val="004B7055"/>
    <w:rsid w:val="004B7099"/>
    <w:rsid w:val="004B70F1"/>
    <w:rsid w:val="004B7C09"/>
    <w:rsid w:val="004B7D07"/>
    <w:rsid w:val="004B7E4D"/>
    <w:rsid w:val="004C0525"/>
    <w:rsid w:val="004C05A1"/>
    <w:rsid w:val="004C06E0"/>
    <w:rsid w:val="004C075B"/>
    <w:rsid w:val="004C0F61"/>
    <w:rsid w:val="004C144E"/>
    <w:rsid w:val="004C155D"/>
    <w:rsid w:val="004C15EE"/>
    <w:rsid w:val="004C160C"/>
    <w:rsid w:val="004C1667"/>
    <w:rsid w:val="004C1B56"/>
    <w:rsid w:val="004C1C35"/>
    <w:rsid w:val="004C22E0"/>
    <w:rsid w:val="004C285F"/>
    <w:rsid w:val="004C3572"/>
    <w:rsid w:val="004C3B7E"/>
    <w:rsid w:val="004C42AD"/>
    <w:rsid w:val="004C4696"/>
    <w:rsid w:val="004C46A7"/>
    <w:rsid w:val="004C4815"/>
    <w:rsid w:val="004C4D9E"/>
    <w:rsid w:val="004C4E3C"/>
    <w:rsid w:val="004C4F85"/>
    <w:rsid w:val="004C517D"/>
    <w:rsid w:val="004C5D00"/>
    <w:rsid w:val="004C5E04"/>
    <w:rsid w:val="004C5E8C"/>
    <w:rsid w:val="004C6B64"/>
    <w:rsid w:val="004C6C8A"/>
    <w:rsid w:val="004C72B7"/>
    <w:rsid w:val="004C782C"/>
    <w:rsid w:val="004C78E8"/>
    <w:rsid w:val="004C7F3D"/>
    <w:rsid w:val="004D0120"/>
    <w:rsid w:val="004D02DF"/>
    <w:rsid w:val="004D02EC"/>
    <w:rsid w:val="004D0AEB"/>
    <w:rsid w:val="004D0BED"/>
    <w:rsid w:val="004D0DB2"/>
    <w:rsid w:val="004D0F5D"/>
    <w:rsid w:val="004D0FB1"/>
    <w:rsid w:val="004D124E"/>
    <w:rsid w:val="004D127E"/>
    <w:rsid w:val="004D150D"/>
    <w:rsid w:val="004D17A8"/>
    <w:rsid w:val="004D17D2"/>
    <w:rsid w:val="004D19D6"/>
    <w:rsid w:val="004D1A67"/>
    <w:rsid w:val="004D1D0A"/>
    <w:rsid w:val="004D21DE"/>
    <w:rsid w:val="004D24EA"/>
    <w:rsid w:val="004D2E4B"/>
    <w:rsid w:val="004D4352"/>
    <w:rsid w:val="004D4355"/>
    <w:rsid w:val="004D4D38"/>
    <w:rsid w:val="004D5169"/>
    <w:rsid w:val="004D5458"/>
    <w:rsid w:val="004D54DA"/>
    <w:rsid w:val="004D55DC"/>
    <w:rsid w:val="004D58B4"/>
    <w:rsid w:val="004D5B19"/>
    <w:rsid w:val="004D640A"/>
    <w:rsid w:val="004D651F"/>
    <w:rsid w:val="004D68C8"/>
    <w:rsid w:val="004D6901"/>
    <w:rsid w:val="004D6942"/>
    <w:rsid w:val="004D6A68"/>
    <w:rsid w:val="004D6AA6"/>
    <w:rsid w:val="004D6BC8"/>
    <w:rsid w:val="004D6D93"/>
    <w:rsid w:val="004D7975"/>
    <w:rsid w:val="004D7C1D"/>
    <w:rsid w:val="004D7E5F"/>
    <w:rsid w:val="004E03B8"/>
    <w:rsid w:val="004E04F5"/>
    <w:rsid w:val="004E0AC8"/>
    <w:rsid w:val="004E0EE4"/>
    <w:rsid w:val="004E2170"/>
    <w:rsid w:val="004E2554"/>
    <w:rsid w:val="004E28F2"/>
    <w:rsid w:val="004E2DC7"/>
    <w:rsid w:val="004E335A"/>
    <w:rsid w:val="004E3B74"/>
    <w:rsid w:val="004E3D4A"/>
    <w:rsid w:val="004E41BE"/>
    <w:rsid w:val="004E42E2"/>
    <w:rsid w:val="004E466C"/>
    <w:rsid w:val="004E47E7"/>
    <w:rsid w:val="004E49F5"/>
    <w:rsid w:val="004E4C4D"/>
    <w:rsid w:val="004E4E19"/>
    <w:rsid w:val="004E5066"/>
    <w:rsid w:val="004E50DA"/>
    <w:rsid w:val="004E50E8"/>
    <w:rsid w:val="004E52D9"/>
    <w:rsid w:val="004E5B09"/>
    <w:rsid w:val="004E5BCC"/>
    <w:rsid w:val="004E5E06"/>
    <w:rsid w:val="004E683C"/>
    <w:rsid w:val="004E6A9A"/>
    <w:rsid w:val="004E6DFE"/>
    <w:rsid w:val="004E701E"/>
    <w:rsid w:val="004E7072"/>
    <w:rsid w:val="004E70A7"/>
    <w:rsid w:val="004E72C2"/>
    <w:rsid w:val="004E7350"/>
    <w:rsid w:val="004E76E4"/>
    <w:rsid w:val="004E77ED"/>
    <w:rsid w:val="004E7A09"/>
    <w:rsid w:val="004E7B8D"/>
    <w:rsid w:val="004E7E19"/>
    <w:rsid w:val="004E7E40"/>
    <w:rsid w:val="004F017D"/>
    <w:rsid w:val="004F024E"/>
    <w:rsid w:val="004F036F"/>
    <w:rsid w:val="004F165E"/>
    <w:rsid w:val="004F18B4"/>
    <w:rsid w:val="004F1AA3"/>
    <w:rsid w:val="004F2CBC"/>
    <w:rsid w:val="004F36E8"/>
    <w:rsid w:val="004F3BA8"/>
    <w:rsid w:val="004F3EC4"/>
    <w:rsid w:val="004F435A"/>
    <w:rsid w:val="004F4555"/>
    <w:rsid w:val="004F4559"/>
    <w:rsid w:val="004F486C"/>
    <w:rsid w:val="004F5188"/>
    <w:rsid w:val="004F5416"/>
    <w:rsid w:val="004F565F"/>
    <w:rsid w:val="004F583F"/>
    <w:rsid w:val="004F5B91"/>
    <w:rsid w:val="004F5BB1"/>
    <w:rsid w:val="004F5BFB"/>
    <w:rsid w:val="004F5C7E"/>
    <w:rsid w:val="004F62E0"/>
    <w:rsid w:val="004F6702"/>
    <w:rsid w:val="004F6934"/>
    <w:rsid w:val="004F6E67"/>
    <w:rsid w:val="004F737B"/>
    <w:rsid w:val="004F7431"/>
    <w:rsid w:val="004F7596"/>
    <w:rsid w:val="004F7738"/>
    <w:rsid w:val="004F7BAF"/>
    <w:rsid w:val="004F7C49"/>
    <w:rsid w:val="004F7DFB"/>
    <w:rsid w:val="004F7E2A"/>
    <w:rsid w:val="0050004A"/>
    <w:rsid w:val="0050094B"/>
    <w:rsid w:val="005009FF"/>
    <w:rsid w:val="00500BF8"/>
    <w:rsid w:val="00500FE7"/>
    <w:rsid w:val="0050115A"/>
    <w:rsid w:val="0050115C"/>
    <w:rsid w:val="00501342"/>
    <w:rsid w:val="00501343"/>
    <w:rsid w:val="00501996"/>
    <w:rsid w:val="00501D68"/>
    <w:rsid w:val="00501DD1"/>
    <w:rsid w:val="005022C1"/>
    <w:rsid w:val="005022C8"/>
    <w:rsid w:val="005025DE"/>
    <w:rsid w:val="005027FD"/>
    <w:rsid w:val="00502891"/>
    <w:rsid w:val="00502A13"/>
    <w:rsid w:val="00502BBB"/>
    <w:rsid w:val="00502C45"/>
    <w:rsid w:val="00502CE3"/>
    <w:rsid w:val="00502CF1"/>
    <w:rsid w:val="00503269"/>
    <w:rsid w:val="005032DF"/>
    <w:rsid w:val="0050375E"/>
    <w:rsid w:val="0050378C"/>
    <w:rsid w:val="00503C01"/>
    <w:rsid w:val="00503C26"/>
    <w:rsid w:val="00503DD2"/>
    <w:rsid w:val="00503F9E"/>
    <w:rsid w:val="005049A8"/>
    <w:rsid w:val="00505262"/>
    <w:rsid w:val="005058D7"/>
    <w:rsid w:val="00505A31"/>
    <w:rsid w:val="00505A92"/>
    <w:rsid w:val="00505B17"/>
    <w:rsid w:val="00505C5C"/>
    <w:rsid w:val="00505ED8"/>
    <w:rsid w:val="0050644A"/>
    <w:rsid w:val="00506741"/>
    <w:rsid w:val="005069FB"/>
    <w:rsid w:val="00506DEB"/>
    <w:rsid w:val="00506E92"/>
    <w:rsid w:val="00507103"/>
    <w:rsid w:val="0050714A"/>
    <w:rsid w:val="00507311"/>
    <w:rsid w:val="0050752B"/>
    <w:rsid w:val="005079CC"/>
    <w:rsid w:val="00507A51"/>
    <w:rsid w:val="00507BF0"/>
    <w:rsid w:val="0051014C"/>
    <w:rsid w:val="0051029B"/>
    <w:rsid w:val="0051045F"/>
    <w:rsid w:val="00510662"/>
    <w:rsid w:val="005109C4"/>
    <w:rsid w:val="00510B21"/>
    <w:rsid w:val="00511097"/>
    <w:rsid w:val="0051118D"/>
    <w:rsid w:val="005111EC"/>
    <w:rsid w:val="005117E0"/>
    <w:rsid w:val="00511AAF"/>
    <w:rsid w:val="00511CDA"/>
    <w:rsid w:val="00512102"/>
    <w:rsid w:val="0051345A"/>
    <w:rsid w:val="005142A8"/>
    <w:rsid w:val="00514D10"/>
    <w:rsid w:val="00514F25"/>
    <w:rsid w:val="00515596"/>
    <w:rsid w:val="00515B4E"/>
    <w:rsid w:val="0051624F"/>
    <w:rsid w:val="00516301"/>
    <w:rsid w:val="00516764"/>
    <w:rsid w:val="0051677A"/>
    <w:rsid w:val="00516A1D"/>
    <w:rsid w:val="00516EF5"/>
    <w:rsid w:val="00517356"/>
    <w:rsid w:val="00517656"/>
    <w:rsid w:val="0051770A"/>
    <w:rsid w:val="00517D09"/>
    <w:rsid w:val="005202F4"/>
    <w:rsid w:val="0052186C"/>
    <w:rsid w:val="00521CA8"/>
    <w:rsid w:val="00521DF5"/>
    <w:rsid w:val="005220B6"/>
    <w:rsid w:val="00522432"/>
    <w:rsid w:val="00522746"/>
    <w:rsid w:val="0052289C"/>
    <w:rsid w:val="0052297D"/>
    <w:rsid w:val="005229B1"/>
    <w:rsid w:val="00523148"/>
    <w:rsid w:val="0052326D"/>
    <w:rsid w:val="005233AC"/>
    <w:rsid w:val="00523699"/>
    <w:rsid w:val="0052370D"/>
    <w:rsid w:val="005239F6"/>
    <w:rsid w:val="00523B83"/>
    <w:rsid w:val="00523C07"/>
    <w:rsid w:val="00523EF1"/>
    <w:rsid w:val="00524643"/>
    <w:rsid w:val="00524771"/>
    <w:rsid w:val="00524EDB"/>
    <w:rsid w:val="00524EED"/>
    <w:rsid w:val="00525367"/>
    <w:rsid w:val="00525844"/>
    <w:rsid w:val="00525871"/>
    <w:rsid w:val="00525872"/>
    <w:rsid w:val="00525BCB"/>
    <w:rsid w:val="00525CC5"/>
    <w:rsid w:val="00526060"/>
    <w:rsid w:val="005267C8"/>
    <w:rsid w:val="0052693F"/>
    <w:rsid w:val="00526B69"/>
    <w:rsid w:val="00526D5E"/>
    <w:rsid w:val="00526F8E"/>
    <w:rsid w:val="005270ED"/>
    <w:rsid w:val="00527197"/>
    <w:rsid w:val="0052759F"/>
    <w:rsid w:val="00527910"/>
    <w:rsid w:val="00527A70"/>
    <w:rsid w:val="00527B96"/>
    <w:rsid w:val="00527C59"/>
    <w:rsid w:val="00527D73"/>
    <w:rsid w:val="0053014A"/>
    <w:rsid w:val="0053027F"/>
    <w:rsid w:val="00530795"/>
    <w:rsid w:val="00530B99"/>
    <w:rsid w:val="00530ED7"/>
    <w:rsid w:val="00530F8E"/>
    <w:rsid w:val="00531260"/>
    <w:rsid w:val="00531414"/>
    <w:rsid w:val="0053148D"/>
    <w:rsid w:val="005314BE"/>
    <w:rsid w:val="00531574"/>
    <w:rsid w:val="00531721"/>
    <w:rsid w:val="005318BB"/>
    <w:rsid w:val="005318F3"/>
    <w:rsid w:val="00531A29"/>
    <w:rsid w:val="00532097"/>
    <w:rsid w:val="005320C7"/>
    <w:rsid w:val="005321C5"/>
    <w:rsid w:val="00532833"/>
    <w:rsid w:val="0053294D"/>
    <w:rsid w:val="00532B6D"/>
    <w:rsid w:val="00533123"/>
    <w:rsid w:val="00533129"/>
    <w:rsid w:val="00533388"/>
    <w:rsid w:val="00533429"/>
    <w:rsid w:val="0053343A"/>
    <w:rsid w:val="00533BDC"/>
    <w:rsid w:val="00533D0D"/>
    <w:rsid w:val="00533E80"/>
    <w:rsid w:val="00534307"/>
    <w:rsid w:val="00534372"/>
    <w:rsid w:val="00534720"/>
    <w:rsid w:val="00534C16"/>
    <w:rsid w:val="00535038"/>
    <w:rsid w:val="005353DD"/>
    <w:rsid w:val="00535BF9"/>
    <w:rsid w:val="00535E6E"/>
    <w:rsid w:val="005361F5"/>
    <w:rsid w:val="0053643F"/>
    <w:rsid w:val="00536474"/>
    <w:rsid w:val="00536AA3"/>
    <w:rsid w:val="00536E83"/>
    <w:rsid w:val="00536EEE"/>
    <w:rsid w:val="00536EFE"/>
    <w:rsid w:val="00536F69"/>
    <w:rsid w:val="005376D0"/>
    <w:rsid w:val="005379EE"/>
    <w:rsid w:val="005379F1"/>
    <w:rsid w:val="00537AF1"/>
    <w:rsid w:val="00537BBA"/>
    <w:rsid w:val="00537C4F"/>
    <w:rsid w:val="00537D66"/>
    <w:rsid w:val="00537F96"/>
    <w:rsid w:val="005401CA"/>
    <w:rsid w:val="005405B7"/>
    <w:rsid w:val="00540CB7"/>
    <w:rsid w:val="00541286"/>
    <w:rsid w:val="005414E1"/>
    <w:rsid w:val="0054166E"/>
    <w:rsid w:val="00541675"/>
    <w:rsid w:val="00541CE1"/>
    <w:rsid w:val="00541D7D"/>
    <w:rsid w:val="005420B8"/>
    <w:rsid w:val="005423CE"/>
    <w:rsid w:val="00542C7C"/>
    <w:rsid w:val="00542E91"/>
    <w:rsid w:val="005433A3"/>
    <w:rsid w:val="00543449"/>
    <w:rsid w:val="00543617"/>
    <w:rsid w:val="00543753"/>
    <w:rsid w:val="005440B2"/>
    <w:rsid w:val="00544273"/>
    <w:rsid w:val="005443B9"/>
    <w:rsid w:val="0054451A"/>
    <w:rsid w:val="0054533E"/>
    <w:rsid w:val="00545435"/>
    <w:rsid w:val="0054568A"/>
    <w:rsid w:val="005457CD"/>
    <w:rsid w:val="00545CA6"/>
    <w:rsid w:val="0054604E"/>
    <w:rsid w:val="00546195"/>
    <w:rsid w:val="0054662B"/>
    <w:rsid w:val="00546F55"/>
    <w:rsid w:val="00547026"/>
    <w:rsid w:val="0054763A"/>
    <w:rsid w:val="00547B53"/>
    <w:rsid w:val="00547E53"/>
    <w:rsid w:val="0055005C"/>
    <w:rsid w:val="00550286"/>
    <w:rsid w:val="005502A7"/>
    <w:rsid w:val="00550399"/>
    <w:rsid w:val="0055076A"/>
    <w:rsid w:val="005507E7"/>
    <w:rsid w:val="00550856"/>
    <w:rsid w:val="00550859"/>
    <w:rsid w:val="005508F5"/>
    <w:rsid w:val="00550B0D"/>
    <w:rsid w:val="00550C94"/>
    <w:rsid w:val="00551B25"/>
    <w:rsid w:val="00551EDE"/>
    <w:rsid w:val="00551FB9"/>
    <w:rsid w:val="0055239A"/>
    <w:rsid w:val="005527D4"/>
    <w:rsid w:val="005527F3"/>
    <w:rsid w:val="00552AA9"/>
    <w:rsid w:val="00553006"/>
    <w:rsid w:val="0055330F"/>
    <w:rsid w:val="00553CAC"/>
    <w:rsid w:val="00553E0D"/>
    <w:rsid w:val="005541D2"/>
    <w:rsid w:val="00554242"/>
    <w:rsid w:val="005545BC"/>
    <w:rsid w:val="0055493A"/>
    <w:rsid w:val="00554C18"/>
    <w:rsid w:val="00554E36"/>
    <w:rsid w:val="005553D4"/>
    <w:rsid w:val="00555B12"/>
    <w:rsid w:val="00555CB8"/>
    <w:rsid w:val="005560CB"/>
    <w:rsid w:val="00556255"/>
    <w:rsid w:val="0055672B"/>
    <w:rsid w:val="00556863"/>
    <w:rsid w:val="00556A88"/>
    <w:rsid w:val="00556B7C"/>
    <w:rsid w:val="00556E35"/>
    <w:rsid w:val="00557226"/>
    <w:rsid w:val="0055723A"/>
    <w:rsid w:val="005575CC"/>
    <w:rsid w:val="00557758"/>
    <w:rsid w:val="0055790D"/>
    <w:rsid w:val="005579CF"/>
    <w:rsid w:val="00557CCA"/>
    <w:rsid w:val="0056026F"/>
    <w:rsid w:val="005603D4"/>
    <w:rsid w:val="0056063F"/>
    <w:rsid w:val="00560886"/>
    <w:rsid w:val="005608EE"/>
    <w:rsid w:val="00560D45"/>
    <w:rsid w:val="00560F94"/>
    <w:rsid w:val="0056118B"/>
    <w:rsid w:val="00561974"/>
    <w:rsid w:val="00561F1B"/>
    <w:rsid w:val="00561F42"/>
    <w:rsid w:val="00562106"/>
    <w:rsid w:val="0056255A"/>
    <w:rsid w:val="00563633"/>
    <w:rsid w:val="005636FA"/>
    <w:rsid w:val="00563A67"/>
    <w:rsid w:val="00563EA9"/>
    <w:rsid w:val="00563ED5"/>
    <w:rsid w:val="00564400"/>
    <w:rsid w:val="0056453B"/>
    <w:rsid w:val="005649A1"/>
    <w:rsid w:val="00564B44"/>
    <w:rsid w:val="00564C25"/>
    <w:rsid w:val="005650FE"/>
    <w:rsid w:val="005651D5"/>
    <w:rsid w:val="00565708"/>
    <w:rsid w:val="00565720"/>
    <w:rsid w:val="005659D3"/>
    <w:rsid w:val="00565F50"/>
    <w:rsid w:val="00566343"/>
    <w:rsid w:val="005663CC"/>
    <w:rsid w:val="0056678F"/>
    <w:rsid w:val="00567188"/>
    <w:rsid w:val="0056739B"/>
    <w:rsid w:val="00567CF7"/>
    <w:rsid w:val="00567D5F"/>
    <w:rsid w:val="0057009A"/>
    <w:rsid w:val="00570151"/>
    <w:rsid w:val="00570165"/>
    <w:rsid w:val="00570B66"/>
    <w:rsid w:val="00570D77"/>
    <w:rsid w:val="00570F4B"/>
    <w:rsid w:val="0057102B"/>
    <w:rsid w:val="0057109C"/>
    <w:rsid w:val="00571394"/>
    <w:rsid w:val="005715D9"/>
    <w:rsid w:val="00571616"/>
    <w:rsid w:val="00571936"/>
    <w:rsid w:val="00571CA9"/>
    <w:rsid w:val="00571D32"/>
    <w:rsid w:val="00571DE8"/>
    <w:rsid w:val="00572CF3"/>
    <w:rsid w:val="00572F18"/>
    <w:rsid w:val="00572F2A"/>
    <w:rsid w:val="00572F41"/>
    <w:rsid w:val="00573801"/>
    <w:rsid w:val="005738BD"/>
    <w:rsid w:val="00574542"/>
    <w:rsid w:val="0057479E"/>
    <w:rsid w:val="00574979"/>
    <w:rsid w:val="00574B74"/>
    <w:rsid w:val="00574EF4"/>
    <w:rsid w:val="005752D4"/>
    <w:rsid w:val="00575386"/>
    <w:rsid w:val="005759D6"/>
    <w:rsid w:val="00575AE7"/>
    <w:rsid w:val="00575C7D"/>
    <w:rsid w:val="00575E5D"/>
    <w:rsid w:val="005761E3"/>
    <w:rsid w:val="00576717"/>
    <w:rsid w:val="00576ADE"/>
    <w:rsid w:val="00576BCA"/>
    <w:rsid w:val="00576BE9"/>
    <w:rsid w:val="00576E7C"/>
    <w:rsid w:val="00576F01"/>
    <w:rsid w:val="005770A3"/>
    <w:rsid w:val="005775BB"/>
    <w:rsid w:val="0057784C"/>
    <w:rsid w:val="005800DE"/>
    <w:rsid w:val="005804F8"/>
    <w:rsid w:val="005805B5"/>
    <w:rsid w:val="0058089C"/>
    <w:rsid w:val="00581173"/>
    <w:rsid w:val="005811D6"/>
    <w:rsid w:val="0058155B"/>
    <w:rsid w:val="005818BB"/>
    <w:rsid w:val="00581D21"/>
    <w:rsid w:val="00581E57"/>
    <w:rsid w:val="00582338"/>
    <w:rsid w:val="005824FD"/>
    <w:rsid w:val="00582A38"/>
    <w:rsid w:val="00582B24"/>
    <w:rsid w:val="00582C6E"/>
    <w:rsid w:val="00582D05"/>
    <w:rsid w:val="005836F0"/>
    <w:rsid w:val="00583B69"/>
    <w:rsid w:val="00583B7E"/>
    <w:rsid w:val="00583C41"/>
    <w:rsid w:val="00583FBD"/>
    <w:rsid w:val="00584080"/>
    <w:rsid w:val="00584342"/>
    <w:rsid w:val="005843DB"/>
    <w:rsid w:val="005847B7"/>
    <w:rsid w:val="00584D8C"/>
    <w:rsid w:val="00585382"/>
    <w:rsid w:val="005858BE"/>
    <w:rsid w:val="005859B9"/>
    <w:rsid w:val="00586289"/>
    <w:rsid w:val="00586A40"/>
    <w:rsid w:val="00586ABC"/>
    <w:rsid w:val="00586EB4"/>
    <w:rsid w:val="0058707A"/>
    <w:rsid w:val="005874E1"/>
    <w:rsid w:val="00587591"/>
    <w:rsid w:val="0058767D"/>
    <w:rsid w:val="005876DC"/>
    <w:rsid w:val="005879B0"/>
    <w:rsid w:val="00587A6A"/>
    <w:rsid w:val="00587B6A"/>
    <w:rsid w:val="005901FA"/>
    <w:rsid w:val="00590618"/>
    <w:rsid w:val="00590890"/>
    <w:rsid w:val="005908DD"/>
    <w:rsid w:val="00590F69"/>
    <w:rsid w:val="00590FA4"/>
    <w:rsid w:val="00591692"/>
    <w:rsid w:val="00591883"/>
    <w:rsid w:val="00591B9C"/>
    <w:rsid w:val="0059214A"/>
    <w:rsid w:val="005923E9"/>
    <w:rsid w:val="005923EE"/>
    <w:rsid w:val="005924E6"/>
    <w:rsid w:val="0059258E"/>
    <w:rsid w:val="00592634"/>
    <w:rsid w:val="00592B78"/>
    <w:rsid w:val="00592C9A"/>
    <w:rsid w:val="005935ED"/>
    <w:rsid w:val="00593896"/>
    <w:rsid w:val="005939FA"/>
    <w:rsid w:val="00593C9F"/>
    <w:rsid w:val="00594308"/>
    <w:rsid w:val="005944A2"/>
    <w:rsid w:val="005948CE"/>
    <w:rsid w:val="00595131"/>
    <w:rsid w:val="005955D0"/>
    <w:rsid w:val="00595C94"/>
    <w:rsid w:val="00595CF6"/>
    <w:rsid w:val="00595EB7"/>
    <w:rsid w:val="00596969"/>
    <w:rsid w:val="00596FE9"/>
    <w:rsid w:val="00597253"/>
    <w:rsid w:val="005975C4"/>
    <w:rsid w:val="00597AE4"/>
    <w:rsid w:val="00597E4E"/>
    <w:rsid w:val="005A0285"/>
    <w:rsid w:val="005A0BC5"/>
    <w:rsid w:val="005A0C01"/>
    <w:rsid w:val="005A0D13"/>
    <w:rsid w:val="005A1446"/>
    <w:rsid w:val="005A1786"/>
    <w:rsid w:val="005A1A95"/>
    <w:rsid w:val="005A1CA1"/>
    <w:rsid w:val="005A21CC"/>
    <w:rsid w:val="005A2F35"/>
    <w:rsid w:val="005A3016"/>
    <w:rsid w:val="005A324C"/>
    <w:rsid w:val="005A334A"/>
    <w:rsid w:val="005A3ABD"/>
    <w:rsid w:val="005A3B74"/>
    <w:rsid w:val="005A409E"/>
    <w:rsid w:val="005A4548"/>
    <w:rsid w:val="005A4684"/>
    <w:rsid w:val="005A46E0"/>
    <w:rsid w:val="005A4A50"/>
    <w:rsid w:val="005A4ABC"/>
    <w:rsid w:val="005A4AC4"/>
    <w:rsid w:val="005A4F63"/>
    <w:rsid w:val="005A5129"/>
    <w:rsid w:val="005A5318"/>
    <w:rsid w:val="005A585B"/>
    <w:rsid w:val="005A58A4"/>
    <w:rsid w:val="005A5CA2"/>
    <w:rsid w:val="005A5CB6"/>
    <w:rsid w:val="005A5CF5"/>
    <w:rsid w:val="005A5E36"/>
    <w:rsid w:val="005A60F8"/>
    <w:rsid w:val="005A612C"/>
    <w:rsid w:val="005A6192"/>
    <w:rsid w:val="005A630A"/>
    <w:rsid w:val="005A6370"/>
    <w:rsid w:val="005A6760"/>
    <w:rsid w:val="005A6C52"/>
    <w:rsid w:val="005A7315"/>
    <w:rsid w:val="005A7426"/>
    <w:rsid w:val="005A74FD"/>
    <w:rsid w:val="005A7644"/>
    <w:rsid w:val="005A77E2"/>
    <w:rsid w:val="005A7CB7"/>
    <w:rsid w:val="005B010E"/>
    <w:rsid w:val="005B016D"/>
    <w:rsid w:val="005B0445"/>
    <w:rsid w:val="005B0841"/>
    <w:rsid w:val="005B09C5"/>
    <w:rsid w:val="005B1626"/>
    <w:rsid w:val="005B1C01"/>
    <w:rsid w:val="005B1D56"/>
    <w:rsid w:val="005B1E10"/>
    <w:rsid w:val="005B1E66"/>
    <w:rsid w:val="005B2742"/>
    <w:rsid w:val="005B301C"/>
    <w:rsid w:val="005B306B"/>
    <w:rsid w:val="005B3443"/>
    <w:rsid w:val="005B344A"/>
    <w:rsid w:val="005B3854"/>
    <w:rsid w:val="005B38C3"/>
    <w:rsid w:val="005B3B7D"/>
    <w:rsid w:val="005B3DC9"/>
    <w:rsid w:val="005B473A"/>
    <w:rsid w:val="005B4DA6"/>
    <w:rsid w:val="005B5839"/>
    <w:rsid w:val="005B6ACC"/>
    <w:rsid w:val="005B6C05"/>
    <w:rsid w:val="005B781B"/>
    <w:rsid w:val="005B7C40"/>
    <w:rsid w:val="005B7CCA"/>
    <w:rsid w:val="005B7EC4"/>
    <w:rsid w:val="005C00D3"/>
    <w:rsid w:val="005C01C0"/>
    <w:rsid w:val="005C0224"/>
    <w:rsid w:val="005C0263"/>
    <w:rsid w:val="005C03E6"/>
    <w:rsid w:val="005C0464"/>
    <w:rsid w:val="005C0623"/>
    <w:rsid w:val="005C068F"/>
    <w:rsid w:val="005C08DA"/>
    <w:rsid w:val="005C0EB3"/>
    <w:rsid w:val="005C0F5D"/>
    <w:rsid w:val="005C1170"/>
    <w:rsid w:val="005C1278"/>
    <w:rsid w:val="005C145E"/>
    <w:rsid w:val="005C19A6"/>
    <w:rsid w:val="005C22A6"/>
    <w:rsid w:val="005C2355"/>
    <w:rsid w:val="005C2AF9"/>
    <w:rsid w:val="005C2CBD"/>
    <w:rsid w:val="005C2DE5"/>
    <w:rsid w:val="005C2FF1"/>
    <w:rsid w:val="005C32CB"/>
    <w:rsid w:val="005C3A37"/>
    <w:rsid w:val="005C3DA1"/>
    <w:rsid w:val="005C3E87"/>
    <w:rsid w:val="005C3FA2"/>
    <w:rsid w:val="005C46F9"/>
    <w:rsid w:val="005C508E"/>
    <w:rsid w:val="005C5453"/>
    <w:rsid w:val="005C54D5"/>
    <w:rsid w:val="005C59CB"/>
    <w:rsid w:val="005C5FC6"/>
    <w:rsid w:val="005C6065"/>
    <w:rsid w:val="005C66D4"/>
    <w:rsid w:val="005C6AE4"/>
    <w:rsid w:val="005C6D09"/>
    <w:rsid w:val="005C6E8B"/>
    <w:rsid w:val="005C7276"/>
    <w:rsid w:val="005C74F2"/>
    <w:rsid w:val="005C7FDE"/>
    <w:rsid w:val="005D060E"/>
    <w:rsid w:val="005D0882"/>
    <w:rsid w:val="005D0D09"/>
    <w:rsid w:val="005D1054"/>
    <w:rsid w:val="005D1329"/>
    <w:rsid w:val="005D134B"/>
    <w:rsid w:val="005D143B"/>
    <w:rsid w:val="005D1469"/>
    <w:rsid w:val="005D160E"/>
    <w:rsid w:val="005D17C1"/>
    <w:rsid w:val="005D17D6"/>
    <w:rsid w:val="005D1983"/>
    <w:rsid w:val="005D1B82"/>
    <w:rsid w:val="005D1D64"/>
    <w:rsid w:val="005D2054"/>
    <w:rsid w:val="005D2933"/>
    <w:rsid w:val="005D3497"/>
    <w:rsid w:val="005D352C"/>
    <w:rsid w:val="005D3C57"/>
    <w:rsid w:val="005D43E0"/>
    <w:rsid w:val="005D44B7"/>
    <w:rsid w:val="005D4DAC"/>
    <w:rsid w:val="005D5046"/>
    <w:rsid w:val="005D50D8"/>
    <w:rsid w:val="005D578A"/>
    <w:rsid w:val="005D5F7B"/>
    <w:rsid w:val="005D67E6"/>
    <w:rsid w:val="005D68C9"/>
    <w:rsid w:val="005D6C50"/>
    <w:rsid w:val="005D7135"/>
    <w:rsid w:val="005D72B0"/>
    <w:rsid w:val="005D77B1"/>
    <w:rsid w:val="005D7DC9"/>
    <w:rsid w:val="005E0471"/>
    <w:rsid w:val="005E066F"/>
    <w:rsid w:val="005E0F1C"/>
    <w:rsid w:val="005E0FA6"/>
    <w:rsid w:val="005E117A"/>
    <w:rsid w:val="005E141F"/>
    <w:rsid w:val="005E1856"/>
    <w:rsid w:val="005E1966"/>
    <w:rsid w:val="005E1B56"/>
    <w:rsid w:val="005E217D"/>
    <w:rsid w:val="005E234F"/>
    <w:rsid w:val="005E25F8"/>
    <w:rsid w:val="005E2995"/>
    <w:rsid w:val="005E2F89"/>
    <w:rsid w:val="005E2FE7"/>
    <w:rsid w:val="005E3480"/>
    <w:rsid w:val="005E39DB"/>
    <w:rsid w:val="005E3AE4"/>
    <w:rsid w:val="005E3D59"/>
    <w:rsid w:val="005E3FA5"/>
    <w:rsid w:val="005E446C"/>
    <w:rsid w:val="005E492B"/>
    <w:rsid w:val="005E4A91"/>
    <w:rsid w:val="005E4AB4"/>
    <w:rsid w:val="005E4B9F"/>
    <w:rsid w:val="005E4C5A"/>
    <w:rsid w:val="005E4D9D"/>
    <w:rsid w:val="005E5394"/>
    <w:rsid w:val="005E57C2"/>
    <w:rsid w:val="005E6436"/>
    <w:rsid w:val="005E65D2"/>
    <w:rsid w:val="005E67CB"/>
    <w:rsid w:val="005E6AE7"/>
    <w:rsid w:val="005E6E16"/>
    <w:rsid w:val="005E79E7"/>
    <w:rsid w:val="005E7BA6"/>
    <w:rsid w:val="005E7F6B"/>
    <w:rsid w:val="005F0405"/>
    <w:rsid w:val="005F0409"/>
    <w:rsid w:val="005F0596"/>
    <w:rsid w:val="005F06EC"/>
    <w:rsid w:val="005F0A91"/>
    <w:rsid w:val="005F0A9C"/>
    <w:rsid w:val="005F0CE1"/>
    <w:rsid w:val="005F0E0C"/>
    <w:rsid w:val="005F120D"/>
    <w:rsid w:val="005F125C"/>
    <w:rsid w:val="005F13E1"/>
    <w:rsid w:val="005F14C6"/>
    <w:rsid w:val="005F1523"/>
    <w:rsid w:val="005F1A4F"/>
    <w:rsid w:val="005F20CF"/>
    <w:rsid w:val="005F276D"/>
    <w:rsid w:val="005F29DA"/>
    <w:rsid w:val="005F2E6C"/>
    <w:rsid w:val="005F2F1D"/>
    <w:rsid w:val="005F32B2"/>
    <w:rsid w:val="005F3328"/>
    <w:rsid w:val="005F34CA"/>
    <w:rsid w:val="005F34FA"/>
    <w:rsid w:val="005F382F"/>
    <w:rsid w:val="005F38A3"/>
    <w:rsid w:val="005F3936"/>
    <w:rsid w:val="005F3DF2"/>
    <w:rsid w:val="005F4158"/>
    <w:rsid w:val="005F42CC"/>
    <w:rsid w:val="005F42E9"/>
    <w:rsid w:val="005F4310"/>
    <w:rsid w:val="005F43A5"/>
    <w:rsid w:val="005F4676"/>
    <w:rsid w:val="005F4B71"/>
    <w:rsid w:val="005F4EEB"/>
    <w:rsid w:val="005F4F13"/>
    <w:rsid w:val="005F5607"/>
    <w:rsid w:val="005F58D4"/>
    <w:rsid w:val="005F5F46"/>
    <w:rsid w:val="005F614C"/>
    <w:rsid w:val="005F6930"/>
    <w:rsid w:val="005F69A6"/>
    <w:rsid w:val="005F6CDF"/>
    <w:rsid w:val="005F6DEF"/>
    <w:rsid w:val="005F6E51"/>
    <w:rsid w:val="00600120"/>
    <w:rsid w:val="0060019E"/>
    <w:rsid w:val="006006A9"/>
    <w:rsid w:val="00601483"/>
    <w:rsid w:val="006016A5"/>
    <w:rsid w:val="00601D6D"/>
    <w:rsid w:val="00601DB4"/>
    <w:rsid w:val="00601DD5"/>
    <w:rsid w:val="00602094"/>
    <w:rsid w:val="006021ED"/>
    <w:rsid w:val="00602297"/>
    <w:rsid w:val="0060266F"/>
    <w:rsid w:val="00602B68"/>
    <w:rsid w:val="00602FEA"/>
    <w:rsid w:val="0060326B"/>
    <w:rsid w:val="006032F8"/>
    <w:rsid w:val="00603567"/>
    <w:rsid w:val="00603AEE"/>
    <w:rsid w:val="00603B49"/>
    <w:rsid w:val="00603D7C"/>
    <w:rsid w:val="00603E30"/>
    <w:rsid w:val="0060402D"/>
    <w:rsid w:val="00604881"/>
    <w:rsid w:val="0060494B"/>
    <w:rsid w:val="00604A2A"/>
    <w:rsid w:val="0060540D"/>
    <w:rsid w:val="006054B0"/>
    <w:rsid w:val="00605A94"/>
    <w:rsid w:val="00605BD1"/>
    <w:rsid w:val="00605C5C"/>
    <w:rsid w:val="00605CDB"/>
    <w:rsid w:val="00605D89"/>
    <w:rsid w:val="00605F7D"/>
    <w:rsid w:val="00606395"/>
    <w:rsid w:val="0060648C"/>
    <w:rsid w:val="006064AA"/>
    <w:rsid w:val="00606512"/>
    <w:rsid w:val="00606892"/>
    <w:rsid w:val="00606BF3"/>
    <w:rsid w:val="00606CB8"/>
    <w:rsid w:val="00606EB8"/>
    <w:rsid w:val="006070D5"/>
    <w:rsid w:val="0060725C"/>
    <w:rsid w:val="00607744"/>
    <w:rsid w:val="00607860"/>
    <w:rsid w:val="00607DFD"/>
    <w:rsid w:val="006100B4"/>
    <w:rsid w:val="006100D1"/>
    <w:rsid w:val="006101D8"/>
    <w:rsid w:val="006106FD"/>
    <w:rsid w:val="00611052"/>
    <w:rsid w:val="0061109F"/>
    <w:rsid w:val="00611329"/>
    <w:rsid w:val="006114E0"/>
    <w:rsid w:val="00611572"/>
    <w:rsid w:val="00611A66"/>
    <w:rsid w:val="00611EC9"/>
    <w:rsid w:val="006123AB"/>
    <w:rsid w:val="00612843"/>
    <w:rsid w:val="00612A8D"/>
    <w:rsid w:val="00612B21"/>
    <w:rsid w:val="00612F4C"/>
    <w:rsid w:val="006131A1"/>
    <w:rsid w:val="006131AA"/>
    <w:rsid w:val="006131FC"/>
    <w:rsid w:val="00613322"/>
    <w:rsid w:val="0061334C"/>
    <w:rsid w:val="006133AA"/>
    <w:rsid w:val="00613667"/>
    <w:rsid w:val="006139F0"/>
    <w:rsid w:val="00613B72"/>
    <w:rsid w:val="00613D6B"/>
    <w:rsid w:val="006142D9"/>
    <w:rsid w:val="00614C65"/>
    <w:rsid w:val="006155CF"/>
    <w:rsid w:val="00615E43"/>
    <w:rsid w:val="0061607C"/>
    <w:rsid w:val="006163AE"/>
    <w:rsid w:val="0061695A"/>
    <w:rsid w:val="00617127"/>
    <w:rsid w:val="006174B2"/>
    <w:rsid w:val="00617741"/>
    <w:rsid w:val="006178DC"/>
    <w:rsid w:val="00617962"/>
    <w:rsid w:val="00617D26"/>
    <w:rsid w:val="00620242"/>
    <w:rsid w:val="00620552"/>
    <w:rsid w:val="00620576"/>
    <w:rsid w:val="006208BC"/>
    <w:rsid w:val="00620A2D"/>
    <w:rsid w:val="00620E63"/>
    <w:rsid w:val="00620FBD"/>
    <w:rsid w:val="006211BB"/>
    <w:rsid w:val="0062140A"/>
    <w:rsid w:val="00621A0E"/>
    <w:rsid w:val="00621F4E"/>
    <w:rsid w:val="00622333"/>
    <w:rsid w:val="006223F5"/>
    <w:rsid w:val="006225E7"/>
    <w:rsid w:val="00622AB5"/>
    <w:rsid w:val="00622BFF"/>
    <w:rsid w:val="00622FD7"/>
    <w:rsid w:val="006230A7"/>
    <w:rsid w:val="00623254"/>
    <w:rsid w:val="006238BE"/>
    <w:rsid w:val="00623C12"/>
    <w:rsid w:val="00623FF8"/>
    <w:rsid w:val="006242B7"/>
    <w:rsid w:val="00624625"/>
    <w:rsid w:val="006248CD"/>
    <w:rsid w:val="00624BB6"/>
    <w:rsid w:val="00624C97"/>
    <w:rsid w:val="00625270"/>
    <w:rsid w:val="00625796"/>
    <w:rsid w:val="006259A9"/>
    <w:rsid w:val="00625B57"/>
    <w:rsid w:val="00625DDD"/>
    <w:rsid w:val="006262E1"/>
    <w:rsid w:val="006263E5"/>
    <w:rsid w:val="006264AE"/>
    <w:rsid w:val="006264BD"/>
    <w:rsid w:val="00626B92"/>
    <w:rsid w:val="0062738C"/>
    <w:rsid w:val="00627C4D"/>
    <w:rsid w:val="006300C3"/>
    <w:rsid w:val="00630170"/>
    <w:rsid w:val="00630244"/>
    <w:rsid w:val="00630DF6"/>
    <w:rsid w:val="0063119D"/>
    <w:rsid w:val="006311FE"/>
    <w:rsid w:val="006313D2"/>
    <w:rsid w:val="00631735"/>
    <w:rsid w:val="00631F24"/>
    <w:rsid w:val="006320D2"/>
    <w:rsid w:val="0063258B"/>
    <w:rsid w:val="00632AC2"/>
    <w:rsid w:val="00632E1B"/>
    <w:rsid w:val="006332FE"/>
    <w:rsid w:val="006337DF"/>
    <w:rsid w:val="006339E7"/>
    <w:rsid w:val="00633AE1"/>
    <w:rsid w:val="00633C94"/>
    <w:rsid w:val="00633D33"/>
    <w:rsid w:val="00633DF5"/>
    <w:rsid w:val="00634736"/>
    <w:rsid w:val="00634A86"/>
    <w:rsid w:val="00634F13"/>
    <w:rsid w:val="006350BF"/>
    <w:rsid w:val="00635314"/>
    <w:rsid w:val="00635378"/>
    <w:rsid w:val="006355F0"/>
    <w:rsid w:val="006357E9"/>
    <w:rsid w:val="00635800"/>
    <w:rsid w:val="00635EE6"/>
    <w:rsid w:val="00635F24"/>
    <w:rsid w:val="00635F49"/>
    <w:rsid w:val="00636242"/>
    <w:rsid w:val="00636D2D"/>
    <w:rsid w:val="00636FB2"/>
    <w:rsid w:val="00637091"/>
    <w:rsid w:val="00637542"/>
    <w:rsid w:val="00637693"/>
    <w:rsid w:val="006379E8"/>
    <w:rsid w:val="00637B02"/>
    <w:rsid w:val="0064004A"/>
    <w:rsid w:val="00640208"/>
    <w:rsid w:val="00640478"/>
    <w:rsid w:val="006404D1"/>
    <w:rsid w:val="0064062C"/>
    <w:rsid w:val="0064064A"/>
    <w:rsid w:val="00640FD9"/>
    <w:rsid w:val="00641116"/>
    <w:rsid w:val="006412E8"/>
    <w:rsid w:val="00641372"/>
    <w:rsid w:val="006414EB"/>
    <w:rsid w:val="00641837"/>
    <w:rsid w:val="006419B2"/>
    <w:rsid w:val="00641B4E"/>
    <w:rsid w:val="00641E8A"/>
    <w:rsid w:val="0064213F"/>
    <w:rsid w:val="00642237"/>
    <w:rsid w:val="0064229F"/>
    <w:rsid w:val="006422DB"/>
    <w:rsid w:val="00642538"/>
    <w:rsid w:val="00642A84"/>
    <w:rsid w:val="00642AAC"/>
    <w:rsid w:val="00642ABB"/>
    <w:rsid w:val="00642B28"/>
    <w:rsid w:val="00643D83"/>
    <w:rsid w:val="00643D9B"/>
    <w:rsid w:val="0064466F"/>
    <w:rsid w:val="006447C0"/>
    <w:rsid w:val="00644929"/>
    <w:rsid w:val="00644A7A"/>
    <w:rsid w:val="00644AA2"/>
    <w:rsid w:val="00644D87"/>
    <w:rsid w:val="006451D7"/>
    <w:rsid w:val="00645283"/>
    <w:rsid w:val="00646006"/>
    <w:rsid w:val="0064600F"/>
    <w:rsid w:val="006466AA"/>
    <w:rsid w:val="006466C8"/>
    <w:rsid w:val="006471BF"/>
    <w:rsid w:val="00647321"/>
    <w:rsid w:val="0064763E"/>
    <w:rsid w:val="006476BA"/>
    <w:rsid w:val="00647ADC"/>
    <w:rsid w:val="00647F94"/>
    <w:rsid w:val="00650601"/>
    <w:rsid w:val="00650B54"/>
    <w:rsid w:val="00650E52"/>
    <w:rsid w:val="006510F6"/>
    <w:rsid w:val="006514B8"/>
    <w:rsid w:val="00651830"/>
    <w:rsid w:val="006518C8"/>
    <w:rsid w:val="00651A9C"/>
    <w:rsid w:val="00651AD0"/>
    <w:rsid w:val="00651E25"/>
    <w:rsid w:val="00651FA8"/>
    <w:rsid w:val="00652208"/>
    <w:rsid w:val="0065249A"/>
    <w:rsid w:val="00652557"/>
    <w:rsid w:val="006529A8"/>
    <w:rsid w:val="00652AEC"/>
    <w:rsid w:val="00653216"/>
    <w:rsid w:val="00653473"/>
    <w:rsid w:val="006535FA"/>
    <w:rsid w:val="006537CD"/>
    <w:rsid w:val="00653916"/>
    <w:rsid w:val="00653C18"/>
    <w:rsid w:val="00654193"/>
    <w:rsid w:val="0065425F"/>
    <w:rsid w:val="006542BD"/>
    <w:rsid w:val="00654456"/>
    <w:rsid w:val="00654465"/>
    <w:rsid w:val="0065484A"/>
    <w:rsid w:val="00654C6A"/>
    <w:rsid w:val="00654F1B"/>
    <w:rsid w:val="00655235"/>
    <w:rsid w:val="0065536D"/>
    <w:rsid w:val="00655D67"/>
    <w:rsid w:val="00655FEA"/>
    <w:rsid w:val="006560C2"/>
    <w:rsid w:val="006563A1"/>
    <w:rsid w:val="00656B8B"/>
    <w:rsid w:val="006575A9"/>
    <w:rsid w:val="00657B4F"/>
    <w:rsid w:val="00657C0C"/>
    <w:rsid w:val="006601FB"/>
    <w:rsid w:val="00660284"/>
    <w:rsid w:val="006606DF"/>
    <w:rsid w:val="00660792"/>
    <w:rsid w:val="0066099D"/>
    <w:rsid w:val="00660BD1"/>
    <w:rsid w:val="00660D4D"/>
    <w:rsid w:val="00660D79"/>
    <w:rsid w:val="006610C6"/>
    <w:rsid w:val="0066142D"/>
    <w:rsid w:val="006619C8"/>
    <w:rsid w:val="00661BB0"/>
    <w:rsid w:val="00661F5F"/>
    <w:rsid w:val="00662B16"/>
    <w:rsid w:val="00662B61"/>
    <w:rsid w:val="006635C0"/>
    <w:rsid w:val="006638B0"/>
    <w:rsid w:val="00663E7F"/>
    <w:rsid w:val="00664045"/>
    <w:rsid w:val="006647A1"/>
    <w:rsid w:val="00664E73"/>
    <w:rsid w:val="00664ECC"/>
    <w:rsid w:val="006650B3"/>
    <w:rsid w:val="00665740"/>
    <w:rsid w:val="00665A89"/>
    <w:rsid w:val="00665EA7"/>
    <w:rsid w:val="00665FB9"/>
    <w:rsid w:val="006661D3"/>
    <w:rsid w:val="006663CB"/>
    <w:rsid w:val="006663E3"/>
    <w:rsid w:val="0066675A"/>
    <w:rsid w:val="006667A1"/>
    <w:rsid w:val="00666A37"/>
    <w:rsid w:val="00667142"/>
    <w:rsid w:val="00667485"/>
    <w:rsid w:val="0066767C"/>
    <w:rsid w:val="0066778C"/>
    <w:rsid w:val="00667A17"/>
    <w:rsid w:val="00667D92"/>
    <w:rsid w:val="00667D99"/>
    <w:rsid w:val="0067054F"/>
    <w:rsid w:val="00670876"/>
    <w:rsid w:val="00670A87"/>
    <w:rsid w:val="00670E77"/>
    <w:rsid w:val="00670E93"/>
    <w:rsid w:val="00671223"/>
    <w:rsid w:val="006714DA"/>
    <w:rsid w:val="006715FC"/>
    <w:rsid w:val="00671A38"/>
    <w:rsid w:val="00671ACB"/>
    <w:rsid w:val="00671D21"/>
    <w:rsid w:val="0067214F"/>
    <w:rsid w:val="00672832"/>
    <w:rsid w:val="006728C7"/>
    <w:rsid w:val="00672AE4"/>
    <w:rsid w:val="00672AFF"/>
    <w:rsid w:val="00672C21"/>
    <w:rsid w:val="00672D21"/>
    <w:rsid w:val="00672D7F"/>
    <w:rsid w:val="00673F3F"/>
    <w:rsid w:val="00674672"/>
    <w:rsid w:val="006748C1"/>
    <w:rsid w:val="006749CD"/>
    <w:rsid w:val="00674A68"/>
    <w:rsid w:val="00674B20"/>
    <w:rsid w:val="006750D2"/>
    <w:rsid w:val="0067529E"/>
    <w:rsid w:val="0067540E"/>
    <w:rsid w:val="006754A8"/>
    <w:rsid w:val="00675576"/>
    <w:rsid w:val="00675C1F"/>
    <w:rsid w:val="00675E27"/>
    <w:rsid w:val="00676A9E"/>
    <w:rsid w:val="00676DD6"/>
    <w:rsid w:val="00676E3C"/>
    <w:rsid w:val="006770FD"/>
    <w:rsid w:val="00677214"/>
    <w:rsid w:val="00677287"/>
    <w:rsid w:val="006772B8"/>
    <w:rsid w:val="00677655"/>
    <w:rsid w:val="00677A65"/>
    <w:rsid w:val="0068021D"/>
    <w:rsid w:val="006802FC"/>
    <w:rsid w:val="006808F5"/>
    <w:rsid w:val="006809AE"/>
    <w:rsid w:val="00680D22"/>
    <w:rsid w:val="00680F26"/>
    <w:rsid w:val="0068130C"/>
    <w:rsid w:val="00681412"/>
    <w:rsid w:val="00681418"/>
    <w:rsid w:val="0068166F"/>
    <w:rsid w:val="00681838"/>
    <w:rsid w:val="006823BB"/>
    <w:rsid w:val="0068264E"/>
    <w:rsid w:val="00682713"/>
    <w:rsid w:val="00682C7E"/>
    <w:rsid w:val="00682D3F"/>
    <w:rsid w:val="00682E7C"/>
    <w:rsid w:val="00683063"/>
    <w:rsid w:val="006832DE"/>
    <w:rsid w:val="006833B5"/>
    <w:rsid w:val="00683607"/>
    <w:rsid w:val="00683699"/>
    <w:rsid w:val="00683784"/>
    <w:rsid w:val="006839BA"/>
    <w:rsid w:val="00683A38"/>
    <w:rsid w:val="00683ACB"/>
    <w:rsid w:val="006841E8"/>
    <w:rsid w:val="006841F5"/>
    <w:rsid w:val="0068480E"/>
    <w:rsid w:val="0068496C"/>
    <w:rsid w:val="00684AE9"/>
    <w:rsid w:val="006852B6"/>
    <w:rsid w:val="006853F6"/>
    <w:rsid w:val="00685418"/>
    <w:rsid w:val="006863C7"/>
    <w:rsid w:val="0068660A"/>
    <w:rsid w:val="00686A1C"/>
    <w:rsid w:val="00686C4D"/>
    <w:rsid w:val="0068711B"/>
    <w:rsid w:val="00687217"/>
    <w:rsid w:val="00687492"/>
    <w:rsid w:val="00687526"/>
    <w:rsid w:val="006878BF"/>
    <w:rsid w:val="00687FBF"/>
    <w:rsid w:val="0069049C"/>
    <w:rsid w:val="0069057F"/>
    <w:rsid w:val="00690E8C"/>
    <w:rsid w:val="00691470"/>
    <w:rsid w:val="006916C5"/>
    <w:rsid w:val="00691AAF"/>
    <w:rsid w:val="00691CCB"/>
    <w:rsid w:val="00691F75"/>
    <w:rsid w:val="00691F9E"/>
    <w:rsid w:val="00691FB8"/>
    <w:rsid w:val="00692117"/>
    <w:rsid w:val="0069267A"/>
    <w:rsid w:val="00692A76"/>
    <w:rsid w:val="00692B86"/>
    <w:rsid w:val="00692C43"/>
    <w:rsid w:val="00692E38"/>
    <w:rsid w:val="00692F9C"/>
    <w:rsid w:val="00693356"/>
    <w:rsid w:val="006945D3"/>
    <w:rsid w:val="00694A9C"/>
    <w:rsid w:val="00694FA6"/>
    <w:rsid w:val="00695521"/>
    <w:rsid w:val="00695C5E"/>
    <w:rsid w:val="00696404"/>
    <w:rsid w:val="00696744"/>
    <w:rsid w:val="00696A22"/>
    <w:rsid w:val="00696B70"/>
    <w:rsid w:val="00696BF4"/>
    <w:rsid w:val="006979ED"/>
    <w:rsid w:val="00697B61"/>
    <w:rsid w:val="00697E59"/>
    <w:rsid w:val="006A11D5"/>
    <w:rsid w:val="006A129B"/>
    <w:rsid w:val="006A12F5"/>
    <w:rsid w:val="006A1AEA"/>
    <w:rsid w:val="006A1B5F"/>
    <w:rsid w:val="006A1BCE"/>
    <w:rsid w:val="006A20BC"/>
    <w:rsid w:val="006A2D14"/>
    <w:rsid w:val="006A2EAB"/>
    <w:rsid w:val="006A2FD6"/>
    <w:rsid w:val="006A33AF"/>
    <w:rsid w:val="006A342B"/>
    <w:rsid w:val="006A3DE8"/>
    <w:rsid w:val="006A4026"/>
    <w:rsid w:val="006A445E"/>
    <w:rsid w:val="006A446B"/>
    <w:rsid w:val="006A45E5"/>
    <w:rsid w:val="006A47CB"/>
    <w:rsid w:val="006A47E2"/>
    <w:rsid w:val="006A48CF"/>
    <w:rsid w:val="006A4BC3"/>
    <w:rsid w:val="006A529E"/>
    <w:rsid w:val="006A548C"/>
    <w:rsid w:val="006A5697"/>
    <w:rsid w:val="006A5705"/>
    <w:rsid w:val="006A5783"/>
    <w:rsid w:val="006A5A07"/>
    <w:rsid w:val="006A5FD1"/>
    <w:rsid w:val="006A6349"/>
    <w:rsid w:val="006A647F"/>
    <w:rsid w:val="006A6CE5"/>
    <w:rsid w:val="006A6E04"/>
    <w:rsid w:val="006A73C4"/>
    <w:rsid w:val="006B0193"/>
    <w:rsid w:val="006B0B0E"/>
    <w:rsid w:val="006B127E"/>
    <w:rsid w:val="006B1400"/>
    <w:rsid w:val="006B140F"/>
    <w:rsid w:val="006B1587"/>
    <w:rsid w:val="006B16F2"/>
    <w:rsid w:val="006B1A50"/>
    <w:rsid w:val="006B1E70"/>
    <w:rsid w:val="006B1EB4"/>
    <w:rsid w:val="006B1F06"/>
    <w:rsid w:val="006B23E7"/>
    <w:rsid w:val="006B2781"/>
    <w:rsid w:val="006B2E04"/>
    <w:rsid w:val="006B2FEC"/>
    <w:rsid w:val="006B325A"/>
    <w:rsid w:val="006B34E6"/>
    <w:rsid w:val="006B38A9"/>
    <w:rsid w:val="006B3972"/>
    <w:rsid w:val="006B3AE9"/>
    <w:rsid w:val="006B4142"/>
    <w:rsid w:val="006B419D"/>
    <w:rsid w:val="006B4204"/>
    <w:rsid w:val="006B4378"/>
    <w:rsid w:val="006B4C05"/>
    <w:rsid w:val="006B520B"/>
    <w:rsid w:val="006B5307"/>
    <w:rsid w:val="006B5512"/>
    <w:rsid w:val="006B57B4"/>
    <w:rsid w:val="006B5DDE"/>
    <w:rsid w:val="006B5EB6"/>
    <w:rsid w:val="006B6481"/>
    <w:rsid w:val="006B7875"/>
    <w:rsid w:val="006B78AE"/>
    <w:rsid w:val="006B7A22"/>
    <w:rsid w:val="006B7B2A"/>
    <w:rsid w:val="006B7D13"/>
    <w:rsid w:val="006B7FBE"/>
    <w:rsid w:val="006C0183"/>
    <w:rsid w:val="006C030C"/>
    <w:rsid w:val="006C07F0"/>
    <w:rsid w:val="006C0C2C"/>
    <w:rsid w:val="006C0D04"/>
    <w:rsid w:val="006C1106"/>
    <w:rsid w:val="006C167A"/>
    <w:rsid w:val="006C1BA1"/>
    <w:rsid w:val="006C1CA0"/>
    <w:rsid w:val="006C1F8E"/>
    <w:rsid w:val="006C2024"/>
    <w:rsid w:val="006C28FA"/>
    <w:rsid w:val="006C2CBB"/>
    <w:rsid w:val="006C2D84"/>
    <w:rsid w:val="006C3367"/>
    <w:rsid w:val="006C365F"/>
    <w:rsid w:val="006C4017"/>
    <w:rsid w:val="006C4650"/>
    <w:rsid w:val="006C49E2"/>
    <w:rsid w:val="006C5382"/>
    <w:rsid w:val="006C547B"/>
    <w:rsid w:val="006C5AC4"/>
    <w:rsid w:val="006C5B57"/>
    <w:rsid w:val="006C5F9E"/>
    <w:rsid w:val="006C5FB9"/>
    <w:rsid w:val="006C6050"/>
    <w:rsid w:val="006C614F"/>
    <w:rsid w:val="006C6251"/>
    <w:rsid w:val="006C630B"/>
    <w:rsid w:val="006C6403"/>
    <w:rsid w:val="006C66D9"/>
    <w:rsid w:val="006C69BA"/>
    <w:rsid w:val="006C6A06"/>
    <w:rsid w:val="006C7158"/>
    <w:rsid w:val="006C7189"/>
    <w:rsid w:val="006C720F"/>
    <w:rsid w:val="006C76D8"/>
    <w:rsid w:val="006C78FF"/>
    <w:rsid w:val="006C7D42"/>
    <w:rsid w:val="006C7D5D"/>
    <w:rsid w:val="006C7D70"/>
    <w:rsid w:val="006C7DC2"/>
    <w:rsid w:val="006C7E7F"/>
    <w:rsid w:val="006C7F5C"/>
    <w:rsid w:val="006D0103"/>
    <w:rsid w:val="006D1493"/>
    <w:rsid w:val="006D1AC1"/>
    <w:rsid w:val="006D1F6B"/>
    <w:rsid w:val="006D2227"/>
    <w:rsid w:val="006D23AE"/>
    <w:rsid w:val="006D297C"/>
    <w:rsid w:val="006D3355"/>
    <w:rsid w:val="006D36A5"/>
    <w:rsid w:val="006D3A5D"/>
    <w:rsid w:val="006D3EEE"/>
    <w:rsid w:val="006D3EF1"/>
    <w:rsid w:val="006D41BB"/>
    <w:rsid w:val="006D435C"/>
    <w:rsid w:val="006D4C8A"/>
    <w:rsid w:val="006D519E"/>
    <w:rsid w:val="006D599B"/>
    <w:rsid w:val="006D5A5B"/>
    <w:rsid w:val="006D624D"/>
    <w:rsid w:val="006D6456"/>
    <w:rsid w:val="006D697C"/>
    <w:rsid w:val="006D6A78"/>
    <w:rsid w:val="006D6BC4"/>
    <w:rsid w:val="006D6F01"/>
    <w:rsid w:val="006D77AB"/>
    <w:rsid w:val="006D7E51"/>
    <w:rsid w:val="006E006A"/>
    <w:rsid w:val="006E06BF"/>
    <w:rsid w:val="006E06CE"/>
    <w:rsid w:val="006E0796"/>
    <w:rsid w:val="006E0AF0"/>
    <w:rsid w:val="006E0AF3"/>
    <w:rsid w:val="006E0C07"/>
    <w:rsid w:val="006E1031"/>
    <w:rsid w:val="006E132F"/>
    <w:rsid w:val="006E13FD"/>
    <w:rsid w:val="006E1701"/>
    <w:rsid w:val="006E1830"/>
    <w:rsid w:val="006E1856"/>
    <w:rsid w:val="006E1B42"/>
    <w:rsid w:val="006E1C6C"/>
    <w:rsid w:val="006E2ADE"/>
    <w:rsid w:val="006E2B90"/>
    <w:rsid w:val="006E2D55"/>
    <w:rsid w:val="006E2F48"/>
    <w:rsid w:val="006E3519"/>
    <w:rsid w:val="006E3650"/>
    <w:rsid w:val="006E392D"/>
    <w:rsid w:val="006E4055"/>
    <w:rsid w:val="006E46B8"/>
    <w:rsid w:val="006E4978"/>
    <w:rsid w:val="006E4A5D"/>
    <w:rsid w:val="006E4B70"/>
    <w:rsid w:val="006E4C96"/>
    <w:rsid w:val="006E4EBC"/>
    <w:rsid w:val="006E50D9"/>
    <w:rsid w:val="006E51B6"/>
    <w:rsid w:val="006E5276"/>
    <w:rsid w:val="006E5B84"/>
    <w:rsid w:val="006E5EA9"/>
    <w:rsid w:val="006E633D"/>
    <w:rsid w:val="006E6AD8"/>
    <w:rsid w:val="006E6B19"/>
    <w:rsid w:val="006E6B55"/>
    <w:rsid w:val="006E6F3B"/>
    <w:rsid w:val="006E71D5"/>
    <w:rsid w:val="006E75A8"/>
    <w:rsid w:val="006E7959"/>
    <w:rsid w:val="006E7CC2"/>
    <w:rsid w:val="006F023B"/>
    <w:rsid w:val="006F02CF"/>
    <w:rsid w:val="006F05A1"/>
    <w:rsid w:val="006F091A"/>
    <w:rsid w:val="006F0C10"/>
    <w:rsid w:val="006F0CD5"/>
    <w:rsid w:val="006F0F64"/>
    <w:rsid w:val="006F10E3"/>
    <w:rsid w:val="006F122A"/>
    <w:rsid w:val="006F169B"/>
    <w:rsid w:val="006F173C"/>
    <w:rsid w:val="006F226D"/>
    <w:rsid w:val="006F2955"/>
    <w:rsid w:val="006F2DDB"/>
    <w:rsid w:val="006F3523"/>
    <w:rsid w:val="006F35BB"/>
    <w:rsid w:val="006F3734"/>
    <w:rsid w:val="006F382E"/>
    <w:rsid w:val="006F3CD2"/>
    <w:rsid w:val="006F3F7D"/>
    <w:rsid w:val="006F4103"/>
    <w:rsid w:val="006F410B"/>
    <w:rsid w:val="006F456C"/>
    <w:rsid w:val="006F4775"/>
    <w:rsid w:val="006F4A83"/>
    <w:rsid w:val="006F4AC1"/>
    <w:rsid w:val="006F4B4E"/>
    <w:rsid w:val="006F4CEA"/>
    <w:rsid w:val="006F54D5"/>
    <w:rsid w:val="006F5546"/>
    <w:rsid w:val="006F564A"/>
    <w:rsid w:val="006F570C"/>
    <w:rsid w:val="006F5AD7"/>
    <w:rsid w:val="006F5B5A"/>
    <w:rsid w:val="006F5CD0"/>
    <w:rsid w:val="006F5DF5"/>
    <w:rsid w:val="006F6183"/>
    <w:rsid w:val="006F64DC"/>
    <w:rsid w:val="006F65E4"/>
    <w:rsid w:val="006F6665"/>
    <w:rsid w:val="006F676B"/>
    <w:rsid w:val="006F6D01"/>
    <w:rsid w:val="006F6FC9"/>
    <w:rsid w:val="006F7462"/>
    <w:rsid w:val="006F7637"/>
    <w:rsid w:val="0070039E"/>
    <w:rsid w:val="00700452"/>
    <w:rsid w:val="00700A56"/>
    <w:rsid w:val="00700BFB"/>
    <w:rsid w:val="0070117A"/>
    <w:rsid w:val="00701250"/>
    <w:rsid w:val="0070141F"/>
    <w:rsid w:val="007017C4"/>
    <w:rsid w:val="0070182E"/>
    <w:rsid w:val="00701843"/>
    <w:rsid w:val="00702BBA"/>
    <w:rsid w:val="007033E8"/>
    <w:rsid w:val="00703DC9"/>
    <w:rsid w:val="00703FD9"/>
    <w:rsid w:val="007043B6"/>
    <w:rsid w:val="007045BF"/>
    <w:rsid w:val="007046EA"/>
    <w:rsid w:val="00704923"/>
    <w:rsid w:val="00704C21"/>
    <w:rsid w:val="00704C56"/>
    <w:rsid w:val="00704CC9"/>
    <w:rsid w:val="00704D6B"/>
    <w:rsid w:val="00704DF0"/>
    <w:rsid w:val="00704F54"/>
    <w:rsid w:val="00705CD9"/>
    <w:rsid w:val="00705F09"/>
    <w:rsid w:val="007063FA"/>
    <w:rsid w:val="0070663A"/>
    <w:rsid w:val="007071D2"/>
    <w:rsid w:val="00707512"/>
    <w:rsid w:val="0070798F"/>
    <w:rsid w:val="00707C7D"/>
    <w:rsid w:val="00707CCA"/>
    <w:rsid w:val="00707E89"/>
    <w:rsid w:val="00711007"/>
    <w:rsid w:val="0071143C"/>
    <w:rsid w:val="00711535"/>
    <w:rsid w:val="0071154E"/>
    <w:rsid w:val="00711745"/>
    <w:rsid w:val="0071183E"/>
    <w:rsid w:val="00711D1D"/>
    <w:rsid w:val="0071256C"/>
    <w:rsid w:val="00712AC4"/>
    <w:rsid w:val="00712CA1"/>
    <w:rsid w:val="0071305C"/>
    <w:rsid w:val="007131DC"/>
    <w:rsid w:val="007140F3"/>
    <w:rsid w:val="00714430"/>
    <w:rsid w:val="00714A2B"/>
    <w:rsid w:val="00714C03"/>
    <w:rsid w:val="00715380"/>
    <w:rsid w:val="007153FB"/>
    <w:rsid w:val="007154B0"/>
    <w:rsid w:val="0071587B"/>
    <w:rsid w:val="00715AED"/>
    <w:rsid w:val="00715CF9"/>
    <w:rsid w:val="00715E78"/>
    <w:rsid w:val="0071622B"/>
    <w:rsid w:val="007162E9"/>
    <w:rsid w:val="00716CD9"/>
    <w:rsid w:val="00716D0B"/>
    <w:rsid w:val="0071758C"/>
    <w:rsid w:val="00717E16"/>
    <w:rsid w:val="00717FCA"/>
    <w:rsid w:val="00720046"/>
    <w:rsid w:val="00720100"/>
    <w:rsid w:val="0072012F"/>
    <w:rsid w:val="00720D77"/>
    <w:rsid w:val="00720EE6"/>
    <w:rsid w:val="0072110C"/>
    <w:rsid w:val="0072119A"/>
    <w:rsid w:val="0072151D"/>
    <w:rsid w:val="00721B06"/>
    <w:rsid w:val="00721ED5"/>
    <w:rsid w:val="00722158"/>
    <w:rsid w:val="007226B4"/>
    <w:rsid w:val="007227A0"/>
    <w:rsid w:val="00722B90"/>
    <w:rsid w:val="00723496"/>
    <w:rsid w:val="007235F3"/>
    <w:rsid w:val="00723A31"/>
    <w:rsid w:val="00723E10"/>
    <w:rsid w:val="0072466E"/>
    <w:rsid w:val="0072481B"/>
    <w:rsid w:val="007248A4"/>
    <w:rsid w:val="007248D4"/>
    <w:rsid w:val="0072502A"/>
    <w:rsid w:val="0072550E"/>
    <w:rsid w:val="0072554B"/>
    <w:rsid w:val="007256F3"/>
    <w:rsid w:val="00725AEE"/>
    <w:rsid w:val="00725E67"/>
    <w:rsid w:val="00725E71"/>
    <w:rsid w:val="007260A3"/>
    <w:rsid w:val="00726321"/>
    <w:rsid w:val="0072633D"/>
    <w:rsid w:val="007263EF"/>
    <w:rsid w:val="00726534"/>
    <w:rsid w:val="00726981"/>
    <w:rsid w:val="007271FC"/>
    <w:rsid w:val="00727247"/>
    <w:rsid w:val="00727635"/>
    <w:rsid w:val="00727638"/>
    <w:rsid w:val="00727A82"/>
    <w:rsid w:val="00727B0F"/>
    <w:rsid w:val="00727CC1"/>
    <w:rsid w:val="00727EE2"/>
    <w:rsid w:val="0073033D"/>
    <w:rsid w:val="00730569"/>
    <w:rsid w:val="0073068A"/>
    <w:rsid w:val="007308D0"/>
    <w:rsid w:val="007311AB"/>
    <w:rsid w:val="007312EA"/>
    <w:rsid w:val="007313A9"/>
    <w:rsid w:val="00731405"/>
    <w:rsid w:val="00731BCA"/>
    <w:rsid w:val="00731DE9"/>
    <w:rsid w:val="00731F60"/>
    <w:rsid w:val="00732607"/>
    <w:rsid w:val="00732726"/>
    <w:rsid w:val="00732829"/>
    <w:rsid w:val="0073320F"/>
    <w:rsid w:val="007332E0"/>
    <w:rsid w:val="007335B8"/>
    <w:rsid w:val="00733702"/>
    <w:rsid w:val="0073393C"/>
    <w:rsid w:val="00733A0E"/>
    <w:rsid w:val="00733E00"/>
    <w:rsid w:val="00733EF5"/>
    <w:rsid w:val="0073446C"/>
    <w:rsid w:val="007348EC"/>
    <w:rsid w:val="00734A4A"/>
    <w:rsid w:val="00734E23"/>
    <w:rsid w:val="0073500F"/>
    <w:rsid w:val="00735349"/>
    <w:rsid w:val="00735405"/>
    <w:rsid w:val="00735732"/>
    <w:rsid w:val="00735E44"/>
    <w:rsid w:val="00736449"/>
    <w:rsid w:val="00736CB8"/>
    <w:rsid w:val="0073714B"/>
    <w:rsid w:val="007372A9"/>
    <w:rsid w:val="00737435"/>
    <w:rsid w:val="00737E0E"/>
    <w:rsid w:val="00737F84"/>
    <w:rsid w:val="007400DD"/>
    <w:rsid w:val="0074019D"/>
    <w:rsid w:val="0074035A"/>
    <w:rsid w:val="007403A9"/>
    <w:rsid w:val="00740FB0"/>
    <w:rsid w:val="007410D9"/>
    <w:rsid w:val="0074164B"/>
    <w:rsid w:val="007417AD"/>
    <w:rsid w:val="00741957"/>
    <w:rsid w:val="007419D4"/>
    <w:rsid w:val="00741D69"/>
    <w:rsid w:val="00741D80"/>
    <w:rsid w:val="00741FEB"/>
    <w:rsid w:val="0074259C"/>
    <w:rsid w:val="00742840"/>
    <w:rsid w:val="00742861"/>
    <w:rsid w:val="007429D0"/>
    <w:rsid w:val="007430EA"/>
    <w:rsid w:val="007432E2"/>
    <w:rsid w:val="00743445"/>
    <w:rsid w:val="0074351E"/>
    <w:rsid w:val="00743720"/>
    <w:rsid w:val="00743A7C"/>
    <w:rsid w:val="00743AAB"/>
    <w:rsid w:val="00743B5E"/>
    <w:rsid w:val="00743E69"/>
    <w:rsid w:val="007440D5"/>
    <w:rsid w:val="007440F0"/>
    <w:rsid w:val="0074461D"/>
    <w:rsid w:val="00744646"/>
    <w:rsid w:val="00744FDB"/>
    <w:rsid w:val="0074539E"/>
    <w:rsid w:val="007454D2"/>
    <w:rsid w:val="0074644A"/>
    <w:rsid w:val="007464E2"/>
    <w:rsid w:val="007464EF"/>
    <w:rsid w:val="007467F4"/>
    <w:rsid w:val="00746A28"/>
    <w:rsid w:val="00746B14"/>
    <w:rsid w:val="00746DF6"/>
    <w:rsid w:val="00746FAE"/>
    <w:rsid w:val="00747698"/>
    <w:rsid w:val="00747710"/>
    <w:rsid w:val="00747787"/>
    <w:rsid w:val="00747DB1"/>
    <w:rsid w:val="007509CC"/>
    <w:rsid w:val="00750A46"/>
    <w:rsid w:val="00751475"/>
    <w:rsid w:val="007514B3"/>
    <w:rsid w:val="007517B3"/>
    <w:rsid w:val="00751DE8"/>
    <w:rsid w:val="00751E18"/>
    <w:rsid w:val="007521C5"/>
    <w:rsid w:val="007525FE"/>
    <w:rsid w:val="00752627"/>
    <w:rsid w:val="00752665"/>
    <w:rsid w:val="007526E6"/>
    <w:rsid w:val="00752A06"/>
    <w:rsid w:val="00752BE1"/>
    <w:rsid w:val="007530F9"/>
    <w:rsid w:val="0075354B"/>
    <w:rsid w:val="0075361C"/>
    <w:rsid w:val="00753AE6"/>
    <w:rsid w:val="00753ED2"/>
    <w:rsid w:val="007540A7"/>
    <w:rsid w:val="00754263"/>
    <w:rsid w:val="007543EB"/>
    <w:rsid w:val="00754886"/>
    <w:rsid w:val="00754A07"/>
    <w:rsid w:val="00754C69"/>
    <w:rsid w:val="0075501C"/>
    <w:rsid w:val="007555DB"/>
    <w:rsid w:val="007557F6"/>
    <w:rsid w:val="00755A35"/>
    <w:rsid w:val="00755ACF"/>
    <w:rsid w:val="00755B8B"/>
    <w:rsid w:val="00755E29"/>
    <w:rsid w:val="00755E75"/>
    <w:rsid w:val="007562A0"/>
    <w:rsid w:val="007564B8"/>
    <w:rsid w:val="0075675A"/>
    <w:rsid w:val="00756876"/>
    <w:rsid w:val="00756A03"/>
    <w:rsid w:val="00756A05"/>
    <w:rsid w:val="00756ADC"/>
    <w:rsid w:val="007570A1"/>
    <w:rsid w:val="00757305"/>
    <w:rsid w:val="00757364"/>
    <w:rsid w:val="00757366"/>
    <w:rsid w:val="0075762D"/>
    <w:rsid w:val="007577DB"/>
    <w:rsid w:val="00757D31"/>
    <w:rsid w:val="00757E56"/>
    <w:rsid w:val="00757EAC"/>
    <w:rsid w:val="00757F69"/>
    <w:rsid w:val="00760375"/>
    <w:rsid w:val="00761174"/>
    <w:rsid w:val="007615C1"/>
    <w:rsid w:val="007617EA"/>
    <w:rsid w:val="007619A3"/>
    <w:rsid w:val="007619D7"/>
    <w:rsid w:val="00761BE0"/>
    <w:rsid w:val="00761BF5"/>
    <w:rsid w:val="00761F20"/>
    <w:rsid w:val="007629B9"/>
    <w:rsid w:val="00762A00"/>
    <w:rsid w:val="00762CAF"/>
    <w:rsid w:val="00762D6A"/>
    <w:rsid w:val="007630C9"/>
    <w:rsid w:val="00763518"/>
    <w:rsid w:val="007639A4"/>
    <w:rsid w:val="00763FDD"/>
    <w:rsid w:val="007640A6"/>
    <w:rsid w:val="00764B66"/>
    <w:rsid w:val="00764F99"/>
    <w:rsid w:val="00765DDB"/>
    <w:rsid w:val="00766109"/>
    <w:rsid w:val="00766197"/>
    <w:rsid w:val="00766E26"/>
    <w:rsid w:val="007670D3"/>
    <w:rsid w:val="007672FC"/>
    <w:rsid w:val="00767B08"/>
    <w:rsid w:val="00767BDB"/>
    <w:rsid w:val="00767D38"/>
    <w:rsid w:val="007700C1"/>
    <w:rsid w:val="007701CE"/>
    <w:rsid w:val="00770756"/>
    <w:rsid w:val="00770902"/>
    <w:rsid w:val="00770BF6"/>
    <w:rsid w:val="00770F07"/>
    <w:rsid w:val="007718F6"/>
    <w:rsid w:val="00771CA5"/>
    <w:rsid w:val="00771CCE"/>
    <w:rsid w:val="00771FCF"/>
    <w:rsid w:val="0077208C"/>
    <w:rsid w:val="0077252F"/>
    <w:rsid w:val="007728CB"/>
    <w:rsid w:val="00772964"/>
    <w:rsid w:val="00772FA6"/>
    <w:rsid w:val="007730AB"/>
    <w:rsid w:val="007735ED"/>
    <w:rsid w:val="00773C5E"/>
    <w:rsid w:val="00773E1C"/>
    <w:rsid w:val="00774027"/>
    <w:rsid w:val="007742AD"/>
    <w:rsid w:val="00774A2F"/>
    <w:rsid w:val="00774B16"/>
    <w:rsid w:val="00774C2B"/>
    <w:rsid w:val="00775085"/>
    <w:rsid w:val="00775499"/>
    <w:rsid w:val="00775857"/>
    <w:rsid w:val="00775987"/>
    <w:rsid w:val="00775A1C"/>
    <w:rsid w:val="00775A8D"/>
    <w:rsid w:val="00775B38"/>
    <w:rsid w:val="00776245"/>
    <w:rsid w:val="0077649C"/>
    <w:rsid w:val="007767A4"/>
    <w:rsid w:val="00776918"/>
    <w:rsid w:val="007769FE"/>
    <w:rsid w:val="00776B41"/>
    <w:rsid w:val="00776BF4"/>
    <w:rsid w:val="00776E8C"/>
    <w:rsid w:val="00777438"/>
    <w:rsid w:val="007775BF"/>
    <w:rsid w:val="00780124"/>
    <w:rsid w:val="0078016A"/>
    <w:rsid w:val="007801A2"/>
    <w:rsid w:val="007804E3"/>
    <w:rsid w:val="0078088F"/>
    <w:rsid w:val="00780908"/>
    <w:rsid w:val="00780AD1"/>
    <w:rsid w:val="00780FB7"/>
    <w:rsid w:val="00781044"/>
    <w:rsid w:val="00781341"/>
    <w:rsid w:val="0078152A"/>
    <w:rsid w:val="00781901"/>
    <w:rsid w:val="00781E6B"/>
    <w:rsid w:val="00782163"/>
    <w:rsid w:val="00782170"/>
    <w:rsid w:val="007821F3"/>
    <w:rsid w:val="007824FF"/>
    <w:rsid w:val="0078264A"/>
    <w:rsid w:val="00782B96"/>
    <w:rsid w:val="007830BB"/>
    <w:rsid w:val="00783214"/>
    <w:rsid w:val="00783230"/>
    <w:rsid w:val="00783952"/>
    <w:rsid w:val="00783D84"/>
    <w:rsid w:val="00783FAC"/>
    <w:rsid w:val="00784088"/>
    <w:rsid w:val="007842C4"/>
    <w:rsid w:val="007847F1"/>
    <w:rsid w:val="007850D0"/>
    <w:rsid w:val="007854DE"/>
    <w:rsid w:val="00785FDB"/>
    <w:rsid w:val="00786366"/>
    <w:rsid w:val="007864A5"/>
    <w:rsid w:val="0078679B"/>
    <w:rsid w:val="00786CEE"/>
    <w:rsid w:val="00786E51"/>
    <w:rsid w:val="0078776E"/>
    <w:rsid w:val="00787AC4"/>
    <w:rsid w:val="00787AEE"/>
    <w:rsid w:val="00787C55"/>
    <w:rsid w:val="00787D1E"/>
    <w:rsid w:val="00790FF0"/>
    <w:rsid w:val="00791073"/>
    <w:rsid w:val="007912D0"/>
    <w:rsid w:val="007913B0"/>
    <w:rsid w:val="007913D7"/>
    <w:rsid w:val="007919A6"/>
    <w:rsid w:val="00791BD1"/>
    <w:rsid w:val="00791C98"/>
    <w:rsid w:val="00792465"/>
    <w:rsid w:val="007925DE"/>
    <w:rsid w:val="00792B3B"/>
    <w:rsid w:val="00792D02"/>
    <w:rsid w:val="0079302A"/>
    <w:rsid w:val="007934B0"/>
    <w:rsid w:val="0079354D"/>
    <w:rsid w:val="00793757"/>
    <w:rsid w:val="00793987"/>
    <w:rsid w:val="007939AB"/>
    <w:rsid w:val="00793BEF"/>
    <w:rsid w:val="00793EEB"/>
    <w:rsid w:val="007942F4"/>
    <w:rsid w:val="00794560"/>
    <w:rsid w:val="007945FB"/>
    <w:rsid w:val="00794856"/>
    <w:rsid w:val="00794A65"/>
    <w:rsid w:val="00794D16"/>
    <w:rsid w:val="007954DC"/>
    <w:rsid w:val="00795639"/>
    <w:rsid w:val="0079580A"/>
    <w:rsid w:val="00795827"/>
    <w:rsid w:val="00795D66"/>
    <w:rsid w:val="0079636E"/>
    <w:rsid w:val="007963AA"/>
    <w:rsid w:val="0079644B"/>
    <w:rsid w:val="007966C5"/>
    <w:rsid w:val="00796751"/>
    <w:rsid w:val="007968A3"/>
    <w:rsid w:val="007977DC"/>
    <w:rsid w:val="00797AA0"/>
    <w:rsid w:val="00797D60"/>
    <w:rsid w:val="00797FED"/>
    <w:rsid w:val="007A0211"/>
    <w:rsid w:val="007A0558"/>
    <w:rsid w:val="007A075D"/>
    <w:rsid w:val="007A0761"/>
    <w:rsid w:val="007A0801"/>
    <w:rsid w:val="007A0893"/>
    <w:rsid w:val="007A0916"/>
    <w:rsid w:val="007A0D97"/>
    <w:rsid w:val="007A0F07"/>
    <w:rsid w:val="007A0F47"/>
    <w:rsid w:val="007A11FA"/>
    <w:rsid w:val="007A14C0"/>
    <w:rsid w:val="007A162F"/>
    <w:rsid w:val="007A16B2"/>
    <w:rsid w:val="007A16C0"/>
    <w:rsid w:val="007A1AE4"/>
    <w:rsid w:val="007A1B39"/>
    <w:rsid w:val="007A1D32"/>
    <w:rsid w:val="007A237A"/>
    <w:rsid w:val="007A282F"/>
    <w:rsid w:val="007A2947"/>
    <w:rsid w:val="007A3356"/>
    <w:rsid w:val="007A352F"/>
    <w:rsid w:val="007A39C8"/>
    <w:rsid w:val="007A3BD1"/>
    <w:rsid w:val="007A46B6"/>
    <w:rsid w:val="007A4852"/>
    <w:rsid w:val="007A49A1"/>
    <w:rsid w:val="007A4E22"/>
    <w:rsid w:val="007A503F"/>
    <w:rsid w:val="007A566A"/>
    <w:rsid w:val="007A5BA4"/>
    <w:rsid w:val="007A6F5F"/>
    <w:rsid w:val="007A7073"/>
    <w:rsid w:val="007A76C8"/>
    <w:rsid w:val="007A797E"/>
    <w:rsid w:val="007A7F13"/>
    <w:rsid w:val="007B08E3"/>
    <w:rsid w:val="007B0B61"/>
    <w:rsid w:val="007B0F42"/>
    <w:rsid w:val="007B15F0"/>
    <w:rsid w:val="007B199A"/>
    <w:rsid w:val="007B1BDC"/>
    <w:rsid w:val="007B21C4"/>
    <w:rsid w:val="007B29BD"/>
    <w:rsid w:val="007B2EAE"/>
    <w:rsid w:val="007B3346"/>
    <w:rsid w:val="007B37AB"/>
    <w:rsid w:val="007B37E2"/>
    <w:rsid w:val="007B3AB7"/>
    <w:rsid w:val="007B3F4D"/>
    <w:rsid w:val="007B44E7"/>
    <w:rsid w:val="007B46D1"/>
    <w:rsid w:val="007B4C5D"/>
    <w:rsid w:val="007B4FA1"/>
    <w:rsid w:val="007B5337"/>
    <w:rsid w:val="007B57FF"/>
    <w:rsid w:val="007B5BD7"/>
    <w:rsid w:val="007B5E36"/>
    <w:rsid w:val="007B6052"/>
    <w:rsid w:val="007B6296"/>
    <w:rsid w:val="007B6458"/>
    <w:rsid w:val="007B6792"/>
    <w:rsid w:val="007B699D"/>
    <w:rsid w:val="007B6A12"/>
    <w:rsid w:val="007B71C1"/>
    <w:rsid w:val="007B75DC"/>
    <w:rsid w:val="007B7602"/>
    <w:rsid w:val="007B7633"/>
    <w:rsid w:val="007B76FC"/>
    <w:rsid w:val="007B7846"/>
    <w:rsid w:val="007B7D31"/>
    <w:rsid w:val="007B7DE6"/>
    <w:rsid w:val="007B7E3A"/>
    <w:rsid w:val="007B7E3D"/>
    <w:rsid w:val="007B7F60"/>
    <w:rsid w:val="007C02DB"/>
    <w:rsid w:val="007C07D7"/>
    <w:rsid w:val="007C08FC"/>
    <w:rsid w:val="007C0966"/>
    <w:rsid w:val="007C0A5C"/>
    <w:rsid w:val="007C0A84"/>
    <w:rsid w:val="007C0EBB"/>
    <w:rsid w:val="007C1AD9"/>
    <w:rsid w:val="007C2106"/>
    <w:rsid w:val="007C217E"/>
    <w:rsid w:val="007C23E0"/>
    <w:rsid w:val="007C255F"/>
    <w:rsid w:val="007C2591"/>
    <w:rsid w:val="007C280F"/>
    <w:rsid w:val="007C2E49"/>
    <w:rsid w:val="007C3331"/>
    <w:rsid w:val="007C3349"/>
    <w:rsid w:val="007C3778"/>
    <w:rsid w:val="007C4370"/>
    <w:rsid w:val="007C464A"/>
    <w:rsid w:val="007C48B0"/>
    <w:rsid w:val="007C4A6F"/>
    <w:rsid w:val="007C4AE6"/>
    <w:rsid w:val="007C547C"/>
    <w:rsid w:val="007C58A5"/>
    <w:rsid w:val="007C59F7"/>
    <w:rsid w:val="007C6231"/>
    <w:rsid w:val="007C6452"/>
    <w:rsid w:val="007C665E"/>
    <w:rsid w:val="007C6793"/>
    <w:rsid w:val="007C6AAF"/>
    <w:rsid w:val="007C758D"/>
    <w:rsid w:val="007C7B2A"/>
    <w:rsid w:val="007C7C89"/>
    <w:rsid w:val="007C7CA3"/>
    <w:rsid w:val="007C7F5A"/>
    <w:rsid w:val="007D0148"/>
    <w:rsid w:val="007D05BA"/>
    <w:rsid w:val="007D08DD"/>
    <w:rsid w:val="007D1175"/>
    <w:rsid w:val="007D1A59"/>
    <w:rsid w:val="007D1B4D"/>
    <w:rsid w:val="007D202B"/>
    <w:rsid w:val="007D25E9"/>
    <w:rsid w:val="007D28B0"/>
    <w:rsid w:val="007D2A2D"/>
    <w:rsid w:val="007D2A91"/>
    <w:rsid w:val="007D2AF2"/>
    <w:rsid w:val="007D3188"/>
    <w:rsid w:val="007D33FD"/>
    <w:rsid w:val="007D3425"/>
    <w:rsid w:val="007D3684"/>
    <w:rsid w:val="007D36E6"/>
    <w:rsid w:val="007D38E4"/>
    <w:rsid w:val="007D4243"/>
    <w:rsid w:val="007D4325"/>
    <w:rsid w:val="007D4492"/>
    <w:rsid w:val="007D46D0"/>
    <w:rsid w:val="007D4739"/>
    <w:rsid w:val="007D4A1E"/>
    <w:rsid w:val="007D50BF"/>
    <w:rsid w:val="007D5142"/>
    <w:rsid w:val="007D5BD0"/>
    <w:rsid w:val="007D5FA5"/>
    <w:rsid w:val="007D5FB5"/>
    <w:rsid w:val="007D69AD"/>
    <w:rsid w:val="007D6D10"/>
    <w:rsid w:val="007D6D4C"/>
    <w:rsid w:val="007D6DC9"/>
    <w:rsid w:val="007D7220"/>
    <w:rsid w:val="007D785F"/>
    <w:rsid w:val="007D79EA"/>
    <w:rsid w:val="007D7B43"/>
    <w:rsid w:val="007E0074"/>
    <w:rsid w:val="007E03D8"/>
    <w:rsid w:val="007E05C3"/>
    <w:rsid w:val="007E06F5"/>
    <w:rsid w:val="007E0761"/>
    <w:rsid w:val="007E079F"/>
    <w:rsid w:val="007E1005"/>
    <w:rsid w:val="007E1346"/>
    <w:rsid w:val="007E17D7"/>
    <w:rsid w:val="007E1906"/>
    <w:rsid w:val="007E1D2B"/>
    <w:rsid w:val="007E2A34"/>
    <w:rsid w:val="007E2BEA"/>
    <w:rsid w:val="007E2F5D"/>
    <w:rsid w:val="007E2F9D"/>
    <w:rsid w:val="007E30BC"/>
    <w:rsid w:val="007E34BE"/>
    <w:rsid w:val="007E3563"/>
    <w:rsid w:val="007E3728"/>
    <w:rsid w:val="007E387E"/>
    <w:rsid w:val="007E3986"/>
    <w:rsid w:val="007E3B1B"/>
    <w:rsid w:val="007E44DA"/>
    <w:rsid w:val="007E4863"/>
    <w:rsid w:val="007E4AF4"/>
    <w:rsid w:val="007E4F9A"/>
    <w:rsid w:val="007E53EF"/>
    <w:rsid w:val="007E54A4"/>
    <w:rsid w:val="007E5709"/>
    <w:rsid w:val="007E58CA"/>
    <w:rsid w:val="007E5B77"/>
    <w:rsid w:val="007E62A5"/>
    <w:rsid w:val="007E64BC"/>
    <w:rsid w:val="007E6933"/>
    <w:rsid w:val="007E695F"/>
    <w:rsid w:val="007E6C7B"/>
    <w:rsid w:val="007E6FB3"/>
    <w:rsid w:val="007E7105"/>
    <w:rsid w:val="007E7106"/>
    <w:rsid w:val="007E728E"/>
    <w:rsid w:val="007E75AD"/>
    <w:rsid w:val="007F0031"/>
    <w:rsid w:val="007F0869"/>
    <w:rsid w:val="007F0DF0"/>
    <w:rsid w:val="007F1163"/>
    <w:rsid w:val="007F1331"/>
    <w:rsid w:val="007F14BA"/>
    <w:rsid w:val="007F183B"/>
    <w:rsid w:val="007F1887"/>
    <w:rsid w:val="007F21C4"/>
    <w:rsid w:val="007F2699"/>
    <w:rsid w:val="007F28EF"/>
    <w:rsid w:val="007F297E"/>
    <w:rsid w:val="007F3683"/>
    <w:rsid w:val="007F3936"/>
    <w:rsid w:val="007F3A5C"/>
    <w:rsid w:val="007F3EAA"/>
    <w:rsid w:val="007F421C"/>
    <w:rsid w:val="007F42EE"/>
    <w:rsid w:val="007F4643"/>
    <w:rsid w:val="007F4D1F"/>
    <w:rsid w:val="007F5483"/>
    <w:rsid w:val="007F5733"/>
    <w:rsid w:val="007F5A4D"/>
    <w:rsid w:val="007F610E"/>
    <w:rsid w:val="007F6260"/>
    <w:rsid w:val="007F6A08"/>
    <w:rsid w:val="007F6AB3"/>
    <w:rsid w:val="007F6E33"/>
    <w:rsid w:val="007F7513"/>
    <w:rsid w:val="007F75A3"/>
    <w:rsid w:val="007F7BB9"/>
    <w:rsid w:val="007F7E71"/>
    <w:rsid w:val="007F7FD0"/>
    <w:rsid w:val="00801148"/>
    <w:rsid w:val="008013EC"/>
    <w:rsid w:val="00801CB4"/>
    <w:rsid w:val="00802371"/>
    <w:rsid w:val="00802522"/>
    <w:rsid w:val="008028D1"/>
    <w:rsid w:val="00802BBB"/>
    <w:rsid w:val="0080374D"/>
    <w:rsid w:val="008038CB"/>
    <w:rsid w:val="00803DE7"/>
    <w:rsid w:val="00803EFC"/>
    <w:rsid w:val="00803F00"/>
    <w:rsid w:val="00803F5F"/>
    <w:rsid w:val="00803FE2"/>
    <w:rsid w:val="00804252"/>
    <w:rsid w:val="008049D8"/>
    <w:rsid w:val="00804C2E"/>
    <w:rsid w:val="00804E04"/>
    <w:rsid w:val="00804F5B"/>
    <w:rsid w:val="0080528F"/>
    <w:rsid w:val="0080531E"/>
    <w:rsid w:val="00805813"/>
    <w:rsid w:val="00805855"/>
    <w:rsid w:val="008060FA"/>
    <w:rsid w:val="008065B9"/>
    <w:rsid w:val="008068A6"/>
    <w:rsid w:val="00806973"/>
    <w:rsid w:val="00806F1F"/>
    <w:rsid w:val="00806F8D"/>
    <w:rsid w:val="008073AC"/>
    <w:rsid w:val="008074D7"/>
    <w:rsid w:val="00807627"/>
    <w:rsid w:val="00807A90"/>
    <w:rsid w:val="00807DED"/>
    <w:rsid w:val="008100A6"/>
    <w:rsid w:val="008104B8"/>
    <w:rsid w:val="0081060D"/>
    <w:rsid w:val="008109E7"/>
    <w:rsid w:val="00810ACA"/>
    <w:rsid w:val="008111D4"/>
    <w:rsid w:val="00811293"/>
    <w:rsid w:val="00811792"/>
    <w:rsid w:val="008117A1"/>
    <w:rsid w:val="008118C8"/>
    <w:rsid w:val="00811995"/>
    <w:rsid w:val="00812351"/>
    <w:rsid w:val="0081285B"/>
    <w:rsid w:val="00812ADC"/>
    <w:rsid w:val="00812D8D"/>
    <w:rsid w:val="00813219"/>
    <w:rsid w:val="0081327B"/>
    <w:rsid w:val="0081345A"/>
    <w:rsid w:val="008137EB"/>
    <w:rsid w:val="0081388E"/>
    <w:rsid w:val="0081526A"/>
    <w:rsid w:val="00815616"/>
    <w:rsid w:val="0081585A"/>
    <w:rsid w:val="00815A70"/>
    <w:rsid w:val="00815D0F"/>
    <w:rsid w:val="00815E0D"/>
    <w:rsid w:val="00815FD9"/>
    <w:rsid w:val="0081632E"/>
    <w:rsid w:val="00816838"/>
    <w:rsid w:val="00816E05"/>
    <w:rsid w:val="00816FDA"/>
    <w:rsid w:val="00817294"/>
    <w:rsid w:val="008177D2"/>
    <w:rsid w:val="00817877"/>
    <w:rsid w:val="0082002B"/>
    <w:rsid w:val="00820699"/>
    <w:rsid w:val="00820DEB"/>
    <w:rsid w:val="0082107D"/>
    <w:rsid w:val="0082107E"/>
    <w:rsid w:val="00821152"/>
    <w:rsid w:val="008213E3"/>
    <w:rsid w:val="00821992"/>
    <w:rsid w:val="00821E2F"/>
    <w:rsid w:val="00821F12"/>
    <w:rsid w:val="00822496"/>
    <w:rsid w:val="00822CEA"/>
    <w:rsid w:val="00822DEA"/>
    <w:rsid w:val="00822F33"/>
    <w:rsid w:val="00823173"/>
    <w:rsid w:val="00823368"/>
    <w:rsid w:val="00823562"/>
    <w:rsid w:val="00823805"/>
    <w:rsid w:val="0082388A"/>
    <w:rsid w:val="00823DCE"/>
    <w:rsid w:val="0082417A"/>
    <w:rsid w:val="0082437B"/>
    <w:rsid w:val="008246D0"/>
    <w:rsid w:val="00824712"/>
    <w:rsid w:val="00824F9E"/>
    <w:rsid w:val="00825430"/>
    <w:rsid w:val="008255D2"/>
    <w:rsid w:val="008258B4"/>
    <w:rsid w:val="00826574"/>
    <w:rsid w:val="008265DF"/>
    <w:rsid w:val="0082662A"/>
    <w:rsid w:val="00826766"/>
    <w:rsid w:val="00826BAB"/>
    <w:rsid w:val="00826D30"/>
    <w:rsid w:val="00826DE6"/>
    <w:rsid w:val="00826FD0"/>
    <w:rsid w:val="008270AC"/>
    <w:rsid w:val="00830178"/>
    <w:rsid w:val="00830216"/>
    <w:rsid w:val="00830251"/>
    <w:rsid w:val="008303E4"/>
    <w:rsid w:val="00830838"/>
    <w:rsid w:val="008312F5"/>
    <w:rsid w:val="00831E99"/>
    <w:rsid w:val="00831EF8"/>
    <w:rsid w:val="00831FAE"/>
    <w:rsid w:val="0083248E"/>
    <w:rsid w:val="00832691"/>
    <w:rsid w:val="00832C12"/>
    <w:rsid w:val="00832DC6"/>
    <w:rsid w:val="00832FDC"/>
    <w:rsid w:val="008330EF"/>
    <w:rsid w:val="0083353B"/>
    <w:rsid w:val="00833707"/>
    <w:rsid w:val="00833803"/>
    <w:rsid w:val="0083397C"/>
    <w:rsid w:val="00833AE3"/>
    <w:rsid w:val="00833B8A"/>
    <w:rsid w:val="00833CE2"/>
    <w:rsid w:val="00833D8B"/>
    <w:rsid w:val="0083400E"/>
    <w:rsid w:val="008342C6"/>
    <w:rsid w:val="00834762"/>
    <w:rsid w:val="008347F9"/>
    <w:rsid w:val="00834A2C"/>
    <w:rsid w:val="00835314"/>
    <w:rsid w:val="00835714"/>
    <w:rsid w:val="0083700E"/>
    <w:rsid w:val="00837139"/>
    <w:rsid w:val="0083731A"/>
    <w:rsid w:val="008373E7"/>
    <w:rsid w:val="00837873"/>
    <w:rsid w:val="00840072"/>
    <w:rsid w:val="008402F6"/>
    <w:rsid w:val="00840587"/>
    <w:rsid w:val="008405EA"/>
    <w:rsid w:val="008405FC"/>
    <w:rsid w:val="008408E9"/>
    <w:rsid w:val="0084110C"/>
    <w:rsid w:val="008411C2"/>
    <w:rsid w:val="008419BB"/>
    <w:rsid w:val="00841B0A"/>
    <w:rsid w:val="0084207E"/>
    <w:rsid w:val="008422FE"/>
    <w:rsid w:val="00842470"/>
    <w:rsid w:val="00842541"/>
    <w:rsid w:val="008428E9"/>
    <w:rsid w:val="00842D72"/>
    <w:rsid w:val="008437B5"/>
    <w:rsid w:val="008438AD"/>
    <w:rsid w:val="00843EF3"/>
    <w:rsid w:val="00844066"/>
    <w:rsid w:val="00844099"/>
    <w:rsid w:val="008441B0"/>
    <w:rsid w:val="0084424C"/>
    <w:rsid w:val="0084436F"/>
    <w:rsid w:val="00844AD9"/>
    <w:rsid w:val="00844B1C"/>
    <w:rsid w:val="00845051"/>
    <w:rsid w:val="00845399"/>
    <w:rsid w:val="00845950"/>
    <w:rsid w:val="00845D33"/>
    <w:rsid w:val="008460E4"/>
    <w:rsid w:val="00846629"/>
    <w:rsid w:val="008468B5"/>
    <w:rsid w:val="0084692C"/>
    <w:rsid w:val="00846B3D"/>
    <w:rsid w:val="0084717F"/>
    <w:rsid w:val="00847225"/>
    <w:rsid w:val="008473D9"/>
    <w:rsid w:val="0084746D"/>
    <w:rsid w:val="008479BB"/>
    <w:rsid w:val="00847A0E"/>
    <w:rsid w:val="008502AA"/>
    <w:rsid w:val="008504DD"/>
    <w:rsid w:val="0085092B"/>
    <w:rsid w:val="008509D8"/>
    <w:rsid w:val="00850B78"/>
    <w:rsid w:val="00850BDF"/>
    <w:rsid w:val="00850EA2"/>
    <w:rsid w:val="00850F63"/>
    <w:rsid w:val="00850F6D"/>
    <w:rsid w:val="008512CD"/>
    <w:rsid w:val="0085159A"/>
    <w:rsid w:val="0085193C"/>
    <w:rsid w:val="0085218D"/>
    <w:rsid w:val="0085246E"/>
    <w:rsid w:val="00852656"/>
    <w:rsid w:val="008526EB"/>
    <w:rsid w:val="00853862"/>
    <w:rsid w:val="008538AF"/>
    <w:rsid w:val="008539C9"/>
    <w:rsid w:val="00853C44"/>
    <w:rsid w:val="00853D11"/>
    <w:rsid w:val="00853F78"/>
    <w:rsid w:val="008540B5"/>
    <w:rsid w:val="00854A06"/>
    <w:rsid w:val="00854BFD"/>
    <w:rsid w:val="00854C54"/>
    <w:rsid w:val="0085514E"/>
    <w:rsid w:val="00855B84"/>
    <w:rsid w:val="00855ECE"/>
    <w:rsid w:val="0085603B"/>
    <w:rsid w:val="008562BF"/>
    <w:rsid w:val="00856872"/>
    <w:rsid w:val="00856B94"/>
    <w:rsid w:val="00856BC4"/>
    <w:rsid w:val="00856D93"/>
    <w:rsid w:val="00856DBC"/>
    <w:rsid w:val="0085720E"/>
    <w:rsid w:val="00857548"/>
    <w:rsid w:val="00857657"/>
    <w:rsid w:val="008578F7"/>
    <w:rsid w:val="00857B10"/>
    <w:rsid w:val="00857C62"/>
    <w:rsid w:val="00860824"/>
    <w:rsid w:val="00860DCF"/>
    <w:rsid w:val="008611FE"/>
    <w:rsid w:val="00861257"/>
    <w:rsid w:val="008613CB"/>
    <w:rsid w:val="00861532"/>
    <w:rsid w:val="0086193F"/>
    <w:rsid w:val="00861C79"/>
    <w:rsid w:val="0086249A"/>
    <w:rsid w:val="008624B5"/>
    <w:rsid w:val="008626C6"/>
    <w:rsid w:val="00862731"/>
    <w:rsid w:val="00862BBC"/>
    <w:rsid w:val="00862EFE"/>
    <w:rsid w:val="00862FB4"/>
    <w:rsid w:val="008632FA"/>
    <w:rsid w:val="0086341A"/>
    <w:rsid w:val="008635DF"/>
    <w:rsid w:val="008636BF"/>
    <w:rsid w:val="00863A70"/>
    <w:rsid w:val="00863E29"/>
    <w:rsid w:val="008640C5"/>
    <w:rsid w:val="008644F7"/>
    <w:rsid w:val="0086471B"/>
    <w:rsid w:val="00864864"/>
    <w:rsid w:val="00864BE2"/>
    <w:rsid w:val="008653B2"/>
    <w:rsid w:val="008655B2"/>
    <w:rsid w:val="008658DE"/>
    <w:rsid w:val="0086616A"/>
    <w:rsid w:val="00866690"/>
    <w:rsid w:val="00867837"/>
    <w:rsid w:val="008678C4"/>
    <w:rsid w:val="00867AE7"/>
    <w:rsid w:val="00867D5A"/>
    <w:rsid w:val="00867DDC"/>
    <w:rsid w:val="00867EA9"/>
    <w:rsid w:val="008704F4"/>
    <w:rsid w:val="008705FF"/>
    <w:rsid w:val="0087085E"/>
    <w:rsid w:val="0087089F"/>
    <w:rsid w:val="00870C30"/>
    <w:rsid w:val="008712FB"/>
    <w:rsid w:val="0087134D"/>
    <w:rsid w:val="00871399"/>
    <w:rsid w:val="00871425"/>
    <w:rsid w:val="008718B3"/>
    <w:rsid w:val="008718B4"/>
    <w:rsid w:val="00871A26"/>
    <w:rsid w:val="00872263"/>
    <w:rsid w:val="00872281"/>
    <w:rsid w:val="008726EA"/>
    <w:rsid w:val="0087283F"/>
    <w:rsid w:val="0087291D"/>
    <w:rsid w:val="0087298B"/>
    <w:rsid w:val="008732C8"/>
    <w:rsid w:val="00873C67"/>
    <w:rsid w:val="00873ECE"/>
    <w:rsid w:val="0087413D"/>
    <w:rsid w:val="00874459"/>
    <w:rsid w:val="00874540"/>
    <w:rsid w:val="0087456B"/>
    <w:rsid w:val="00874706"/>
    <w:rsid w:val="00874CF1"/>
    <w:rsid w:val="00874EF9"/>
    <w:rsid w:val="008750F0"/>
    <w:rsid w:val="00875168"/>
    <w:rsid w:val="0087520F"/>
    <w:rsid w:val="00875325"/>
    <w:rsid w:val="00875422"/>
    <w:rsid w:val="00875926"/>
    <w:rsid w:val="00875931"/>
    <w:rsid w:val="00875F7A"/>
    <w:rsid w:val="0087656D"/>
    <w:rsid w:val="008766AC"/>
    <w:rsid w:val="00876775"/>
    <w:rsid w:val="00876B37"/>
    <w:rsid w:val="008775FC"/>
    <w:rsid w:val="008776E9"/>
    <w:rsid w:val="00877877"/>
    <w:rsid w:val="00877DD5"/>
    <w:rsid w:val="0088003F"/>
    <w:rsid w:val="008800DE"/>
    <w:rsid w:val="00880282"/>
    <w:rsid w:val="00880296"/>
    <w:rsid w:val="008803FB"/>
    <w:rsid w:val="00880458"/>
    <w:rsid w:val="0088054E"/>
    <w:rsid w:val="008805F1"/>
    <w:rsid w:val="00880CE7"/>
    <w:rsid w:val="008810A0"/>
    <w:rsid w:val="00881361"/>
    <w:rsid w:val="00881806"/>
    <w:rsid w:val="0088200B"/>
    <w:rsid w:val="008824DD"/>
    <w:rsid w:val="008826D0"/>
    <w:rsid w:val="0088299E"/>
    <w:rsid w:val="00882BB5"/>
    <w:rsid w:val="00882BC5"/>
    <w:rsid w:val="00882BC7"/>
    <w:rsid w:val="00882C9F"/>
    <w:rsid w:val="00883043"/>
    <w:rsid w:val="00883299"/>
    <w:rsid w:val="0088353A"/>
    <w:rsid w:val="00883546"/>
    <w:rsid w:val="00883994"/>
    <w:rsid w:val="00883A46"/>
    <w:rsid w:val="00883B4B"/>
    <w:rsid w:val="00883B85"/>
    <w:rsid w:val="00883CBB"/>
    <w:rsid w:val="00883ED2"/>
    <w:rsid w:val="008841F0"/>
    <w:rsid w:val="00884255"/>
    <w:rsid w:val="008842B1"/>
    <w:rsid w:val="008844BA"/>
    <w:rsid w:val="008844E7"/>
    <w:rsid w:val="00884B61"/>
    <w:rsid w:val="00884C51"/>
    <w:rsid w:val="00884DEC"/>
    <w:rsid w:val="00885462"/>
    <w:rsid w:val="0088574E"/>
    <w:rsid w:val="008857E4"/>
    <w:rsid w:val="00885A50"/>
    <w:rsid w:val="00885D8C"/>
    <w:rsid w:val="008864C1"/>
    <w:rsid w:val="008867FF"/>
    <w:rsid w:val="00886850"/>
    <w:rsid w:val="00886865"/>
    <w:rsid w:val="00886C23"/>
    <w:rsid w:val="0088717E"/>
    <w:rsid w:val="00887954"/>
    <w:rsid w:val="00887EE4"/>
    <w:rsid w:val="0089004B"/>
    <w:rsid w:val="00890CC1"/>
    <w:rsid w:val="0089110E"/>
    <w:rsid w:val="008911CD"/>
    <w:rsid w:val="00891633"/>
    <w:rsid w:val="008916D4"/>
    <w:rsid w:val="00891730"/>
    <w:rsid w:val="0089196D"/>
    <w:rsid w:val="00891A1C"/>
    <w:rsid w:val="00891C65"/>
    <w:rsid w:val="00891E10"/>
    <w:rsid w:val="00892981"/>
    <w:rsid w:val="00892BE7"/>
    <w:rsid w:val="00892E48"/>
    <w:rsid w:val="0089318B"/>
    <w:rsid w:val="00893420"/>
    <w:rsid w:val="0089396F"/>
    <w:rsid w:val="00893C6D"/>
    <w:rsid w:val="00893E25"/>
    <w:rsid w:val="00893E4D"/>
    <w:rsid w:val="00894840"/>
    <w:rsid w:val="008949BC"/>
    <w:rsid w:val="00894EA9"/>
    <w:rsid w:val="00894EEB"/>
    <w:rsid w:val="00895D6D"/>
    <w:rsid w:val="00895DC7"/>
    <w:rsid w:val="00896084"/>
    <w:rsid w:val="0089695F"/>
    <w:rsid w:val="00896B43"/>
    <w:rsid w:val="00897B2F"/>
    <w:rsid w:val="008A0070"/>
    <w:rsid w:val="008A0540"/>
    <w:rsid w:val="008A09AE"/>
    <w:rsid w:val="008A0ADD"/>
    <w:rsid w:val="008A0C87"/>
    <w:rsid w:val="008A0D8A"/>
    <w:rsid w:val="008A1370"/>
    <w:rsid w:val="008A15A6"/>
    <w:rsid w:val="008A160A"/>
    <w:rsid w:val="008A197E"/>
    <w:rsid w:val="008A22A0"/>
    <w:rsid w:val="008A234F"/>
    <w:rsid w:val="008A2710"/>
    <w:rsid w:val="008A295B"/>
    <w:rsid w:val="008A2A21"/>
    <w:rsid w:val="008A2B8F"/>
    <w:rsid w:val="008A2D8C"/>
    <w:rsid w:val="008A2F7D"/>
    <w:rsid w:val="008A30C9"/>
    <w:rsid w:val="008A31C3"/>
    <w:rsid w:val="008A321B"/>
    <w:rsid w:val="008A3448"/>
    <w:rsid w:val="008A353D"/>
    <w:rsid w:val="008A35D1"/>
    <w:rsid w:val="008A36EE"/>
    <w:rsid w:val="008A3F3F"/>
    <w:rsid w:val="008A415F"/>
    <w:rsid w:val="008A41FD"/>
    <w:rsid w:val="008A45A7"/>
    <w:rsid w:val="008A55C6"/>
    <w:rsid w:val="008A579A"/>
    <w:rsid w:val="008A5F20"/>
    <w:rsid w:val="008A63C4"/>
    <w:rsid w:val="008A6644"/>
    <w:rsid w:val="008A696E"/>
    <w:rsid w:val="008A6998"/>
    <w:rsid w:val="008A6ADF"/>
    <w:rsid w:val="008A6B83"/>
    <w:rsid w:val="008A6D00"/>
    <w:rsid w:val="008A7766"/>
    <w:rsid w:val="008A799B"/>
    <w:rsid w:val="008A7C96"/>
    <w:rsid w:val="008A7D58"/>
    <w:rsid w:val="008B01A7"/>
    <w:rsid w:val="008B04D8"/>
    <w:rsid w:val="008B0915"/>
    <w:rsid w:val="008B15B1"/>
    <w:rsid w:val="008B15C3"/>
    <w:rsid w:val="008B17A9"/>
    <w:rsid w:val="008B1BBD"/>
    <w:rsid w:val="008B2002"/>
    <w:rsid w:val="008B225F"/>
    <w:rsid w:val="008B258E"/>
    <w:rsid w:val="008B28F2"/>
    <w:rsid w:val="008B30E1"/>
    <w:rsid w:val="008B3311"/>
    <w:rsid w:val="008B34D4"/>
    <w:rsid w:val="008B3807"/>
    <w:rsid w:val="008B3A21"/>
    <w:rsid w:val="008B3C9F"/>
    <w:rsid w:val="008B3DF4"/>
    <w:rsid w:val="008B4DB2"/>
    <w:rsid w:val="008B521D"/>
    <w:rsid w:val="008B52D4"/>
    <w:rsid w:val="008B5526"/>
    <w:rsid w:val="008B61E3"/>
    <w:rsid w:val="008B6C07"/>
    <w:rsid w:val="008B6C28"/>
    <w:rsid w:val="008B6EF8"/>
    <w:rsid w:val="008B7060"/>
    <w:rsid w:val="008B7487"/>
    <w:rsid w:val="008B7C1B"/>
    <w:rsid w:val="008B7CA3"/>
    <w:rsid w:val="008B7F15"/>
    <w:rsid w:val="008C02CB"/>
    <w:rsid w:val="008C03A7"/>
    <w:rsid w:val="008C0582"/>
    <w:rsid w:val="008C0645"/>
    <w:rsid w:val="008C0CE9"/>
    <w:rsid w:val="008C1139"/>
    <w:rsid w:val="008C11EA"/>
    <w:rsid w:val="008C166E"/>
    <w:rsid w:val="008C194A"/>
    <w:rsid w:val="008C1B94"/>
    <w:rsid w:val="008C1BD3"/>
    <w:rsid w:val="008C1ED3"/>
    <w:rsid w:val="008C1F17"/>
    <w:rsid w:val="008C1FB0"/>
    <w:rsid w:val="008C20AF"/>
    <w:rsid w:val="008C2D7E"/>
    <w:rsid w:val="008C350A"/>
    <w:rsid w:val="008C3888"/>
    <w:rsid w:val="008C3C4B"/>
    <w:rsid w:val="008C3D07"/>
    <w:rsid w:val="008C3DF8"/>
    <w:rsid w:val="008C3E22"/>
    <w:rsid w:val="008C45F5"/>
    <w:rsid w:val="008C49D8"/>
    <w:rsid w:val="008C4CBB"/>
    <w:rsid w:val="008C4CE9"/>
    <w:rsid w:val="008C509E"/>
    <w:rsid w:val="008C625A"/>
    <w:rsid w:val="008C6744"/>
    <w:rsid w:val="008C6B7E"/>
    <w:rsid w:val="008C6BAC"/>
    <w:rsid w:val="008C6EF7"/>
    <w:rsid w:val="008C6F06"/>
    <w:rsid w:val="008C700C"/>
    <w:rsid w:val="008C721C"/>
    <w:rsid w:val="008C73B9"/>
    <w:rsid w:val="008D0235"/>
    <w:rsid w:val="008D094E"/>
    <w:rsid w:val="008D0DDD"/>
    <w:rsid w:val="008D182A"/>
    <w:rsid w:val="008D1A0F"/>
    <w:rsid w:val="008D20AB"/>
    <w:rsid w:val="008D23B4"/>
    <w:rsid w:val="008D23C6"/>
    <w:rsid w:val="008D242C"/>
    <w:rsid w:val="008D2655"/>
    <w:rsid w:val="008D277B"/>
    <w:rsid w:val="008D283E"/>
    <w:rsid w:val="008D2AAB"/>
    <w:rsid w:val="008D31EC"/>
    <w:rsid w:val="008D3542"/>
    <w:rsid w:val="008D377F"/>
    <w:rsid w:val="008D3A12"/>
    <w:rsid w:val="008D4049"/>
    <w:rsid w:val="008D492A"/>
    <w:rsid w:val="008D4987"/>
    <w:rsid w:val="008D4CCF"/>
    <w:rsid w:val="008D4D13"/>
    <w:rsid w:val="008D4FF6"/>
    <w:rsid w:val="008D517F"/>
    <w:rsid w:val="008D58C5"/>
    <w:rsid w:val="008D5CEA"/>
    <w:rsid w:val="008D6755"/>
    <w:rsid w:val="008D67CB"/>
    <w:rsid w:val="008D6874"/>
    <w:rsid w:val="008D68C3"/>
    <w:rsid w:val="008D6C7B"/>
    <w:rsid w:val="008D6FF6"/>
    <w:rsid w:val="008D72B3"/>
    <w:rsid w:val="008D731D"/>
    <w:rsid w:val="008D7AAF"/>
    <w:rsid w:val="008E03CD"/>
    <w:rsid w:val="008E03D2"/>
    <w:rsid w:val="008E0682"/>
    <w:rsid w:val="008E1315"/>
    <w:rsid w:val="008E13D2"/>
    <w:rsid w:val="008E1ACE"/>
    <w:rsid w:val="008E1C21"/>
    <w:rsid w:val="008E1E43"/>
    <w:rsid w:val="008E2276"/>
    <w:rsid w:val="008E243C"/>
    <w:rsid w:val="008E27BC"/>
    <w:rsid w:val="008E28FC"/>
    <w:rsid w:val="008E2992"/>
    <w:rsid w:val="008E29A9"/>
    <w:rsid w:val="008E2B8B"/>
    <w:rsid w:val="008E31DF"/>
    <w:rsid w:val="008E3227"/>
    <w:rsid w:val="008E4174"/>
    <w:rsid w:val="008E4231"/>
    <w:rsid w:val="008E4EF6"/>
    <w:rsid w:val="008E5633"/>
    <w:rsid w:val="008E575F"/>
    <w:rsid w:val="008E5DDA"/>
    <w:rsid w:val="008E6DEE"/>
    <w:rsid w:val="008E6FC5"/>
    <w:rsid w:val="008E7015"/>
    <w:rsid w:val="008E728C"/>
    <w:rsid w:val="008E761B"/>
    <w:rsid w:val="008F0018"/>
    <w:rsid w:val="008F02CD"/>
    <w:rsid w:val="008F066B"/>
    <w:rsid w:val="008F0B76"/>
    <w:rsid w:val="008F0D01"/>
    <w:rsid w:val="008F0DA8"/>
    <w:rsid w:val="008F0F66"/>
    <w:rsid w:val="008F1172"/>
    <w:rsid w:val="008F1237"/>
    <w:rsid w:val="008F1963"/>
    <w:rsid w:val="008F1BB6"/>
    <w:rsid w:val="008F1BFE"/>
    <w:rsid w:val="008F223A"/>
    <w:rsid w:val="008F2C61"/>
    <w:rsid w:val="008F2D32"/>
    <w:rsid w:val="008F2E59"/>
    <w:rsid w:val="008F3100"/>
    <w:rsid w:val="008F319C"/>
    <w:rsid w:val="008F349E"/>
    <w:rsid w:val="008F36D5"/>
    <w:rsid w:val="008F41CE"/>
    <w:rsid w:val="008F43A8"/>
    <w:rsid w:val="008F4A2C"/>
    <w:rsid w:val="008F4B44"/>
    <w:rsid w:val="008F4FBE"/>
    <w:rsid w:val="008F5132"/>
    <w:rsid w:val="008F5403"/>
    <w:rsid w:val="008F5856"/>
    <w:rsid w:val="008F59F2"/>
    <w:rsid w:val="008F5D94"/>
    <w:rsid w:val="008F5FB2"/>
    <w:rsid w:val="008F63B6"/>
    <w:rsid w:val="008F65DB"/>
    <w:rsid w:val="008F6B08"/>
    <w:rsid w:val="008F6B77"/>
    <w:rsid w:val="008F6E3E"/>
    <w:rsid w:val="008F6FBF"/>
    <w:rsid w:val="008F70E9"/>
    <w:rsid w:val="008F72FC"/>
    <w:rsid w:val="008F78DE"/>
    <w:rsid w:val="008F7A23"/>
    <w:rsid w:val="009002CE"/>
    <w:rsid w:val="00900BC1"/>
    <w:rsid w:val="00900C5F"/>
    <w:rsid w:val="00900CA0"/>
    <w:rsid w:val="00900FA0"/>
    <w:rsid w:val="0090108C"/>
    <w:rsid w:val="00901C26"/>
    <w:rsid w:val="009022FC"/>
    <w:rsid w:val="00902477"/>
    <w:rsid w:val="00902487"/>
    <w:rsid w:val="0090255D"/>
    <w:rsid w:val="00902773"/>
    <w:rsid w:val="00902AF3"/>
    <w:rsid w:val="0090347C"/>
    <w:rsid w:val="00903768"/>
    <w:rsid w:val="00903AA0"/>
    <w:rsid w:val="00903CD8"/>
    <w:rsid w:val="00903E0F"/>
    <w:rsid w:val="00904276"/>
    <w:rsid w:val="009042C8"/>
    <w:rsid w:val="0090481E"/>
    <w:rsid w:val="00904F4B"/>
    <w:rsid w:val="00905280"/>
    <w:rsid w:val="00905317"/>
    <w:rsid w:val="0090564E"/>
    <w:rsid w:val="00905BDA"/>
    <w:rsid w:val="00905F31"/>
    <w:rsid w:val="00906057"/>
    <w:rsid w:val="0090639C"/>
    <w:rsid w:val="00906860"/>
    <w:rsid w:val="00906B56"/>
    <w:rsid w:val="009071BE"/>
    <w:rsid w:val="0090755D"/>
    <w:rsid w:val="00907FE2"/>
    <w:rsid w:val="00910466"/>
    <w:rsid w:val="0091093E"/>
    <w:rsid w:val="00910B85"/>
    <w:rsid w:val="00910B99"/>
    <w:rsid w:val="00910E79"/>
    <w:rsid w:val="009113F3"/>
    <w:rsid w:val="00911445"/>
    <w:rsid w:val="00911EAE"/>
    <w:rsid w:val="00912A6C"/>
    <w:rsid w:val="00912ACD"/>
    <w:rsid w:val="00913114"/>
    <w:rsid w:val="0091324E"/>
    <w:rsid w:val="00913262"/>
    <w:rsid w:val="00913294"/>
    <w:rsid w:val="0091355A"/>
    <w:rsid w:val="00913D38"/>
    <w:rsid w:val="00913E8E"/>
    <w:rsid w:val="00914592"/>
    <w:rsid w:val="009145BD"/>
    <w:rsid w:val="0091461B"/>
    <w:rsid w:val="009149D2"/>
    <w:rsid w:val="00914B2D"/>
    <w:rsid w:val="00914D60"/>
    <w:rsid w:val="00914E39"/>
    <w:rsid w:val="00914EF0"/>
    <w:rsid w:val="00915174"/>
    <w:rsid w:val="009157AA"/>
    <w:rsid w:val="00915818"/>
    <w:rsid w:val="00915869"/>
    <w:rsid w:val="00915A2A"/>
    <w:rsid w:val="00915A9B"/>
    <w:rsid w:val="00915CE8"/>
    <w:rsid w:val="00916107"/>
    <w:rsid w:val="00916619"/>
    <w:rsid w:val="009168E2"/>
    <w:rsid w:val="00917052"/>
    <w:rsid w:val="00917794"/>
    <w:rsid w:val="009179DD"/>
    <w:rsid w:val="00917B08"/>
    <w:rsid w:val="00917F1B"/>
    <w:rsid w:val="0092007F"/>
    <w:rsid w:val="0092039D"/>
    <w:rsid w:val="009208C0"/>
    <w:rsid w:val="009210A4"/>
    <w:rsid w:val="009210E9"/>
    <w:rsid w:val="00921249"/>
    <w:rsid w:val="00921409"/>
    <w:rsid w:val="009216E6"/>
    <w:rsid w:val="009219A7"/>
    <w:rsid w:val="00921F4F"/>
    <w:rsid w:val="009221FE"/>
    <w:rsid w:val="009225F7"/>
    <w:rsid w:val="00922A92"/>
    <w:rsid w:val="00922B44"/>
    <w:rsid w:val="0092329B"/>
    <w:rsid w:val="009235E2"/>
    <w:rsid w:val="00923C79"/>
    <w:rsid w:val="00923CB2"/>
    <w:rsid w:val="00923DFB"/>
    <w:rsid w:val="009241C3"/>
    <w:rsid w:val="009245D0"/>
    <w:rsid w:val="00924870"/>
    <w:rsid w:val="009248F8"/>
    <w:rsid w:val="00924A03"/>
    <w:rsid w:val="0092510F"/>
    <w:rsid w:val="009256FB"/>
    <w:rsid w:val="00925713"/>
    <w:rsid w:val="009257A8"/>
    <w:rsid w:val="00925B0F"/>
    <w:rsid w:val="009261CC"/>
    <w:rsid w:val="00926209"/>
    <w:rsid w:val="00926271"/>
    <w:rsid w:val="0092629C"/>
    <w:rsid w:val="009268A4"/>
    <w:rsid w:val="00926B61"/>
    <w:rsid w:val="00926BC8"/>
    <w:rsid w:val="00926E1D"/>
    <w:rsid w:val="00926E94"/>
    <w:rsid w:val="00926F7A"/>
    <w:rsid w:val="009275F7"/>
    <w:rsid w:val="00927FEB"/>
    <w:rsid w:val="0093003F"/>
    <w:rsid w:val="009306A3"/>
    <w:rsid w:val="009307BD"/>
    <w:rsid w:val="00930A27"/>
    <w:rsid w:val="00930A54"/>
    <w:rsid w:val="00930D43"/>
    <w:rsid w:val="00931121"/>
    <w:rsid w:val="00931598"/>
    <w:rsid w:val="00931EDE"/>
    <w:rsid w:val="00932235"/>
    <w:rsid w:val="00932539"/>
    <w:rsid w:val="00932565"/>
    <w:rsid w:val="00932AAC"/>
    <w:rsid w:val="00932B84"/>
    <w:rsid w:val="00933418"/>
    <w:rsid w:val="009338D0"/>
    <w:rsid w:val="00933A8E"/>
    <w:rsid w:val="00933D93"/>
    <w:rsid w:val="00933F91"/>
    <w:rsid w:val="00934266"/>
    <w:rsid w:val="0093443D"/>
    <w:rsid w:val="009346E2"/>
    <w:rsid w:val="00934F17"/>
    <w:rsid w:val="0093504E"/>
    <w:rsid w:val="0093545D"/>
    <w:rsid w:val="009355CC"/>
    <w:rsid w:val="00935899"/>
    <w:rsid w:val="0093604D"/>
    <w:rsid w:val="00936175"/>
    <w:rsid w:val="0093626F"/>
    <w:rsid w:val="00936447"/>
    <w:rsid w:val="00936652"/>
    <w:rsid w:val="00937019"/>
    <w:rsid w:val="009372E0"/>
    <w:rsid w:val="00937672"/>
    <w:rsid w:val="009377F6"/>
    <w:rsid w:val="00937C2C"/>
    <w:rsid w:val="00937FBE"/>
    <w:rsid w:val="00937FDF"/>
    <w:rsid w:val="00940260"/>
    <w:rsid w:val="00940656"/>
    <w:rsid w:val="0094072D"/>
    <w:rsid w:val="00940767"/>
    <w:rsid w:val="009409FE"/>
    <w:rsid w:val="00940FAF"/>
    <w:rsid w:val="0094111C"/>
    <w:rsid w:val="0094115A"/>
    <w:rsid w:val="00941255"/>
    <w:rsid w:val="009417EA"/>
    <w:rsid w:val="00941B3F"/>
    <w:rsid w:val="00941CC9"/>
    <w:rsid w:val="00941D45"/>
    <w:rsid w:val="00942053"/>
    <w:rsid w:val="009420D3"/>
    <w:rsid w:val="009425DF"/>
    <w:rsid w:val="00942AD4"/>
    <w:rsid w:val="00942CAF"/>
    <w:rsid w:val="00942E33"/>
    <w:rsid w:val="009434CD"/>
    <w:rsid w:val="009434F9"/>
    <w:rsid w:val="00943790"/>
    <w:rsid w:val="00943B34"/>
    <w:rsid w:val="00943B7D"/>
    <w:rsid w:val="00944035"/>
    <w:rsid w:val="009440EA"/>
    <w:rsid w:val="0094455F"/>
    <w:rsid w:val="0094497C"/>
    <w:rsid w:val="0094599A"/>
    <w:rsid w:val="00946247"/>
    <w:rsid w:val="0094645D"/>
    <w:rsid w:val="009469D6"/>
    <w:rsid w:val="00946FCF"/>
    <w:rsid w:val="009472AC"/>
    <w:rsid w:val="0094746E"/>
    <w:rsid w:val="00950059"/>
    <w:rsid w:val="0095058B"/>
    <w:rsid w:val="00950E8A"/>
    <w:rsid w:val="00951046"/>
    <w:rsid w:val="00951085"/>
    <w:rsid w:val="00951781"/>
    <w:rsid w:val="009519A0"/>
    <w:rsid w:val="00951AAF"/>
    <w:rsid w:val="00951D4F"/>
    <w:rsid w:val="00951E32"/>
    <w:rsid w:val="009522FB"/>
    <w:rsid w:val="0095231F"/>
    <w:rsid w:val="009524E4"/>
    <w:rsid w:val="0095291F"/>
    <w:rsid w:val="00952B40"/>
    <w:rsid w:val="00952CB2"/>
    <w:rsid w:val="009534AE"/>
    <w:rsid w:val="009536FF"/>
    <w:rsid w:val="00953A2B"/>
    <w:rsid w:val="00953BBA"/>
    <w:rsid w:val="00953CAB"/>
    <w:rsid w:val="00954117"/>
    <w:rsid w:val="009541F7"/>
    <w:rsid w:val="009547A4"/>
    <w:rsid w:val="00954F2E"/>
    <w:rsid w:val="009550FF"/>
    <w:rsid w:val="0095510A"/>
    <w:rsid w:val="00955483"/>
    <w:rsid w:val="00955492"/>
    <w:rsid w:val="00955BDD"/>
    <w:rsid w:val="00955CBD"/>
    <w:rsid w:val="009564BB"/>
    <w:rsid w:val="0095653D"/>
    <w:rsid w:val="00956767"/>
    <w:rsid w:val="00956EA2"/>
    <w:rsid w:val="0095748D"/>
    <w:rsid w:val="00957885"/>
    <w:rsid w:val="009579AA"/>
    <w:rsid w:val="00957CE9"/>
    <w:rsid w:val="00957D06"/>
    <w:rsid w:val="00960593"/>
    <w:rsid w:val="009605C3"/>
    <w:rsid w:val="009619D9"/>
    <w:rsid w:val="009623EC"/>
    <w:rsid w:val="00963269"/>
    <w:rsid w:val="00963331"/>
    <w:rsid w:val="00963F0C"/>
    <w:rsid w:val="00964001"/>
    <w:rsid w:val="0096457C"/>
    <w:rsid w:val="00964A0D"/>
    <w:rsid w:val="00964C65"/>
    <w:rsid w:val="00964DE3"/>
    <w:rsid w:val="00965067"/>
    <w:rsid w:val="0096526C"/>
    <w:rsid w:val="00965901"/>
    <w:rsid w:val="00965934"/>
    <w:rsid w:val="0096596F"/>
    <w:rsid w:val="00965AFB"/>
    <w:rsid w:val="00965E87"/>
    <w:rsid w:val="00965F09"/>
    <w:rsid w:val="009662B0"/>
    <w:rsid w:val="00966393"/>
    <w:rsid w:val="00966E0F"/>
    <w:rsid w:val="00967438"/>
    <w:rsid w:val="00967516"/>
    <w:rsid w:val="00967558"/>
    <w:rsid w:val="00970033"/>
    <w:rsid w:val="0097043D"/>
    <w:rsid w:val="0097070C"/>
    <w:rsid w:val="00970876"/>
    <w:rsid w:val="00970CB8"/>
    <w:rsid w:val="00970E00"/>
    <w:rsid w:val="009713E2"/>
    <w:rsid w:val="009714A3"/>
    <w:rsid w:val="0097173F"/>
    <w:rsid w:val="009717E8"/>
    <w:rsid w:val="009717FF"/>
    <w:rsid w:val="00971807"/>
    <w:rsid w:val="00971E4E"/>
    <w:rsid w:val="00971F5B"/>
    <w:rsid w:val="009722B7"/>
    <w:rsid w:val="00972B95"/>
    <w:rsid w:val="00972D82"/>
    <w:rsid w:val="00972F85"/>
    <w:rsid w:val="00972FFD"/>
    <w:rsid w:val="00974142"/>
    <w:rsid w:val="009744C5"/>
    <w:rsid w:val="009747DC"/>
    <w:rsid w:val="009748FE"/>
    <w:rsid w:val="0097491F"/>
    <w:rsid w:val="00974CF5"/>
    <w:rsid w:val="00974E89"/>
    <w:rsid w:val="00975076"/>
    <w:rsid w:val="0097507D"/>
    <w:rsid w:val="00975664"/>
    <w:rsid w:val="0097623F"/>
    <w:rsid w:val="0097697F"/>
    <w:rsid w:val="00976CC3"/>
    <w:rsid w:val="00977283"/>
    <w:rsid w:val="009777F5"/>
    <w:rsid w:val="00977888"/>
    <w:rsid w:val="00977C90"/>
    <w:rsid w:val="00977ED6"/>
    <w:rsid w:val="009800AA"/>
    <w:rsid w:val="0098023C"/>
    <w:rsid w:val="0098029C"/>
    <w:rsid w:val="009802E3"/>
    <w:rsid w:val="0098035D"/>
    <w:rsid w:val="009805B9"/>
    <w:rsid w:val="009806AC"/>
    <w:rsid w:val="00980AE3"/>
    <w:rsid w:val="0098130F"/>
    <w:rsid w:val="00981739"/>
    <w:rsid w:val="00981CB3"/>
    <w:rsid w:val="00981E92"/>
    <w:rsid w:val="00982001"/>
    <w:rsid w:val="0098203B"/>
    <w:rsid w:val="00982287"/>
    <w:rsid w:val="009822A7"/>
    <w:rsid w:val="009822C3"/>
    <w:rsid w:val="0098248A"/>
    <w:rsid w:val="009826BD"/>
    <w:rsid w:val="00982A8D"/>
    <w:rsid w:val="00982C34"/>
    <w:rsid w:val="009830ED"/>
    <w:rsid w:val="0098324D"/>
    <w:rsid w:val="0098344C"/>
    <w:rsid w:val="00983600"/>
    <w:rsid w:val="00983609"/>
    <w:rsid w:val="00983682"/>
    <w:rsid w:val="00983A1A"/>
    <w:rsid w:val="00983B11"/>
    <w:rsid w:val="009845B7"/>
    <w:rsid w:val="0098463A"/>
    <w:rsid w:val="0098468C"/>
    <w:rsid w:val="00984773"/>
    <w:rsid w:val="00984A2C"/>
    <w:rsid w:val="00984C02"/>
    <w:rsid w:val="00984D70"/>
    <w:rsid w:val="00984FF6"/>
    <w:rsid w:val="009850E2"/>
    <w:rsid w:val="00985793"/>
    <w:rsid w:val="009857D0"/>
    <w:rsid w:val="00985B7E"/>
    <w:rsid w:val="00985E37"/>
    <w:rsid w:val="00985EDA"/>
    <w:rsid w:val="00985FDB"/>
    <w:rsid w:val="00986434"/>
    <w:rsid w:val="00986C11"/>
    <w:rsid w:val="00986F3E"/>
    <w:rsid w:val="00987641"/>
    <w:rsid w:val="00987C49"/>
    <w:rsid w:val="009907C8"/>
    <w:rsid w:val="00990A44"/>
    <w:rsid w:val="00990B43"/>
    <w:rsid w:val="00990E50"/>
    <w:rsid w:val="00990E8E"/>
    <w:rsid w:val="00991B78"/>
    <w:rsid w:val="00991D14"/>
    <w:rsid w:val="0099215B"/>
    <w:rsid w:val="009922BE"/>
    <w:rsid w:val="0099262F"/>
    <w:rsid w:val="00992830"/>
    <w:rsid w:val="0099290C"/>
    <w:rsid w:val="0099292E"/>
    <w:rsid w:val="00992D78"/>
    <w:rsid w:val="00992F25"/>
    <w:rsid w:val="0099341E"/>
    <w:rsid w:val="00993EA9"/>
    <w:rsid w:val="00993FE3"/>
    <w:rsid w:val="00994151"/>
    <w:rsid w:val="0099426F"/>
    <w:rsid w:val="009943AF"/>
    <w:rsid w:val="00994CF8"/>
    <w:rsid w:val="00994E4E"/>
    <w:rsid w:val="00995B55"/>
    <w:rsid w:val="00995CEF"/>
    <w:rsid w:val="00995DED"/>
    <w:rsid w:val="00995E87"/>
    <w:rsid w:val="00996091"/>
    <w:rsid w:val="009965C3"/>
    <w:rsid w:val="00996600"/>
    <w:rsid w:val="009967D9"/>
    <w:rsid w:val="00996A6C"/>
    <w:rsid w:val="0099714E"/>
    <w:rsid w:val="009971B9"/>
    <w:rsid w:val="00997568"/>
    <w:rsid w:val="00997DD7"/>
    <w:rsid w:val="00997F5E"/>
    <w:rsid w:val="00997FC7"/>
    <w:rsid w:val="009A0203"/>
    <w:rsid w:val="009A0B9F"/>
    <w:rsid w:val="009A0D43"/>
    <w:rsid w:val="009A1AEE"/>
    <w:rsid w:val="009A1D52"/>
    <w:rsid w:val="009A2392"/>
    <w:rsid w:val="009A2A39"/>
    <w:rsid w:val="009A2D92"/>
    <w:rsid w:val="009A2FB9"/>
    <w:rsid w:val="009A32C4"/>
    <w:rsid w:val="009A34E2"/>
    <w:rsid w:val="009A34E3"/>
    <w:rsid w:val="009A3673"/>
    <w:rsid w:val="009A3759"/>
    <w:rsid w:val="009A37BA"/>
    <w:rsid w:val="009A37C7"/>
    <w:rsid w:val="009A3D58"/>
    <w:rsid w:val="009A3DA3"/>
    <w:rsid w:val="009A3F1F"/>
    <w:rsid w:val="009A42DB"/>
    <w:rsid w:val="009A435D"/>
    <w:rsid w:val="009A4598"/>
    <w:rsid w:val="009A4992"/>
    <w:rsid w:val="009A4CDB"/>
    <w:rsid w:val="009A4F71"/>
    <w:rsid w:val="009A5096"/>
    <w:rsid w:val="009A512B"/>
    <w:rsid w:val="009A51A0"/>
    <w:rsid w:val="009A56B5"/>
    <w:rsid w:val="009A590D"/>
    <w:rsid w:val="009A5F52"/>
    <w:rsid w:val="009A6055"/>
    <w:rsid w:val="009A6407"/>
    <w:rsid w:val="009A6577"/>
    <w:rsid w:val="009A6637"/>
    <w:rsid w:val="009A6717"/>
    <w:rsid w:val="009A6790"/>
    <w:rsid w:val="009A69F5"/>
    <w:rsid w:val="009A6A06"/>
    <w:rsid w:val="009A6EDB"/>
    <w:rsid w:val="009A7100"/>
    <w:rsid w:val="009A71A1"/>
    <w:rsid w:val="009A7416"/>
    <w:rsid w:val="009B02DF"/>
    <w:rsid w:val="009B034F"/>
    <w:rsid w:val="009B0BBD"/>
    <w:rsid w:val="009B0CB3"/>
    <w:rsid w:val="009B12AD"/>
    <w:rsid w:val="009B1C92"/>
    <w:rsid w:val="009B2057"/>
    <w:rsid w:val="009B22AB"/>
    <w:rsid w:val="009B2453"/>
    <w:rsid w:val="009B2609"/>
    <w:rsid w:val="009B26F0"/>
    <w:rsid w:val="009B273E"/>
    <w:rsid w:val="009B29E4"/>
    <w:rsid w:val="009B2B9D"/>
    <w:rsid w:val="009B2C17"/>
    <w:rsid w:val="009B2E31"/>
    <w:rsid w:val="009B31A3"/>
    <w:rsid w:val="009B3436"/>
    <w:rsid w:val="009B34C5"/>
    <w:rsid w:val="009B3B4B"/>
    <w:rsid w:val="009B3C9F"/>
    <w:rsid w:val="009B3F0E"/>
    <w:rsid w:val="009B3F6C"/>
    <w:rsid w:val="009B4AF7"/>
    <w:rsid w:val="009B4F9C"/>
    <w:rsid w:val="009B5397"/>
    <w:rsid w:val="009B5560"/>
    <w:rsid w:val="009B5BB1"/>
    <w:rsid w:val="009B604B"/>
    <w:rsid w:val="009B6179"/>
    <w:rsid w:val="009B659D"/>
    <w:rsid w:val="009B65FC"/>
    <w:rsid w:val="009B68AB"/>
    <w:rsid w:val="009B6F78"/>
    <w:rsid w:val="009B709E"/>
    <w:rsid w:val="009B717A"/>
    <w:rsid w:val="009B7852"/>
    <w:rsid w:val="009B7B1D"/>
    <w:rsid w:val="009C0608"/>
    <w:rsid w:val="009C08CE"/>
    <w:rsid w:val="009C09BF"/>
    <w:rsid w:val="009C09C2"/>
    <w:rsid w:val="009C0ABB"/>
    <w:rsid w:val="009C1002"/>
    <w:rsid w:val="009C1617"/>
    <w:rsid w:val="009C1797"/>
    <w:rsid w:val="009C17D3"/>
    <w:rsid w:val="009C1E64"/>
    <w:rsid w:val="009C24DA"/>
    <w:rsid w:val="009C2C0C"/>
    <w:rsid w:val="009C2D4D"/>
    <w:rsid w:val="009C2EFE"/>
    <w:rsid w:val="009C302C"/>
    <w:rsid w:val="009C3779"/>
    <w:rsid w:val="009C38DD"/>
    <w:rsid w:val="009C39AE"/>
    <w:rsid w:val="009C3CE0"/>
    <w:rsid w:val="009C413C"/>
    <w:rsid w:val="009C4698"/>
    <w:rsid w:val="009C495A"/>
    <w:rsid w:val="009C4BB1"/>
    <w:rsid w:val="009C4D39"/>
    <w:rsid w:val="009C4E77"/>
    <w:rsid w:val="009C4F0F"/>
    <w:rsid w:val="009C5821"/>
    <w:rsid w:val="009C5887"/>
    <w:rsid w:val="009C5E65"/>
    <w:rsid w:val="009C5FDE"/>
    <w:rsid w:val="009C60C6"/>
    <w:rsid w:val="009C66C6"/>
    <w:rsid w:val="009C67F7"/>
    <w:rsid w:val="009C6845"/>
    <w:rsid w:val="009C6CE9"/>
    <w:rsid w:val="009C6DF8"/>
    <w:rsid w:val="009C750F"/>
    <w:rsid w:val="009C753E"/>
    <w:rsid w:val="009C78F7"/>
    <w:rsid w:val="009C7BC1"/>
    <w:rsid w:val="009C7DC3"/>
    <w:rsid w:val="009D01D3"/>
    <w:rsid w:val="009D06B7"/>
    <w:rsid w:val="009D0896"/>
    <w:rsid w:val="009D0B68"/>
    <w:rsid w:val="009D0C44"/>
    <w:rsid w:val="009D0C4D"/>
    <w:rsid w:val="009D182C"/>
    <w:rsid w:val="009D1A76"/>
    <w:rsid w:val="009D1E1E"/>
    <w:rsid w:val="009D2516"/>
    <w:rsid w:val="009D26E4"/>
    <w:rsid w:val="009D29C1"/>
    <w:rsid w:val="009D2B9F"/>
    <w:rsid w:val="009D2CDE"/>
    <w:rsid w:val="009D2D1A"/>
    <w:rsid w:val="009D32F6"/>
    <w:rsid w:val="009D35A6"/>
    <w:rsid w:val="009D3858"/>
    <w:rsid w:val="009D394D"/>
    <w:rsid w:val="009D39EC"/>
    <w:rsid w:val="009D4112"/>
    <w:rsid w:val="009D4388"/>
    <w:rsid w:val="009D45CE"/>
    <w:rsid w:val="009D4A32"/>
    <w:rsid w:val="009D5081"/>
    <w:rsid w:val="009D5220"/>
    <w:rsid w:val="009D52EE"/>
    <w:rsid w:val="009D540C"/>
    <w:rsid w:val="009D5DCA"/>
    <w:rsid w:val="009D63FA"/>
    <w:rsid w:val="009D6B45"/>
    <w:rsid w:val="009D6CA2"/>
    <w:rsid w:val="009D783C"/>
    <w:rsid w:val="009E05CB"/>
    <w:rsid w:val="009E06FC"/>
    <w:rsid w:val="009E0814"/>
    <w:rsid w:val="009E0A73"/>
    <w:rsid w:val="009E0D79"/>
    <w:rsid w:val="009E0DF6"/>
    <w:rsid w:val="009E0E81"/>
    <w:rsid w:val="009E1138"/>
    <w:rsid w:val="009E1427"/>
    <w:rsid w:val="009E1447"/>
    <w:rsid w:val="009E1561"/>
    <w:rsid w:val="009E21CA"/>
    <w:rsid w:val="009E261E"/>
    <w:rsid w:val="009E2734"/>
    <w:rsid w:val="009E2742"/>
    <w:rsid w:val="009E296B"/>
    <w:rsid w:val="009E29EA"/>
    <w:rsid w:val="009E2B2D"/>
    <w:rsid w:val="009E3066"/>
    <w:rsid w:val="009E310B"/>
    <w:rsid w:val="009E3443"/>
    <w:rsid w:val="009E3461"/>
    <w:rsid w:val="009E3BBE"/>
    <w:rsid w:val="009E3D36"/>
    <w:rsid w:val="009E4116"/>
    <w:rsid w:val="009E49F0"/>
    <w:rsid w:val="009E5056"/>
    <w:rsid w:val="009E5070"/>
    <w:rsid w:val="009E5097"/>
    <w:rsid w:val="009E5471"/>
    <w:rsid w:val="009E56A5"/>
    <w:rsid w:val="009E5CFF"/>
    <w:rsid w:val="009E5D6D"/>
    <w:rsid w:val="009E6030"/>
    <w:rsid w:val="009E62E4"/>
    <w:rsid w:val="009E6910"/>
    <w:rsid w:val="009E70CB"/>
    <w:rsid w:val="009E738C"/>
    <w:rsid w:val="009E76B7"/>
    <w:rsid w:val="009E77E7"/>
    <w:rsid w:val="009E7A11"/>
    <w:rsid w:val="009E7A16"/>
    <w:rsid w:val="009E7B5D"/>
    <w:rsid w:val="009E7BE3"/>
    <w:rsid w:val="009E7CF7"/>
    <w:rsid w:val="009F039C"/>
    <w:rsid w:val="009F03A4"/>
    <w:rsid w:val="009F051D"/>
    <w:rsid w:val="009F0D60"/>
    <w:rsid w:val="009F128C"/>
    <w:rsid w:val="009F1402"/>
    <w:rsid w:val="009F1870"/>
    <w:rsid w:val="009F1BDB"/>
    <w:rsid w:val="009F20E4"/>
    <w:rsid w:val="009F2779"/>
    <w:rsid w:val="009F30C0"/>
    <w:rsid w:val="009F3C22"/>
    <w:rsid w:val="009F3E39"/>
    <w:rsid w:val="009F3EC0"/>
    <w:rsid w:val="009F402A"/>
    <w:rsid w:val="009F41F9"/>
    <w:rsid w:val="009F4493"/>
    <w:rsid w:val="009F4541"/>
    <w:rsid w:val="009F4F42"/>
    <w:rsid w:val="009F53B9"/>
    <w:rsid w:val="009F55EB"/>
    <w:rsid w:val="009F5DE6"/>
    <w:rsid w:val="009F5EE5"/>
    <w:rsid w:val="009F6002"/>
    <w:rsid w:val="009F639C"/>
    <w:rsid w:val="009F6513"/>
    <w:rsid w:val="009F65B6"/>
    <w:rsid w:val="009F6626"/>
    <w:rsid w:val="009F6795"/>
    <w:rsid w:val="009F67FC"/>
    <w:rsid w:val="009F68D8"/>
    <w:rsid w:val="009F6923"/>
    <w:rsid w:val="009F77AD"/>
    <w:rsid w:val="009F79CE"/>
    <w:rsid w:val="009F7AD2"/>
    <w:rsid w:val="00A00045"/>
    <w:rsid w:val="00A00150"/>
    <w:rsid w:val="00A00490"/>
    <w:rsid w:val="00A00534"/>
    <w:rsid w:val="00A0057A"/>
    <w:rsid w:val="00A00947"/>
    <w:rsid w:val="00A00AA7"/>
    <w:rsid w:val="00A010D1"/>
    <w:rsid w:val="00A01187"/>
    <w:rsid w:val="00A014CC"/>
    <w:rsid w:val="00A014F4"/>
    <w:rsid w:val="00A01779"/>
    <w:rsid w:val="00A01B05"/>
    <w:rsid w:val="00A01FFA"/>
    <w:rsid w:val="00A020C8"/>
    <w:rsid w:val="00A02504"/>
    <w:rsid w:val="00A0257A"/>
    <w:rsid w:val="00A02733"/>
    <w:rsid w:val="00A029A2"/>
    <w:rsid w:val="00A02C12"/>
    <w:rsid w:val="00A02C37"/>
    <w:rsid w:val="00A02DF0"/>
    <w:rsid w:val="00A03214"/>
    <w:rsid w:val="00A03297"/>
    <w:rsid w:val="00A03381"/>
    <w:rsid w:val="00A03384"/>
    <w:rsid w:val="00A03CB4"/>
    <w:rsid w:val="00A03FCB"/>
    <w:rsid w:val="00A04078"/>
    <w:rsid w:val="00A042A1"/>
    <w:rsid w:val="00A042EF"/>
    <w:rsid w:val="00A043CA"/>
    <w:rsid w:val="00A0466B"/>
    <w:rsid w:val="00A04C4B"/>
    <w:rsid w:val="00A04C69"/>
    <w:rsid w:val="00A04F0C"/>
    <w:rsid w:val="00A04FFA"/>
    <w:rsid w:val="00A0509F"/>
    <w:rsid w:val="00A0543D"/>
    <w:rsid w:val="00A06244"/>
    <w:rsid w:val="00A07479"/>
    <w:rsid w:val="00A075CC"/>
    <w:rsid w:val="00A0764A"/>
    <w:rsid w:val="00A07D24"/>
    <w:rsid w:val="00A1116A"/>
    <w:rsid w:val="00A112EE"/>
    <w:rsid w:val="00A11525"/>
    <w:rsid w:val="00A1167C"/>
    <w:rsid w:val="00A117B7"/>
    <w:rsid w:val="00A11A91"/>
    <w:rsid w:val="00A11DA1"/>
    <w:rsid w:val="00A1211C"/>
    <w:rsid w:val="00A13072"/>
    <w:rsid w:val="00A13392"/>
    <w:rsid w:val="00A136E7"/>
    <w:rsid w:val="00A13A01"/>
    <w:rsid w:val="00A13A0A"/>
    <w:rsid w:val="00A13A69"/>
    <w:rsid w:val="00A13DCD"/>
    <w:rsid w:val="00A13F71"/>
    <w:rsid w:val="00A14049"/>
    <w:rsid w:val="00A14084"/>
    <w:rsid w:val="00A147F8"/>
    <w:rsid w:val="00A14C04"/>
    <w:rsid w:val="00A14C16"/>
    <w:rsid w:val="00A14C7A"/>
    <w:rsid w:val="00A14E32"/>
    <w:rsid w:val="00A15222"/>
    <w:rsid w:val="00A153F7"/>
    <w:rsid w:val="00A1541E"/>
    <w:rsid w:val="00A15841"/>
    <w:rsid w:val="00A16182"/>
    <w:rsid w:val="00A16AC9"/>
    <w:rsid w:val="00A16ACD"/>
    <w:rsid w:val="00A16BF2"/>
    <w:rsid w:val="00A1761E"/>
    <w:rsid w:val="00A17859"/>
    <w:rsid w:val="00A17DA2"/>
    <w:rsid w:val="00A17EC5"/>
    <w:rsid w:val="00A20299"/>
    <w:rsid w:val="00A2037A"/>
    <w:rsid w:val="00A20A35"/>
    <w:rsid w:val="00A20C33"/>
    <w:rsid w:val="00A20DC4"/>
    <w:rsid w:val="00A2102B"/>
    <w:rsid w:val="00A21541"/>
    <w:rsid w:val="00A21BEA"/>
    <w:rsid w:val="00A221B6"/>
    <w:rsid w:val="00A2241D"/>
    <w:rsid w:val="00A2271E"/>
    <w:rsid w:val="00A229A7"/>
    <w:rsid w:val="00A23135"/>
    <w:rsid w:val="00A23464"/>
    <w:rsid w:val="00A235B4"/>
    <w:rsid w:val="00A240E9"/>
    <w:rsid w:val="00A24470"/>
    <w:rsid w:val="00A25FDB"/>
    <w:rsid w:val="00A263E5"/>
    <w:rsid w:val="00A2649B"/>
    <w:rsid w:val="00A26651"/>
    <w:rsid w:val="00A27944"/>
    <w:rsid w:val="00A279ED"/>
    <w:rsid w:val="00A27DD1"/>
    <w:rsid w:val="00A3038F"/>
    <w:rsid w:val="00A309EB"/>
    <w:rsid w:val="00A30AF2"/>
    <w:rsid w:val="00A30D23"/>
    <w:rsid w:val="00A30F8E"/>
    <w:rsid w:val="00A310DC"/>
    <w:rsid w:val="00A3142D"/>
    <w:rsid w:val="00A31441"/>
    <w:rsid w:val="00A316F1"/>
    <w:rsid w:val="00A31702"/>
    <w:rsid w:val="00A31A11"/>
    <w:rsid w:val="00A3285C"/>
    <w:rsid w:val="00A32E83"/>
    <w:rsid w:val="00A33037"/>
    <w:rsid w:val="00A330C8"/>
    <w:rsid w:val="00A33435"/>
    <w:rsid w:val="00A339B8"/>
    <w:rsid w:val="00A33CFC"/>
    <w:rsid w:val="00A3403A"/>
    <w:rsid w:val="00A34425"/>
    <w:rsid w:val="00A345F2"/>
    <w:rsid w:val="00A34CFB"/>
    <w:rsid w:val="00A34E4D"/>
    <w:rsid w:val="00A35034"/>
    <w:rsid w:val="00A35294"/>
    <w:rsid w:val="00A35797"/>
    <w:rsid w:val="00A35AF0"/>
    <w:rsid w:val="00A35E0F"/>
    <w:rsid w:val="00A35F3F"/>
    <w:rsid w:val="00A366AD"/>
    <w:rsid w:val="00A36D34"/>
    <w:rsid w:val="00A36F7B"/>
    <w:rsid w:val="00A37179"/>
    <w:rsid w:val="00A37241"/>
    <w:rsid w:val="00A375CA"/>
    <w:rsid w:val="00A37682"/>
    <w:rsid w:val="00A379DC"/>
    <w:rsid w:val="00A37A1B"/>
    <w:rsid w:val="00A37B8B"/>
    <w:rsid w:val="00A40067"/>
    <w:rsid w:val="00A404E7"/>
    <w:rsid w:val="00A41400"/>
    <w:rsid w:val="00A41ABD"/>
    <w:rsid w:val="00A41BEC"/>
    <w:rsid w:val="00A41FA9"/>
    <w:rsid w:val="00A4223B"/>
    <w:rsid w:val="00A4262A"/>
    <w:rsid w:val="00A42B28"/>
    <w:rsid w:val="00A42C89"/>
    <w:rsid w:val="00A43DD5"/>
    <w:rsid w:val="00A43F48"/>
    <w:rsid w:val="00A44023"/>
    <w:rsid w:val="00A44117"/>
    <w:rsid w:val="00A444B5"/>
    <w:rsid w:val="00A44735"/>
    <w:rsid w:val="00A44B3A"/>
    <w:rsid w:val="00A44E73"/>
    <w:rsid w:val="00A44F80"/>
    <w:rsid w:val="00A451CD"/>
    <w:rsid w:val="00A457F2"/>
    <w:rsid w:val="00A459FE"/>
    <w:rsid w:val="00A45A32"/>
    <w:rsid w:val="00A45EC1"/>
    <w:rsid w:val="00A46078"/>
    <w:rsid w:val="00A460A4"/>
    <w:rsid w:val="00A46150"/>
    <w:rsid w:val="00A461F0"/>
    <w:rsid w:val="00A46435"/>
    <w:rsid w:val="00A46507"/>
    <w:rsid w:val="00A469BC"/>
    <w:rsid w:val="00A46EDD"/>
    <w:rsid w:val="00A46F1B"/>
    <w:rsid w:val="00A4707E"/>
    <w:rsid w:val="00A4766B"/>
    <w:rsid w:val="00A4780E"/>
    <w:rsid w:val="00A47D5C"/>
    <w:rsid w:val="00A47E7D"/>
    <w:rsid w:val="00A501A1"/>
    <w:rsid w:val="00A5061C"/>
    <w:rsid w:val="00A5069E"/>
    <w:rsid w:val="00A509CE"/>
    <w:rsid w:val="00A50E2B"/>
    <w:rsid w:val="00A511E8"/>
    <w:rsid w:val="00A519A2"/>
    <w:rsid w:val="00A519BD"/>
    <w:rsid w:val="00A51B43"/>
    <w:rsid w:val="00A51D7E"/>
    <w:rsid w:val="00A525D3"/>
    <w:rsid w:val="00A5278A"/>
    <w:rsid w:val="00A529D7"/>
    <w:rsid w:val="00A52A02"/>
    <w:rsid w:val="00A534F2"/>
    <w:rsid w:val="00A53BED"/>
    <w:rsid w:val="00A53D8D"/>
    <w:rsid w:val="00A53EE0"/>
    <w:rsid w:val="00A53FB1"/>
    <w:rsid w:val="00A54621"/>
    <w:rsid w:val="00A54875"/>
    <w:rsid w:val="00A54897"/>
    <w:rsid w:val="00A54B58"/>
    <w:rsid w:val="00A54B76"/>
    <w:rsid w:val="00A54F50"/>
    <w:rsid w:val="00A5503A"/>
    <w:rsid w:val="00A55444"/>
    <w:rsid w:val="00A55506"/>
    <w:rsid w:val="00A55C35"/>
    <w:rsid w:val="00A55E78"/>
    <w:rsid w:val="00A56361"/>
    <w:rsid w:val="00A563F6"/>
    <w:rsid w:val="00A565FD"/>
    <w:rsid w:val="00A56649"/>
    <w:rsid w:val="00A5691D"/>
    <w:rsid w:val="00A56C57"/>
    <w:rsid w:val="00A56F43"/>
    <w:rsid w:val="00A57051"/>
    <w:rsid w:val="00A57222"/>
    <w:rsid w:val="00A572BF"/>
    <w:rsid w:val="00A57581"/>
    <w:rsid w:val="00A577C3"/>
    <w:rsid w:val="00A57A56"/>
    <w:rsid w:val="00A57D7D"/>
    <w:rsid w:val="00A57DAF"/>
    <w:rsid w:val="00A57E74"/>
    <w:rsid w:val="00A60964"/>
    <w:rsid w:val="00A61040"/>
    <w:rsid w:val="00A6124A"/>
    <w:rsid w:val="00A615DC"/>
    <w:rsid w:val="00A6185F"/>
    <w:rsid w:val="00A6193F"/>
    <w:rsid w:val="00A619C7"/>
    <w:rsid w:val="00A626BB"/>
    <w:rsid w:val="00A62740"/>
    <w:rsid w:val="00A6289F"/>
    <w:rsid w:val="00A62A47"/>
    <w:rsid w:val="00A62B3A"/>
    <w:rsid w:val="00A6362C"/>
    <w:rsid w:val="00A637F9"/>
    <w:rsid w:val="00A6381B"/>
    <w:rsid w:val="00A63CF3"/>
    <w:rsid w:val="00A63E3F"/>
    <w:rsid w:val="00A63F46"/>
    <w:rsid w:val="00A647BD"/>
    <w:rsid w:val="00A64DB7"/>
    <w:rsid w:val="00A653AF"/>
    <w:rsid w:val="00A6590E"/>
    <w:rsid w:val="00A66308"/>
    <w:rsid w:val="00A6667F"/>
    <w:rsid w:val="00A666E1"/>
    <w:rsid w:val="00A6689A"/>
    <w:rsid w:val="00A66B57"/>
    <w:rsid w:val="00A66C10"/>
    <w:rsid w:val="00A66C4C"/>
    <w:rsid w:val="00A66D65"/>
    <w:rsid w:val="00A66ECE"/>
    <w:rsid w:val="00A67622"/>
    <w:rsid w:val="00A67B95"/>
    <w:rsid w:val="00A70085"/>
    <w:rsid w:val="00A70102"/>
    <w:rsid w:val="00A701CA"/>
    <w:rsid w:val="00A70382"/>
    <w:rsid w:val="00A70A6A"/>
    <w:rsid w:val="00A70D51"/>
    <w:rsid w:val="00A714C8"/>
    <w:rsid w:val="00A71610"/>
    <w:rsid w:val="00A71708"/>
    <w:rsid w:val="00A71A35"/>
    <w:rsid w:val="00A71A6C"/>
    <w:rsid w:val="00A71B53"/>
    <w:rsid w:val="00A71D22"/>
    <w:rsid w:val="00A72382"/>
    <w:rsid w:val="00A728A5"/>
    <w:rsid w:val="00A728FB"/>
    <w:rsid w:val="00A72952"/>
    <w:rsid w:val="00A72F25"/>
    <w:rsid w:val="00A73577"/>
    <w:rsid w:val="00A736FE"/>
    <w:rsid w:val="00A73A2D"/>
    <w:rsid w:val="00A73A62"/>
    <w:rsid w:val="00A73E7B"/>
    <w:rsid w:val="00A73E89"/>
    <w:rsid w:val="00A74101"/>
    <w:rsid w:val="00A7419D"/>
    <w:rsid w:val="00A741F8"/>
    <w:rsid w:val="00A74EB1"/>
    <w:rsid w:val="00A750EC"/>
    <w:rsid w:val="00A75211"/>
    <w:rsid w:val="00A75315"/>
    <w:rsid w:val="00A75CAF"/>
    <w:rsid w:val="00A76842"/>
    <w:rsid w:val="00A76BA0"/>
    <w:rsid w:val="00A76C53"/>
    <w:rsid w:val="00A76C81"/>
    <w:rsid w:val="00A76F9F"/>
    <w:rsid w:val="00A772F0"/>
    <w:rsid w:val="00A773F7"/>
    <w:rsid w:val="00A77754"/>
    <w:rsid w:val="00A779EF"/>
    <w:rsid w:val="00A77B78"/>
    <w:rsid w:val="00A77D3C"/>
    <w:rsid w:val="00A8054F"/>
    <w:rsid w:val="00A806ED"/>
    <w:rsid w:val="00A807DA"/>
    <w:rsid w:val="00A80F5B"/>
    <w:rsid w:val="00A81083"/>
    <w:rsid w:val="00A8110B"/>
    <w:rsid w:val="00A81BE6"/>
    <w:rsid w:val="00A829D0"/>
    <w:rsid w:val="00A82F3E"/>
    <w:rsid w:val="00A83123"/>
    <w:rsid w:val="00A837BB"/>
    <w:rsid w:val="00A83BBF"/>
    <w:rsid w:val="00A83C3E"/>
    <w:rsid w:val="00A83F5E"/>
    <w:rsid w:val="00A840C8"/>
    <w:rsid w:val="00A84156"/>
    <w:rsid w:val="00A841AC"/>
    <w:rsid w:val="00A84384"/>
    <w:rsid w:val="00A846D3"/>
    <w:rsid w:val="00A8474B"/>
    <w:rsid w:val="00A84801"/>
    <w:rsid w:val="00A84BD0"/>
    <w:rsid w:val="00A84EBF"/>
    <w:rsid w:val="00A84F53"/>
    <w:rsid w:val="00A84FFC"/>
    <w:rsid w:val="00A8551B"/>
    <w:rsid w:val="00A85548"/>
    <w:rsid w:val="00A8561E"/>
    <w:rsid w:val="00A85A96"/>
    <w:rsid w:val="00A85B72"/>
    <w:rsid w:val="00A8610A"/>
    <w:rsid w:val="00A861CB"/>
    <w:rsid w:val="00A86330"/>
    <w:rsid w:val="00A86343"/>
    <w:rsid w:val="00A866C2"/>
    <w:rsid w:val="00A8684E"/>
    <w:rsid w:val="00A86F11"/>
    <w:rsid w:val="00A86FCB"/>
    <w:rsid w:val="00A870DC"/>
    <w:rsid w:val="00A873FC"/>
    <w:rsid w:val="00A8778A"/>
    <w:rsid w:val="00A877EC"/>
    <w:rsid w:val="00A87C43"/>
    <w:rsid w:val="00A900A2"/>
    <w:rsid w:val="00A900AD"/>
    <w:rsid w:val="00A903CA"/>
    <w:rsid w:val="00A908EF"/>
    <w:rsid w:val="00A90987"/>
    <w:rsid w:val="00A909F9"/>
    <w:rsid w:val="00A90AF7"/>
    <w:rsid w:val="00A90C2E"/>
    <w:rsid w:val="00A90CC1"/>
    <w:rsid w:val="00A91035"/>
    <w:rsid w:val="00A91135"/>
    <w:rsid w:val="00A91BC4"/>
    <w:rsid w:val="00A9215C"/>
    <w:rsid w:val="00A92E71"/>
    <w:rsid w:val="00A930EE"/>
    <w:rsid w:val="00A93324"/>
    <w:rsid w:val="00A9371C"/>
    <w:rsid w:val="00A9391C"/>
    <w:rsid w:val="00A9399E"/>
    <w:rsid w:val="00A93CDD"/>
    <w:rsid w:val="00A93D5B"/>
    <w:rsid w:val="00A93E62"/>
    <w:rsid w:val="00A94294"/>
    <w:rsid w:val="00A94AD5"/>
    <w:rsid w:val="00A95247"/>
    <w:rsid w:val="00A9524C"/>
    <w:rsid w:val="00A95355"/>
    <w:rsid w:val="00A95A01"/>
    <w:rsid w:val="00A95A5D"/>
    <w:rsid w:val="00A95A86"/>
    <w:rsid w:val="00A95E07"/>
    <w:rsid w:val="00A96005"/>
    <w:rsid w:val="00A96247"/>
    <w:rsid w:val="00A963C0"/>
    <w:rsid w:val="00A964BE"/>
    <w:rsid w:val="00A96EE9"/>
    <w:rsid w:val="00A976A4"/>
    <w:rsid w:val="00A977B5"/>
    <w:rsid w:val="00A978EC"/>
    <w:rsid w:val="00A97B6C"/>
    <w:rsid w:val="00A97E79"/>
    <w:rsid w:val="00A97E89"/>
    <w:rsid w:val="00A97EB6"/>
    <w:rsid w:val="00A97FE2"/>
    <w:rsid w:val="00AA00AD"/>
    <w:rsid w:val="00AA010C"/>
    <w:rsid w:val="00AA0122"/>
    <w:rsid w:val="00AA05B0"/>
    <w:rsid w:val="00AA0E42"/>
    <w:rsid w:val="00AA1025"/>
    <w:rsid w:val="00AA1059"/>
    <w:rsid w:val="00AA122E"/>
    <w:rsid w:val="00AA15CF"/>
    <w:rsid w:val="00AA217D"/>
    <w:rsid w:val="00AA245A"/>
    <w:rsid w:val="00AA2492"/>
    <w:rsid w:val="00AA25C0"/>
    <w:rsid w:val="00AA25DD"/>
    <w:rsid w:val="00AA26DC"/>
    <w:rsid w:val="00AA27A2"/>
    <w:rsid w:val="00AA27B2"/>
    <w:rsid w:val="00AA288D"/>
    <w:rsid w:val="00AA28D6"/>
    <w:rsid w:val="00AA3167"/>
    <w:rsid w:val="00AA37F9"/>
    <w:rsid w:val="00AA3AE5"/>
    <w:rsid w:val="00AA3B74"/>
    <w:rsid w:val="00AA4086"/>
    <w:rsid w:val="00AA4340"/>
    <w:rsid w:val="00AA43AA"/>
    <w:rsid w:val="00AA4C67"/>
    <w:rsid w:val="00AA4E3F"/>
    <w:rsid w:val="00AA4F3A"/>
    <w:rsid w:val="00AA5039"/>
    <w:rsid w:val="00AA51DE"/>
    <w:rsid w:val="00AA52A7"/>
    <w:rsid w:val="00AA5AF6"/>
    <w:rsid w:val="00AA5BFB"/>
    <w:rsid w:val="00AA5F67"/>
    <w:rsid w:val="00AA60CF"/>
    <w:rsid w:val="00AA651A"/>
    <w:rsid w:val="00AA657E"/>
    <w:rsid w:val="00AA6697"/>
    <w:rsid w:val="00AA697B"/>
    <w:rsid w:val="00AA6C37"/>
    <w:rsid w:val="00AA6F24"/>
    <w:rsid w:val="00AA7066"/>
    <w:rsid w:val="00AA713C"/>
    <w:rsid w:val="00AA71DC"/>
    <w:rsid w:val="00AA7250"/>
    <w:rsid w:val="00AA752E"/>
    <w:rsid w:val="00AA77E6"/>
    <w:rsid w:val="00AA79FC"/>
    <w:rsid w:val="00AA7BB5"/>
    <w:rsid w:val="00AA7CCC"/>
    <w:rsid w:val="00AA7E6A"/>
    <w:rsid w:val="00AA7E76"/>
    <w:rsid w:val="00AB00F4"/>
    <w:rsid w:val="00AB0315"/>
    <w:rsid w:val="00AB0B6F"/>
    <w:rsid w:val="00AB0BC7"/>
    <w:rsid w:val="00AB0DF6"/>
    <w:rsid w:val="00AB0FE6"/>
    <w:rsid w:val="00AB10B6"/>
    <w:rsid w:val="00AB1132"/>
    <w:rsid w:val="00AB1413"/>
    <w:rsid w:val="00AB15DE"/>
    <w:rsid w:val="00AB18CB"/>
    <w:rsid w:val="00AB1A60"/>
    <w:rsid w:val="00AB1EFE"/>
    <w:rsid w:val="00AB216E"/>
    <w:rsid w:val="00AB2EDD"/>
    <w:rsid w:val="00AB32C0"/>
    <w:rsid w:val="00AB388D"/>
    <w:rsid w:val="00AB3A04"/>
    <w:rsid w:val="00AB3C92"/>
    <w:rsid w:val="00AB4037"/>
    <w:rsid w:val="00AB4104"/>
    <w:rsid w:val="00AB419D"/>
    <w:rsid w:val="00AB46F1"/>
    <w:rsid w:val="00AB4781"/>
    <w:rsid w:val="00AB4866"/>
    <w:rsid w:val="00AB5416"/>
    <w:rsid w:val="00AB56EF"/>
    <w:rsid w:val="00AB5B59"/>
    <w:rsid w:val="00AB5CC4"/>
    <w:rsid w:val="00AB5F3C"/>
    <w:rsid w:val="00AB629C"/>
    <w:rsid w:val="00AB6713"/>
    <w:rsid w:val="00AB71E8"/>
    <w:rsid w:val="00AB7525"/>
    <w:rsid w:val="00AB7810"/>
    <w:rsid w:val="00AB7B20"/>
    <w:rsid w:val="00AC004F"/>
    <w:rsid w:val="00AC02B3"/>
    <w:rsid w:val="00AC05DA"/>
    <w:rsid w:val="00AC0F03"/>
    <w:rsid w:val="00AC1019"/>
    <w:rsid w:val="00AC1655"/>
    <w:rsid w:val="00AC1A06"/>
    <w:rsid w:val="00AC1C29"/>
    <w:rsid w:val="00AC1D8E"/>
    <w:rsid w:val="00AC203D"/>
    <w:rsid w:val="00AC2630"/>
    <w:rsid w:val="00AC2F02"/>
    <w:rsid w:val="00AC37D1"/>
    <w:rsid w:val="00AC3885"/>
    <w:rsid w:val="00AC3BD8"/>
    <w:rsid w:val="00AC4052"/>
    <w:rsid w:val="00AC432B"/>
    <w:rsid w:val="00AC43D0"/>
    <w:rsid w:val="00AC4C0F"/>
    <w:rsid w:val="00AC4DE2"/>
    <w:rsid w:val="00AC5495"/>
    <w:rsid w:val="00AC58E2"/>
    <w:rsid w:val="00AC5D96"/>
    <w:rsid w:val="00AC5E60"/>
    <w:rsid w:val="00AC6107"/>
    <w:rsid w:val="00AC6226"/>
    <w:rsid w:val="00AC6978"/>
    <w:rsid w:val="00AC6A92"/>
    <w:rsid w:val="00AC6D3C"/>
    <w:rsid w:val="00AC710C"/>
    <w:rsid w:val="00AC722E"/>
    <w:rsid w:val="00AC733F"/>
    <w:rsid w:val="00AD003A"/>
    <w:rsid w:val="00AD04EA"/>
    <w:rsid w:val="00AD082F"/>
    <w:rsid w:val="00AD0C3A"/>
    <w:rsid w:val="00AD0FA3"/>
    <w:rsid w:val="00AD1509"/>
    <w:rsid w:val="00AD1587"/>
    <w:rsid w:val="00AD1982"/>
    <w:rsid w:val="00AD1DA9"/>
    <w:rsid w:val="00AD1FFD"/>
    <w:rsid w:val="00AD20D6"/>
    <w:rsid w:val="00AD21F0"/>
    <w:rsid w:val="00AD251C"/>
    <w:rsid w:val="00AD292B"/>
    <w:rsid w:val="00AD2F79"/>
    <w:rsid w:val="00AD2FAF"/>
    <w:rsid w:val="00AD3B62"/>
    <w:rsid w:val="00AD3F08"/>
    <w:rsid w:val="00AD4012"/>
    <w:rsid w:val="00AD43E6"/>
    <w:rsid w:val="00AD4610"/>
    <w:rsid w:val="00AD4CA4"/>
    <w:rsid w:val="00AD4F16"/>
    <w:rsid w:val="00AD5CC6"/>
    <w:rsid w:val="00AD5F7D"/>
    <w:rsid w:val="00AD63EA"/>
    <w:rsid w:val="00AD66D8"/>
    <w:rsid w:val="00AD69D2"/>
    <w:rsid w:val="00AD6E77"/>
    <w:rsid w:val="00AD6F6A"/>
    <w:rsid w:val="00AD6F9F"/>
    <w:rsid w:val="00AD72EE"/>
    <w:rsid w:val="00AD7A24"/>
    <w:rsid w:val="00AD7E86"/>
    <w:rsid w:val="00AE0335"/>
    <w:rsid w:val="00AE0B28"/>
    <w:rsid w:val="00AE1095"/>
    <w:rsid w:val="00AE1109"/>
    <w:rsid w:val="00AE114E"/>
    <w:rsid w:val="00AE1743"/>
    <w:rsid w:val="00AE1AB9"/>
    <w:rsid w:val="00AE1C1D"/>
    <w:rsid w:val="00AE2290"/>
    <w:rsid w:val="00AE22C9"/>
    <w:rsid w:val="00AE249F"/>
    <w:rsid w:val="00AE25AD"/>
    <w:rsid w:val="00AE265D"/>
    <w:rsid w:val="00AE2782"/>
    <w:rsid w:val="00AE2EA1"/>
    <w:rsid w:val="00AE3301"/>
    <w:rsid w:val="00AE348F"/>
    <w:rsid w:val="00AE3EE2"/>
    <w:rsid w:val="00AE4165"/>
    <w:rsid w:val="00AE4B31"/>
    <w:rsid w:val="00AE556C"/>
    <w:rsid w:val="00AE5B23"/>
    <w:rsid w:val="00AE5BC4"/>
    <w:rsid w:val="00AE5F98"/>
    <w:rsid w:val="00AE689A"/>
    <w:rsid w:val="00AE6905"/>
    <w:rsid w:val="00AE6949"/>
    <w:rsid w:val="00AE6B16"/>
    <w:rsid w:val="00AE6B25"/>
    <w:rsid w:val="00AE6C86"/>
    <w:rsid w:val="00AE6E9C"/>
    <w:rsid w:val="00AE6FC8"/>
    <w:rsid w:val="00AE70F9"/>
    <w:rsid w:val="00AE72FA"/>
    <w:rsid w:val="00AE77FF"/>
    <w:rsid w:val="00AE78DB"/>
    <w:rsid w:val="00AE7A55"/>
    <w:rsid w:val="00AE7ABF"/>
    <w:rsid w:val="00AE7BA9"/>
    <w:rsid w:val="00AE7C5C"/>
    <w:rsid w:val="00AF004D"/>
    <w:rsid w:val="00AF02EA"/>
    <w:rsid w:val="00AF0348"/>
    <w:rsid w:val="00AF0B70"/>
    <w:rsid w:val="00AF0C01"/>
    <w:rsid w:val="00AF0EFF"/>
    <w:rsid w:val="00AF139B"/>
    <w:rsid w:val="00AF16B0"/>
    <w:rsid w:val="00AF1A96"/>
    <w:rsid w:val="00AF1CAA"/>
    <w:rsid w:val="00AF1E23"/>
    <w:rsid w:val="00AF1FE7"/>
    <w:rsid w:val="00AF206C"/>
    <w:rsid w:val="00AF2C61"/>
    <w:rsid w:val="00AF3589"/>
    <w:rsid w:val="00AF366D"/>
    <w:rsid w:val="00AF3A2B"/>
    <w:rsid w:val="00AF3DCC"/>
    <w:rsid w:val="00AF3EF3"/>
    <w:rsid w:val="00AF4432"/>
    <w:rsid w:val="00AF45E8"/>
    <w:rsid w:val="00AF468B"/>
    <w:rsid w:val="00AF4767"/>
    <w:rsid w:val="00AF47DD"/>
    <w:rsid w:val="00AF4A22"/>
    <w:rsid w:val="00AF4D99"/>
    <w:rsid w:val="00AF4EEC"/>
    <w:rsid w:val="00AF5799"/>
    <w:rsid w:val="00AF5B8D"/>
    <w:rsid w:val="00AF5D6C"/>
    <w:rsid w:val="00AF603C"/>
    <w:rsid w:val="00AF6A1E"/>
    <w:rsid w:val="00AF7796"/>
    <w:rsid w:val="00AF790C"/>
    <w:rsid w:val="00AF79C5"/>
    <w:rsid w:val="00AF7D59"/>
    <w:rsid w:val="00B000C5"/>
    <w:rsid w:val="00B005C1"/>
    <w:rsid w:val="00B00AF6"/>
    <w:rsid w:val="00B00E92"/>
    <w:rsid w:val="00B00F68"/>
    <w:rsid w:val="00B00F70"/>
    <w:rsid w:val="00B00F89"/>
    <w:rsid w:val="00B00FB9"/>
    <w:rsid w:val="00B00FEE"/>
    <w:rsid w:val="00B0110C"/>
    <w:rsid w:val="00B015D1"/>
    <w:rsid w:val="00B01832"/>
    <w:rsid w:val="00B01950"/>
    <w:rsid w:val="00B01E3D"/>
    <w:rsid w:val="00B02053"/>
    <w:rsid w:val="00B0249E"/>
    <w:rsid w:val="00B026D1"/>
    <w:rsid w:val="00B02817"/>
    <w:rsid w:val="00B03476"/>
    <w:rsid w:val="00B035DB"/>
    <w:rsid w:val="00B03830"/>
    <w:rsid w:val="00B03A1F"/>
    <w:rsid w:val="00B03F37"/>
    <w:rsid w:val="00B04427"/>
    <w:rsid w:val="00B0456E"/>
    <w:rsid w:val="00B0464C"/>
    <w:rsid w:val="00B04A7D"/>
    <w:rsid w:val="00B04C2F"/>
    <w:rsid w:val="00B04D0F"/>
    <w:rsid w:val="00B04DAF"/>
    <w:rsid w:val="00B05085"/>
    <w:rsid w:val="00B053A2"/>
    <w:rsid w:val="00B054DB"/>
    <w:rsid w:val="00B055F7"/>
    <w:rsid w:val="00B05648"/>
    <w:rsid w:val="00B05863"/>
    <w:rsid w:val="00B05897"/>
    <w:rsid w:val="00B05B45"/>
    <w:rsid w:val="00B05CA5"/>
    <w:rsid w:val="00B05D69"/>
    <w:rsid w:val="00B05D79"/>
    <w:rsid w:val="00B05F28"/>
    <w:rsid w:val="00B0658F"/>
    <w:rsid w:val="00B066F9"/>
    <w:rsid w:val="00B06818"/>
    <w:rsid w:val="00B06A17"/>
    <w:rsid w:val="00B07930"/>
    <w:rsid w:val="00B07968"/>
    <w:rsid w:val="00B07A97"/>
    <w:rsid w:val="00B07E1E"/>
    <w:rsid w:val="00B1031C"/>
    <w:rsid w:val="00B1032B"/>
    <w:rsid w:val="00B1039F"/>
    <w:rsid w:val="00B10507"/>
    <w:rsid w:val="00B105F5"/>
    <w:rsid w:val="00B1065F"/>
    <w:rsid w:val="00B10700"/>
    <w:rsid w:val="00B107AD"/>
    <w:rsid w:val="00B112C1"/>
    <w:rsid w:val="00B113DA"/>
    <w:rsid w:val="00B11503"/>
    <w:rsid w:val="00B117F4"/>
    <w:rsid w:val="00B117FE"/>
    <w:rsid w:val="00B118C3"/>
    <w:rsid w:val="00B119C8"/>
    <w:rsid w:val="00B11ACB"/>
    <w:rsid w:val="00B11F3E"/>
    <w:rsid w:val="00B12020"/>
    <w:rsid w:val="00B129C6"/>
    <w:rsid w:val="00B12F83"/>
    <w:rsid w:val="00B13144"/>
    <w:rsid w:val="00B13224"/>
    <w:rsid w:val="00B132B8"/>
    <w:rsid w:val="00B134BB"/>
    <w:rsid w:val="00B13918"/>
    <w:rsid w:val="00B139FC"/>
    <w:rsid w:val="00B14060"/>
    <w:rsid w:val="00B1445C"/>
    <w:rsid w:val="00B14520"/>
    <w:rsid w:val="00B148B1"/>
    <w:rsid w:val="00B149C3"/>
    <w:rsid w:val="00B14D36"/>
    <w:rsid w:val="00B15E0D"/>
    <w:rsid w:val="00B1653A"/>
    <w:rsid w:val="00B168F6"/>
    <w:rsid w:val="00B16CBA"/>
    <w:rsid w:val="00B171F3"/>
    <w:rsid w:val="00B17DCB"/>
    <w:rsid w:val="00B207FE"/>
    <w:rsid w:val="00B208B0"/>
    <w:rsid w:val="00B20BDD"/>
    <w:rsid w:val="00B20C86"/>
    <w:rsid w:val="00B20CC0"/>
    <w:rsid w:val="00B20D9C"/>
    <w:rsid w:val="00B20EFB"/>
    <w:rsid w:val="00B210FC"/>
    <w:rsid w:val="00B211F0"/>
    <w:rsid w:val="00B2120F"/>
    <w:rsid w:val="00B216D6"/>
    <w:rsid w:val="00B21A1A"/>
    <w:rsid w:val="00B21CD8"/>
    <w:rsid w:val="00B21DE0"/>
    <w:rsid w:val="00B21DE3"/>
    <w:rsid w:val="00B2222B"/>
    <w:rsid w:val="00B2271D"/>
    <w:rsid w:val="00B2282B"/>
    <w:rsid w:val="00B22CAB"/>
    <w:rsid w:val="00B22DA2"/>
    <w:rsid w:val="00B22FDF"/>
    <w:rsid w:val="00B23274"/>
    <w:rsid w:val="00B232B8"/>
    <w:rsid w:val="00B23646"/>
    <w:rsid w:val="00B23873"/>
    <w:rsid w:val="00B23884"/>
    <w:rsid w:val="00B239C9"/>
    <w:rsid w:val="00B23CDC"/>
    <w:rsid w:val="00B23DCD"/>
    <w:rsid w:val="00B23E89"/>
    <w:rsid w:val="00B23FE8"/>
    <w:rsid w:val="00B24006"/>
    <w:rsid w:val="00B242C9"/>
    <w:rsid w:val="00B247FF"/>
    <w:rsid w:val="00B24B2A"/>
    <w:rsid w:val="00B24E1A"/>
    <w:rsid w:val="00B251A0"/>
    <w:rsid w:val="00B254CB"/>
    <w:rsid w:val="00B2563A"/>
    <w:rsid w:val="00B25DC7"/>
    <w:rsid w:val="00B25E88"/>
    <w:rsid w:val="00B25F59"/>
    <w:rsid w:val="00B265C7"/>
    <w:rsid w:val="00B269F8"/>
    <w:rsid w:val="00B26A91"/>
    <w:rsid w:val="00B26C79"/>
    <w:rsid w:val="00B27308"/>
    <w:rsid w:val="00B27D48"/>
    <w:rsid w:val="00B30325"/>
    <w:rsid w:val="00B312B5"/>
    <w:rsid w:val="00B31850"/>
    <w:rsid w:val="00B3192E"/>
    <w:rsid w:val="00B31A38"/>
    <w:rsid w:val="00B31C9B"/>
    <w:rsid w:val="00B323FF"/>
    <w:rsid w:val="00B327B5"/>
    <w:rsid w:val="00B32992"/>
    <w:rsid w:val="00B32B42"/>
    <w:rsid w:val="00B333BB"/>
    <w:rsid w:val="00B337E6"/>
    <w:rsid w:val="00B339CD"/>
    <w:rsid w:val="00B33AF8"/>
    <w:rsid w:val="00B33FAA"/>
    <w:rsid w:val="00B345C7"/>
    <w:rsid w:val="00B346BB"/>
    <w:rsid w:val="00B34A6D"/>
    <w:rsid w:val="00B34FE0"/>
    <w:rsid w:val="00B35555"/>
    <w:rsid w:val="00B3584F"/>
    <w:rsid w:val="00B35871"/>
    <w:rsid w:val="00B35D8B"/>
    <w:rsid w:val="00B35F5A"/>
    <w:rsid w:val="00B35FB1"/>
    <w:rsid w:val="00B36220"/>
    <w:rsid w:val="00B363C8"/>
    <w:rsid w:val="00B364CA"/>
    <w:rsid w:val="00B367FD"/>
    <w:rsid w:val="00B36CC5"/>
    <w:rsid w:val="00B36F18"/>
    <w:rsid w:val="00B3703E"/>
    <w:rsid w:val="00B3714B"/>
    <w:rsid w:val="00B375AC"/>
    <w:rsid w:val="00B3769E"/>
    <w:rsid w:val="00B37A22"/>
    <w:rsid w:val="00B37EB1"/>
    <w:rsid w:val="00B40143"/>
    <w:rsid w:val="00B405DC"/>
    <w:rsid w:val="00B414AC"/>
    <w:rsid w:val="00B42E9C"/>
    <w:rsid w:val="00B432BF"/>
    <w:rsid w:val="00B433A7"/>
    <w:rsid w:val="00B4369C"/>
    <w:rsid w:val="00B4379C"/>
    <w:rsid w:val="00B43A0C"/>
    <w:rsid w:val="00B43CAD"/>
    <w:rsid w:val="00B4440B"/>
    <w:rsid w:val="00B44577"/>
    <w:rsid w:val="00B447B8"/>
    <w:rsid w:val="00B44B04"/>
    <w:rsid w:val="00B44D67"/>
    <w:rsid w:val="00B44F2A"/>
    <w:rsid w:val="00B4511C"/>
    <w:rsid w:val="00B45449"/>
    <w:rsid w:val="00B46C0D"/>
    <w:rsid w:val="00B46EB6"/>
    <w:rsid w:val="00B46F61"/>
    <w:rsid w:val="00B4753D"/>
    <w:rsid w:val="00B4771B"/>
    <w:rsid w:val="00B50327"/>
    <w:rsid w:val="00B50579"/>
    <w:rsid w:val="00B506AB"/>
    <w:rsid w:val="00B509DE"/>
    <w:rsid w:val="00B50C7D"/>
    <w:rsid w:val="00B51159"/>
    <w:rsid w:val="00B51324"/>
    <w:rsid w:val="00B5137F"/>
    <w:rsid w:val="00B51521"/>
    <w:rsid w:val="00B5163D"/>
    <w:rsid w:val="00B51AAD"/>
    <w:rsid w:val="00B52331"/>
    <w:rsid w:val="00B52568"/>
    <w:rsid w:val="00B52AB4"/>
    <w:rsid w:val="00B52F3F"/>
    <w:rsid w:val="00B52F5E"/>
    <w:rsid w:val="00B539BE"/>
    <w:rsid w:val="00B53BB5"/>
    <w:rsid w:val="00B53CE4"/>
    <w:rsid w:val="00B53DDE"/>
    <w:rsid w:val="00B53ED0"/>
    <w:rsid w:val="00B545B8"/>
    <w:rsid w:val="00B545C3"/>
    <w:rsid w:val="00B545DA"/>
    <w:rsid w:val="00B5466C"/>
    <w:rsid w:val="00B54810"/>
    <w:rsid w:val="00B54D27"/>
    <w:rsid w:val="00B55951"/>
    <w:rsid w:val="00B55AE2"/>
    <w:rsid w:val="00B55B50"/>
    <w:rsid w:val="00B55E7A"/>
    <w:rsid w:val="00B55F38"/>
    <w:rsid w:val="00B56065"/>
    <w:rsid w:val="00B568A8"/>
    <w:rsid w:val="00B56B22"/>
    <w:rsid w:val="00B56E45"/>
    <w:rsid w:val="00B57772"/>
    <w:rsid w:val="00B57B4E"/>
    <w:rsid w:val="00B57D78"/>
    <w:rsid w:val="00B57E6C"/>
    <w:rsid w:val="00B57F56"/>
    <w:rsid w:val="00B60023"/>
    <w:rsid w:val="00B606DE"/>
    <w:rsid w:val="00B60B56"/>
    <w:rsid w:val="00B618EA"/>
    <w:rsid w:val="00B61B37"/>
    <w:rsid w:val="00B61B7C"/>
    <w:rsid w:val="00B61C98"/>
    <w:rsid w:val="00B61E70"/>
    <w:rsid w:val="00B61F46"/>
    <w:rsid w:val="00B620F5"/>
    <w:rsid w:val="00B62344"/>
    <w:rsid w:val="00B62389"/>
    <w:rsid w:val="00B623F4"/>
    <w:rsid w:val="00B62AF4"/>
    <w:rsid w:val="00B62BC2"/>
    <w:rsid w:val="00B62C34"/>
    <w:rsid w:val="00B62E14"/>
    <w:rsid w:val="00B632ED"/>
    <w:rsid w:val="00B63309"/>
    <w:rsid w:val="00B634EB"/>
    <w:rsid w:val="00B6377B"/>
    <w:rsid w:val="00B639DF"/>
    <w:rsid w:val="00B63A1B"/>
    <w:rsid w:val="00B63C44"/>
    <w:rsid w:val="00B63C76"/>
    <w:rsid w:val="00B63E91"/>
    <w:rsid w:val="00B6472A"/>
    <w:rsid w:val="00B64AD1"/>
    <w:rsid w:val="00B64D50"/>
    <w:rsid w:val="00B64E6A"/>
    <w:rsid w:val="00B6513C"/>
    <w:rsid w:val="00B65296"/>
    <w:rsid w:val="00B65410"/>
    <w:rsid w:val="00B65414"/>
    <w:rsid w:val="00B657DB"/>
    <w:rsid w:val="00B6596E"/>
    <w:rsid w:val="00B65F0E"/>
    <w:rsid w:val="00B6627E"/>
    <w:rsid w:val="00B664E0"/>
    <w:rsid w:val="00B66C51"/>
    <w:rsid w:val="00B66E0D"/>
    <w:rsid w:val="00B66F5B"/>
    <w:rsid w:val="00B67900"/>
    <w:rsid w:val="00B67B02"/>
    <w:rsid w:val="00B67B6C"/>
    <w:rsid w:val="00B67E07"/>
    <w:rsid w:val="00B67E73"/>
    <w:rsid w:val="00B70766"/>
    <w:rsid w:val="00B708E3"/>
    <w:rsid w:val="00B71497"/>
    <w:rsid w:val="00B71FC9"/>
    <w:rsid w:val="00B721D9"/>
    <w:rsid w:val="00B723A3"/>
    <w:rsid w:val="00B7249B"/>
    <w:rsid w:val="00B72BFE"/>
    <w:rsid w:val="00B730D9"/>
    <w:rsid w:val="00B73714"/>
    <w:rsid w:val="00B73AB3"/>
    <w:rsid w:val="00B73C16"/>
    <w:rsid w:val="00B73D7F"/>
    <w:rsid w:val="00B73F58"/>
    <w:rsid w:val="00B7424F"/>
    <w:rsid w:val="00B742D2"/>
    <w:rsid w:val="00B743B7"/>
    <w:rsid w:val="00B7459F"/>
    <w:rsid w:val="00B745EF"/>
    <w:rsid w:val="00B746B2"/>
    <w:rsid w:val="00B74B93"/>
    <w:rsid w:val="00B753E2"/>
    <w:rsid w:val="00B75D6E"/>
    <w:rsid w:val="00B76302"/>
    <w:rsid w:val="00B76702"/>
    <w:rsid w:val="00B7675F"/>
    <w:rsid w:val="00B76B6C"/>
    <w:rsid w:val="00B7730E"/>
    <w:rsid w:val="00B77432"/>
    <w:rsid w:val="00B775C0"/>
    <w:rsid w:val="00B775FD"/>
    <w:rsid w:val="00B77B78"/>
    <w:rsid w:val="00B8061A"/>
    <w:rsid w:val="00B8094C"/>
    <w:rsid w:val="00B809CF"/>
    <w:rsid w:val="00B80B60"/>
    <w:rsid w:val="00B81035"/>
    <w:rsid w:val="00B81236"/>
    <w:rsid w:val="00B81A93"/>
    <w:rsid w:val="00B81FC8"/>
    <w:rsid w:val="00B82499"/>
    <w:rsid w:val="00B82558"/>
    <w:rsid w:val="00B82965"/>
    <w:rsid w:val="00B82A9E"/>
    <w:rsid w:val="00B82F3C"/>
    <w:rsid w:val="00B8354F"/>
    <w:rsid w:val="00B839A1"/>
    <w:rsid w:val="00B84002"/>
    <w:rsid w:val="00B8435F"/>
    <w:rsid w:val="00B843FA"/>
    <w:rsid w:val="00B844CD"/>
    <w:rsid w:val="00B84C8A"/>
    <w:rsid w:val="00B84F69"/>
    <w:rsid w:val="00B85403"/>
    <w:rsid w:val="00B85736"/>
    <w:rsid w:val="00B8595D"/>
    <w:rsid w:val="00B85D08"/>
    <w:rsid w:val="00B860AD"/>
    <w:rsid w:val="00B860F5"/>
    <w:rsid w:val="00B865B8"/>
    <w:rsid w:val="00B8664C"/>
    <w:rsid w:val="00B86913"/>
    <w:rsid w:val="00B86A87"/>
    <w:rsid w:val="00B872C8"/>
    <w:rsid w:val="00B87367"/>
    <w:rsid w:val="00B87472"/>
    <w:rsid w:val="00B87F42"/>
    <w:rsid w:val="00B9030A"/>
    <w:rsid w:val="00B904C2"/>
    <w:rsid w:val="00B90536"/>
    <w:rsid w:val="00B90C47"/>
    <w:rsid w:val="00B90FD6"/>
    <w:rsid w:val="00B91631"/>
    <w:rsid w:val="00B91643"/>
    <w:rsid w:val="00B91818"/>
    <w:rsid w:val="00B9181F"/>
    <w:rsid w:val="00B9194E"/>
    <w:rsid w:val="00B91FEC"/>
    <w:rsid w:val="00B92035"/>
    <w:rsid w:val="00B92358"/>
    <w:rsid w:val="00B925F6"/>
    <w:rsid w:val="00B929EC"/>
    <w:rsid w:val="00B92A50"/>
    <w:rsid w:val="00B92AAE"/>
    <w:rsid w:val="00B93130"/>
    <w:rsid w:val="00B93845"/>
    <w:rsid w:val="00B93E20"/>
    <w:rsid w:val="00B93FCF"/>
    <w:rsid w:val="00B94005"/>
    <w:rsid w:val="00B94B8E"/>
    <w:rsid w:val="00B94BB9"/>
    <w:rsid w:val="00B94C62"/>
    <w:rsid w:val="00B94D2C"/>
    <w:rsid w:val="00B94D35"/>
    <w:rsid w:val="00B95558"/>
    <w:rsid w:val="00B95883"/>
    <w:rsid w:val="00B95E03"/>
    <w:rsid w:val="00B95FEF"/>
    <w:rsid w:val="00B96327"/>
    <w:rsid w:val="00B964F5"/>
    <w:rsid w:val="00B965CF"/>
    <w:rsid w:val="00B9687F"/>
    <w:rsid w:val="00B96A20"/>
    <w:rsid w:val="00B96FBD"/>
    <w:rsid w:val="00B97310"/>
    <w:rsid w:val="00B9768D"/>
    <w:rsid w:val="00B97B65"/>
    <w:rsid w:val="00B97BE7"/>
    <w:rsid w:val="00BA0178"/>
    <w:rsid w:val="00BA044C"/>
    <w:rsid w:val="00BA0DB5"/>
    <w:rsid w:val="00BA19E8"/>
    <w:rsid w:val="00BA1D0E"/>
    <w:rsid w:val="00BA1E1C"/>
    <w:rsid w:val="00BA21B4"/>
    <w:rsid w:val="00BA2267"/>
    <w:rsid w:val="00BA2740"/>
    <w:rsid w:val="00BA2E57"/>
    <w:rsid w:val="00BA2EE1"/>
    <w:rsid w:val="00BA2F9B"/>
    <w:rsid w:val="00BA3BCB"/>
    <w:rsid w:val="00BA3D6B"/>
    <w:rsid w:val="00BA3DB6"/>
    <w:rsid w:val="00BA43F8"/>
    <w:rsid w:val="00BA4BCF"/>
    <w:rsid w:val="00BA5209"/>
    <w:rsid w:val="00BA5338"/>
    <w:rsid w:val="00BA5411"/>
    <w:rsid w:val="00BA54A8"/>
    <w:rsid w:val="00BA5623"/>
    <w:rsid w:val="00BA5BC2"/>
    <w:rsid w:val="00BA691D"/>
    <w:rsid w:val="00BA7604"/>
    <w:rsid w:val="00BA7A0A"/>
    <w:rsid w:val="00BA7C55"/>
    <w:rsid w:val="00BB0088"/>
    <w:rsid w:val="00BB022B"/>
    <w:rsid w:val="00BB05D2"/>
    <w:rsid w:val="00BB0623"/>
    <w:rsid w:val="00BB0A2A"/>
    <w:rsid w:val="00BB1162"/>
    <w:rsid w:val="00BB1290"/>
    <w:rsid w:val="00BB152D"/>
    <w:rsid w:val="00BB199C"/>
    <w:rsid w:val="00BB1AF4"/>
    <w:rsid w:val="00BB1C56"/>
    <w:rsid w:val="00BB24D6"/>
    <w:rsid w:val="00BB2AA1"/>
    <w:rsid w:val="00BB3056"/>
    <w:rsid w:val="00BB33AB"/>
    <w:rsid w:val="00BB3888"/>
    <w:rsid w:val="00BB38AF"/>
    <w:rsid w:val="00BB3A7A"/>
    <w:rsid w:val="00BB3F50"/>
    <w:rsid w:val="00BB4084"/>
    <w:rsid w:val="00BB4575"/>
    <w:rsid w:val="00BB48A1"/>
    <w:rsid w:val="00BB4963"/>
    <w:rsid w:val="00BB4B55"/>
    <w:rsid w:val="00BB4D74"/>
    <w:rsid w:val="00BB50DB"/>
    <w:rsid w:val="00BB5145"/>
    <w:rsid w:val="00BB66F7"/>
    <w:rsid w:val="00BB6CEF"/>
    <w:rsid w:val="00BB7070"/>
    <w:rsid w:val="00BB71C6"/>
    <w:rsid w:val="00BB71D5"/>
    <w:rsid w:val="00BB7826"/>
    <w:rsid w:val="00BB79CC"/>
    <w:rsid w:val="00BB7CD0"/>
    <w:rsid w:val="00BB7F6F"/>
    <w:rsid w:val="00BB7F90"/>
    <w:rsid w:val="00BB7F95"/>
    <w:rsid w:val="00BC00A2"/>
    <w:rsid w:val="00BC023F"/>
    <w:rsid w:val="00BC03B7"/>
    <w:rsid w:val="00BC06B6"/>
    <w:rsid w:val="00BC06EA"/>
    <w:rsid w:val="00BC09CB"/>
    <w:rsid w:val="00BC0AF8"/>
    <w:rsid w:val="00BC1632"/>
    <w:rsid w:val="00BC188A"/>
    <w:rsid w:val="00BC1A9D"/>
    <w:rsid w:val="00BC1BF8"/>
    <w:rsid w:val="00BC23B1"/>
    <w:rsid w:val="00BC2814"/>
    <w:rsid w:val="00BC2A35"/>
    <w:rsid w:val="00BC2ADC"/>
    <w:rsid w:val="00BC38F8"/>
    <w:rsid w:val="00BC3946"/>
    <w:rsid w:val="00BC3953"/>
    <w:rsid w:val="00BC39EA"/>
    <w:rsid w:val="00BC3B2A"/>
    <w:rsid w:val="00BC3C22"/>
    <w:rsid w:val="00BC3DD2"/>
    <w:rsid w:val="00BC409F"/>
    <w:rsid w:val="00BC424A"/>
    <w:rsid w:val="00BC4652"/>
    <w:rsid w:val="00BC480B"/>
    <w:rsid w:val="00BC4AEB"/>
    <w:rsid w:val="00BC4F24"/>
    <w:rsid w:val="00BC50BC"/>
    <w:rsid w:val="00BC52A3"/>
    <w:rsid w:val="00BC52B2"/>
    <w:rsid w:val="00BC5318"/>
    <w:rsid w:val="00BC5679"/>
    <w:rsid w:val="00BC56AE"/>
    <w:rsid w:val="00BC5A82"/>
    <w:rsid w:val="00BC60A4"/>
    <w:rsid w:val="00BC659B"/>
    <w:rsid w:val="00BC6B51"/>
    <w:rsid w:val="00BC6E47"/>
    <w:rsid w:val="00BC6FF8"/>
    <w:rsid w:val="00BC7309"/>
    <w:rsid w:val="00BC74E1"/>
    <w:rsid w:val="00BC7829"/>
    <w:rsid w:val="00BC7BC4"/>
    <w:rsid w:val="00BC7FC5"/>
    <w:rsid w:val="00BC7FDB"/>
    <w:rsid w:val="00BD0296"/>
    <w:rsid w:val="00BD087B"/>
    <w:rsid w:val="00BD0A14"/>
    <w:rsid w:val="00BD0E1F"/>
    <w:rsid w:val="00BD14E7"/>
    <w:rsid w:val="00BD17A9"/>
    <w:rsid w:val="00BD2041"/>
    <w:rsid w:val="00BD21FF"/>
    <w:rsid w:val="00BD2314"/>
    <w:rsid w:val="00BD2E99"/>
    <w:rsid w:val="00BD3E5F"/>
    <w:rsid w:val="00BD40E5"/>
    <w:rsid w:val="00BD42EE"/>
    <w:rsid w:val="00BD474F"/>
    <w:rsid w:val="00BD485E"/>
    <w:rsid w:val="00BD48B0"/>
    <w:rsid w:val="00BD4B81"/>
    <w:rsid w:val="00BD4DD7"/>
    <w:rsid w:val="00BD4EB5"/>
    <w:rsid w:val="00BD4F8A"/>
    <w:rsid w:val="00BD4FD7"/>
    <w:rsid w:val="00BD5124"/>
    <w:rsid w:val="00BD5A73"/>
    <w:rsid w:val="00BD605A"/>
    <w:rsid w:val="00BD63F8"/>
    <w:rsid w:val="00BD6552"/>
    <w:rsid w:val="00BD6580"/>
    <w:rsid w:val="00BD6AAB"/>
    <w:rsid w:val="00BD6B0F"/>
    <w:rsid w:val="00BD77FA"/>
    <w:rsid w:val="00BD7A5E"/>
    <w:rsid w:val="00BD7ACC"/>
    <w:rsid w:val="00BD7C55"/>
    <w:rsid w:val="00BD7C87"/>
    <w:rsid w:val="00BD7D48"/>
    <w:rsid w:val="00BE0511"/>
    <w:rsid w:val="00BE0EDD"/>
    <w:rsid w:val="00BE0F6A"/>
    <w:rsid w:val="00BE1086"/>
    <w:rsid w:val="00BE122C"/>
    <w:rsid w:val="00BE1322"/>
    <w:rsid w:val="00BE141E"/>
    <w:rsid w:val="00BE15A6"/>
    <w:rsid w:val="00BE1616"/>
    <w:rsid w:val="00BE1756"/>
    <w:rsid w:val="00BE176F"/>
    <w:rsid w:val="00BE1B6C"/>
    <w:rsid w:val="00BE1D57"/>
    <w:rsid w:val="00BE2006"/>
    <w:rsid w:val="00BE21F4"/>
    <w:rsid w:val="00BE2616"/>
    <w:rsid w:val="00BE2860"/>
    <w:rsid w:val="00BE2EB6"/>
    <w:rsid w:val="00BE32C6"/>
    <w:rsid w:val="00BE3A91"/>
    <w:rsid w:val="00BE3DD3"/>
    <w:rsid w:val="00BE442E"/>
    <w:rsid w:val="00BE4523"/>
    <w:rsid w:val="00BE4529"/>
    <w:rsid w:val="00BE457F"/>
    <w:rsid w:val="00BE4739"/>
    <w:rsid w:val="00BE4870"/>
    <w:rsid w:val="00BE49FA"/>
    <w:rsid w:val="00BE4BAE"/>
    <w:rsid w:val="00BE4BC1"/>
    <w:rsid w:val="00BE5087"/>
    <w:rsid w:val="00BE50E2"/>
    <w:rsid w:val="00BE548F"/>
    <w:rsid w:val="00BE567C"/>
    <w:rsid w:val="00BE5B3A"/>
    <w:rsid w:val="00BE64B1"/>
    <w:rsid w:val="00BE6989"/>
    <w:rsid w:val="00BE6A27"/>
    <w:rsid w:val="00BE6A84"/>
    <w:rsid w:val="00BE6CB4"/>
    <w:rsid w:val="00BE6CE5"/>
    <w:rsid w:val="00BE6E98"/>
    <w:rsid w:val="00BE73B1"/>
    <w:rsid w:val="00BE759B"/>
    <w:rsid w:val="00BE7889"/>
    <w:rsid w:val="00BE791A"/>
    <w:rsid w:val="00BE7CA4"/>
    <w:rsid w:val="00BF01CE"/>
    <w:rsid w:val="00BF0B9A"/>
    <w:rsid w:val="00BF0BB6"/>
    <w:rsid w:val="00BF0FAE"/>
    <w:rsid w:val="00BF115E"/>
    <w:rsid w:val="00BF11E3"/>
    <w:rsid w:val="00BF137B"/>
    <w:rsid w:val="00BF21EB"/>
    <w:rsid w:val="00BF2286"/>
    <w:rsid w:val="00BF2B2E"/>
    <w:rsid w:val="00BF2ECA"/>
    <w:rsid w:val="00BF3208"/>
    <w:rsid w:val="00BF379D"/>
    <w:rsid w:val="00BF4068"/>
    <w:rsid w:val="00BF41DE"/>
    <w:rsid w:val="00BF44B2"/>
    <w:rsid w:val="00BF4B41"/>
    <w:rsid w:val="00BF4D1D"/>
    <w:rsid w:val="00BF4F15"/>
    <w:rsid w:val="00BF5174"/>
    <w:rsid w:val="00BF59DF"/>
    <w:rsid w:val="00BF5A85"/>
    <w:rsid w:val="00BF5B4C"/>
    <w:rsid w:val="00BF657A"/>
    <w:rsid w:val="00BF6C71"/>
    <w:rsid w:val="00BF70D5"/>
    <w:rsid w:val="00BF7626"/>
    <w:rsid w:val="00BF790D"/>
    <w:rsid w:val="00BF7A41"/>
    <w:rsid w:val="00BF7EEF"/>
    <w:rsid w:val="00C00218"/>
    <w:rsid w:val="00C0036F"/>
    <w:rsid w:val="00C00407"/>
    <w:rsid w:val="00C00475"/>
    <w:rsid w:val="00C008F5"/>
    <w:rsid w:val="00C0111A"/>
    <w:rsid w:val="00C0112D"/>
    <w:rsid w:val="00C011E9"/>
    <w:rsid w:val="00C016F7"/>
    <w:rsid w:val="00C0195F"/>
    <w:rsid w:val="00C01B74"/>
    <w:rsid w:val="00C01DBB"/>
    <w:rsid w:val="00C02731"/>
    <w:rsid w:val="00C027AA"/>
    <w:rsid w:val="00C02D75"/>
    <w:rsid w:val="00C0351A"/>
    <w:rsid w:val="00C03532"/>
    <w:rsid w:val="00C038B5"/>
    <w:rsid w:val="00C03A52"/>
    <w:rsid w:val="00C03BB5"/>
    <w:rsid w:val="00C04087"/>
    <w:rsid w:val="00C04505"/>
    <w:rsid w:val="00C047AF"/>
    <w:rsid w:val="00C04845"/>
    <w:rsid w:val="00C04A1D"/>
    <w:rsid w:val="00C04C2D"/>
    <w:rsid w:val="00C04DE7"/>
    <w:rsid w:val="00C04EB8"/>
    <w:rsid w:val="00C04EF2"/>
    <w:rsid w:val="00C05107"/>
    <w:rsid w:val="00C051B4"/>
    <w:rsid w:val="00C0523E"/>
    <w:rsid w:val="00C055A5"/>
    <w:rsid w:val="00C05735"/>
    <w:rsid w:val="00C05941"/>
    <w:rsid w:val="00C05A3F"/>
    <w:rsid w:val="00C05FF3"/>
    <w:rsid w:val="00C06023"/>
    <w:rsid w:val="00C063DE"/>
    <w:rsid w:val="00C06412"/>
    <w:rsid w:val="00C0641C"/>
    <w:rsid w:val="00C06469"/>
    <w:rsid w:val="00C06850"/>
    <w:rsid w:val="00C06CEC"/>
    <w:rsid w:val="00C06E4C"/>
    <w:rsid w:val="00C070EE"/>
    <w:rsid w:val="00C072D2"/>
    <w:rsid w:val="00C07831"/>
    <w:rsid w:val="00C07920"/>
    <w:rsid w:val="00C10265"/>
    <w:rsid w:val="00C103E8"/>
    <w:rsid w:val="00C104A6"/>
    <w:rsid w:val="00C108AA"/>
    <w:rsid w:val="00C10CDB"/>
    <w:rsid w:val="00C10DB6"/>
    <w:rsid w:val="00C11578"/>
    <w:rsid w:val="00C11BDB"/>
    <w:rsid w:val="00C1233E"/>
    <w:rsid w:val="00C12AA2"/>
    <w:rsid w:val="00C12DC3"/>
    <w:rsid w:val="00C12E4A"/>
    <w:rsid w:val="00C13435"/>
    <w:rsid w:val="00C13D5C"/>
    <w:rsid w:val="00C13D71"/>
    <w:rsid w:val="00C141DF"/>
    <w:rsid w:val="00C1448D"/>
    <w:rsid w:val="00C14DB3"/>
    <w:rsid w:val="00C14F82"/>
    <w:rsid w:val="00C15181"/>
    <w:rsid w:val="00C153A6"/>
    <w:rsid w:val="00C1555B"/>
    <w:rsid w:val="00C15655"/>
    <w:rsid w:val="00C15983"/>
    <w:rsid w:val="00C15A55"/>
    <w:rsid w:val="00C15D30"/>
    <w:rsid w:val="00C160D8"/>
    <w:rsid w:val="00C1620B"/>
    <w:rsid w:val="00C17269"/>
    <w:rsid w:val="00C1749C"/>
    <w:rsid w:val="00C175FC"/>
    <w:rsid w:val="00C17A63"/>
    <w:rsid w:val="00C20135"/>
    <w:rsid w:val="00C20CB0"/>
    <w:rsid w:val="00C20D26"/>
    <w:rsid w:val="00C20FAA"/>
    <w:rsid w:val="00C221EB"/>
    <w:rsid w:val="00C22213"/>
    <w:rsid w:val="00C2249C"/>
    <w:rsid w:val="00C22C65"/>
    <w:rsid w:val="00C22FE8"/>
    <w:rsid w:val="00C23010"/>
    <w:rsid w:val="00C23443"/>
    <w:rsid w:val="00C23959"/>
    <w:rsid w:val="00C23AED"/>
    <w:rsid w:val="00C23B99"/>
    <w:rsid w:val="00C23C12"/>
    <w:rsid w:val="00C23D11"/>
    <w:rsid w:val="00C241A5"/>
    <w:rsid w:val="00C243BA"/>
    <w:rsid w:val="00C24400"/>
    <w:rsid w:val="00C245F0"/>
    <w:rsid w:val="00C24683"/>
    <w:rsid w:val="00C24A30"/>
    <w:rsid w:val="00C24AA0"/>
    <w:rsid w:val="00C24F18"/>
    <w:rsid w:val="00C252B5"/>
    <w:rsid w:val="00C254CE"/>
    <w:rsid w:val="00C258AE"/>
    <w:rsid w:val="00C25CC5"/>
    <w:rsid w:val="00C25E73"/>
    <w:rsid w:val="00C25FF8"/>
    <w:rsid w:val="00C2656F"/>
    <w:rsid w:val="00C26794"/>
    <w:rsid w:val="00C267A7"/>
    <w:rsid w:val="00C26A65"/>
    <w:rsid w:val="00C277C5"/>
    <w:rsid w:val="00C278D7"/>
    <w:rsid w:val="00C27AFF"/>
    <w:rsid w:val="00C27B36"/>
    <w:rsid w:val="00C27B93"/>
    <w:rsid w:val="00C27BE9"/>
    <w:rsid w:val="00C30478"/>
    <w:rsid w:val="00C30539"/>
    <w:rsid w:val="00C30725"/>
    <w:rsid w:val="00C30969"/>
    <w:rsid w:val="00C30984"/>
    <w:rsid w:val="00C3173B"/>
    <w:rsid w:val="00C31ABB"/>
    <w:rsid w:val="00C31B14"/>
    <w:rsid w:val="00C326A1"/>
    <w:rsid w:val="00C32778"/>
    <w:rsid w:val="00C32828"/>
    <w:rsid w:val="00C32E49"/>
    <w:rsid w:val="00C3377F"/>
    <w:rsid w:val="00C33AC4"/>
    <w:rsid w:val="00C33CE8"/>
    <w:rsid w:val="00C33E92"/>
    <w:rsid w:val="00C34022"/>
    <w:rsid w:val="00C34661"/>
    <w:rsid w:val="00C34A69"/>
    <w:rsid w:val="00C34C33"/>
    <w:rsid w:val="00C35386"/>
    <w:rsid w:val="00C35589"/>
    <w:rsid w:val="00C35657"/>
    <w:rsid w:val="00C35810"/>
    <w:rsid w:val="00C360D2"/>
    <w:rsid w:val="00C361BD"/>
    <w:rsid w:val="00C36333"/>
    <w:rsid w:val="00C36E74"/>
    <w:rsid w:val="00C36E9D"/>
    <w:rsid w:val="00C37528"/>
    <w:rsid w:val="00C37617"/>
    <w:rsid w:val="00C37639"/>
    <w:rsid w:val="00C37840"/>
    <w:rsid w:val="00C378AB"/>
    <w:rsid w:val="00C379A0"/>
    <w:rsid w:val="00C37B9C"/>
    <w:rsid w:val="00C37D64"/>
    <w:rsid w:val="00C37F12"/>
    <w:rsid w:val="00C37F68"/>
    <w:rsid w:val="00C4037A"/>
    <w:rsid w:val="00C40852"/>
    <w:rsid w:val="00C40D8D"/>
    <w:rsid w:val="00C4126A"/>
    <w:rsid w:val="00C41422"/>
    <w:rsid w:val="00C41A3C"/>
    <w:rsid w:val="00C41B30"/>
    <w:rsid w:val="00C41B37"/>
    <w:rsid w:val="00C41D92"/>
    <w:rsid w:val="00C4215C"/>
    <w:rsid w:val="00C42B66"/>
    <w:rsid w:val="00C43A49"/>
    <w:rsid w:val="00C43B7A"/>
    <w:rsid w:val="00C44878"/>
    <w:rsid w:val="00C44CBA"/>
    <w:rsid w:val="00C44F29"/>
    <w:rsid w:val="00C451A0"/>
    <w:rsid w:val="00C4526B"/>
    <w:rsid w:val="00C4571B"/>
    <w:rsid w:val="00C458E1"/>
    <w:rsid w:val="00C459E2"/>
    <w:rsid w:val="00C45B0C"/>
    <w:rsid w:val="00C45BB7"/>
    <w:rsid w:val="00C45EF9"/>
    <w:rsid w:val="00C45FEC"/>
    <w:rsid w:val="00C461EA"/>
    <w:rsid w:val="00C4649B"/>
    <w:rsid w:val="00C464D9"/>
    <w:rsid w:val="00C4650C"/>
    <w:rsid w:val="00C467A2"/>
    <w:rsid w:val="00C469D4"/>
    <w:rsid w:val="00C46C20"/>
    <w:rsid w:val="00C46CD8"/>
    <w:rsid w:val="00C46E4F"/>
    <w:rsid w:val="00C4730F"/>
    <w:rsid w:val="00C47937"/>
    <w:rsid w:val="00C47ECB"/>
    <w:rsid w:val="00C50B0B"/>
    <w:rsid w:val="00C51084"/>
    <w:rsid w:val="00C5122D"/>
    <w:rsid w:val="00C515F9"/>
    <w:rsid w:val="00C5186F"/>
    <w:rsid w:val="00C51AF0"/>
    <w:rsid w:val="00C51C32"/>
    <w:rsid w:val="00C51EFB"/>
    <w:rsid w:val="00C51F79"/>
    <w:rsid w:val="00C51FC9"/>
    <w:rsid w:val="00C521C2"/>
    <w:rsid w:val="00C521F8"/>
    <w:rsid w:val="00C5225C"/>
    <w:rsid w:val="00C525F8"/>
    <w:rsid w:val="00C52631"/>
    <w:rsid w:val="00C528BA"/>
    <w:rsid w:val="00C52E85"/>
    <w:rsid w:val="00C5310D"/>
    <w:rsid w:val="00C5313E"/>
    <w:rsid w:val="00C54323"/>
    <w:rsid w:val="00C54386"/>
    <w:rsid w:val="00C543E9"/>
    <w:rsid w:val="00C544F2"/>
    <w:rsid w:val="00C5458F"/>
    <w:rsid w:val="00C5486D"/>
    <w:rsid w:val="00C54991"/>
    <w:rsid w:val="00C5522F"/>
    <w:rsid w:val="00C55391"/>
    <w:rsid w:val="00C557D2"/>
    <w:rsid w:val="00C55C38"/>
    <w:rsid w:val="00C55CA7"/>
    <w:rsid w:val="00C5640F"/>
    <w:rsid w:val="00C56AD3"/>
    <w:rsid w:val="00C570C9"/>
    <w:rsid w:val="00C5765E"/>
    <w:rsid w:val="00C57717"/>
    <w:rsid w:val="00C57893"/>
    <w:rsid w:val="00C578D8"/>
    <w:rsid w:val="00C57D9B"/>
    <w:rsid w:val="00C57DE5"/>
    <w:rsid w:val="00C60410"/>
    <w:rsid w:val="00C60481"/>
    <w:rsid w:val="00C60C34"/>
    <w:rsid w:val="00C60DBB"/>
    <w:rsid w:val="00C61785"/>
    <w:rsid w:val="00C62225"/>
    <w:rsid w:val="00C627AC"/>
    <w:rsid w:val="00C628FC"/>
    <w:rsid w:val="00C62AFD"/>
    <w:rsid w:val="00C62CC4"/>
    <w:rsid w:val="00C633FE"/>
    <w:rsid w:val="00C635AC"/>
    <w:rsid w:val="00C63719"/>
    <w:rsid w:val="00C63807"/>
    <w:rsid w:val="00C638AA"/>
    <w:rsid w:val="00C6429E"/>
    <w:rsid w:val="00C6444C"/>
    <w:rsid w:val="00C6493C"/>
    <w:rsid w:val="00C64C7B"/>
    <w:rsid w:val="00C64DC3"/>
    <w:rsid w:val="00C64FC3"/>
    <w:rsid w:val="00C65124"/>
    <w:rsid w:val="00C652DD"/>
    <w:rsid w:val="00C653F8"/>
    <w:rsid w:val="00C65BFF"/>
    <w:rsid w:val="00C664B5"/>
    <w:rsid w:val="00C66590"/>
    <w:rsid w:val="00C667DD"/>
    <w:rsid w:val="00C6744C"/>
    <w:rsid w:val="00C67A04"/>
    <w:rsid w:val="00C67AA6"/>
    <w:rsid w:val="00C705AB"/>
    <w:rsid w:val="00C707DE"/>
    <w:rsid w:val="00C70A6C"/>
    <w:rsid w:val="00C70F10"/>
    <w:rsid w:val="00C70F84"/>
    <w:rsid w:val="00C71707"/>
    <w:rsid w:val="00C727F7"/>
    <w:rsid w:val="00C72800"/>
    <w:rsid w:val="00C72BAE"/>
    <w:rsid w:val="00C73724"/>
    <w:rsid w:val="00C73DE1"/>
    <w:rsid w:val="00C73FA5"/>
    <w:rsid w:val="00C747F8"/>
    <w:rsid w:val="00C74947"/>
    <w:rsid w:val="00C74C5B"/>
    <w:rsid w:val="00C74CD9"/>
    <w:rsid w:val="00C74E12"/>
    <w:rsid w:val="00C74E6B"/>
    <w:rsid w:val="00C75306"/>
    <w:rsid w:val="00C75446"/>
    <w:rsid w:val="00C754E7"/>
    <w:rsid w:val="00C756E5"/>
    <w:rsid w:val="00C75BF4"/>
    <w:rsid w:val="00C75CD7"/>
    <w:rsid w:val="00C75FF2"/>
    <w:rsid w:val="00C76172"/>
    <w:rsid w:val="00C7627B"/>
    <w:rsid w:val="00C764A4"/>
    <w:rsid w:val="00C76705"/>
    <w:rsid w:val="00C76944"/>
    <w:rsid w:val="00C76A4C"/>
    <w:rsid w:val="00C76C38"/>
    <w:rsid w:val="00C76EBD"/>
    <w:rsid w:val="00C76F11"/>
    <w:rsid w:val="00C7712A"/>
    <w:rsid w:val="00C77239"/>
    <w:rsid w:val="00C77440"/>
    <w:rsid w:val="00C775E2"/>
    <w:rsid w:val="00C7793C"/>
    <w:rsid w:val="00C77961"/>
    <w:rsid w:val="00C779A7"/>
    <w:rsid w:val="00C77F37"/>
    <w:rsid w:val="00C80367"/>
    <w:rsid w:val="00C803FB"/>
    <w:rsid w:val="00C80610"/>
    <w:rsid w:val="00C807A6"/>
    <w:rsid w:val="00C80A6A"/>
    <w:rsid w:val="00C80A86"/>
    <w:rsid w:val="00C80E2E"/>
    <w:rsid w:val="00C81020"/>
    <w:rsid w:val="00C8114A"/>
    <w:rsid w:val="00C81161"/>
    <w:rsid w:val="00C81992"/>
    <w:rsid w:val="00C81BD6"/>
    <w:rsid w:val="00C8209B"/>
    <w:rsid w:val="00C82214"/>
    <w:rsid w:val="00C8236F"/>
    <w:rsid w:val="00C82422"/>
    <w:rsid w:val="00C825A2"/>
    <w:rsid w:val="00C825E6"/>
    <w:rsid w:val="00C82908"/>
    <w:rsid w:val="00C82B47"/>
    <w:rsid w:val="00C82E37"/>
    <w:rsid w:val="00C82E75"/>
    <w:rsid w:val="00C82F6D"/>
    <w:rsid w:val="00C8339C"/>
    <w:rsid w:val="00C8360E"/>
    <w:rsid w:val="00C83753"/>
    <w:rsid w:val="00C83BE7"/>
    <w:rsid w:val="00C84589"/>
    <w:rsid w:val="00C8492B"/>
    <w:rsid w:val="00C84B12"/>
    <w:rsid w:val="00C84B3E"/>
    <w:rsid w:val="00C84B64"/>
    <w:rsid w:val="00C84C6D"/>
    <w:rsid w:val="00C85818"/>
    <w:rsid w:val="00C8584E"/>
    <w:rsid w:val="00C85943"/>
    <w:rsid w:val="00C86216"/>
    <w:rsid w:val="00C86A75"/>
    <w:rsid w:val="00C873B5"/>
    <w:rsid w:val="00C879FA"/>
    <w:rsid w:val="00C87A87"/>
    <w:rsid w:val="00C87BE2"/>
    <w:rsid w:val="00C87E68"/>
    <w:rsid w:val="00C900E9"/>
    <w:rsid w:val="00C9027C"/>
    <w:rsid w:val="00C905CE"/>
    <w:rsid w:val="00C90730"/>
    <w:rsid w:val="00C907A5"/>
    <w:rsid w:val="00C90A4C"/>
    <w:rsid w:val="00C91091"/>
    <w:rsid w:val="00C911A5"/>
    <w:rsid w:val="00C912CA"/>
    <w:rsid w:val="00C922F2"/>
    <w:rsid w:val="00C92AEA"/>
    <w:rsid w:val="00C92B23"/>
    <w:rsid w:val="00C92C5B"/>
    <w:rsid w:val="00C92DF3"/>
    <w:rsid w:val="00C9389B"/>
    <w:rsid w:val="00C9402C"/>
    <w:rsid w:val="00C943F7"/>
    <w:rsid w:val="00C9445D"/>
    <w:rsid w:val="00C94544"/>
    <w:rsid w:val="00C94722"/>
    <w:rsid w:val="00C94785"/>
    <w:rsid w:val="00C9491D"/>
    <w:rsid w:val="00C94B5D"/>
    <w:rsid w:val="00C94D20"/>
    <w:rsid w:val="00C94FAB"/>
    <w:rsid w:val="00C956CD"/>
    <w:rsid w:val="00C957DB"/>
    <w:rsid w:val="00C957E4"/>
    <w:rsid w:val="00C95979"/>
    <w:rsid w:val="00C95B16"/>
    <w:rsid w:val="00C95CC6"/>
    <w:rsid w:val="00C95D57"/>
    <w:rsid w:val="00C96379"/>
    <w:rsid w:val="00C965D5"/>
    <w:rsid w:val="00C9665E"/>
    <w:rsid w:val="00C9672C"/>
    <w:rsid w:val="00C968B4"/>
    <w:rsid w:val="00C9698E"/>
    <w:rsid w:val="00C969A3"/>
    <w:rsid w:val="00C96AB6"/>
    <w:rsid w:val="00C96EEF"/>
    <w:rsid w:val="00C976D8"/>
    <w:rsid w:val="00C9781F"/>
    <w:rsid w:val="00C9784E"/>
    <w:rsid w:val="00C97946"/>
    <w:rsid w:val="00C97B5F"/>
    <w:rsid w:val="00C97C7A"/>
    <w:rsid w:val="00C97DF8"/>
    <w:rsid w:val="00C97F55"/>
    <w:rsid w:val="00CA011F"/>
    <w:rsid w:val="00CA05BC"/>
    <w:rsid w:val="00CA0690"/>
    <w:rsid w:val="00CA0C32"/>
    <w:rsid w:val="00CA105A"/>
    <w:rsid w:val="00CA1659"/>
    <w:rsid w:val="00CA1A81"/>
    <w:rsid w:val="00CA20AD"/>
    <w:rsid w:val="00CA221A"/>
    <w:rsid w:val="00CA24B5"/>
    <w:rsid w:val="00CA24C7"/>
    <w:rsid w:val="00CA263A"/>
    <w:rsid w:val="00CA2939"/>
    <w:rsid w:val="00CA29F5"/>
    <w:rsid w:val="00CA2F99"/>
    <w:rsid w:val="00CA2FE6"/>
    <w:rsid w:val="00CA310B"/>
    <w:rsid w:val="00CA318B"/>
    <w:rsid w:val="00CA3396"/>
    <w:rsid w:val="00CA33B1"/>
    <w:rsid w:val="00CA33BC"/>
    <w:rsid w:val="00CA37D3"/>
    <w:rsid w:val="00CA3CD0"/>
    <w:rsid w:val="00CA3DA4"/>
    <w:rsid w:val="00CA3DA9"/>
    <w:rsid w:val="00CA3F1D"/>
    <w:rsid w:val="00CA42AE"/>
    <w:rsid w:val="00CA46F9"/>
    <w:rsid w:val="00CA478D"/>
    <w:rsid w:val="00CA4B22"/>
    <w:rsid w:val="00CA4E80"/>
    <w:rsid w:val="00CA4FE4"/>
    <w:rsid w:val="00CA577E"/>
    <w:rsid w:val="00CA5839"/>
    <w:rsid w:val="00CA59A0"/>
    <w:rsid w:val="00CA5E12"/>
    <w:rsid w:val="00CA606D"/>
    <w:rsid w:val="00CA6899"/>
    <w:rsid w:val="00CA6E3E"/>
    <w:rsid w:val="00CA722D"/>
    <w:rsid w:val="00CA76A0"/>
    <w:rsid w:val="00CA7C3D"/>
    <w:rsid w:val="00CA7EEA"/>
    <w:rsid w:val="00CB0360"/>
    <w:rsid w:val="00CB03A9"/>
    <w:rsid w:val="00CB0903"/>
    <w:rsid w:val="00CB09FA"/>
    <w:rsid w:val="00CB0BFA"/>
    <w:rsid w:val="00CB0CE7"/>
    <w:rsid w:val="00CB0D32"/>
    <w:rsid w:val="00CB1164"/>
    <w:rsid w:val="00CB1323"/>
    <w:rsid w:val="00CB16AD"/>
    <w:rsid w:val="00CB1F82"/>
    <w:rsid w:val="00CB2925"/>
    <w:rsid w:val="00CB2DB4"/>
    <w:rsid w:val="00CB2F7F"/>
    <w:rsid w:val="00CB3869"/>
    <w:rsid w:val="00CB3D1F"/>
    <w:rsid w:val="00CB3DAC"/>
    <w:rsid w:val="00CB418F"/>
    <w:rsid w:val="00CB4458"/>
    <w:rsid w:val="00CB445A"/>
    <w:rsid w:val="00CB4494"/>
    <w:rsid w:val="00CB5926"/>
    <w:rsid w:val="00CB5EE8"/>
    <w:rsid w:val="00CB6208"/>
    <w:rsid w:val="00CB6509"/>
    <w:rsid w:val="00CB6B60"/>
    <w:rsid w:val="00CB6BC5"/>
    <w:rsid w:val="00CB6CE0"/>
    <w:rsid w:val="00CB6F66"/>
    <w:rsid w:val="00CB7013"/>
    <w:rsid w:val="00CB75AA"/>
    <w:rsid w:val="00CB7A42"/>
    <w:rsid w:val="00CB7FEC"/>
    <w:rsid w:val="00CC041C"/>
    <w:rsid w:val="00CC0606"/>
    <w:rsid w:val="00CC07BE"/>
    <w:rsid w:val="00CC0BFA"/>
    <w:rsid w:val="00CC0C7D"/>
    <w:rsid w:val="00CC0E5D"/>
    <w:rsid w:val="00CC0FDF"/>
    <w:rsid w:val="00CC106B"/>
    <w:rsid w:val="00CC1190"/>
    <w:rsid w:val="00CC11C6"/>
    <w:rsid w:val="00CC1259"/>
    <w:rsid w:val="00CC1BA6"/>
    <w:rsid w:val="00CC1BE7"/>
    <w:rsid w:val="00CC1E4E"/>
    <w:rsid w:val="00CC228A"/>
    <w:rsid w:val="00CC25AA"/>
    <w:rsid w:val="00CC25E0"/>
    <w:rsid w:val="00CC2800"/>
    <w:rsid w:val="00CC2928"/>
    <w:rsid w:val="00CC2B57"/>
    <w:rsid w:val="00CC2E17"/>
    <w:rsid w:val="00CC2FB2"/>
    <w:rsid w:val="00CC325A"/>
    <w:rsid w:val="00CC362F"/>
    <w:rsid w:val="00CC37AF"/>
    <w:rsid w:val="00CC3942"/>
    <w:rsid w:val="00CC3AE4"/>
    <w:rsid w:val="00CC3C03"/>
    <w:rsid w:val="00CC3E04"/>
    <w:rsid w:val="00CC3E99"/>
    <w:rsid w:val="00CC3F72"/>
    <w:rsid w:val="00CC43E6"/>
    <w:rsid w:val="00CC4791"/>
    <w:rsid w:val="00CC4DE9"/>
    <w:rsid w:val="00CC4E74"/>
    <w:rsid w:val="00CC52BE"/>
    <w:rsid w:val="00CC578E"/>
    <w:rsid w:val="00CC5BD6"/>
    <w:rsid w:val="00CC5FCD"/>
    <w:rsid w:val="00CC661D"/>
    <w:rsid w:val="00CC6C51"/>
    <w:rsid w:val="00CC72FB"/>
    <w:rsid w:val="00CC7386"/>
    <w:rsid w:val="00CC768E"/>
    <w:rsid w:val="00CC7830"/>
    <w:rsid w:val="00CC7C41"/>
    <w:rsid w:val="00CC7E7D"/>
    <w:rsid w:val="00CD01BF"/>
    <w:rsid w:val="00CD07F5"/>
    <w:rsid w:val="00CD081F"/>
    <w:rsid w:val="00CD088D"/>
    <w:rsid w:val="00CD0CBE"/>
    <w:rsid w:val="00CD0D3D"/>
    <w:rsid w:val="00CD0F95"/>
    <w:rsid w:val="00CD107C"/>
    <w:rsid w:val="00CD11EA"/>
    <w:rsid w:val="00CD2043"/>
    <w:rsid w:val="00CD21F9"/>
    <w:rsid w:val="00CD2482"/>
    <w:rsid w:val="00CD2C93"/>
    <w:rsid w:val="00CD3004"/>
    <w:rsid w:val="00CD30AE"/>
    <w:rsid w:val="00CD334C"/>
    <w:rsid w:val="00CD3534"/>
    <w:rsid w:val="00CD3592"/>
    <w:rsid w:val="00CD39B3"/>
    <w:rsid w:val="00CD3B5D"/>
    <w:rsid w:val="00CD3D53"/>
    <w:rsid w:val="00CD40B3"/>
    <w:rsid w:val="00CD453F"/>
    <w:rsid w:val="00CD4B86"/>
    <w:rsid w:val="00CD4EE3"/>
    <w:rsid w:val="00CD527D"/>
    <w:rsid w:val="00CD5649"/>
    <w:rsid w:val="00CD578B"/>
    <w:rsid w:val="00CD5BBC"/>
    <w:rsid w:val="00CD5F49"/>
    <w:rsid w:val="00CD6051"/>
    <w:rsid w:val="00CD60F0"/>
    <w:rsid w:val="00CD61C9"/>
    <w:rsid w:val="00CD69FA"/>
    <w:rsid w:val="00CD6A31"/>
    <w:rsid w:val="00CD6D54"/>
    <w:rsid w:val="00CD71A9"/>
    <w:rsid w:val="00CD7344"/>
    <w:rsid w:val="00CD75B1"/>
    <w:rsid w:val="00CD791A"/>
    <w:rsid w:val="00CD7F02"/>
    <w:rsid w:val="00CE011D"/>
    <w:rsid w:val="00CE0157"/>
    <w:rsid w:val="00CE06E9"/>
    <w:rsid w:val="00CE09BE"/>
    <w:rsid w:val="00CE0D5A"/>
    <w:rsid w:val="00CE0DC9"/>
    <w:rsid w:val="00CE0E97"/>
    <w:rsid w:val="00CE0FE1"/>
    <w:rsid w:val="00CE11F2"/>
    <w:rsid w:val="00CE1269"/>
    <w:rsid w:val="00CE13DB"/>
    <w:rsid w:val="00CE14F8"/>
    <w:rsid w:val="00CE1880"/>
    <w:rsid w:val="00CE1A0B"/>
    <w:rsid w:val="00CE1BDB"/>
    <w:rsid w:val="00CE1FFB"/>
    <w:rsid w:val="00CE2FA8"/>
    <w:rsid w:val="00CE36FE"/>
    <w:rsid w:val="00CE37C1"/>
    <w:rsid w:val="00CE3819"/>
    <w:rsid w:val="00CE401E"/>
    <w:rsid w:val="00CE4126"/>
    <w:rsid w:val="00CE419C"/>
    <w:rsid w:val="00CE4512"/>
    <w:rsid w:val="00CE4A73"/>
    <w:rsid w:val="00CE4A7B"/>
    <w:rsid w:val="00CE547F"/>
    <w:rsid w:val="00CE5645"/>
    <w:rsid w:val="00CE5C6E"/>
    <w:rsid w:val="00CE5CFD"/>
    <w:rsid w:val="00CE5EC9"/>
    <w:rsid w:val="00CE600D"/>
    <w:rsid w:val="00CE6083"/>
    <w:rsid w:val="00CE6099"/>
    <w:rsid w:val="00CE6103"/>
    <w:rsid w:val="00CE627B"/>
    <w:rsid w:val="00CE6306"/>
    <w:rsid w:val="00CE68B8"/>
    <w:rsid w:val="00CE6C65"/>
    <w:rsid w:val="00CE702A"/>
    <w:rsid w:val="00CE709D"/>
    <w:rsid w:val="00CE7645"/>
    <w:rsid w:val="00CE7929"/>
    <w:rsid w:val="00CE7BC3"/>
    <w:rsid w:val="00CE7C8C"/>
    <w:rsid w:val="00CE7EC7"/>
    <w:rsid w:val="00CF07F2"/>
    <w:rsid w:val="00CF0982"/>
    <w:rsid w:val="00CF1556"/>
    <w:rsid w:val="00CF17B9"/>
    <w:rsid w:val="00CF2110"/>
    <w:rsid w:val="00CF22C8"/>
    <w:rsid w:val="00CF24EE"/>
    <w:rsid w:val="00CF25EE"/>
    <w:rsid w:val="00CF296D"/>
    <w:rsid w:val="00CF2D5C"/>
    <w:rsid w:val="00CF3183"/>
    <w:rsid w:val="00CF324E"/>
    <w:rsid w:val="00CF363C"/>
    <w:rsid w:val="00CF3686"/>
    <w:rsid w:val="00CF45D9"/>
    <w:rsid w:val="00CF479A"/>
    <w:rsid w:val="00CF4995"/>
    <w:rsid w:val="00CF4C36"/>
    <w:rsid w:val="00CF4D18"/>
    <w:rsid w:val="00CF4ED8"/>
    <w:rsid w:val="00CF4F04"/>
    <w:rsid w:val="00CF4F2B"/>
    <w:rsid w:val="00CF5298"/>
    <w:rsid w:val="00CF54CC"/>
    <w:rsid w:val="00CF5ACA"/>
    <w:rsid w:val="00CF5E66"/>
    <w:rsid w:val="00CF636E"/>
    <w:rsid w:val="00CF657E"/>
    <w:rsid w:val="00CF66EB"/>
    <w:rsid w:val="00CF69C8"/>
    <w:rsid w:val="00CF6A5F"/>
    <w:rsid w:val="00CF6D41"/>
    <w:rsid w:val="00CF6DCC"/>
    <w:rsid w:val="00CF71BC"/>
    <w:rsid w:val="00CF744A"/>
    <w:rsid w:val="00CF754A"/>
    <w:rsid w:val="00CF7717"/>
    <w:rsid w:val="00CF7978"/>
    <w:rsid w:val="00CF7BC2"/>
    <w:rsid w:val="00D003CC"/>
    <w:rsid w:val="00D0081E"/>
    <w:rsid w:val="00D00C96"/>
    <w:rsid w:val="00D00EBE"/>
    <w:rsid w:val="00D00FCD"/>
    <w:rsid w:val="00D0101E"/>
    <w:rsid w:val="00D0128E"/>
    <w:rsid w:val="00D0135C"/>
    <w:rsid w:val="00D01592"/>
    <w:rsid w:val="00D0177B"/>
    <w:rsid w:val="00D01BAC"/>
    <w:rsid w:val="00D01CB3"/>
    <w:rsid w:val="00D02BAB"/>
    <w:rsid w:val="00D02D33"/>
    <w:rsid w:val="00D02E1B"/>
    <w:rsid w:val="00D031E6"/>
    <w:rsid w:val="00D034F3"/>
    <w:rsid w:val="00D0363A"/>
    <w:rsid w:val="00D0373E"/>
    <w:rsid w:val="00D041F5"/>
    <w:rsid w:val="00D0431E"/>
    <w:rsid w:val="00D043C3"/>
    <w:rsid w:val="00D04429"/>
    <w:rsid w:val="00D0472B"/>
    <w:rsid w:val="00D047C4"/>
    <w:rsid w:val="00D04BAF"/>
    <w:rsid w:val="00D04F87"/>
    <w:rsid w:val="00D0560A"/>
    <w:rsid w:val="00D05A03"/>
    <w:rsid w:val="00D05A7A"/>
    <w:rsid w:val="00D0624A"/>
    <w:rsid w:val="00D066C7"/>
    <w:rsid w:val="00D06D1E"/>
    <w:rsid w:val="00D077E4"/>
    <w:rsid w:val="00D07CDD"/>
    <w:rsid w:val="00D07DC1"/>
    <w:rsid w:val="00D10255"/>
    <w:rsid w:val="00D103B8"/>
    <w:rsid w:val="00D10CD8"/>
    <w:rsid w:val="00D11371"/>
    <w:rsid w:val="00D113EA"/>
    <w:rsid w:val="00D11613"/>
    <w:rsid w:val="00D116F0"/>
    <w:rsid w:val="00D118DD"/>
    <w:rsid w:val="00D11A4B"/>
    <w:rsid w:val="00D11B48"/>
    <w:rsid w:val="00D11F18"/>
    <w:rsid w:val="00D12F97"/>
    <w:rsid w:val="00D130BA"/>
    <w:rsid w:val="00D13114"/>
    <w:rsid w:val="00D13167"/>
    <w:rsid w:val="00D131EE"/>
    <w:rsid w:val="00D13291"/>
    <w:rsid w:val="00D13469"/>
    <w:rsid w:val="00D135D4"/>
    <w:rsid w:val="00D1398B"/>
    <w:rsid w:val="00D13ABB"/>
    <w:rsid w:val="00D13BCF"/>
    <w:rsid w:val="00D13EBC"/>
    <w:rsid w:val="00D1416A"/>
    <w:rsid w:val="00D14195"/>
    <w:rsid w:val="00D14280"/>
    <w:rsid w:val="00D14479"/>
    <w:rsid w:val="00D14D98"/>
    <w:rsid w:val="00D14FEC"/>
    <w:rsid w:val="00D15174"/>
    <w:rsid w:val="00D1564E"/>
    <w:rsid w:val="00D159CF"/>
    <w:rsid w:val="00D159D2"/>
    <w:rsid w:val="00D15BD7"/>
    <w:rsid w:val="00D15F8C"/>
    <w:rsid w:val="00D16671"/>
    <w:rsid w:val="00D16BC3"/>
    <w:rsid w:val="00D16DBB"/>
    <w:rsid w:val="00D16E6D"/>
    <w:rsid w:val="00D16E7A"/>
    <w:rsid w:val="00D16EF1"/>
    <w:rsid w:val="00D17004"/>
    <w:rsid w:val="00D172D0"/>
    <w:rsid w:val="00D17B4B"/>
    <w:rsid w:val="00D17E08"/>
    <w:rsid w:val="00D17F45"/>
    <w:rsid w:val="00D202DE"/>
    <w:rsid w:val="00D204B1"/>
    <w:rsid w:val="00D20676"/>
    <w:rsid w:val="00D207A8"/>
    <w:rsid w:val="00D207EA"/>
    <w:rsid w:val="00D209F0"/>
    <w:rsid w:val="00D20E0D"/>
    <w:rsid w:val="00D215CC"/>
    <w:rsid w:val="00D21735"/>
    <w:rsid w:val="00D21A9E"/>
    <w:rsid w:val="00D22A8C"/>
    <w:rsid w:val="00D22C45"/>
    <w:rsid w:val="00D22D25"/>
    <w:rsid w:val="00D2342D"/>
    <w:rsid w:val="00D2345A"/>
    <w:rsid w:val="00D2370B"/>
    <w:rsid w:val="00D2374E"/>
    <w:rsid w:val="00D23894"/>
    <w:rsid w:val="00D23921"/>
    <w:rsid w:val="00D2424C"/>
    <w:rsid w:val="00D2525E"/>
    <w:rsid w:val="00D2542F"/>
    <w:rsid w:val="00D25724"/>
    <w:rsid w:val="00D25A8A"/>
    <w:rsid w:val="00D25AE4"/>
    <w:rsid w:val="00D2678B"/>
    <w:rsid w:val="00D268DA"/>
    <w:rsid w:val="00D268F3"/>
    <w:rsid w:val="00D26A13"/>
    <w:rsid w:val="00D26B43"/>
    <w:rsid w:val="00D26DCE"/>
    <w:rsid w:val="00D27166"/>
    <w:rsid w:val="00D271D3"/>
    <w:rsid w:val="00D271EA"/>
    <w:rsid w:val="00D273A8"/>
    <w:rsid w:val="00D277F8"/>
    <w:rsid w:val="00D279B1"/>
    <w:rsid w:val="00D30628"/>
    <w:rsid w:val="00D306B7"/>
    <w:rsid w:val="00D3075C"/>
    <w:rsid w:val="00D30E3D"/>
    <w:rsid w:val="00D30F82"/>
    <w:rsid w:val="00D30FE2"/>
    <w:rsid w:val="00D3144C"/>
    <w:rsid w:val="00D31918"/>
    <w:rsid w:val="00D319B1"/>
    <w:rsid w:val="00D31CA7"/>
    <w:rsid w:val="00D31F40"/>
    <w:rsid w:val="00D3218F"/>
    <w:rsid w:val="00D325C3"/>
    <w:rsid w:val="00D32706"/>
    <w:rsid w:val="00D327E5"/>
    <w:rsid w:val="00D3281E"/>
    <w:rsid w:val="00D328CB"/>
    <w:rsid w:val="00D32D5E"/>
    <w:rsid w:val="00D32D87"/>
    <w:rsid w:val="00D32F59"/>
    <w:rsid w:val="00D3304A"/>
    <w:rsid w:val="00D33397"/>
    <w:rsid w:val="00D3405F"/>
    <w:rsid w:val="00D3456D"/>
    <w:rsid w:val="00D3486C"/>
    <w:rsid w:val="00D34B34"/>
    <w:rsid w:val="00D34E94"/>
    <w:rsid w:val="00D351C5"/>
    <w:rsid w:val="00D3583E"/>
    <w:rsid w:val="00D35BD0"/>
    <w:rsid w:val="00D35D32"/>
    <w:rsid w:val="00D35E58"/>
    <w:rsid w:val="00D35F72"/>
    <w:rsid w:val="00D3632D"/>
    <w:rsid w:val="00D364CB"/>
    <w:rsid w:val="00D36707"/>
    <w:rsid w:val="00D36A89"/>
    <w:rsid w:val="00D36E94"/>
    <w:rsid w:val="00D370B2"/>
    <w:rsid w:val="00D3738F"/>
    <w:rsid w:val="00D37855"/>
    <w:rsid w:val="00D37DCD"/>
    <w:rsid w:val="00D40256"/>
    <w:rsid w:val="00D40336"/>
    <w:rsid w:val="00D411EA"/>
    <w:rsid w:val="00D41C9E"/>
    <w:rsid w:val="00D4236E"/>
    <w:rsid w:val="00D424CA"/>
    <w:rsid w:val="00D42574"/>
    <w:rsid w:val="00D42709"/>
    <w:rsid w:val="00D428E4"/>
    <w:rsid w:val="00D42A30"/>
    <w:rsid w:val="00D42C5F"/>
    <w:rsid w:val="00D43727"/>
    <w:rsid w:val="00D43C10"/>
    <w:rsid w:val="00D43FD3"/>
    <w:rsid w:val="00D440BB"/>
    <w:rsid w:val="00D44288"/>
    <w:rsid w:val="00D44A58"/>
    <w:rsid w:val="00D44BDA"/>
    <w:rsid w:val="00D4503F"/>
    <w:rsid w:val="00D451A9"/>
    <w:rsid w:val="00D45213"/>
    <w:rsid w:val="00D4571B"/>
    <w:rsid w:val="00D460C2"/>
    <w:rsid w:val="00D460FC"/>
    <w:rsid w:val="00D46268"/>
    <w:rsid w:val="00D46356"/>
    <w:rsid w:val="00D46A0A"/>
    <w:rsid w:val="00D46A93"/>
    <w:rsid w:val="00D47145"/>
    <w:rsid w:val="00D471E8"/>
    <w:rsid w:val="00D47323"/>
    <w:rsid w:val="00D474B3"/>
    <w:rsid w:val="00D476D5"/>
    <w:rsid w:val="00D47B3A"/>
    <w:rsid w:val="00D47DB8"/>
    <w:rsid w:val="00D47F30"/>
    <w:rsid w:val="00D5021D"/>
    <w:rsid w:val="00D5034D"/>
    <w:rsid w:val="00D50546"/>
    <w:rsid w:val="00D50678"/>
    <w:rsid w:val="00D5085D"/>
    <w:rsid w:val="00D50A46"/>
    <w:rsid w:val="00D50D66"/>
    <w:rsid w:val="00D50DC4"/>
    <w:rsid w:val="00D513BB"/>
    <w:rsid w:val="00D5163E"/>
    <w:rsid w:val="00D5166F"/>
    <w:rsid w:val="00D5180A"/>
    <w:rsid w:val="00D51E20"/>
    <w:rsid w:val="00D51E42"/>
    <w:rsid w:val="00D52722"/>
    <w:rsid w:val="00D5279B"/>
    <w:rsid w:val="00D52A64"/>
    <w:rsid w:val="00D52C71"/>
    <w:rsid w:val="00D530BD"/>
    <w:rsid w:val="00D53311"/>
    <w:rsid w:val="00D53578"/>
    <w:rsid w:val="00D53957"/>
    <w:rsid w:val="00D5398B"/>
    <w:rsid w:val="00D53D09"/>
    <w:rsid w:val="00D53D3F"/>
    <w:rsid w:val="00D5485D"/>
    <w:rsid w:val="00D5489C"/>
    <w:rsid w:val="00D54AD7"/>
    <w:rsid w:val="00D5542F"/>
    <w:rsid w:val="00D555C1"/>
    <w:rsid w:val="00D557E7"/>
    <w:rsid w:val="00D55AF6"/>
    <w:rsid w:val="00D55B47"/>
    <w:rsid w:val="00D55EFD"/>
    <w:rsid w:val="00D5602E"/>
    <w:rsid w:val="00D56AD7"/>
    <w:rsid w:val="00D56CF1"/>
    <w:rsid w:val="00D56FD6"/>
    <w:rsid w:val="00D57613"/>
    <w:rsid w:val="00D578C6"/>
    <w:rsid w:val="00D6002F"/>
    <w:rsid w:val="00D602CA"/>
    <w:rsid w:val="00D604E8"/>
    <w:rsid w:val="00D6074F"/>
    <w:rsid w:val="00D60AE2"/>
    <w:rsid w:val="00D60D31"/>
    <w:rsid w:val="00D60DB5"/>
    <w:rsid w:val="00D60E6A"/>
    <w:rsid w:val="00D61698"/>
    <w:rsid w:val="00D61953"/>
    <w:rsid w:val="00D61A63"/>
    <w:rsid w:val="00D62689"/>
    <w:rsid w:val="00D62B5B"/>
    <w:rsid w:val="00D62D18"/>
    <w:rsid w:val="00D630B7"/>
    <w:rsid w:val="00D6320F"/>
    <w:rsid w:val="00D6326C"/>
    <w:rsid w:val="00D633C9"/>
    <w:rsid w:val="00D6369A"/>
    <w:rsid w:val="00D6385A"/>
    <w:rsid w:val="00D6399D"/>
    <w:rsid w:val="00D6411A"/>
    <w:rsid w:val="00D64C7E"/>
    <w:rsid w:val="00D6525F"/>
    <w:rsid w:val="00D65289"/>
    <w:rsid w:val="00D657B5"/>
    <w:rsid w:val="00D65C80"/>
    <w:rsid w:val="00D65F97"/>
    <w:rsid w:val="00D66133"/>
    <w:rsid w:val="00D6617A"/>
    <w:rsid w:val="00D66220"/>
    <w:rsid w:val="00D66452"/>
    <w:rsid w:val="00D66970"/>
    <w:rsid w:val="00D66A18"/>
    <w:rsid w:val="00D66B1B"/>
    <w:rsid w:val="00D66B5C"/>
    <w:rsid w:val="00D66B99"/>
    <w:rsid w:val="00D66F95"/>
    <w:rsid w:val="00D67151"/>
    <w:rsid w:val="00D675D1"/>
    <w:rsid w:val="00D677EA"/>
    <w:rsid w:val="00D67914"/>
    <w:rsid w:val="00D67D69"/>
    <w:rsid w:val="00D67F91"/>
    <w:rsid w:val="00D70159"/>
    <w:rsid w:val="00D70181"/>
    <w:rsid w:val="00D705F1"/>
    <w:rsid w:val="00D70AF5"/>
    <w:rsid w:val="00D70BD5"/>
    <w:rsid w:val="00D71814"/>
    <w:rsid w:val="00D71AAF"/>
    <w:rsid w:val="00D71B60"/>
    <w:rsid w:val="00D71C9B"/>
    <w:rsid w:val="00D71FE5"/>
    <w:rsid w:val="00D72502"/>
    <w:rsid w:val="00D727BD"/>
    <w:rsid w:val="00D731FA"/>
    <w:rsid w:val="00D737F4"/>
    <w:rsid w:val="00D73B37"/>
    <w:rsid w:val="00D73B5C"/>
    <w:rsid w:val="00D73CD5"/>
    <w:rsid w:val="00D7428D"/>
    <w:rsid w:val="00D7433F"/>
    <w:rsid w:val="00D74419"/>
    <w:rsid w:val="00D74431"/>
    <w:rsid w:val="00D753BD"/>
    <w:rsid w:val="00D754D5"/>
    <w:rsid w:val="00D757FD"/>
    <w:rsid w:val="00D75C0E"/>
    <w:rsid w:val="00D75E09"/>
    <w:rsid w:val="00D75E88"/>
    <w:rsid w:val="00D7602A"/>
    <w:rsid w:val="00D760D9"/>
    <w:rsid w:val="00D7611B"/>
    <w:rsid w:val="00D76A43"/>
    <w:rsid w:val="00D76C0E"/>
    <w:rsid w:val="00D76CF9"/>
    <w:rsid w:val="00D76E24"/>
    <w:rsid w:val="00D76F42"/>
    <w:rsid w:val="00D776E7"/>
    <w:rsid w:val="00D77708"/>
    <w:rsid w:val="00D80003"/>
    <w:rsid w:val="00D802BF"/>
    <w:rsid w:val="00D805BA"/>
    <w:rsid w:val="00D80645"/>
    <w:rsid w:val="00D8081B"/>
    <w:rsid w:val="00D8095A"/>
    <w:rsid w:val="00D80DC1"/>
    <w:rsid w:val="00D8115F"/>
    <w:rsid w:val="00D811D7"/>
    <w:rsid w:val="00D812D5"/>
    <w:rsid w:val="00D813E4"/>
    <w:rsid w:val="00D81532"/>
    <w:rsid w:val="00D817DB"/>
    <w:rsid w:val="00D8190F"/>
    <w:rsid w:val="00D81F4F"/>
    <w:rsid w:val="00D82013"/>
    <w:rsid w:val="00D82CDF"/>
    <w:rsid w:val="00D83426"/>
    <w:rsid w:val="00D8368E"/>
    <w:rsid w:val="00D8395E"/>
    <w:rsid w:val="00D839C4"/>
    <w:rsid w:val="00D83FF5"/>
    <w:rsid w:val="00D841A8"/>
    <w:rsid w:val="00D8425D"/>
    <w:rsid w:val="00D84E77"/>
    <w:rsid w:val="00D85AA5"/>
    <w:rsid w:val="00D85B86"/>
    <w:rsid w:val="00D85FAF"/>
    <w:rsid w:val="00D86296"/>
    <w:rsid w:val="00D86482"/>
    <w:rsid w:val="00D864A8"/>
    <w:rsid w:val="00D8663D"/>
    <w:rsid w:val="00D86A4B"/>
    <w:rsid w:val="00D87417"/>
    <w:rsid w:val="00D87697"/>
    <w:rsid w:val="00D900B8"/>
    <w:rsid w:val="00D9011D"/>
    <w:rsid w:val="00D9014C"/>
    <w:rsid w:val="00D90243"/>
    <w:rsid w:val="00D90381"/>
    <w:rsid w:val="00D908DC"/>
    <w:rsid w:val="00D90D63"/>
    <w:rsid w:val="00D91829"/>
    <w:rsid w:val="00D91831"/>
    <w:rsid w:val="00D91C12"/>
    <w:rsid w:val="00D92420"/>
    <w:rsid w:val="00D9246E"/>
    <w:rsid w:val="00D9252B"/>
    <w:rsid w:val="00D92E0F"/>
    <w:rsid w:val="00D93283"/>
    <w:rsid w:val="00D93447"/>
    <w:rsid w:val="00D93B1F"/>
    <w:rsid w:val="00D9427F"/>
    <w:rsid w:val="00D9461D"/>
    <w:rsid w:val="00D94799"/>
    <w:rsid w:val="00D94A33"/>
    <w:rsid w:val="00D953B4"/>
    <w:rsid w:val="00D957A9"/>
    <w:rsid w:val="00D960E0"/>
    <w:rsid w:val="00D96637"/>
    <w:rsid w:val="00D96D63"/>
    <w:rsid w:val="00D96E52"/>
    <w:rsid w:val="00D97380"/>
    <w:rsid w:val="00D97636"/>
    <w:rsid w:val="00D9791F"/>
    <w:rsid w:val="00DA0108"/>
    <w:rsid w:val="00DA03E8"/>
    <w:rsid w:val="00DA0715"/>
    <w:rsid w:val="00DA0F8A"/>
    <w:rsid w:val="00DA13E0"/>
    <w:rsid w:val="00DA1537"/>
    <w:rsid w:val="00DA1DEB"/>
    <w:rsid w:val="00DA2119"/>
    <w:rsid w:val="00DA233F"/>
    <w:rsid w:val="00DA2901"/>
    <w:rsid w:val="00DA2C81"/>
    <w:rsid w:val="00DA2E0A"/>
    <w:rsid w:val="00DA32A6"/>
    <w:rsid w:val="00DA3958"/>
    <w:rsid w:val="00DA479D"/>
    <w:rsid w:val="00DA4A2A"/>
    <w:rsid w:val="00DA4A6B"/>
    <w:rsid w:val="00DA4C25"/>
    <w:rsid w:val="00DA4DB6"/>
    <w:rsid w:val="00DA5503"/>
    <w:rsid w:val="00DA5996"/>
    <w:rsid w:val="00DA59DF"/>
    <w:rsid w:val="00DA5C60"/>
    <w:rsid w:val="00DA5FBF"/>
    <w:rsid w:val="00DA6025"/>
    <w:rsid w:val="00DA6186"/>
    <w:rsid w:val="00DA6386"/>
    <w:rsid w:val="00DA6AD8"/>
    <w:rsid w:val="00DA6C63"/>
    <w:rsid w:val="00DA6D2A"/>
    <w:rsid w:val="00DA6E9D"/>
    <w:rsid w:val="00DA7129"/>
    <w:rsid w:val="00DA72D1"/>
    <w:rsid w:val="00DA799E"/>
    <w:rsid w:val="00DA79FE"/>
    <w:rsid w:val="00DA7E76"/>
    <w:rsid w:val="00DB01C5"/>
    <w:rsid w:val="00DB0380"/>
    <w:rsid w:val="00DB03E4"/>
    <w:rsid w:val="00DB0ED3"/>
    <w:rsid w:val="00DB1091"/>
    <w:rsid w:val="00DB11B2"/>
    <w:rsid w:val="00DB139D"/>
    <w:rsid w:val="00DB149E"/>
    <w:rsid w:val="00DB14AE"/>
    <w:rsid w:val="00DB1897"/>
    <w:rsid w:val="00DB19D9"/>
    <w:rsid w:val="00DB1CA2"/>
    <w:rsid w:val="00DB1E96"/>
    <w:rsid w:val="00DB26E8"/>
    <w:rsid w:val="00DB2871"/>
    <w:rsid w:val="00DB2DB7"/>
    <w:rsid w:val="00DB308B"/>
    <w:rsid w:val="00DB30E4"/>
    <w:rsid w:val="00DB348F"/>
    <w:rsid w:val="00DB39E9"/>
    <w:rsid w:val="00DB3CB6"/>
    <w:rsid w:val="00DB3E1F"/>
    <w:rsid w:val="00DB3E41"/>
    <w:rsid w:val="00DB3F0C"/>
    <w:rsid w:val="00DB3F7B"/>
    <w:rsid w:val="00DB4273"/>
    <w:rsid w:val="00DB5503"/>
    <w:rsid w:val="00DB5A42"/>
    <w:rsid w:val="00DB5B75"/>
    <w:rsid w:val="00DB6088"/>
    <w:rsid w:val="00DB60DE"/>
    <w:rsid w:val="00DB6D43"/>
    <w:rsid w:val="00DB70A3"/>
    <w:rsid w:val="00DB73E0"/>
    <w:rsid w:val="00DB7977"/>
    <w:rsid w:val="00DB7F28"/>
    <w:rsid w:val="00DC0CF5"/>
    <w:rsid w:val="00DC1175"/>
    <w:rsid w:val="00DC1BC9"/>
    <w:rsid w:val="00DC1CBE"/>
    <w:rsid w:val="00DC1D8D"/>
    <w:rsid w:val="00DC1EEE"/>
    <w:rsid w:val="00DC26CE"/>
    <w:rsid w:val="00DC2EB4"/>
    <w:rsid w:val="00DC306C"/>
    <w:rsid w:val="00DC354B"/>
    <w:rsid w:val="00DC37BE"/>
    <w:rsid w:val="00DC39B9"/>
    <w:rsid w:val="00DC39E9"/>
    <w:rsid w:val="00DC3E4A"/>
    <w:rsid w:val="00DC3E9A"/>
    <w:rsid w:val="00DC3F4E"/>
    <w:rsid w:val="00DC4357"/>
    <w:rsid w:val="00DC4372"/>
    <w:rsid w:val="00DC4C43"/>
    <w:rsid w:val="00DC4F41"/>
    <w:rsid w:val="00DC5281"/>
    <w:rsid w:val="00DC52E9"/>
    <w:rsid w:val="00DC543E"/>
    <w:rsid w:val="00DC57C7"/>
    <w:rsid w:val="00DC5A7F"/>
    <w:rsid w:val="00DC5E58"/>
    <w:rsid w:val="00DC6739"/>
    <w:rsid w:val="00DC69CA"/>
    <w:rsid w:val="00DC6A8B"/>
    <w:rsid w:val="00DC6A9A"/>
    <w:rsid w:val="00DC7484"/>
    <w:rsid w:val="00DC75B9"/>
    <w:rsid w:val="00DC75D0"/>
    <w:rsid w:val="00DC794A"/>
    <w:rsid w:val="00DC7B41"/>
    <w:rsid w:val="00DD015C"/>
    <w:rsid w:val="00DD055E"/>
    <w:rsid w:val="00DD0761"/>
    <w:rsid w:val="00DD0895"/>
    <w:rsid w:val="00DD0DB4"/>
    <w:rsid w:val="00DD10B4"/>
    <w:rsid w:val="00DD1298"/>
    <w:rsid w:val="00DD13E7"/>
    <w:rsid w:val="00DD189F"/>
    <w:rsid w:val="00DD18FE"/>
    <w:rsid w:val="00DD1CF2"/>
    <w:rsid w:val="00DD2015"/>
    <w:rsid w:val="00DD2227"/>
    <w:rsid w:val="00DD24AC"/>
    <w:rsid w:val="00DD2846"/>
    <w:rsid w:val="00DD28F4"/>
    <w:rsid w:val="00DD2997"/>
    <w:rsid w:val="00DD3426"/>
    <w:rsid w:val="00DD3497"/>
    <w:rsid w:val="00DD3624"/>
    <w:rsid w:val="00DD3705"/>
    <w:rsid w:val="00DD385E"/>
    <w:rsid w:val="00DD3C62"/>
    <w:rsid w:val="00DD3CF1"/>
    <w:rsid w:val="00DD3E39"/>
    <w:rsid w:val="00DD4037"/>
    <w:rsid w:val="00DD4570"/>
    <w:rsid w:val="00DD45AE"/>
    <w:rsid w:val="00DD45FE"/>
    <w:rsid w:val="00DD49B2"/>
    <w:rsid w:val="00DD4F1A"/>
    <w:rsid w:val="00DD5749"/>
    <w:rsid w:val="00DD6381"/>
    <w:rsid w:val="00DD647A"/>
    <w:rsid w:val="00DD65B6"/>
    <w:rsid w:val="00DD69DE"/>
    <w:rsid w:val="00DD6C0F"/>
    <w:rsid w:val="00DD6EC8"/>
    <w:rsid w:val="00DD6FC6"/>
    <w:rsid w:val="00DD7047"/>
    <w:rsid w:val="00DD7049"/>
    <w:rsid w:val="00DD727F"/>
    <w:rsid w:val="00DD7416"/>
    <w:rsid w:val="00DD7828"/>
    <w:rsid w:val="00DD7B62"/>
    <w:rsid w:val="00DD7C9E"/>
    <w:rsid w:val="00DD7CF1"/>
    <w:rsid w:val="00DD7E5D"/>
    <w:rsid w:val="00DE00CD"/>
    <w:rsid w:val="00DE0551"/>
    <w:rsid w:val="00DE071D"/>
    <w:rsid w:val="00DE0730"/>
    <w:rsid w:val="00DE0CA0"/>
    <w:rsid w:val="00DE2029"/>
    <w:rsid w:val="00DE21B5"/>
    <w:rsid w:val="00DE2E89"/>
    <w:rsid w:val="00DE37B6"/>
    <w:rsid w:val="00DE3B11"/>
    <w:rsid w:val="00DE40D7"/>
    <w:rsid w:val="00DE425D"/>
    <w:rsid w:val="00DE4C04"/>
    <w:rsid w:val="00DE507E"/>
    <w:rsid w:val="00DE508D"/>
    <w:rsid w:val="00DE5164"/>
    <w:rsid w:val="00DE56D7"/>
    <w:rsid w:val="00DE5789"/>
    <w:rsid w:val="00DE5BA3"/>
    <w:rsid w:val="00DE5FD7"/>
    <w:rsid w:val="00DE6173"/>
    <w:rsid w:val="00DE6766"/>
    <w:rsid w:val="00DE748E"/>
    <w:rsid w:val="00DE78AA"/>
    <w:rsid w:val="00DE7A32"/>
    <w:rsid w:val="00DE7A61"/>
    <w:rsid w:val="00DE7F79"/>
    <w:rsid w:val="00DE7FC2"/>
    <w:rsid w:val="00DF02F3"/>
    <w:rsid w:val="00DF036B"/>
    <w:rsid w:val="00DF0942"/>
    <w:rsid w:val="00DF1014"/>
    <w:rsid w:val="00DF123A"/>
    <w:rsid w:val="00DF1471"/>
    <w:rsid w:val="00DF180D"/>
    <w:rsid w:val="00DF1A90"/>
    <w:rsid w:val="00DF1AC3"/>
    <w:rsid w:val="00DF1E6E"/>
    <w:rsid w:val="00DF20A0"/>
    <w:rsid w:val="00DF2527"/>
    <w:rsid w:val="00DF2547"/>
    <w:rsid w:val="00DF28F8"/>
    <w:rsid w:val="00DF2C59"/>
    <w:rsid w:val="00DF3521"/>
    <w:rsid w:val="00DF3620"/>
    <w:rsid w:val="00DF37B3"/>
    <w:rsid w:val="00DF3935"/>
    <w:rsid w:val="00DF3D1A"/>
    <w:rsid w:val="00DF472A"/>
    <w:rsid w:val="00DF4969"/>
    <w:rsid w:val="00DF4BBE"/>
    <w:rsid w:val="00DF4E77"/>
    <w:rsid w:val="00DF4F38"/>
    <w:rsid w:val="00DF510B"/>
    <w:rsid w:val="00DF52E3"/>
    <w:rsid w:val="00DF533F"/>
    <w:rsid w:val="00DF57BA"/>
    <w:rsid w:val="00DF64EC"/>
    <w:rsid w:val="00DF66B6"/>
    <w:rsid w:val="00DF6928"/>
    <w:rsid w:val="00DF6ACB"/>
    <w:rsid w:val="00DF6BB5"/>
    <w:rsid w:val="00DF6C6C"/>
    <w:rsid w:val="00DF6F50"/>
    <w:rsid w:val="00DF6F6B"/>
    <w:rsid w:val="00DF71E3"/>
    <w:rsid w:val="00DF72ED"/>
    <w:rsid w:val="00DF7380"/>
    <w:rsid w:val="00DF7383"/>
    <w:rsid w:val="00DF74E6"/>
    <w:rsid w:val="00DF7A78"/>
    <w:rsid w:val="00DF7D8A"/>
    <w:rsid w:val="00E0018E"/>
    <w:rsid w:val="00E00207"/>
    <w:rsid w:val="00E00294"/>
    <w:rsid w:val="00E003F8"/>
    <w:rsid w:val="00E0058D"/>
    <w:rsid w:val="00E005A2"/>
    <w:rsid w:val="00E00620"/>
    <w:rsid w:val="00E00D18"/>
    <w:rsid w:val="00E00FAF"/>
    <w:rsid w:val="00E010DD"/>
    <w:rsid w:val="00E01450"/>
    <w:rsid w:val="00E016F8"/>
    <w:rsid w:val="00E01F45"/>
    <w:rsid w:val="00E026C4"/>
    <w:rsid w:val="00E02753"/>
    <w:rsid w:val="00E02CF3"/>
    <w:rsid w:val="00E031CC"/>
    <w:rsid w:val="00E0336B"/>
    <w:rsid w:val="00E035EA"/>
    <w:rsid w:val="00E03EFA"/>
    <w:rsid w:val="00E04253"/>
    <w:rsid w:val="00E04419"/>
    <w:rsid w:val="00E0476F"/>
    <w:rsid w:val="00E048E2"/>
    <w:rsid w:val="00E04AE1"/>
    <w:rsid w:val="00E04BFA"/>
    <w:rsid w:val="00E05387"/>
    <w:rsid w:val="00E05768"/>
    <w:rsid w:val="00E059CD"/>
    <w:rsid w:val="00E05A3C"/>
    <w:rsid w:val="00E06028"/>
    <w:rsid w:val="00E06563"/>
    <w:rsid w:val="00E068CB"/>
    <w:rsid w:val="00E06C40"/>
    <w:rsid w:val="00E07457"/>
    <w:rsid w:val="00E075C8"/>
    <w:rsid w:val="00E07928"/>
    <w:rsid w:val="00E079D7"/>
    <w:rsid w:val="00E07E86"/>
    <w:rsid w:val="00E1063D"/>
    <w:rsid w:val="00E108A7"/>
    <w:rsid w:val="00E1163C"/>
    <w:rsid w:val="00E11734"/>
    <w:rsid w:val="00E11EFE"/>
    <w:rsid w:val="00E128C2"/>
    <w:rsid w:val="00E12D33"/>
    <w:rsid w:val="00E12E60"/>
    <w:rsid w:val="00E12EDE"/>
    <w:rsid w:val="00E12F65"/>
    <w:rsid w:val="00E13358"/>
    <w:rsid w:val="00E133B2"/>
    <w:rsid w:val="00E13712"/>
    <w:rsid w:val="00E1380C"/>
    <w:rsid w:val="00E13D27"/>
    <w:rsid w:val="00E13D9F"/>
    <w:rsid w:val="00E14710"/>
    <w:rsid w:val="00E14769"/>
    <w:rsid w:val="00E14B95"/>
    <w:rsid w:val="00E14E75"/>
    <w:rsid w:val="00E15203"/>
    <w:rsid w:val="00E158AF"/>
    <w:rsid w:val="00E15974"/>
    <w:rsid w:val="00E16446"/>
    <w:rsid w:val="00E164D3"/>
    <w:rsid w:val="00E167E8"/>
    <w:rsid w:val="00E16A4A"/>
    <w:rsid w:val="00E16BEC"/>
    <w:rsid w:val="00E16CE7"/>
    <w:rsid w:val="00E173C3"/>
    <w:rsid w:val="00E17582"/>
    <w:rsid w:val="00E17596"/>
    <w:rsid w:val="00E17689"/>
    <w:rsid w:val="00E17750"/>
    <w:rsid w:val="00E17A25"/>
    <w:rsid w:val="00E17DCE"/>
    <w:rsid w:val="00E17FA2"/>
    <w:rsid w:val="00E20053"/>
    <w:rsid w:val="00E20058"/>
    <w:rsid w:val="00E202B5"/>
    <w:rsid w:val="00E2030A"/>
    <w:rsid w:val="00E204AA"/>
    <w:rsid w:val="00E20892"/>
    <w:rsid w:val="00E20B72"/>
    <w:rsid w:val="00E20F6F"/>
    <w:rsid w:val="00E2114B"/>
    <w:rsid w:val="00E211AF"/>
    <w:rsid w:val="00E211F3"/>
    <w:rsid w:val="00E21509"/>
    <w:rsid w:val="00E21835"/>
    <w:rsid w:val="00E224D8"/>
    <w:rsid w:val="00E224EF"/>
    <w:rsid w:val="00E226F9"/>
    <w:rsid w:val="00E22E79"/>
    <w:rsid w:val="00E23041"/>
    <w:rsid w:val="00E23348"/>
    <w:rsid w:val="00E2380B"/>
    <w:rsid w:val="00E2390A"/>
    <w:rsid w:val="00E23C6F"/>
    <w:rsid w:val="00E23C93"/>
    <w:rsid w:val="00E23D4C"/>
    <w:rsid w:val="00E23D59"/>
    <w:rsid w:val="00E2422B"/>
    <w:rsid w:val="00E248AE"/>
    <w:rsid w:val="00E24A6D"/>
    <w:rsid w:val="00E24CB0"/>
    <w:rsid w:val="00E2529D"/>
    <w:rsid w:val="00E252F2"/>
    <w:rsid w:val="00E2572D"/>
    <w:rsid w:val="00E25797"/>
    <w:rsid w:val="00E258F0"/>
    <w:rsid w:val="00E25BF9"/>
    <w:rsid w:val="00E25CBB"/>
    <w:rsid w:val="00E25F23"/>
    <w:rsid w:val="00E26184"/>
    <w:rsid w:val="00E2631E"/>
    <w:rsid w:val="00E265F6"/>
    <w:rsid w:val="00E26708"/>
    <w:rsid w:val="00E2674A"/>
    <w:rsid w:val="00E26999"/>
    <w:rsid w:val="00E26BD4"/>
    <w:rsid w:val="00E26C62"/>
    <w:rsid w:val="00E26D4B"/>
    <w:rsid w:val="00E26FD4"/>
    <w:rsid w:val="00E271C2"/>
    <w:rsid w:val="00E2728B"/>
    <w:rsid w:val="00E27365"/>
    <w:rsid w:val="00E277BB"/>
    <w:rsid w:val="00E27C4E"/>
    <w:rsid w:val="00E30634"/>
    <w:rsid w:val="00E30B23"/>
    <w:rsid w:val="00E30D02"/>
    <w:rsid w:val="00E30DF6"/>
    <w:rsid w:val="00E311B1"/>
    <w:rsid w:val="00E315D3"/>
    <w:rsid w:val="00E319FA"/>
    <w:rsid w:val="00E31A59"/>
    <w:rsid w:val="00E31EB9"/>
    <w:rsid w:val="00E32135"/>
    <w:rsid w:val="00E3252A"/>
    <w:rsid w:val="00E3256E"/>
    <w:rsid w:val="00E32BAD"/>
    <w:rsid w:val="00E32C9A"/>
    <w:rsid w:val="00E32F29"/>
    <w:rsid w:val="00E3363D"/>
    <w:rsid w:val="00E339EE"/>
    <w:rsid w:val="00E33B45"/>
    <w:rsid w:val="00E33C86"/>
    <w:rsid w:val="00E33E03"/>
    <w:rsid w:val="00E34203"/>
    <w:rsid w:val="00E34391"/>
    <w:rsid w:val="00E34EA9"/>
    <w:rsid w:val="00E35094"/>
    <w:rsid w:val="00E35733"/>
    <w:rsid w:val="00E363C9"/>
    <w:rsid w:val="00E363D7"/>
    <w:rsid w:val="00E36420"/>
    <w:rsid w:val="00E36980"/>
    <w:rsid w:val="00E3744C"/>
    <w:rsid w:val="00E37973"/>
    <w:rsid w:val="00E37D92"/>
    <w:rsid w:val="00E4067B"/>
    <w:rsid w:val="00E40F9D"/>
    <w:rsid w:val="00E4109A"/>
    <w:rsid w:val="00E41E26"/>
    <w:rsid w:val="00E4220E"/>
    <w:rsid w:val="00E424B2"/>
    <w:rsid w:val="00E425DC"/>
    <w:rsid w:val="00E42E7A"/>
    <w:rsid w:val="00E43075"/>
    <w:rsid w:val="00E43705"/>
    <w:rsid w:val="00E43C1B"/>
    <w:rsid w:val="00E4466C"/>
    <w:rsid w:val="00E449ED"/>
    <w:rsid w:val="00E44AC2"/>
    <w:rsid w:val="00E44BF3"/>
    <w:rsid w:val="00E44C23"/>
    <w:rsid w:val="00E44D34"/>
    <w:rsid w:val="00E44D8E"/>
    <w:rsid w:val="00E45311"/>
    <w:rsid w:val="00E454F0"/>
    <w:rsid w:val="00E456E7"/>
    <w:rsid w:val="00E45C76"/>
    <w:rsid w:val="00E460F9"/>
    <w:rsid w:val="00E460FF"/>
    <w:rsid w:val="00E46191"/>
    <w:rsid w:val="00E46313"/>
    <w:rsid w:val="00E4666B"/>
    <w:rsid w:val="00E4698B"/>
    <w:rsid w:val="00E46B4F"/>
    <w:rsid w:val="00E475DA"/>
    <w:rsid w:val="00E47978"/>
    <w:rsid w:val="00E47B4A"/>
    <w:rsid w:val="00E501CD"/>
    <w:rsid w:val="00E50203"/>
    <w:rsid w:val="00E50806"/>
    <w:rsid w:val="00E5083F"/>
    <w:rsid w:val="00E50ADC"/>
    <w:rsid w:val="00E513DE"/>
    <w:rsid w:val="00E51A22"/>
    <w:rsid w:val="00E5219B"/>
    <w:rsid w:val="00E523F7"/>
    <w:rsid w:val="00E52656"/>
    <w:rsid w:val="00E527DA"/>
    <w:rsid w:val="00E529D1"/>
    <w:rsid w:val="00E52AEB"/>
    <w:rsid w:val="00E52C85"/>
    <w:rsid w:val="00E52ED4"/>
    <w:rsid w:val="00E52FA4"/>
    <w:rsid w:val="00E53247"/>
    <w:rsid w:val="00E5362B"/>
    <w:rsid w:val="00E53710"/>
    <w:rsid w:val="00E537B8"/>
    <w:rsid w:val="00E53DCB"/>
    <w:rsid w:val="00E53E69"/>
    <w:rsid w:val="00E53F1F"/>
    <w:rsid w:val="00E543C2"/>
    <w:rsid w:val="00E545EB"/>
    <w:rsid w:val="00E549DE"/>
    <w:rsid w:val="00E54AA9"/>
    <w:rsid w:val="00E54B72"/>
    <w:rsid w:val="00E54DFA"/>
    <w:rsid w:val="00E55002"/>
    <w:rsid w:val="00E55373"/>
    <w:rsid w:val="00E55AC0"/>
    <w:rsid w:val="00E55DFF"/>
    <w:rsid w:val="00E560A9"/>
    <w:rsid w:val="00E564D0"/>
    <w:rsid w:val="00E56635"/>
    <w:rsid w:val="00E569E2"/>
    <w:rsid w:val="00E56D09"/>
    <w:rsid w:val="00E56E66"/>
    <w:rsid w:val="00E56F86"/>
    <w:rsid w:val="00E575E6"/>
    <w:rsid w:val="00E57D84"/>
    <w:rsid w:val="00E600B9"/>
    <w:rsid w:val="00E600BB"/>
    <w:rsid w:val="00E60200"/>
    <w:rsid w:val="00E60DE9"/>
    <w:rsid w:val="00E60E73"/>
    <w:rsid w:val="00E60F5D"/>
    <w:rsid w:val="00E61003"/>
    <w:rsid w:val="00E615B4"/>
    <w:rsid w:val="00E6193A"/>
    <w:rsid w:val="00E62056"/>
    <w:rsid w:val="00E6257C"/>
    <w:rsid w:val="00E62C16"/>
    <w:rsid w:val="00E62C7A"/>
    <w:rsid w:val="00E62E71"/>
    <w:rsid w:val="00E6315D"/>
    <w:rsid w:val="00E6317C"/>
    <w:rsid w:val="00E6324C"/>
    <w:rsid w:val="00E63383"/>
    <w:rsid w:val="00E633FB"/>
    <w:rsid w:val="00E63460"/>
    <w:rsid w:val="00E63B58"/>
    <w:rsid w:val="00E640CB"/>
    <w:rsid w:val="00E644D0"/>
    <w:rsid w:val="00E647E9"/>
    <w:rsid w:val="00E64F0E"/>
    <w:rsid w:val="00E65199"/>
    <w:rsid w:val="00E651C9"/>
    <w:rsid w:val="00E65A22"/>
    <w:rsid w:val="00E65E82"/>
    <w:rsid w:val="00E65FAC"/>
    <w:rsid w:val="00E6628F"/>
    <w:rsid w:val="00E6667D"/>
    <w:rsid w:val="00E669D3"/>
    <w:rsid w:val="00E66ED5"/>
    <w:rsid w:val="00E66FF7"/>
    <w:rsid w:val="00E673A7"/>
    <w:rsid w:val="00E679BB"/>
    <w:rsid w:val="00E702B6"/>
    <w:rsid w:val="00E706B2"/>
    <w:rsid w:val="00E708C6"/>
    <w:rsid w:val="00E70A2E"/>
    <w:rsid w:val="00E71E76"/>
    <w:rsid w:val="00E720E9"/>
    <w:rsid w:val="00E723DC"/>
    <w:rsid w:val="00E72556"/>
    <w:rsid w:val="00E72929"/>
    <w:rsid w:val="00E72958"/>
    <w:rsid w:val="00E729CF"/>
    <w:rsid w:val="00E72D77"/>
    <w:rsid w:val="00E73067"/>
    <w:rsid w:val="00E73428"/>
    <w:rsid w:val="00E73551"/>
    <w:rsid w:val="00E73960"/>
    <w:rsid w:val="00E73AAF"/>
    <w:rsid w:val="00E73EFF"/>
    <w:rsid w:val="00E73FB3"/>
    <w:rsid w:val="00E73FF6"/>
    <w:rsid w:val="00E74595"/>
    <w:rsid w:val="00E750C9"/>
    <w:rsid w:val="00E75CF4"/>
    <w:rsid w:val="00E75F13"/>
    <w:rsid w:val="00E7649A"/>
    <w:rsid w:val="00E76603"/>
    <w:rsid w:val="00E76E5A"/>
    <w:rsid w:val="00E77101"/>
    <w:rsid w:val="00E774F5"/>
    <w:rsid w:val="00E775DF"/>
    <w:rsid w:val="00E776C6"/>
    <w:rsid w:val="00E77765"/>
    <w:rsid w:val="00E77B71"/>
    <w:rsid w:val="00E8017D"/>
    <w:rsid w:val="00E80222"/>
    <w:rsid w:val="00E805A6"/>
    <w:rsid w:val="00E806C5"/>
    <w:rsid w:val="00E81204"/>
    <w:rsid w:val="00E812CB"/>
    <w:rsid w:val="00E814BA"/>
    <w:rsid w:val="00E81501"/>
    <w:rsid w:val="00E81519"/>
    <w:rsid w:val="00E81750"/>
    <w:rsid w:val="00E81C60"/>
    <w:rsid w:val="00E81D26"/>
    <w:rsid w:val="00E82D4D"/>
    <w:rsid w:val="00E82D59"/>
    <w:rsid w:val="00E82F1B"/>
    <w:rsid w:val="00E83142"/>
    <w:rsid w:val="00E8319D"/>
    <w:rsid w:val="00E83373"/>
    <w:rsid w:val="00E8344E"/>
    <w:rsid w:val="00E839C6"/>
    <w:rsid w:val="00E84180"/>
    <w:rsid w:val="00E84546"/>
    <w:rsid w:val="00E84AAA"/>
    <w:rsid w:val="00E84AD0"/>
    <w:rsid w:val="00E84E11"/>
    <w:rsid w:val="00E85100"/>
    <w:rsid w:val="00E85352"/>
    <w:rsid w:val="00E8544C"/>
    <w:rsid w:val="00E855B4"/>
    <w:rsid w:val="00E8577C"/>
    <w:rsid w:val="00E85A51"/>
    <w:rsid w:val="00E85BFA"/>
    <w:rsid w:val="00E85EBB"/>
    <w:rsid w:val="00E86112"/>
    <w:rsid w:val="00E86676"/>
    <w:rsid w:val="00E866FE"/>
    <w:rsid w:val="00E86DFE"/>
    <w:rsid w:val="00E87027"/>
    <w:rsid w:val="00E8724B"/>
    <w:rsid w:val="00E87332"/>
    <w:rsid w:val="00E8757E"/>
    <w:rsid w:val="00E87C10"/>
    <w:rsid w:val="00E87E92"/>
    <w:rsid w:val="00E87EBD"/>
    <w:rsid w:val="00E901C7"/>
    <w:rsid w:val="00E90258"/>
    <w:rsid w:val="00E90531"/>
    <w:rsid w:val="00E906AD"/>
    <w:rsid w:val="00E906D7"/>
    <w:rsid w:val="00E90886"/>
    <w:rsid w:val="00E90D95"/>
    <w:rsid w:val="00E9108D"/>
    <w:rsid w:val="00E910B1"/>
    <w:rsid w:val="00E910D1"/>
    <w:rsid w:val="00E911AA"/>
    <w:rsid w:val="00E91676"/>
    <w:rsid w:val="00E91998"/>
    <w:rsid w:val="00E919D1"/>
    <w:rsid w:val="00E91DB0"/>
    <w:rsid w:val="00E91FEB"/>
    <w:rsid w:val="00E922E3"/>
    <w:rsid w:val="00E9274F"/>
    <w:rsid w:val="00E927B2"/>
    <w:rsid w:val="00E9280C"/>
    <w:rsid w:val="00E9281D"/>
    <w:rsid w:val="00E92872"/>
    <w:rsid w:val="00E92A6E"/>
    <w:rsid w:val="00E92B28"/>
    <w:rsid w:val="00E93125"/>
    <w:rsid w:val="00E9338D"/>
    <w:rsid w:val="00E93C4D"/>
    <w:rsid w:val="00E93D45"/>
    <w:rsid w:val="00E94A77"/>
    <w:rsid w:val="00E94D3E"/>
    <w:rsid w:val="00E94D78"/>
    <w:rsid w:val="00E952C6"/>
    <w:rsid w:val="00E95539"/>
    <w:rsid w:val="00E955B8"/>
    <w:rsid w:val="00E955F0"/>
    <w:rsid w:val="00E95CBC"/>
    <w:rsid w:val="00E95F01"/>
    <w:rsid w:val="00E96586"/>
    <w:rsid w:val="00E96B09"/>
    <w:rsid w:val="00E96B21"/>
    <w:rsid w:val="00E96C52"/>
    <w:rsid w:val="00E9731A"/>
    <w:rsid w:val="00E97469"/>
    <w:rsid w:val="00E974DB"/>
    <w:rsid w:val="00E9763D"/>
    <w:rsid w:val="00E97715"/>
    <w:rsid w:val="00E97CE9"/>
    <w:rsid w:val="00EA1168"/>
    <w:rsid w:val="00EA14C9"/>
    <w:rsid w:val="00EA17A0"/>
    <w:rsid w:val="00EA1D44"/>
    <w:rsid w:val="00EA1F8B"/>
    <w:rsid w:val="00EA2393"/>
    <w:rsid w:val="00EA2513"/>
    <w:rsid w:val="00EA25F8"/>
    <w:rsid w:val="00EA270A"/>
    <w:rsid w:val="00EA2EB8"/>
    <w:rsid w:val="00EA407F"/>
    <w:rsid w:val="00EA41D4"/>
    <w:rsid w:val="00EA468A"/>
    <w:rsid w:val="00EA48DE"/>
    <w:rsid w:val="00EA4F46"/>
    <w:rsid w:val="00EA50BB"/>
    <w:rsid w:val="00EA5454"/>
    <w:rsid w:val="00EA55CA"/>
    <w:rsid w:val="00EA59A5"/>
    <w:rsid w:val="00EA7378"/>
    <w:rsid w:val="00EA76DA"/>
    <w:rsid w:val="00EA7AAC"/>
    <w:rsid w:val="00EA7B85"/>
    <w:rsid w:val="00EB0071"/>
    <w:rsid w:val="00EB0520"/>
    <w:rsid w:val="00EB06B8"/>
    <w:rsid w:val="00EB0735"/>
    <w:rsid w:val="00EB09B1"/>
    <w:rsid w:val="00EB0CE9"/>
    <w:rsid w:val="00EB0E14"/>
    <w:rsid w:val="00EB0F85"/>
    <w:rsid w:val="00EB0FDE"/>
    <w:rsid w:val="00EB1164"/>
    <w:rsid w:val="00EB1976"/>
    <w:rsid w:val="00EB2040"/>
    <w:rsid w:val="00EB205A"/>
    <w:rsid w:val="00EB279F"/>
    <w:rsid w:val="00EB2ECC"/>
    <w:rsid w:val="00EB329C"/>
    <w:rsid w:val="00EB32B8"/>
    <w:rsid w:val="00EB32FF"/>
    <w:rsid w:val="00EB3608"/>
    <w:rsid w:val="00EB3A4E"/>
    <w:rsid w:val="00EB3AE2"/>
    <w:rsid w:val="00EB3B6F"/>
    <w:rsid w:val="00EB3D23"/>
    <w:rsid w:val="00EB3DB7"/>
    <w:rsid w:val="00EB4183"/>
    <w:rsid w:val="00EB4223"/>
    <w:rsid w:val="00EB4304"/>
    <w:rsid w:val="00EB43E0"/>
    <w:rsid w:val="00EB55D1"/>
    <w:rsid w:val="00EB5A1B"/>
    <w:rsid w:val="00EB7046"/>
    <w:rsid w:val="00EB7550"/>
    <w:rsid w:val="00EB7AEA"/>
    <w:rsid w:val="00EB7CEB"/>
    <w:rsid w:val="00EB7D70"/>
    <w:rsid w:val="00EC0143"/>
    <w:rsid w:val="00EC023F"/>
    <w:rsid w:val="00EC038C"/>
    <w:rsid w:val="00EC0CB6"/>
    <w:rsid w:val="00EC0E95"/>
    <w:rsid w:val="00EC11F6"/>
    <w:rsid w:val="00EC12E1"/>
    <w:rsid w:val="00EC13AF"/>
    <w:rsid w:val="00EC18F9"/>
    <w:rsid w:val="00EC1E1D"/>
    <w:rsid w:val="00EC1FDE"/>
    <w:rsid w:val="00EC24AA"/>
    <w:rsid w:val="00EC2687"/>
    <w:rsid w:val="00EC2760"/>
    <w:rsid w:val="00EC2ACA"/>
    <w:rsid w:val="00EC2B8D"/>
    <w:rsid w:val="00EC310C"/>
    <w:rsid w:val="00EC3785"/>
    <w:rsid w:val="00EC38E7"/>
    <w:rsid w:val="00EC3CB0"/>
    <w:rsid w:val="00EC3F2E"/>
    <w:rsid w:val="00EC40A8"/>
    <w:rsid w:val="00EC40DB"/>
    <w:rsid w:val="00EC43BA"/>
    <w:rsid w:val="00EC43E6"/>
    <w:rsid w:val="00EC44A4"/>
    <w:rsid w:val="00EC4745"/>
    <w:rsid w:val="00EC4D1B"/>
    <w:rsid w:val="00EC5134"/>
    <w:rsid w:val="00EC51A9"/>
    <w:rsid w:val="00EC5414"/>
    <w:rsid w:val="00EC57B1"/>
    <w:rsid w:val="00EC5A90"/>
    <w:rsid w:val="00EC5E53"/>
    <w:rsid w:val="00EC6055"/>
    <w:rsid w:val="00EC64E9"/>
    <w:rsid w:val="00EC6802"/>
    <w:rsid w:val="00EC697A"/>
    <w:rsid w:val="00EC7025"/>
    <w:rsid w:val="00EC705B"/>
    <w:rsid w:val="00EC7165"/>
    <w:rsid w:val="00EC724F"/>
    <w:rsid w:val="00EC77A8"/>
    <w:rsid w:val="00EC7F55"/>
    <w:rsid w:val="00ED0134"/>
    <w:rsid w:val="00ED0371"/>
    <w:rsid w:val="00ED0781"/>
    <w:rsid w:val="00ED092A"/>
    <w:rsid w:val="00ED0C97"/>
    <w:rsid w:val="00ED108B"/>
    <w:rsid w:val="00ED1210"/>
    <w:rsid w:val="00ED19E9"/>
    <w:rsid w:val="00ED1A7C"/>
    <w:rsid w:val="00ED1D30"/>
    <w:rsid w:val="00ED2454"/>
    <w:rsid w:val="00ED2609"/>
    <w:rsid w:val="00ED2B32"/>
    <w:rsid w:val="00ED2C03"/>
    <w:rsid w:val="00ED2C93"/>
    <w:rsid w:val="00ED2DA4"/>
    <w:rsid w:val="00ED31AB"/>
    <w:rsid w:val="00ED3513"/>
    <w:rsid w:val="00ED35DC"/>
    <w:rsid w:val="00ED364A"/>
    <w:rsid w:val="00ED3892"/>
    <w:rsid w:val="00ED390C"/>
    <w:rsid w:val="00ED3AA2"/>
    <w:rsid w:val="00ED4C88"/>
    <w:rsid w:val="00ED4D92"/>
    <w:rsid w:val="00ED4DA8"/>
    <w:rsid w:val="00ED4E5F"/>
    <w:rsid w:val="00ED56DD"/>
    <w:rsid w:val="00ED570A"/>
    <w:rsid w:val="00ED5ECE"/>
    <w:rsid w:val="00ED5F9E"/>
    <w:rsid w:val="00ED601E"/>
    <w:rsid w:val="00ED6347"/>
    <w:rsid w:val="00ED64AB"/>
    <w:rsid w:val="00ED738C"/>
    <w:rsid w:val="00ED78ED"/>
    <w:rsid w:val="00ED7B5E"/>
    <w:rsid w:val="00EE064C"/>
    <w:rsid w:val="00EE0B4C"/>
    <w:rsid w:val="00EE0B62"/>
    <w:rsid w:val="00EE0E36"/>
    <w:rsid w:val="00EE0EC7"/>
    <w:rsid w:val="00EE11D9"/>
    <w:rsid w:val="00EE12FA"/>
    <w:rsid w:val="00EE1B7C"/>
    <w:rsid w:val="00EE219E"/>
    <w:rsid w:val="00EE223C"/>
    <w:rsid w:val="00EE229A"/>
    <w:rsid w:val="00EE23E6"/>
    <w:rsid w:val="00EE28F6"/>
    <w:rsid w:val="00EE3686"/>
    <w:rsid w:val="00EE3C52"/>
    <w:rsid w:val="00EE3F0E"/>
    <w:rsid w:val="00EE40D5"/>
    <w:rsid w:val="00EE4651"/>
    <w:rsid w:val="00EE49DD"/>
    <w:rsid w:val="00EE521A"/>
    <w:rsid w:val="00EE5263"/>
    <w:rsid w:val="00EE52F8"/>
    <w:rsid w:val="00EE5454"/>
    <w:rsid w:val="00EE54F4"/>
    <w:rsid w:val="00EE5545"/>
    <w:rsid w:val="00EE57C5"/>
    <w:rsid w:val="00EE5860"/>
    <w:rsid w:val="00EE5F12"/>
    <w:rsid w:val="00EE60F8"/>
    <w:rsid w:val="00EE612D"/>
    <w:rsid w:val="00EE6264"/>
    <w:rsid w:val="00EE641A"/>
    <w:rsid w:val="00EE6997"/>
    <w:rsid w:val="00EE6FD2"/>
    <w:rsid w:val="00EE75B3"/>
    <w:rsid w:val="00EE7662"/>
    <w:rsid w:val="00EE77C2"/>
    <w:rsid w:val="00EE7B9F"/>
    <w:rsid w:val="00EE7C3B"/>
    <w:rsid w:val="00EE7FAA"/>
    <w:rsid w:val="00EF0062"/>
    <w:rsid w:val="00EF06CF"/>
    <w:rsid w:val="00EF076A"/>
    <w:rsid w:val="00EF095B"/>
    <w:rsid w:val="00EF0A1E"/>
    <w:rsid w:val="00EF0A90"/>
    <w:rsid w:val="00EF0D1F"/>
    <w:rsid w:val="00EF1542"/>
    <w:rsid w:val="00EF16C8"/>
    <w:rsid w:val="00EF1AAD"/>
    <w:rsid w:val="00EF1CFB"/>
    <w:rsid w:val="00EF1DFE"/>
    <w:rsid w:val="00EF1ED4"/>
    <w:rsid w:val="00EF1FA5"/>
    <w:rsid w:val="00EF2242"/>
    <w:rsid w:val="00EF25F6"/>
    <w:rsid w:val="00EF306B"/>
    <w:rsid w:val="00EF34FE"/>
    <w:rsid w:val="00EF352D"/>
    <w:rsid w:val="00EF3918"/>
    <w:rsid w:val="00EF39BF"/>
    <w:rsid w:val="00EF3AAB"/>
    <w:rsid w:val="00EF3D9D"/>
    <w:rsid w:val="00EF43E1"/>
    <w:rsid w:val="00EF43FD"/>
    <w:rsid w:val="00EF4A2F"/>
    <w:rsid w:val="00EF4BCC"/>
    <w:rsid w:val="00EF4E77"/>
    <w:rsid w:val="00EF4EA5"/>
    <w:rsid w:val="00EF52E5"/>
    <w:rsid w:val="00EF53C9"/>
    <w:rsid w:val="00EF5C10"/>
    <w:rsid w:val="00EF5E5B"/>
    <w:rsid w:val="00EF611A"/>
    <w:rsid w:val="00EF65BB"/>
    <w:rsid w:val="00EF69D8"/>
    <w:rsid w:val="00EF6A0A"/>
    <w:rsid w:val="00EF6C0C"/>
    <w:rsid w:val="00EF6D2F"/>
    <w:rsid w:val="00EF6D64"/>
    <w:rsid w:val="00EF7466"/>
    <w:rsid w:val="00F0034F"/>
    <w:rsid w:val="00F0072B"/>
    <w:rsid w:val="00F007D1"/>
    <w:rsid w:val="00F00991"/>
    <w:rsid w:val="00F00EBE"/>
    <w:rsid w:val="00F01229"/>
    <w:rsid w:val="00F01729"/>
    <w:rsid w:val="00F01918"/>
    <w:rsid w:val="00F02181"/>
    <w:rsid w:val="00F025ED"/>
    <w:rsid w:val="00F02BC9"/>
    <w:rsid w:val="00F02F1F"/>
    <w:rsid w:val="00F02F66"/>
    <w:rsid w:val="00F02FF5"/>
    <w:rsid w:val="00F033E5"/>
    <w:rsid w:val="00F0389E"/>
    <w:rsid w:val="00F03BBD"/>
    <w:rsid w:val="00F03E00"/>
    <w:rsid w:val="00F042F9"/>
    <w:rsid w:val="00F043E1"/>
    <w:rsid w:val="00F046AE"/>
    <w:rsid w:val="00F04799"/>
    <w:rsid w:val="00F04C1A"/>
    <w:rsid w:val="00F055BE"/>
    <w:rsid w:val="00F05842"/>
    <w:rsid w:val="00F058D4"/>
    <w:rsid w:val="00F05E3B"/>
    <w:rsid w:val="00F05F17"/>
    <w:rsid w:val="00F060FA"/>
    <w:rsid w:val="00F06453"/>
    <w:rsid w:val="00F066CA"/>
    <w:rsid w:val="00F06B8F"/>
    <w:rsid w:val="00F07573"/>
    <w:rsid w:val="00F0772A"/>
    <w:rsid w:val="00F07A4D"/>
    <w:rsid w:val="00F07FDD"/>
    <w:rsid w:val="00F102A9"/>
    <w:rsid w:val="00F10AF6"/>
    <w:rsid w:val="00F114AC"/>
    <w:rsid w:val="00F11B20"/>
    <w:rsid w:val="00F11C97"/>
    <w:rsid w:val="00F11F8E"/>
    <w:rsid w:val="00F11FBA"/>
    <w:rsid w:val="00F12256"/>
    <w:rsid w:val="00F1278C"/>
    <w:rsid w:val="00F128FF"/>
    <w:rsid w:val="00F129D1"/>
    <w:rsid w:val="00F12A45"/>
    <w:rsid w:val="00F12F2D"/>
    <w:rsid w:val="00F13581"/>
    <w:rsid w:val="00F1383C"/>
    <w:rsid w:val="00F13939"/>
    <w:rsid w:val="00F13948"/>
    <w:rsid w:val="00F13A39"/>
    <w:rsid w:val="00F13E4B"/>
    <w:rsid w:val="00F13F6B"/>
    <w:rsid w:val="00F140F8"/>
    <w:rsid w:val="00F1456F"/>
    <w:rsid w:val="00F14B47"/>
    <w:rsid w:val="00F14E2C"/>
    <w:rsid w:val="00F14EA9"/>
    <w:rsid w:val="00F15347"/>
    <w:rsid w:val="00F15798"/>
    <w:rsid w:val="00F16007"/>
    <w:rsid w:val="00F1625C"/>
    <w:rsid w:val="00F164BF"/>
    <w:rsid w:val="00F16609"/>
    <w:rsid w:val="00F167AD"/>
    <w:rsid w:val="00F168E1"/>
    <w:rsid w:val="00F1697F"/>
    <w:rsid w:val="00F16E02"/>
    <w:rsid w:val="00F170C3"/>
    <w:rsid w:val="00F17269"/>
    <w:rsid w:val="00F17820"/>
    <w:rsid w:val="00F20237"/>
    <w:rsid w:val="00F20B1A"/>
    <w:rsid w:val="00F20C4C"/>
    <w:rsid w:val="00F20F17"/>
    <w:rsid w:val="00F21071"/>
    <w:rsid w:val="00F211C7"/>
    <w:rsid w:val="00F212E1"/>
    <w:rsid w:val="00F213BD"/>
    <w:rsid w:val="00F21505"/>
    <w:rsid w:val="00F2188B"/>
    <w:rsid w:val="00F218AC"/>
    <w:rsid w:val="00F21AD1"/>
    <w:rsid w:val="00F21CBA"/>
    <w:rsid w:val="00F21E5F"/>
    <w:rsid w:val="00F220C4"/>
    <w:rsid w:val="00F222EA"/>
    <w:rsid w:val="00F22414"/>
    <w:rsid w:val="00F224BF"/>
    <w:rsid w:val="00F228E9"/>
    <w:rsid w:val="00F23E86"/>
    <w:rsid w:val="00F242F6"/>
    <w:rsid w:val="00F2436A"/>
    <w:rsid w:val="00F24511"/>
    <w:rsid w:val="00F2459F"/>
    <w:rsid w:val="00F2470B"/>
    <w:rsid w:val="00F24AA7"/>
    <w:rsid w:val="00F24E56"/>
    <w:rsid w:val="00F25212"/>
    <w:rsid w:val="00F25582"/>
    <w:rsid w:val="00F25639"/>
    <w:rsid w:val="00F2565E"/>
    <w:rsid w:val="00F25A2E"/>
    <w:rsid w:val="00F25BE6"/>
    <w:rsid w:val="00F25D12"/>
    <w:rsid w:val="00F26281"/>
    <w:rsid w:val="00F262A8"/>
    <w:rsid w:val="00F264D5"/>
    <w:rsid w:val="00F26706"/>
    <w:rsid w:val="00F26859"/>
    <w:rsid w:val="00F26BEF"/>
    <w:rsid w:val="00F26D9D"/>
    <w:rsid w:val="00F26E53"/>
    <w:rsid w:val="00F26E79"/>
    <w:rsid w:val="00F27092"/>
    <w:rsid w:val="00F2783D"/>
    <w:rsid w:val="00F27B06"/>
    <w:rsid w:val="00F27B12"/>
    <w:rsid w:val="00F27BF2"/>
    <w:rsid w:val="00F27DBB"/>
    <w:rsid w:val="00F27E51"/>
    <w:rsid w:val="00F300B2"/>
    <w:rsid w:val="00F30C55"/>
    <w:rsid w:val="00F3104E"/>
    <w:rsid w:val="00F3113B"/>
    <w:rsid w:val="00F3124B"/>
    <w:rsid w:val="00F3148F"/>
    <w:rsid w:val="00F31B40"/>
    <w:rsid w:val="00F325E5"/>
    <w:rsid w:val="00F32834"/>
    <w:rsid w:val="00F328D6"/>
    <w:rsid w:val="00F32A5F"/>
    <w:rsid w:val="00F333C7"/>
    <w:rsid w:val="00F333CD"/>
    <w:rsid w:val="00F3362D"/>
    <w:rsid w:val="00F337A7"/>
    <w:rsid w:val="00F33997"/>
    <w:rsid w:val="00F33F75"/>
    <w:rsid w:val="00F340FB"/>
    <w:rsid w:val="00F341BF"/>
    <w:rsid w:val="00F34367"/>
    <w:rsid w:val="00F3468E"/>
    <w:rsid w:val="00F34848"/>
    <w:rsid w:val="00F34A1E"/>
    <w:rsid w:val="00F34D51"/>
    <w:rsid w:val="00F34F05"/>
    <w:rsid w:val="00F34F8D"/>
    <w:rsid w:val="00F35009"/>
    <w:rsid w:val="00F35256"/>
    <w:rsid w:val="00F356C7"/>
    <w:rsid w:val="00F35A55"/>
    <w:rsid w:val="00F35D86"/>
    <w:rsid w:val="00F35EBB"/>
    <w:rsid w:val="00F35F5C"/>
    <w:rsid w:val="00F361DB"/>
    <w:rsid w:val="00F367E2"/>
    <w:rsid w:val="00F36A97"/>
    <w:rsid w:val="00F371BE"/>
    <w:rsid w:val="00F377A5"/>
    <w:rsid w:val="00F40199"/>
    <w:rsid w:val="00F40203"/>
    <w:rsid w:val="00F402E4"/>
    <w:rsid w:val="00F40461"/>
    <w:rsid w:val="00F407D5"/>
    <w:rsid w:val="00F409FD"/>
    <w:rsid w:val="00F40DF9"/>
    <w:rsid w:val="00F411FF"/>
    <w:rsid w:val="00F41362"/>
    <w:rsid w:val="00F413E2"/>
    <w:rsid w:val="00F4142E"/>
    <w:rsid w:val="00F41742"/>
    <w:rsid w:val="00F417C2"/>
    <w:rsid w:val="00F41B1B"/>
    <w:rsid w:val="00F41C55"/>
    <w:rsid w:val="00F41C8F"/>
    <w:rsid w:val="00F41F55"/>
    <w:rsid w:val="00F42093"/>
    <w:rsid w:val="00F4225A"/>
    <w:rsid w:val="00F4246C"/>
    <w:rsid w:val="00F42806"/>
    <w:rsid w:val="00F429EA"/>
    <w:rsid w:val="00F42BB7"/>
    <w:rsid w:val="00F4307D"/>
    <w:rsid w:val="00F430F8"/>
    <w:rsid w:val="00F43156"/>
    <w:rsid w:val="00F43607"/>
    <w:rsid w:val="00F4366D"/>
    <w:rsid w:val="00F43727"/>
    <w:rsid w:val="00F43980"/>
    <w:rsid w:val="00F43B1F"/>
    <w:rsid w:val="00F43C4C"/>
    <w:rsid w:val="00F43C76"/>
    <w:rsid w:val="00F4411A"/>
    <w:rsid w:val="00F44302"/>
    <w:rsid w:val="00F4466D"/>
    <w:rsid w:val="00F447E0"/>
    <w:rsid w:val="00F4507B"/>
    <w:rsid w:val="00F45341"/>
    <w:rsid w:val="00F45395"/>
    <w:rsid w:val="00F4547A"/>
    <w:rsid w:val="00F45823"/>
    <w:rsid w:val="00F45BBF"/>
    <w:rsid w:val="00F45CB6"/>
    <w:rsid w:val="00F45D73"/>
    <w:rsid w:val="00F45D81"/>
    <w:rsid w:val="00F45F6A"/>
    <w:rsid w:val="00F45F95"/>
    <w:rsid w:val="00F461D5"/>
    <w:rsid w:val="00F46CB3"/>
    <w:rsid w:val="00F46D17"/>
    <w:rsid w:val="00F46D4E"/>
    <w:rsid w:val="00F46DFC"/>
    <w:rsid w:val="00F472B1"/>
    <w:rsid w:val="00F47334"/>
    <w:rsid w:val="00F47610"/>
    <w:rsid w:val="00F47B4F"/>
    <w:rsid w:val="00F47B87"/>
    <w:rsid w:val="00F47BE1"/>
    <w:rsid w:val="00F47E5C"/>
    <w:rsid w:val="00F47EC1"/>
    <w:rsid w:val="00F47FC5"/>
    <w:rsid w:val="00F50C68"/>
    <w:rsid w:val="00F50D1F"/>
    <w:rsid w:val="00F5102D"/>
    <w:rsid w:val="00F51451"/>
    <w:rsid w:val="00F5151E"/>
    <w:rsid w:val="00F51BDD"/>
    <w:rsid w:val="00F51F7A"/>
    <w:rsid w:val="00F51F83"/>
    <w:rsid w:val="00F521C6"/>
    <w:rsid w:val="00F523D2"/>
    <w:rsid w:val="00F523D9"/>
    <w:rsid w:val="00F524C2"/>
    <w:rsid w:val="00F527FD"/>
    <w:rsid w:val="00F52823"/>
    <w:rsid w:val="00F530FE"/>
    <w:rsid w:val="00F535F4"/>
    <w:rsid w:val="00F53A08"/>
    <w:rsid w:val="00F53B28"/>
    <w:rsid w:val="00F53D96"/>
    <w:rsid w:val="00F5444A"/>
    <w:rsid w:val="00F5449B"/>
    <w:rsid w:val="00F54645"/>
    <w:rsid w:val="00F54A54"/>
    <w:rsid w:val="00F54DE3"/>
    <w:rsid w:val="00F551AB"/>
    <w:rsid w:val="00F552E3"/>
    <w:rsid w:val="00F5568E"/>
    <w:rsid w:val="00F55854"/>
    <w:rsid w:val="00F558F5"/>
    <w:rsid w:val="00F55924"/>
    <w:rsid w:val="00F55AD1"/>
    <w:rsid w:val="00F55DCE"/>
    <w:rsid w:val="00F55E84"/>
    <w:rsid w:val="00F5604B"/>
    <w:rsid w:val="00F561F4"/>
    <w:rsid w:val="00F565AD"/>
    <w:rsid w:val="00F5675D"/>
    <w:rsid w:val="00F56C00"/>
    <w:rsid w:val="00F56F2F"/>
    <w:rsid w:val="00F577D5"/>
    <w:rsid w:val="00F57D6C"/>
    <w:rsid w:val="00F606D3"/>
    <w:rsid w:val="00F6077B"/>
    <w:rsid w:val="00F607F9"/>
    <w:rsid w:val="00F60836"/>
    <w:rsid w:val="00F60E18"/>
    <w:rsid w:val="00F60F63"/>
    <w:rsid w:val="00F61350"/>
    <w:rsid w:val="00F616C6"/>
    <w:rsid w:val="00F62234"/>
    <w:rsid w:val="00F626BE"/>
    <w:rsid w:val="00F62806"/>
    <w:rsid w:val="00F62A71"/>
    <w:rsid w:val="00F636CA"/>
    <w:rsid w:val="00F63796"/>
    <w:rsid w:val="00F63925"/>
    <w:rsid w:val="00F63A60"/>
    <w:rsid w:val="00F63E18"/>
    <w:rsid w:val="00F63F71"/>
    <w:rsid w:val="00F63FC1"/>
    <w:rsid w:val="00F64110"/>
    <w:rsid w:val="00F64204"/>
    <w:rsid w:val="00F642F3"/>
    <w:rsid w:val="00F64363"/>
    <w:rsid w:val="00F6488E"/>
    <w:rsid w:val="00F648CF"/>
    <w:rsid w:val="00F65191"/>
    <w:rsid w:val="00F65363"/>
    <w:rsid w:val="00F65538"/>
    <w:rsid w:val="00F6579A"/>
    <w:rsid w:val="00F65820"/>
    <w:rsid w:val="00F659CA"/>
    <w:rsid w:val="00F65AA4"/>
    <w:rsid w:val="00F65DA0"/>
    <w:rsid w:val="00F65DBF"/>
    <w:rsid w:val="00F660A8"/>
    <w:rsid w:val="00F66223"/>
    <w:rsid w:val="00F66954"/>
    <w:rsid w:val="00F669D3"/>
    <w:rsid w:val="00F66AC0"/>
    <w:rsid w:val="00F66AFB"/>
    <w:rsid w:val="00F66C43"/>
    <w:rsid w:val="00F6706F"/>
    <w:rsid w:val="00F6716B"/>
    <w:rsid w:val="00F67423"/>
    <w:rsid w:val="00F6789E"/>
    <w:rsid w:val="00F6790D"/>
    <w:rsid w:val="00F67A0A"/>
    <w:rsid w:val="00F67DEA"/>
    <w:rsid w:val="00F67E25"/>
    <w:rsid w:val="00F67F3A"/>
    <w:rsid w:val="00F705ED"/>
    <w:rsid w:val="00F70857"/>
    <w:rsid w:val="00F709ED"/>
    <w:rsid w:val="00F70D33"/>
    <w:rsid w:val="00F71335"/>
    <w:rsid w:val="00F7159C"/>
    <w:rsid w:val="00F71C65"/>
    <w:rsid w:val="00F71CE1"/>
    <w:rsid w:val="00F71FB3"/>
    <w:rsid w:val="00F72359"/>
    <w:rsid w:val="00F72363"/>
    <w:rsid w:val="00F72801"/>
    <w:rsid w:val="00F72DDB"/>
    <w:rsid w:val="00F72DE6"/>
    <w:rsid w:val="00F73187"/>
    <w:rsid w:val="00F7324F"/>
    <w:rsid w:val="00F739B9"/>
    <w:rsid w:val="00F73F44"/>
    <w:rsid w:val="00F740EF"/>
    <w:rsid w:val="00F7428A"/>
    <w:rsid w:val="00F749AA"/>
    <w:rsid w:val="00F751DB"/>
    <w:rsid w:val="00F754EB"/>
    <w:rsid w:val="00F75888"/>
    <w:rsid w:val="00F75F02"/>
    <w:rsid w:val="00F76171"/>
    <w:rsid w:val="00F766EC"/>
    <w:rsid w:val="00F76B80"/>
    <w:rsid w:val="00F76D9B"/>
    <w:rsid w:val="00F76EF9"/>
    <w:rsid w:val="00F76FAF"/>
    <w:rsid w:val="00F77197"/>
    <w:rsid w:val="00F772FD"/>
    <w:rsid w:val="00F77577"/>
    <w:rsid w:val="00F77D1E"/>
    <w:rsid w:val="00F80042"/>
    <w:rsid w:val="00F8016E"/>
    <w:rsid w:val="00F8059C"/>
    <w:rsid w:val="00F806D9"/>
    <w:rsid w:val="00F80E78"/>
    <w:rsid w:val="00F8128D"/>
    <w:rsid w:val="00F81334"/>
    <w:rsid w:val="00F817D3"/>
    <w:rsid w:val="00F81824"/>
    <w:rsid w:val="00F81A12"/>
    <w:rsid w:val="00F81EE9"/>
    <w:rsid w:val="00F8298B"/>
    <w:rsid w:val="00F82B50"/>
    <w:rsid w:val="00F82BEE"/>
    <w:rsid w:val="00F83160"/>
    <w:rsid w:val="00F832E4"/>
    <w:rsid w:val="00F833FE"/>
    <w:rsid w:val="00F83751"/>
    <w:rsid w:val="00F83A34"/>
    <w:rsid w:val="00F83EDE"/>
    <w:rsid w:val="00F841D6"/>
    <w:rsid w:val="00F84A69"/>
    <w:rsid w:val="00F84A75"/>
    <w:rsid w:val="00F84DE6"/>
    <w:rsid w:val="00F85013"/>
    <w:rsid w:val="00F85121"/>
    <w:rsid w:val="00F854FB"/>
    <w:rsid w:val="00F8579D"/>
    <w:rsid w:val="00F858E4"/>
    <w:rsid w:val="00F85B77"/>
    <w:rsid w:val="00F85CF7"/>
    <w:rsid w:val="00F8600F"/>
    <w:rsid w:val="00F8607A"/>
    <w:rsid w:val="00F86355"/>
    <w:rsid w:val="00F863D2"/>
    <w:rsid w:val="00F8653A"/>
    <w:rsid w:val="00F86935"/>
    <w:rsid w:val="00F86A0F"/>
    <w:rsid w:val="00F86A3F"/>
    <w:rsid w:val="00F86D4F"/>
    <w:rsid w:val="00F8768F"/>
    <w:rsid w:val="00F87B86"/>
    <w:rsid w:val="00F87C2F"/>
    <w:rsid w:val="00F87DD6"/>
    <w:rsid w:val="00F87FC9"/>
    <w:rsid w:val="00F90007"/>
    <w:rsid w:val="00F90528"/>
    <w:rsid w:val="00F90705"/>
    <w:rsid w:val="00F908F4"/>
    <w:rsid w:val="00F90B77"/>
    <w:rsid w:val="00F912E5"/>
    <w:rsid w:val="00F9134A"/>
    <w:rsid w:val="00F915D5"/>
    <w:rsid w:val="00F917DF"/>
    <w:rsid w:val="00F91A22"/>
    <w:rsid w:val="00F91C18"/>
    <w:rsid w:val="00F91CF9"/>
    <w:rsid w:val="00F91E74"/>
    <w:rsid w:val="00F91FCE"/>
    <w:rsid w:val="00F9242B"/>
    <w:rsid w:val="00F9275B"/>
    <w:rsid w:val="00F92B71"/>
    <w:rsid w:val="00F92B85"/>
    <w:rsid w:val="00F92EB5"/>
    <w:rsid w:val="00F92EFD"/>
    <w:rsid w:val="00F931BF"/>
    <w:rsid w:val="00F932E6"/>
    <w:rsid w:val="00F932FF"/>
    <w:rsid w:val="00F9356B"/>
    <w:rsid w:val="00F93D8B"/>
    <w:rsid w:val="00F93FE8"/>
    <w:rsid w:val="00F9415C"/>
    <w:rsid w:val="00F94234"/>
    <w:rsid w:val="00F9503C"/>
    <w:rsid w:val="00F95158"/>
    <w:rsid w:val="00F9545B"/>
    <w:rsid w:val="00F95764"/>
    <w:rsid w:val="00F96008"/>
    <w:rsid w:val="00F967A4"/>
    <w:rsid w:val="00F96A0E"/>
    <w:rsid w:val="00F96D48"/>
    <w:rsid w:val="00F96FA9"/>
    <w:rsid w:val="00F97798"/>
    <w:rsid w:val="00F97AB5"/>
    <w:rsid w:val="00F97D4F"/>
    <w:rsid w:val="00FA0151"/>
    <w:rsid w:val="00FA05A6"/>
    <w:rsid w:val="00FA09C4"/>
    <w:rsid w:val="00FA0A67"/>
    <w:rsid w:val="00FA0B5D"/>
    <w:rsid w:val="00FA0E4A"/>
    <w:rsid w:val="00FA0E60"/>
    <w:rsid w:val="00FA135A"/>
    <w:rsid w:val="00FA149D"/>
    <w:rsid w:val="00FA1586"/>
    <w:rsid w:val="00FA16FD"/>
    <w:rsid w:val="00FA1705"/>
    <w:rsid w:val="00FA1B9A"/>
    <w:rsid w:val="00FA1D1A"/>
    <w:rsid w:val="00FA2171"/>
    <w:rsid w:val="00FA2176"/>
    <w:rsid w:val="00FA22DC"/>
    <w:rsid w:val="00FA2554"/>
    <w:rsid w:val="00FA2623"/>
    <w:rsid w:val="00FA271F"/>
    <w:rsid w:val="00FA2D5B"/>
    <w:rsid w:val="00FA2DA4"/>
    <w:rsid w:val="00FA357D"/>
    <w:rsid w:val="00FA364D"/>
    <w:rsid w:val="00FA3786"/>
    <w:rsid w:val="00FA387B"/>
    <w:rsid w:val="00FA3E45"/>
    <w:rsid w:val="00FA450C"/>
    <w:rsid w:val="00FA463D"/>
    <w:rsid w:val="00FA48A9"/>
    <w:rsid w:val="00FA4988"/>
    <w:rsid w:val="00FA4DD4"/>
    <w:rsid w:val="00FA5049"/>
    <w:rsid w:val="00FA5268"/>
    <w:rsid w:val="00FA53D2"/>
    <w:rsid w:val="00FA5404"/>
    <w:rsid w:val="00FA5505"/>
    <w:rsid w:val="00FA592D"/>
    <w:rsid w:val="00FA5A67"/>
    <w:rsid w:val="00FA5B25"/>
    <w:rsid w:val="00FA5D5D"/>
    <w:rsid w:val="00FA6471"/>
    <w:rsid w:val="00FA6A80"/>
    <w:rsid w:val="00FA6B13"/>
    <w:rsid w:val="00FA6B9D"/>
    <w:rsid w:val="00FA73E5"/>
    <w:rsid w:val="00FA74DA"/>
    <w:rsid w:val="00FA75DD"/>
    <w:rsid w:val="00FA7688"/>
    <w:rsid w:val="00FA7A20"/>
    <w:rsid w:val="00FA7DF9"/>
    <w:rsid w:val="00FB0441"/>
    <w:rsid w:val="00FB04CB"/>
    <w:rsid w:val="00FB06F9"/>
    <w:rsid w:val="00FB0B35"/>
    <w:rsid w:val="00FB0F07"/>
    <w:rsid w:val="00FB1012"/>
    <w:rsid w:val="00FB107E"/>
    <w:rsid w:val="00FB1E83"/>
    <w:rsid w:val="00FB1EBB"/>
    <w:rsid w:val="00FB227C"/>
    <w:rsid w:val="00FB2F1C"/>
    <w:rsid w:val="00FB32F6"/>
    <w:rsid w:val="00FB36FA"/>
    <w:rsid w:val="00FB3BF3"/>
    <w:rsid w:val="00FB3FF1"/>
    <w:rsid w:val="00FB4B28"/>
    <w:rsid w:val="00FB4C1C"/>
    <w:rsid w:val="00FB4C90"/>
    <w:rsid w:val="00FB503E"/>
    <w:rsid w:val="00FB557D"/>
    <w:rsid w:val="00FB57E9"/>
    <w:rsid w:val="00FB5D21"/>
    <w:rsid w:val="00FB5DAA"/>
    <w:rsid w:val="00FB669E"/>
    <w:rsid w:val="00FB694F"/>
    <w:rsid w:val="00FB6C60"/>
    <w:rsid w:val="00FB6DE5"/>
    <w:rsid w:val="00FB7013"/>
    <w:rsid w:val="00FB7245"/>
    <w:rsid w:val="00FB7406"/>
    <w:rsid w:val="00FB7541"/>
    <w:rsid w:val="00FB759F"/>
    <w:rsid w:val="00FB7B52"/>
    <w:rsid w:val="00FC016C"/>
    <w:rsid w:val="00FC019D"/>
    <w:rsid w:val="00FC04DE"/>
    <w:rsid w:val="00FC0728"/>
    <w:rsid w:val="00FC096C"/>
    <w:rsid w:val="00FC0C57"/>
    <w:rsid w:val="00FC1279"/>
    <w:rsid w:val="00FC16E7"/>
    <w:rsid w:val="00FC1A96"/>
    <w:rsid w:val="00FC1ACD"/>
    <w:rsid w:val="00FC1D09"/>
    <w:rsid w:val="00FC2179"/>
    <w:rsid w:val="00FC27CB"/>
    <w:rsid w:val="00FC28BE"/>
    <w:rsid w:val="00FC299C"/>
    <w:rsid w:val="00FC2EDD"/>
    <w:rsid w:val="00FC2F7D"/>
    <w:rsid w:val="00FC33BC"/>
    <w:rsid w:val="00FC3714"/>
    <w:rsid w:val="00FC3869"/>
    <w:rsid w:val="00FC3951"/>
    <w:rsid w:val="00FC3A7F"/>
    <w:rsid w:val="00FC4244"/>
    <w:rsid w:val="00FC4439"/>
    <w:rsid w:val="00FC4FB3"/>
    <w:rsid w:val="00FC50D2"/>
    <w:rsid w:val="00FC555E"/>
    <w:rsid w:val="00FC55BD"/>
    <w:rsid w:val="00FC57EE"/>
    <w:rsid w:val="00FC5999"/>
    <w:rsid w:val="00FC5F33"/>
    <w:rsid w:val="00FC6261"/>
    <w:rsid w:val="00FC62E2"/>
    <w:rsid w:val="00FC6A14"/>
    <w:rsid w:val="00FC7215"/>
    <w:rsid w:val="00FC72BA"/>
    <w:rsid w:val="00FC7691"/>
    <w:rsid w:val="00FC7852"/>
    <w:rsid w:val="00FC789D"/>
    <w:rsid w:val="00FC7B8E"/>
    <w:rsid w:val="00FC7E4C"/>
    <w:rsid w:val="00FC7F8B"/>
    <w:rsid w:val="00FD03C5"/>
    <w:rsid w:val="00FD14B3"/>
    <w:rsid w:val="00FD184E"/>
    <w:rsid w:val="00FD1D97"/>
    <w:rsid w:val="00FD1F60"/>
    <w:rsid w:val="00FD275C"/>
    <w:rsid w:val="00FD28E4"/>
    <w:rsid w:val="00FD2998"/>
    <w:rsid w:val="00FD29FA"/>
    <w:rsid w:val="00FD2B96"/>
    <w:rsid w:val="00FD2BFC"/>
    <w:rsid w:val="00FD2C43"/>
    <w:rsid w:val="00FD351E"/>
    <w:rsid w:val="00FD352A"/>
    <w:rsid w:val="00FD354D"/>
    <w:rsid w:val="00FD3682"/>
    <w:rsid w:val="00FD4013"/>
    <w:rsid w:val="00FD4228"/>
    <w:rsid w:val="00FD42F3"/>
    <w:rsid w:val="00FD43C4"/>
    <w:rsid w:val="00FD45D3"/>
    <w:rsid w:val="00FD46B1"/>
    <w:rsid w:val="00FD46FB"/>
    <w:rsid w:val="00FD4AC2"/>
    <w:rsid w:val="00FD4AC7"/>
    <w:rsid w:val="00FD4DB6"/>
    <w:rsid w:val="00FD4EC6"/>
    <w:rsid w:val="00FD4FA9"/>
    <w:rsid w:val="00FD5AF7"/>
    <w:rsid w:val="00FD5BB7"/>
    <w:rsid w:val="00FD6075"/>
    <w:rsid w:val="00FD6185"/>
    <w:rsid w:val="00FD68C8"/>
    <w:rsid w:val="00FD68DF"/>
    <w:rsid w:val="00FD6C01"/>
    <w:rsid w:val="00FD6C23"/>
    <w:rsid w:val="00FD6C99"/>
    <w:rsid w:val="00FD710F"/>
    <w:rsid w:val="00FD7C00"/>
    <w:rsid w:val="00FD7F9C"/>
    <w:rsid w:val="00FD7FC1"/>
    <w:rsid w:val="00FE02E6"/>
    <w:rsid w:val="00FE0CC4"/>
    <w:rsid w:val="00FE0D77"/>
    <w:rsid w:val="00FE0E24"/>
    <w:rsid w:val="00FE0E92"/>
    <w:rsid w:val="00FE0EC2"/>
    <w:rsid w:val="00FE0F4A"/>
    <w:rsid w:val="00FE156E"/>
    <w:rsid w:val="00FE2087"/>
    <w:rsid w:val="00FE256B"/>
    <w:rsid w:val="00FE2571"/>
    <w:rsid w:val="00FE268D"/>
    <w:rsid w:val="00FE3160"/>
    <w:rsid w:val="00FE340C"/>
    <w:rsid w:val="00FE345C"/>
    <w:rsid w:val="00FE369F"/>
    <w:rsid w:val="00FE3B45"/>
    <w:rsid w:val="00FE3E76"/>
    <w:rsid w:val="00FE425C"/>
    <w:rsid w:val="00FE443B"/>
    <w:rsid w:val="00FE4580"/>
    <w:rsid w:val="00FE49FB"/>
    <w:rsid w:val="00FE4C6A"/>
    <w:rsid w:val="00FE4CA9"/>
    <w:rsid w:val="00FE4EE9"/>
    <w:rsid w:val="00FE511B"/>
    <w:rsid w:val="00FE52A8"/>
    <w:rsid w:val="00FE5711"/>
    <w:rsid w:val="00FE57C0"/>
    <w:rsid w:val="00FE5812"/>
    <w:rsid w:val="00FE5B71"/>
    <w:rsid w:val="00FE5D67"/>
    <w:rsid w:val="00FE5E30"/>
    <w:rsid w:val="00FE5E7F"/>
    <w:rsid w:val="00FE69C5"/>
    <w:rsid w:val="00FE6B5A"/>
    <w:rsid w:val="00FE6DC7"/>
    <w:rsid w:val="00FE72FE"/>
    <w:rsid w:val="00FE7367"/>
    <w:rsid w:val="00FE7399"/>
    <w:rsid w:val="00FE768B"/>
    <w:rsid w:val="00FE7704"/>
    <w:rsid w:val="00FE7838"/>
    <w:rsid w:val="00FE7DF6"/>
    <w:rsid w:val="00FE7F75"/>
    <w:rsid w:val="00FF015F"/>
    <w:rsid w:val="00FF0286"/>
    <w:rsid w:val="00FF0596"/>
    <w:rsid w:val="00FF0D2A"/>
    <w:rsid w:val="00FF154E"/>
    <w:rsid w:val="00FF1709"/>
    <w:rsid w:val="00FF1797"/>
    <w:rsid w:val="00FF1CCF"/>
    <w:rsid w:val="00FF1D41"/>
    <w:rsid w:val="00FF2671"/>
    <w:rsid w:val="00FF2B97"/>
    <w:rsid w:val="00FF2E92"/>
    <w:rsid w:val="00FF2F28"/>
    <w:rsid w:val="00FF3259"/>
    <w:rsid w:val="00FF32D6"/>
    <w:rsid w:val="00FF391B"/>
    <w:rsid w:val="00FF3978"/>
    <w:rsid w:val="00FF3A46"/>
    <w:rsid w:val="00FF3A51"/>
    <w:rsid w:val="00FF4550"/>
    <w:rsid w:val="00FF4564"/>
    <w:rsid w:val="00FF4615"/>
    <w:rsid w:val="00FF49C3"/>
    <w:rsid w:val="00FF4A53"/>
    <w:rsid w:val="00FF4DA8"/>
    <w:rsid w:val="00FF52E3"/>
    <w:rsid w:val="00FF547E"/>
    <w:rsid w:val="00FF5AA3"/>
    <w:rsid w:val="00FF61CF"/>
    <w:rsid w:val="00FF6548"/>
    <w:rsid w:val="00FF6892"/>
    <w:rsid w:val="00FF6A8C"/>
    <w:rsid w:val="00FF70FD"/>
    <w:rsid w:val="00FF7597"/>
    <w:rsid w:val="00FF7710"/>
    <w:rsid w:val="00FF79EE"/>
    <w:rsid w:val="0164CAD7"/>
    <w:rsid w:val="0181F3A3"/>
    <w:rsid w:val="020D8228"/>
    <w:rsid w:val="02207D67"/>
    <w:rsid w:val="02D2101D"/>
    <w:rsid w:val="0372EC92"/>
    <w:rsid w:val="03C90A21"/>
    <w:rsid w:val="04E9A922"/>
    <w:rsid w:val="04EEF944"/>
    <w:rsid w:val="066D52E0"/>
    <w:rsid w:val="06C37F32"/>
    <w:rsid w:val="076A88A4"/>
    <w:rsid w:val="082E8E47"/>
    <w:rsid w:val="0911FF50"/>
    <w:rsid w:val="092AE1CD"/>
    <w:rsid w:val="0A87BB49"/>
    <w:rsid w:val="0AC2F883"/>
    <w:rsid w:val="0B4C483E"/>
    <w:rsid w:val="0B78956F"/>
    <w:rsid w:val="0C1215A3"/>
    <w:rsid w:val="0D330989"/>
    <w:rsid w:val="0E591EDC"/>
    <w:rsid w:val="0EABDCB9"/>
    <w:rsid w:val="0FE3A3A1"/>
    <w:rsid w:val="1063B4CC"/>
    <w:rsid w:val="10E51DAF"/>
    <w:rsid w:val="11B2721C"/>
    <w:rsid w:val="11C0CC3B"/>
    <w:rsid w:val="1225B3FE"/>
    <w:rsid w:val="12D32382"/>
    <w:rsid w:val="12FF5DC1"/>
    <w:rsid w:val="1353C4D5"/>
    <w:rsid w:val="159D18DF"/>
    <w:rsid w:val="17D992A3"/>
    <w:rsid w:val="183996A2"/>
    <w:rsid w:val="192C9B47"/>
    <w:rsid w:val="1B64BCFB"/>
    <w:rsid w:val="1BC39E2C"/>
    <w:rsid w:val="1BDE897C"/>
    <w:rsid w:val="1C27B004"/>
    <w:rsid w:val="1C98B3B3"/>
    <w:rsid w:val="1CCA215A"/>
    <w:rsid w:val="1CE762EF"/>
    <w:rsid w:val="1D09E1AF"/>
    <w:rsid w:val="1E95AE49"/>
    <w:rsid w:val="1F1763D7"/>
    <w:rsid w:val="1F4BBAA5"/>
    <w:rsid w:val="210728F5"/>
    <w:rsid w:val="2113C025"/>
    <w:rsid w:val="21593CCD"/>
    <w:rsid w:val="2194D2E2"/>
    <w:rsid w:val="231D041B"/>
    <w:rsid w:val="233244CB"/>
    <w:rsid w:val="247A1587"/>
    <w:rsid w:val="2482B587"/>
    <w:rsid w:val="2483FF4A"/>
    <w:rsid w:val="248C4BD4"/>
    <w:rsid w:val="25C39580"/>
    <w:rsid w:val="26281C35"/>
    <w:rsid w:val="263458D2"/>
    <w:rsid w:val="286A9D9E"/>
    <w:rsid w:val="28889328"/>
    <w:rsid w:val="28E7F62E"/>
    <w:rsid w:val="299852CE"/>
    <w:rsid w:val="2A28BA10"/>
    <w:rsid w:val="2BCD234F"/>
    <w:rsid w:val="2C84DB3F"/>
    <w:rsid w:val="2D041B66"/>
    <w:rsid w:val="2D3273DC"/>
    <w:rsid w:val="2D4A19E7"/>
    <w:rsid w:val="2D749A5E"/>
    <w:rsid w:val="2DA47732"/>
    <w:rsid w:val="2E0BC674"/>
    <w:rsid w:val="2E60754A"/>
    <w:rsid w:val="2EAF38A2"/>
    <w:rsid w:val="2FB70F22"/>
    <w:rsid w:val="30D900C5"/>
    <w:rsid w:val="311293FB"/>
    <w:rsid w:val="33C00FC4"/>
    <w:rsid w:val="35C19A56"/>
    <w:rsid w:val="3620C80F"/>
    <w:rsid w:val="36388F5D"/>
    <w:rsid w:val="3655E3BD"/>
    <w:rsid w:val="38BC2CA5"/>
    <w:rsid w:val="3A3B0544"/>
    <w:rsid w:val="3AF63D39"/>
    <w:rsid w:val="3C046EC5"/>
    <w:rsid w:val="3C479C7B"/>
    <w:rsid w:val="3F9F5287"/>
    <w:rsid w:val="3FECA777"/>
    <w:rsid w:val="4026B549"/>
    <w:rsid w:val="40B76420"/>
    <w:rsid w:val="41617876"/>
    <w:rsid w:val="41B43A1F"/>
    <w:rsid w:val="4272F991"/>
    <w:rsid w:val="42AB5293"/>
    <w:rsid w:val="450972F1"/>
    <w:rsid w:val="468BB13F"/>
    <w:rsid w:val="476576C8"/>
    <w:rsid w:val="47912D67"/>
    <w:rsid w:val="484C3D1F"/>
    <w:rsid w:val="493678C3"/>
    <w:rsid w:val="495DC15C"/>
    <w:rsid w:val="4965F431"/>
    <w:rsid w:val="4AAE621C"/>
    <w:rsid w:val="4B5A3788"/>
    <w:rsid w:val="4B649ABE"/>
    <w:rsid w:val="4C990634"/>
    <w:rsid w:val="4E56350E"/>
    <w:rsid w:val="501B8DB4"/>
    <w:rsid w:val="50E280EB"/>
    <w:rsid w:val="52DCF063"/>
    <w:rsid w:val="5699289F"/>
    <w:rsid w:val="5756367D"/>
    <w:rsid w:val="5827DA32"/>
    <w:rsid w:val="596B579C"/>
    <w:rsid w:val="5A4B11E0"/>
    <w:rsid w:val="5B422E39"/>
    <w:rsid w:val="5BCC7D3B"/>
    <w:rsid w:val="5CC1F646"/>
    <w:rsid w:val="5DC2D596"/>
    <w:rsid w:val="5E2B0A7B"/>
    <w:rsid w:val="5F2DCE53"/>
    <w:rsid w:val="614D0E60"/>
    <w:rsid w:val="63D4B27F"/>
    <w:rsid w:val="65F89DFB"/>
    <w:rsid w:val="67AC9FC9"/>
    <w:rsid w:val="68F87CB8"/>
    <w:rsid w:val="69146B3A"/>
    <w:rsid w:val="693AA02C"/>
    <w:rsid w:val="697D7019"/>
    <w:rsid w:val="6A896788"/>
    <w:rsid w:val="6C3A5594"/>
    <w:rsid w:val="6CEA4F4B"/>
    <w:rsid w:val="6E8017E9"/>
    <w:rsid w:val="7013D873"/>
    <w:rsid w:val="711584EB"/>
    <w:rsid w:val="71393099"/>
    <w:rsid w:val="713C02EA"/>
    <w:rsid w:val="719B88D6"/>
    <w:rsid w:val="7249220A"/>
    <w:rsid w:val="724C9F7C"/>
    <w:rsid w:val="7307344E"/>
    <w:rsid w:val="73489917"/>
    <w:rsid w:val="737E9755"/>
    <w:rsid w:val="73995A7A"/>
    <w:rsid w:val="73F05BAF"/>
    <w:rsid w:val="7484553D"/>
    <w:rsid w:val="74DB1D2B"/>
    <w:rsid w:val="75169F40"/>
    <w:rsid w:val="75CE137A"/>
    <w:rsid w:val="76736F2F"/>
    <w:rsid w:val="77511B0A"/>
    <w:rsid w:val="784AEAA5"/>
    <w:rsid w:val="7A514967"/>
    <w:rsid w:val="7AD0B41A"/>
    <w:rsid w:val="7CAC3A54"/>
    <w:rsid w:val="7D056DB0"/>
    <w:rsid w:val="7EAB5507"/>
    <w:rsid w:val="7F3A32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58"/>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3"/>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3"/>
      </w:numPr>
      <w:spacing w:before="48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3"/>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DA5FBF"/>
    <w:pPr>
      <w:keepNext/>
      <w:numPr>
        <w:ilvl w:val="4"/>
        <w:numId w:val="3"/>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3"/>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DA5FBF"/>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5"/>
      </w:numPr>
      <w:suppressAutoHyphens/>
    </w:pPr>
    <w:rPr>
      <w:rFonts w:eastAsia="Times New Roman" w:cs="Times New Roman"/>
      <w:szCs w:val="19"/>
      <w:lang w:eastAsia="en-AU"/>
    </w:rPr>
  </w:style>
  <w:style w:type="paragraph" w:customStyle="1" w:styleId="TableNheader">
    <w:name w:val="Table N header"/>
    <w:basedOn w:val="Normal"/>
    <w:uiPriority w:val="1"/>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1"/>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4"/>
      </w:numPr>
      <w:spacing w:before="60" w:after="60"/>
    </w:pPr>
    <w:rPr>
      <w:sz w:val="17"/>
    </w:rPr>
  </w:style>
  <w:style w:type="paragraph" w:customStyle="1" w:styleId="TableNListnumbered0">
    <w:name w:val="Table N List (numbered)"/>
    <w:basedOn w:val="TableNBullet"/>
    <w:uiPriority w:val="2"/>
    <w:qFormat/>
    <w:rsid w:val="005117E0"/>
    <w:pPr>
      <w:numPr>
        <w:numId w:val="14"/>
      </w:numPr>
      <w:ind w:left="227"/>
    </w:pPr>
  </w:style>
  <w:style w:type="paragraph" w:customStyle="1" w:styleId="xAppendixLevel1">
    <w:name w:val="xAppendix Level 1"/>
    <w:basedOn w:val="Heading1"/>
    <w:next w:val="Normal"/>
    <w:uiPriority w:val="98"/>
    <w:qFormat/>
    <w:rsid w:val="00214A1E"/>
    <w:pPr>
      <w:numPr>
        <w:numId w:val="1"/>
      </w:numPr>
      <w:spacing w:line="240" w:lineRule="auto"/>
    </w:pPr>
    <w:rPr>
      <w:bCs/>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link w:val="ListnumberedChar"/>
    <w:uiPriority w:val="4"/>
    <w:qFormat/>
    <w:rsid w:val="005B016D"/>
    <w:pPr>
      <w:numPr>
        <w:numId w:val="1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1"/>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2"/>
    <w:qFormat/>
    <w:rsid w:val="00F660A8"/>
    <w:pPr>
      <w:numPr>
        <w:numId w:val="12"/>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Text" w:hAnsi="Sitka Tex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Light" w:hAnsi="Segoe UI Light"/>
        <w:sz w:val="17"/>
      </w:rPr>
    </w:tblStylePr>
    <w:tblStylePr w:type="band2Horz">
      <w:rPr>
        <w:rFonts w:ascii="Segoe UI Light" w:hAnsi="Segoe UI Light"/>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itka Text" w:hAnsi="Sitka Text"/>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itka Text" w:hAnsi="Sitka Tex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itka Text" w:hAnsi="Sitka Text"/>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6"/>
      </w:numPr>
      <w:ind w:left="340" w:hanging="340"/>
    </w:pPr>
  </w:style>
  <w:style w:type="paragraph" w:customStyle="1" w:styleId="longformcalloutnumber">
    <w:name w:val="long form callout number"/>
    <w:basedOn w:val="longformcalloutbullet"/>
    <w:uiPriority w:val="20"/>
    <w:qFormat/>
    <w:rsid w:val="005F382F"/>
    <w:pPr>
      <w:numPr>
        <w:numId w:val="7"/>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5C19A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8"/>
      </w:numPr>
      <w:spacing w:before="60"/>
    </w:pPr>
  </w:style>
  <w:style w:type="paragraph" w:customStyle="1" w:styleId="intoductionbullet">
    <w:name w:val="intoduction bullet"/>
    <w:basedOn w:val="Sectionintroduction"/>
    <w:uiPriority w:val="21"/>
    <w:qFormat/>
    <w:rsid w:val="009A69F5"/>
    <w:pPr>
      <w:numPr>
        <w:numId w:val="9"/>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itka Subheading" w:hAnsi="Sitka Subheading"/>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5"/>
      </w:numPr>
    </w:pPr>
  </w:style>
  <w:style w:type="numbering" w:customStyle="1" w:styleId="TableexpListnumberedmultilevel">
    <w:name w:val="Table exp List (numbered) multilevel"/>
    <w:uiPriority w:val="99"/>
    <w:rsid w:val="00F660A8"/>
    <w:pPr>
      <w:numPr>
        <w:numId w:val="10"/>
      </w:numPr>
    </w:pPr>
  </w:style>
  <w:style w:type="numbering" w:customStyle="1" w:styleId="TableNListnumberedmultilevel">
    <w:name w:val="Table N List (numbered) multilevel"/>
    <w:uiPriority w:val="99"/>
    <w:rsid w:val="00F660A8"/>
    <w:pPr>
      <w:numPr>
        <w:numId w:val="27"/>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1"/>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Text" w:hAnsi="Sitka Tex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Light" w:hAnsi="Segoe UI Light"/>
        <w:sz w:val="17"/>
      </w:rPr>
    </w:tblStylePr>
    <w:tblStylePr w:type="band2Horz">
      <w:rPr>
        <w:rFonts w:ascii="Segoe UI Light" w:hAnsi="Segoe UI Light"/>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4"/>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6"/>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Light" w:hAnsi="Segoe UI Light"/>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UnresolvedMention1">
    <w:name w:val="Unresolved Mention1"/>
    <w:basedOn w:val="DefaultParagraphFont"/>
    <w:uiPriority w:val="99"/>
    <w:semiHidden/>
    <w:unhideWhenUsed/>
    <w:rsid w:val="006A20BC"/>
    <w:rPr>
      <w:color w:val="605E5C"/>
      <w:shd w:val="clear" w:color="auto" w:fill="E1DFDD"/>
    </w:rPr>
  </w:style>
  <w:style w:type="table" w:customStyle="1" w:styleId="AEMO21">
    <w:name w:val="AEMO21"/>
    <w:basedOn w:val="TableNormal"/>
    <w:next w:val="TableGrid"/>
    <w:uiPriority w:val="99"/>
    <w:rsid w:val="00446C8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Trebuchet MS" w:hAnsi="Trebuchet MS"/>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mSun-ExtB" w:hAnsi="SimSun-ExtB"/>
        <w:sz w:val="17"/>
      </w:rPr>
    </w:tblStylePr>
    <w:tblStylePr w:type="band2Horz">
      <w:rPr>
        <w:rFonts w:ascii="SimSun-ExtB" w:hAnsi="SimSun-ExtB"/>
        <w:sz w:val="17"/>
      </w:rPr>
    </w:tblStylePr>
  </w:style>
  <w:style w:type="paragraph" w:styleId="EndnoteText">
    <w:name w:val="endnote text"/>
    <w:basedOn w:val="Normal"/>
    <w:link w:val="EndnoteTextChar"/>
    <w:uiPriority w:val="99"/>
    <w:semiHidden/>
    <w:unhideWhenUsed/>
    <w:rsid w:val="00446C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6C8E"/>
    <w:rPr>
      <w:rFonts w:ascii="Segoe UI" w:hAnsi="Segoe UI"/>
      <w:sz w:val="20"/>
      <w:szCs w:val="20"/>
      <w:lang w:val="en-AU"/>
    </w:rPr>
  </w:style>
  <w:style w:type="character" w:styleId="EndnoteReference">
    <w:name w:val="endnote reference"/>
    <w:basedOn w:val="DefaultParagraphFont"/>
    <w:uiPriority w:val="99"/>
    <w:semiHidden/>
    <w:unhideWhenUsed/>
    <w:rsid w:val="00446C8E"/>
    <w:rPr>
      <w:vertAlign w:val="superscript"/>
    </w:rPr>
  </w:style>
  <w:style w:type="paragraph" w:styleId="Revision">
    <w:name w:val="Revision"/>
    <w:hidden/>
    <w:uiPriority w:val="99"/>
    <w:semiHidden/>
    <w:rsid w:val="00446C8E"/>
    <w:pPr>
      <w:spacing w:after="0" w:line="240" w:lineRule="auto"/>
    </w:pPr>
    <w:rPr>
      <w:rFonts w:ascii="Segoe UI" w:hAnsi="Segoe UI"/>
      <w:sz w:val="19"/>
      <w:lang w:val="en-AU"/>
    </w:rPr>
  </w:style>
  <w:style w:type="table" w:customStyle="1" w:styleId="AEMO2">
    <w:name w:val="AEMO2"/>
    <w:basedOn w:val="TableNormal"/>
    <w:next w:val="TableGrid"/>
    <w:uiPriority w:val="39"/>
    <w:rsid w:val="00446C8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itka Text" w:hAnsi="Sitka Tex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Light" w:hAnsi="Segoe UI Light"/>
        <w:sz w:val="17"/>
      </w:rPr>
    </w:tblStylePr>
    <w:tblStylePr w:type="band2Horz">
      <w:rPr>
        <w:rFonts w:ascii="Segoe UI Light" w:hAnsi="Segoe UI Light"/>
        <w:sz w:val="17"/>
      </w:rPr>
    </w:tblStylePr>
  </w:style>
  <w:style w:type="numbering" w:customStyle="1" w:styleId="Listnumberedmultilevel1">
    <w:name w:val="List (numbered)_multilevel1"/>
    <w:uiPriority w:val="99"/>
    <w:rsid w:val="00446C8E"/>
  </w:style>
  <w:style w:type="numbering" w:customStyle="1" w:styleId="TableNListnumberedmultilevel1">
    <w:name w:val="Table N List (numbered) multilevel1"/>
    <w:uiPriority w:val="99"/>
    <w:rsid w:val="00446C8E"/>
  </w:style>
  <w:style w:type="paragraph" w:styleId="NormalWeb">
    <w:name w:val="Normal (Web)"/>
    <w:basedOn w:val="Normal"/>
    <w:uiPriority w:val="99"/>
    <w:unhideWhenUsed/>
    <w:rsid w:val="00446C8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AEMO3">
    <w:name w:val="AEMO3"/>
    <w:basedOn w:val="TableNormal"/>
    <w:next w:val="TableGrid"/>
    <w:uiPriority w:val="39"/>
    <w:rsid w:val="00446C8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light" w:hAnsi="Segoe UI Semi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Semilight" w:hAnsi="Segoe UI Semilight"/>
        <w:sz w:val="17"/>
      </w:rPr>
    </w:tblStylePr>
    <w:tblStylePr w:type="band2Horz">
      <w:rPr>
        <w:rFonts w:ascii="Segoe UI Semilight" w:hAnsi="Segoe UI Semilight"/>
        <w:sz w:val="17"/>
      </w:rPr>
    </w:tblStylePr>
  </w:style>
  <w:style w:type="table" w:customStyle="1" w:styleId="AEMO4">
    <w:name w:val="AEMO4"/>
    <w:basedOn w:val="TableNormal"/>
    <w:next w:val="TableGrid"/>
    <w:uiPriority w:val="99"/>
    <w:rsid w:val="00446C8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Yu Gothic UI" w:hAnsi="Yu Gothic UI"/>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tka Display" w:hAnsi="Sitka Display"/>
        <w:sz w:val="17"/>
      </w:rPr>
    </w:tblStylePr>
    <w:tblStylePr w:type="band2Horz">
      <w:rPr>
        <w:rFonts w:ascii="Sitka Display" w:hAnsi="Sitka Display"/>
        <w:sz w:val="17"/>
      </w:rPr>
    </w:tblStylePr>
  </w:style>
  <w:style w:type="paragraph" w:styleId="TableofFigures">
    <w:name w:val="table of figures"/>
    <w:basedOn w:val="Normal"/>
    <w:next w:val="Normal"/>
    <w:uiPriority w:val="99"/>
    <w:unhideWhenUsed/>
    <w:rsid w:val="00446C8E"/>
    <w:pPr>
      <w:spacing w:after="0"/>
    </w:pPr>
  </w:style>
  <w:style w:type="table" w:customStyle="1" w:styleId="AEMO5">
    <w:name w:val="AEMO5"/>
    <w:basedOn w:val="TableNormal"/>
    <w:next w:val="TableGrid"/>
    <w:uiPriority w:val="39"/>
    <w:rsid w:val="00390D6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NOUSSideHeader11">
    <w:name w:val="NOUS Side Header11"/>
    <w:basedOn w:val="TableNormal"/>
    <w:next w:val="TableGrid"/>
    <w:uiPriority w:val="39"/>
    <w:rsid w:val="00390D6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table" w:customStyle="1" w:styleId="AEMO211">
    <w:name w:val="AEMO211"/>
    <w:basedOn w:val="TableNormal"/>
    <w:next w:val="TableGrid"/>
    <w:uiPriority w:val="99"/>
    <w:rsid w:val="00390D6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Light" w:hAnsi="Bahnschrift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itka Small" w:hAnsi="Sitka Small"/>
        <w:sz w:val="17"/>
      </w:rPr>
    </w:tblStylePr>
    <w:tblStylePr w:type="band2Horz">
      <w:rPr>
        <w:rFonts w:ascii="Sitka Small" w:hAnsi="Sitka Small"/>
        <w:sz w:val="17"/>
      </w:rPr>
    </w:tblStylePr>
  </w:style>
  <w:style w:type="table" w:customStyle="1" w:styleId="AEMO6">
    <w:name w:val="AEMO6"/>
    <w:basedOn w:val="TableNormal"/>
    <w:next w:val="TableGrid"/>
    <w:uiPriority w:val="39"/>
    <w:rsid w:val="00031218"/>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styleId="Mention">
    <w:name w:val="Mention"/>
    <w:basedOn w:val="DefaultParagraphFont"/>
    <w:uiPriority w:val="99"/>
    <w:unhideWhenUsed/>
    <w:rsid w:val="005800DE"/>
    <w:rPr>
      <w:color w:val="2B579A"/>
      <w:shd w:val="clear" w:color="auto" w:fill="E1DFDD"/>
    </w:rPr>
  </w:style>
  <w:style w:type="character" w:styleId="UnresolvedMention">
    <w:name w:val="Unresolved Mention"/>
    <w:basedOn w:val="DefaultParagraphFont"/>
    <w:uiPriority w:val="99"/>
    <w:semiHidden/>
    <w:unhideWhenUsed/>
    <w:rsid w:val="000970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85039">
      <w:bodyDiv w:val="1"/>
      <w:marLeft w:val="0"/>
      <w:marRight w:val="0"/>
      <w:marTop w:val="0"/>
      <w:marBottom w:val="0"/>
      <w:divBdr>
        <w:top w:val="none" w:sz="0" w:space="0" w:color="auto"/>
        <w:left w:val="none" w:sz="0" w:space="0" w:color="auto"/>
        <w:bottom w:val="none" w:sz="0" w:space="0" w:color="auto"/>
        <w:right w:val="none" w:sz="0" w:space="0" w:color="auto"/>
      </w:divBdr>
    </w:div>
    <w:div w:id="200897632">
      <w:bodyDiv w:val="1"/>
      <w:marLeft w:val="0"/>
      <w:marRight w:val="0"/>
      <w:marTop w:val="0"/>
      <w:marBottom w:val="0"/>
      <w:divBdr>
        <w:top w:val="none" w:sz="0" w:space="0" w:color="auto"/>
        <w:left w:val="none" w:sz="0" w:space="0" w:color="auto"/>
        <w:bottom w:val="none" w:sz="0" w:space="0" w:color="auto"/>
        <w:right w:val="none" w:sz="0" w:space="0" w:color="auto"/>
      </w:divBdr>
    </w:div>
    <w:div w:id="237984548">
      <w:bodyDiv w:val="1"/>
      <w:marLeft w:val="0"/>
      <w:marRight w:val="0"/>
      <w:marTop w:val="0"/>
      <w:marBottom w:val="0"/>
      <w:divBdr>
        <w:top w:val="none" w:sz="0" w:space="0" w:color="auto"/>
        <w:left w:val="none" w:sz="0" w:space="0" w:color="auto"/>
        <w:bottom w:val="none" w:sz="0" w:space="0" w:color="auto"/>
        <w:right w:val="none" w:sz="0" w:space="0" w:color="auto"/>
      </w:divBdr>
    </w:div>
    <w:div w:id="372392156">
      <w:bodyDiv w:val="1"/>
      <w:marLeft w:val="0"/>
      <w:marRight w:val="0"/>
      <w:marTop w:val="0"/>
      <w:marBottom w:val="0"/>
      <w:divBdr>
        <w:top w:val="none" w:sz="0" w:space="0" w:color="auto"/>
        <w:left w:val="none" w:sz="0" w:space="0" w:color="auto"/>
        <w:bottom w:val="none" w:sz="0" w:space="0" w:color="auto"/>
        <w:right w:val="none" w:sz="0" w:space="0" w:color="auto"/>
      </w:divBdr>
    </w:div>
    <w:div w:id="421419091">
      <w:bodyDiv w:val="1"/>
      <w:marLeft w:val="0"/>
      <w:marRight w:val="0"/>
      <w:marTop w:val="0"/>
      <w:marBottom w:val="0"/>
      <w:divBdr>
        <w:top w:val="none" w:sz="0" w:space="0" w:color="auto"/>
        <w:left w:val="none" w:sz="0" w:space="0" w:color="auto"/>
        <w:bottom w:val="none" w:sz="0" w:space="0" w:color="auto"/>
        <w:right w:val="none" w:sz="0" w:space="0" w:color="auto"/>
      </w:divBdr>
    </w:div>
    <w:div w:id="426003849">
      <w:bodyDiv w:val="1"/>
      <w:marLeft w:val="0"/>
      <w:marRight w:val="0"/>
      <w:marTop w:val="0"/>
      <w:marBottom w:val="0"/>
      <w:divBdr>
        <w:top w:val="none" w:sz="0" w:space="0" w:color="auto"/>
        <w:left w:val="none" w:sz="0" w:space="0" w:color="auto"/>
        <w:bottom w:val="none" w:sz="0" w:space="0" w:color="auto"/>
        <w:right w:val="none" w:sz="0" w:space="0" w:color="auto"/>
      </w:divBdr>
    </w:div>
    <w:div w:id="481165961">
      <w:bodyDiv w:val="1"/>
      <w:marLeft w:val="0"/>
      <w:marRight w:val="0"/>
      <w:marTop w:val="0"/>
      <w:marBottom w:val="0"/>
      <w:divBdr>
        <w:top w:val="none" w:sz="0" w:space="0" w:color="auto"/>
        <w:left w:val="none" w:sz="0" w:space="0" w:color="auto"/>
        <w:bottom w:val="none" w:sz="0" w:space="0" w:color="auto"/>
        <w:right w:val="none" w:sz="0" w:space="0" w:color="auto"/>
      </w:divBdr>
    </w:div>
    <w:div w:id="551698204">
      <w:bodyDiv w:val="1"/>
      <w:marLeft w:val="0"/>
      <w:marRight w:val="0"/>
      <w:marTop w:val="0"/>
      <w:marBottom w:val="0"/>
      <w:divBdr>
        <w:top w:val="none" w:sz="0" w:space="0" w:color="auto"/>
        <w:left w:val="none" w:sz="0" w:space="0" w:color="auto"/>
        <w:bottom w:val="none" w:sz="0" w:space="0" w:color="auto"/>
        <w:right w:val="none" w:sz="0" w:space="0" w:color="auto"/>
      </w:divBdr>
    </w:div>
    <w:div w:id="582298747">
      <w:bodyDiv w:val="1"/>
      <w:marLeft w:val="0"/>
      <w:marRight w:val="0"/>
      <w:marTop w:val="0"/>
      <w:marBottom w:val="0"/>
      <w:divBdr>
        <w:top w:val="none" w:sz="0" w:space="0" w:color="auto"/>
        <w:left w:val="none" w:sz="0" w:space="0" w:color="auto"/>
        <w:bottom w:val="none" w:sz="0" w:space="0" w:color="auto"/>
        <w:right w:val="none" w:sz="0" w:space="0" w:color="auto"/>
      </w:divBdr>
    </w:div>
    <w:div w:id="781346047">
      <w:bodyDiv w:val="1"/>
      <w:marLeft w:val="0"/>
      <w:marRight w:val="0"/>
      <w:marTop w:val="0"/>
      <w:marBottom w:val="0"/>
      <w:divBdr>
        <w:top w:val="none" w:sz="0" w:space="0" w:color="auto"/>
        <w:left w:val="none" w:sz="0" w:space="0" w:color="auto"/>
        <w:bottom w:val="none" w:sz="0" w:space="0" w:color="auto"/>
        <w:right w:val="none" w:sz="0" w:space="0" w:color="auto"/>
      </w:divBdr>
    </w:div>
    <w:div w:id="832067623">
      <w:bodyDiv w:val="1"/>
      <w:marLeft w:val="0"/>
      <w:marRight w:val="0"/>
      <w:marTop w:val="0"/>
      <w:marBottom w:val="0"/>
      <w:divBdr>
        <w:top w:val="none" w:sz="0" w:space="0" w:color="auto"/>
        <w:left w:val="none" w:sz="0" w:space="0" w:color="auto"/>
        <w:bottom w:val="none" w:sz="0" w:space="0" w:color="auto"/>
        <w:right w:val="none" w:sz="0" w:space="0" w:color="auto"/>
      </w:divBdr>
    </w:div>
    <w:div w:id="881209138">
      <w:bodyDiv w:val="1"/>
      <w:marLeft w:val="0"/>
      <w:marRight w:val="0"/>
      <w:marTop w:val="0"/>
      <w:marBottom w:val="0"/>
      <w:divBdr>
        <w:top w:val="none" w:sz="0" w:space="0" w:color="auto"/>
        <w:left w:val="none" w:sz="0" w:space="0" w:color="auto"/>
        <w:bottom w:val="none" w:sz="0" w:space="0" w:color="auto"/>
        <w:right w:val="none" w:sz="0" w:space="0" w:color="auto"/>
      </w:divBdr>
    </w:div>
    <w:div w:id="926229689">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73952806">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12150009">
      <w:bodyDiv w:val="1"/>
      <w:marLeft w:val="0"/>
      <w:marRight w:val="0"/>
      <w:marTop w:val="0"/>
      <w:marBottom w:val="0"/>
      <w:divBdr>
        <w:top w:val="none" w:sz="0" w:space="0" w:color="auto"/>
        <w:left w:val="none" w:sz="0" w:space="0" w:color="auto"/>
        <w:bottom w:val="none" w:sz="0" w:space="0" w:color="auto"/>
        <w:right w:val="none" w:sz="0" w:space="0" w:color="auto"/>
      </w:divBdr>
    </w:div>
    <w:div w:id="1037393610">
      <w:bodyDiv w:val="1"/>
      <w:marLeft w:val="0"/>
      <w:marRight w:val="0"/>
      <w:marTop w:val="0"/>
      <w:marBottom w:val="0"/>
      <w:divBdr>
        <w:top w:val="none" w:sz="0" w:space="0" w:color="auto"/>
        <w:left w:val="none" w:sz="0" w:space="0" w:color="auto"/>
        <w:bottom w:val="none" w:sz="0" w:space="0" w:color="auto"/>
        <w:right w:val="none" w:sz="0" w:space="0" w:color="auto"/>
      </w:divBdr>
    </w:div>
    <w:div w:id="1044796273">
      <w:bodyDiv w:val="1"/>
      <w:marLeft w:val="0"/>
      <w:marRight w:val="0"/>
      <w:marTop w:val="0"/>
      <w:marBottom w:val="0"/>
      <w:divBdr>
        <w:top w:val="none" w:sz="0" w:space="0" w:color="auto"/>
        <w:left w:val="none" w:sz="0" w:space="0" w:color="auto"/>
        <w:bottom w:val="none" w:sz="0" w:space="0" w:color="auto"/>
        <w:right w:val="none" w:sz="0" w:space="0" w:color="auto"/>
      </w:divBdr>
      <w:divsChild>
        <w:div w:id="140075981">
          <w:marLeft w:val="0"/>
          <w:marRight w:val="0"/>
          <w:marTop w:val="0"/>
          <w:marBottom w:val="0"/>
          <w:divBdr>
            <w:top w:val="none" w:sz="0" w:space="0" w:color="auto"/>
            <w:left w:val="none" w:sz="0" w:space="0" w:color="auto"/>
            <w:bottom w:val="none" w:sz="0" w:space="0" w:color="auto"/>
            <w:right w:val="none" w:sz="0" w:space="0" w:color="auto"/>
          </w:divBdr>
        </w:div>
        <w:div w:id="390007613">
          <w:marLeft w:val="0"/>
          <w:marRight w:val="0"/>
          <w:marTop w:val="0"/>
          <w:marBottom w:val="0"/>
          <w:divBdr>
            <w:top w:val="none" w:sz="0" w:space="0" w:color="auto"/>
            <w:left w:val="none" w:sz="0" w:space="0" w:color="auto"/>
            <w:bottom w:val="none" w:sz="0" w:space="0" w:color="auto"/>
            <w:right w:val="none" w:sz="0" w:space="0" w:color="auto"/>
          </w:divBdr>
        </w:div>
        <w:div w:id="583799436">
          <w:marLeft w:val="0"/>
          <w:marRight w:val="0"/>
          <w:marTop w:val="0"/>
          <w:marBottom w:val="0"/>
          <w:divBdr>
            <w:top w:val="none" w:sz="0" w:space="0" w:color="auto"/>
            <w:left w:val="none" w:sz="0" w:space="0" w:color="auto"/>
            <w:bottom w:val="none" w:sz="0" w:space="0" w:color="auto"/>
            <w:right w:val="none" w:sz="0" w:space="0" w:color="auto"/>
          </w:divBdr>
        </w:div>
        <w:div w:id="749154669">
          <w:marLeft w:val="0"/>
          <w:marRight w:val="0"/>
          <w:marTop w:val="0"/>
          <w:marBottom w:val="0"/>
          <w:divBdr>
            <w:top w:val="none" w:sz="0" w:space="0" w:color="auto"/>
            <w:left w:val="none" w:sz="0" w:space="0" w:color="auto"/>
            <w:bottom w:val="none" w:sz="0" w:space="0" w:color="auto"/>
            <w:right w:val="none" w:sz="0" w:space="0" w:color="auto"/>
          </w:divBdr>
        </w:div>
        <w:div w:id="881475690">
          <w:marLeft w:val="0"/>
          <w:marRight w:val="0"/>
          <w:marTop w:val="0"/>
          <w:marBottom w:val="0"/>
          <w:divBdr>
            <w:top w:val="none" w:sz="0" w:space="0" w:color="auto"/>
            <w:left w:val="none" w:sz="0" w:space="0" w:color="auto"/>
            <w:bottom w:val="none" w:sz="0" w:space="0" w:color="auto"/>
            <w:right w:val="none" w:sz="0" w:space="0" w:color="auto"/>
          </w:divBdr>
        </w:div>
        <w:div w:id="1474103898">
          <w:marLeft w:val="0"/>
          <w:marRight w:val="0"/>
          <w:marTop w:val="0"/>
          <w:marBottom w:val="0"/>
          <w:divBdr>
            <w:top w:val="none" w:sz="0" w:space="0" w:color="auto"/>
            <w:left w:val="none" w:sz="0" w:space="0" w:color="auto"/>
            <w:bottom w:val="none" w:sz="0" w:space="0" w:color="auto"/>
            <w:right w:val="none" w:sz="0" w:space="0" w:color="auto"/>
          </w:divBdr>
        </w:div>
      </w:divsChild>
    </w:div>
    <w:div w:id="1311709459">
      <w:bodyDiv w:val="1"/>
      <w:marLeft w:val="0"/>
      <w:marRight w:val="0"/>
      <w:marTop w:val="0"/>
      <w:marBottom w:val="0"/>
      <w:divBdr>
        <w:top w:val="none" w:sz="0" w:space="0" w:color="auto"/>
        <w:left w:val="none" w:sz="0" w:space="0" w:color="auto"/>
        <w:bottom w:val="none" w:sz="0" w:space="0" w:color="auto"/>
        <w:right w:val="none" w:sz="0" w:space="0" w:color="auto"/>
      </w:divBdr>
    </w:div>
    <w:div w:id="1324436184">
      <w:bodyDiv w:val="1"/>
      <w:marLeft w:val="0"/>
      <w:marRight w:val="0"/>
      <w:marTop w:val="0"/>
      <w:marBottom w:val="0"/>
      <w:divBdr>
        <w:top w:val="none" w:sz="0" w:space="0" w:color="auto"/>
        <w:left w:val="none" w:sz="0" w:space="0" w:color="auto"/>
        <w:bottom w:val="none" w:sz="0" w:space="0" w:color="auto"/>
        <w:right w:val="none" w:sz="0" w:space="0" w:color="auto"/>
      </w:divBdr>
    </w:div>
    <w:div w:id="1747610331">
      <w:bodyDiv w:val="1"/>
      <w:marLeft w:val="0"/>
      <w:marRight w:val="0"/>
      <w:marTop w:val="0"/>
      <w:marBottom w:val="0"/>
      <w:divBdr>
        <w:top w:val="none" w:sz="0" w:space="0" w:color="auto"/>
        <w:left w:val="none" w:sz="0" w:space="0" w:color="auto"/>
        <w:bottom w:val="none" w:sz="0" w:space="0" w:color="auto"/>
        <w:right w:val="none" w:sz="0" w:space="0" w:color="auto"/>
      </w:divBdr>
    </w:div>
    <w:div w:id="1804735505">
      <w:bodyDiv w:val="1"/>
      <w:marLeft w:val="0"/>
      <w:marRight w:val="0"/>
      <w:marTop w:val="0"/>
      <w:marBottom w:val="0"/>
      <w:divBdr>
        <w:top w:val="none" w:sz="0" w:space="0" w:color="auto"/>
        <w:left w:val="none" w:sz="0" w:space="0" w:color="auto"/>
        <w:bottom w:val="none" w:sz="0" w:space="0" w:color="auto"/>
        <w:right w:val="none" w:sz="0" w:space="0" w:color="auto"/>
      </w:divBdr>
    </w:div>
    <w:div w:id="199263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http://www.nntt.gov.au/searchRegApps/NativeTitleClaims/Pages/default.aspx" TargetMode="External"/><Relationship Id="rId7" Type="http://schemas.openxmlformats.org/officeDocument/2006/relationships/hyperlink" Target="https://www.klc.org.au/about-the-klc" TargetMode="External"/><Relationship Id="rId2" Type="http://schemas.openxmlformats.org/officeDocument/2006/relationships/hyperlink" Target="http://www.nntt.gov.au/searchRegApps/NativeTitleClaims/Pages/default.aspx" TargetMode="External"/><Relationship Id="rId1" Type="http://schemas.openxmlformats.org/officeDocument/2006/relationships/hyperlink" Target="http://www.nntt.gov.au/searchRegApps/NativeTitleClaims/Pages/default.aspx" TargetMode="External"/><Relationship Id="rId6" Type="http://schemas.openxmlformats.org/officeDocument/2006/relationships/hyperlink" Target="https://www.klc.org.au/ksdct-report" TargetMode="External"/><Relationship Id="rId5" Type="http://schemas.openxmlformats.org/officeDocument/2006/relationships/hyperlink" Target="https://nntt.maps.arcgis.com/apps/webappviewer/index.html?id=c57f0e996a7c485480570c38c823398c" TargetMode="External"/><Relationship Id="rId4" Type="http://schemas.openxmlformats.org/officeDocument/2006/relationships/hyperlink" Target="https://www.klc.org.au/complai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E56C10-C382-4D0C-90C2-120AF080E1BE}">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29021</Words>
  <Characters>161357</Characters>
  <Application>Microsoft Office Word</Application>
  <DocSecurity>0</DocSecurity>
  <Lines>3361</Lines>
  <Paragraphs>1684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188694</CharactersWithSpaces>
  <SharedDoc>false</SharedDoc>
  <HLinks>
    <vt:vector size="150" baseType="variant">
      <vt:variant>
        <vt:i4>1179711</vt:i4>
      </vt:variant>
      <vt:variant>
        <vt:i4>92</vt:i4>
      </vt:variant>
      <vt:variant>
        <vt:i4>0</vt:i4>
      </vt:variant>
      <vt:variant>
        <vt:i4>5</vt:i4>
      </vt:variant>
      <vt:variant>
        <vt:lpwstr/>
      </vt:variant>
      <vt:variant>
        <vt:lpwstr>_Toc170196752</vt:lpwstr>
      </vt:variant>
      <vt:variant>
        <vt:i4>1179711</vt:i4>
      </vt:variant>
      <vt:variant>
        <vt:i4>86</vt:i4>
      </vt:variant>
      <vt:variant>
        <vt:i4>0</vt:i4>
      </vt:variant>
      <vt:variant>
        <vt:i4>5</vt:i4>
      </vt:variant>
      <vt:variant>
        <vt:lpwstr/>
      </vt:variant>
      <vt:variant>
        <vt:lpwstr>_Toc170196751</vt:lpwstr>
      </vt:variant>
      <vt:variant>
        <vt:i4>1179711</vt:i4>
      </vt:variant>
      <vt:variant>
        <vt:i4>80</vt:i4>
      </vt:variant>
      <vt:variant>
        <vt:i4>0</vt:i4>
      </vt:variant>
      <vt:variant>
        <vt:i4>5</vt:i4>
      </vt:variant>
      <vt:variant>
        <vt:lpwstr/>
      </vt:variant>
      <vt:variant>
        <vt:lpwstr>_Toc170196750</vt:lpwstr>
      </vt:variant>
      <vt:variant>
        <vt:i4>1245247</vt:i4>
      </vt:variant>
      <vt:variant>
        <vt:i4>74</vt:i4>
      </vt:variant>
      <vt:variant>
        <vt:i4>0</vt:i4>
      </vt:variant>
      <vt:variant>
        <vt:i4>5</vt:i4>
      </vt:variant>
      <vt:variant>
        <vt:lpwstr/>
      </vt:variant>
      <vt:variant>
        <vt:lpwstr>_Toc170196749</vt:lpwstr>
      </vt:variant>
      <vt:variant>
        <vt:i4>1245247</vt:i4>
      </vt:variant>
      <vt:variant>
        <vt:i4>68</vt:i4>
      </vt:variant>
      <vt:variant>
        <vt:i4>0</vt:i4>
      </vt:variant>
      <vt:variant>
        <vt:i4>5</vt:i4>
      </vt:variant>
      <vt:variant>
        <vt:lpwstr/>
      </vt:variant>
      <vt:variant>
        <vt:lpwstr>_Toc170196748</vt:lpwstr>
      </vt:variant>
      <vt:variant>
        <vt:i4>1245247</vt:i4>
      </vt:variant>
      <vt:variant>
        <vt:i4>62</vt:i4>
      </vt:variant>
      <vt:variant>
        <vt:i4>0</vt:i4>
      </vt:variant>
      <vt:variant>
        <vt:i4>5</vt:i4>
      </vt:variant>
      <vt:variant>
        <vt:lpwstr/>
      </vt:variant>
      <vt:variant>
        <vt:lpwstr>_Toc170196747</vt:lpwstr>
      </vt:variant>
      <vt:variant>
        <vt:i4>1245247</vt:i4>
      </vt:variant>
      <vt:variant>
        <vt:i4>56</vt:i4>
      </vt:variant>
      <vt:variant>
        <vt:i4>0</vt:i4>
      </vt:variant>
      <vt:variant>
        <vt:i4>5</vt:i4>
      </vt:variant>
      <vt:variant>
        <vt:lpwstr/>
      </vt:variant>
      <vt:variant>
        <vt:lpwstr>_Toc170196746</vt:lpwstr>
      </vt:variant>
      <vt:variant>
        <vt:i4>1245247</vt:i4>
      </vt:variant>
      <vt:variant>
        <vt:i4>50</vt:i4>
      </vt:variant>
      <vt:variant>
        <vt:i4>0</vt:i4>
      </vt:variant>
      <vt:variant>
        <vt:i4>5</vt:i4>
      </vt:variant>
      <vt:variant>
        <vt:lpwstr/>
      </vt:variant>
      <vt:variant>
        <vt:lpwstr>_Toc170196745</vt:lpwstr>
      </vt:variant>
      <vt:variant>
        <vt:i4>1245247</vt:i4>
      </vt:variant>
      <vt:variant>
        <vt:i4>44</vt:i4>
      </vt:variant>
      <vt:variant>
        <vt:i4>0</vt:i4>
      </vt:variant>
      <vt:variant>
        <vt:i4>5</vt:i4>
      </vt:variant>
      <vt:variant>
        <vt:lpwstr/>
      </vt:variant>
      <vt:variant>
        <vt:lpwstr>_Toc170196744</vt:lpwstr>
      </vt:variant>
      <vt:variant>
        <vt:i4>1245247</vt:i4>
      </vt:variant>
      <vt:variant>
        <vt:i4>38</vt:i4>
      </vt:variant>
      <vt:variant>
        <vt:i4>0</vt:i4>
      </vt:variant>
      <vt:variant>
        <vt:i4>5</vt:i4>
      </vt:variant>
      <vt:variant>
        <vt:lpwstr/>
      </vt:variant>
      <vt:variant>
        <vt:lpwstr>_Toc170196743</vt:lpwstr>
      </vt:variant>
      <vt:variant>
        <vt:i4>1245247</vt:i4>
      </vt:variant>
      <vt:variant>
        <vt:i4>32</vt:i4>
      </vt:variant>
      <vt:variant>
        <vt:i4>0</vt:i4>
      </vt:variant>
      <vt:variant>
        <vt:i4>5</vt:i4>
      </vt:variant>
      <vt:variant>
        <vt:lpwstr/>
      </vt:variant>
      <vt:variant>
        <vt:lpwstr>_Toc170196742</vt:lpwstr>
      </vt:variant>
      <vt:variant>
        <vt:i4>1245247</vt:i4>
      </vt:variant>
      <vt:variant>
        <vt:i4>26</vt:i4>
      </vt:variant>
      <vt:variant>
        <vt:i4>0</vt:i4>
      </vt:variant>
      <vt:variant>
        <vt:i4>5</vt:i4>
      </vt:variant>
      <vt:variant>
        <vt:lpwstr/>
      </vt:variant>
      <vt:variant>
        <vt:lpwstr>_Toc170196741</vt:lpwstr>
      </vt:variant>
      <vt:variant>
        <vt:i4>1245247</vt:i4>
      </vt:variant>
      <vt:variant>
        <vt:i4>20</vt:i4>
      </vt:variant>
      <vt:variant>
        <vt:i4>0</vt:i4>
      </vt:variant>
      <vt:variant>
        <vt:i4>5</vt:i4>
      </vt:variant>
      <vt:variant>
        <vt:lpwstr/>
      </vt:variant>
      <vt:variant>
        <vt:lpwstr>_Toc170196740</vt:lpwstr>
      </vt:variant>
      <vt:variant>
        <vt:i4>1310783</vt:i4>
      </vt:variant>
      <vt:variant>
        <vt:i4>14</vt:i4>
      </vt:variant>
      <vt:variant>
        <vt:i4>0</vt:i4>
      </vt:variant>
      <vt:variant>
        <vt:i4>5</vt:i4>
      </vt:variant>
      <vt:variant>
        <vt:lpwstr/>
      </vt:variant>
      <vt:variant>
        <vt:lpwstr>_Toc170196739</vt:lpwstr>
      </vt:variant>
      <vt:variant>
        <vt:i4>1310783</vt:i4>
      </vt:variant>
      <vt:variant>
        <vt:i4>8</vt:i4>
      </vt:variant>
      <vt:variant>
        <vt:i4>0</vt:i4>
      </vt:variant>
      <vt:variant>
        <vt:i4>5</vt:i4>
      </vt:variant>
      <vt:variant>
        <vt:lpwstr/>
      </vt:variant>
      <vt:variant>
        <vt:lpwstr>_Toc170196738</vt:lpwstr>
      </vt:variant>
      <vt:variant>
        <vt:i4>1310783</vt:i4>
      </vt:variant>
      <vt:variant>
        <vt:i4>2</vt:i4>
      </vt:variant>
      <vt:variant>
        <vt:i4>0</vt:i4>
      </vt:variant>
      <vt:variant>
        <vt:i4>5</vt:i4>
      </vt:variant>
      <vt:variant>
        <vt:lpwstr/>
      </vt:variant>
      <vt:variant>
        <vt:lpwstr>_Toc170196737</vt:lpwstr>
      </vt:variant>
      <vt:variant>
        <vt:i4>4194333</vt:i4>
      </vt:variant>
      <vt:variant>
        <vt:i4>18</vt:i4>
      </vt:variant>
      <vt:variant>
        <vt:i4>0</vt:i4>
      </vt:variant>
      <vt:variant>
        <vt:i4>5</vt:i4>
      </vt:variant>
      <vt:variant>
        <vt:lpwstr>https://www.klc.org.au/about-the-klc</vt:lpwstr>
      </vt:variant>
      <vt:variant>
        <vt:lpwstr/>
      </vt:variant>
      <vt:variant>
        <vt:i4>2621497</vt:i4>
      </vt:variant>
      <vt:variant>
        <vt:i4>15</vt:i4>
      </vt:variant>
      <vt:variant>
        <vt:i4>0</vt:i4>
      </vt:variant>
      <vt:variant>
        <vt:i4>5</vt:i4>
      </vt:variant>
      <vt:variant>
        <vt:lpwstr>https://www.klc.org.au/ksdct-report</vt:lpwstr>
      </vt:variant>
      <vt:variant>
        <vt:lpwstr/>
      </vt:variant>
      <vt:variant>
        <vt:i4>5505114</vt:i4>
      </vt:variant>
      <vt:variant>
        <vt:i4>12</vt:i4>
      </vt:variant>
      <vt:variant>
        <vt:i4>0</vt:i4>
      </vt:variant>
      <vt:variant>
        <vt:i4>5</vt:i4>
      </vt:variant>
      <vt:variant>
        <vt:lpwstr>https://nntt.maps.arcgis.com/apps/webappviewer/index.html?id=c57f0e996a7c485480570c38c823398c</vt:lpwstr>
      </vt:variant>
      <vt:variant>
        <vt:lpwstr/>
      </vt:variant>
      <vt:variant>
        <vt:i4>6029342</vt:i4>
      </vt:variant>
      <vt:variant>
        <vt:i4>9</vt:i4>
      </vt:variant>
      <vt:variant>
        <vt:i4>0</vt:i4>
      </vt:variant>
      <vt:variant>
        <vt:i4>5</vt:i4>
      </vt:variant>
      <vt:variant>
        <vt:lpwstr>https://www.klc.org.au/complaints</vt:lpwstr>
      </vt:variant>
      <vt:variant>
        <vt:lpwstr/>
      </vt:variant>
      <vt:variant>
        <vt:i4>4521991</vt:i4>
      </vt:variant>
      <vt:variant>
        <vt:i4>6</vt:i4>
      </vt:variant>
      <vt:variant>
        <vt:i4>0</vt:i4>
      </vt:variant>
      <vt:variant>
        <vt:i4>5</vt:i4>
      </vt:variant>
      <vt:variant>
        <vt:lpwstr>http://www.nntt.gov.au/searchRegApps/NativeTitleClaims/Pages/default.aspx</vt:lpwstr>
      </vt:variant>
      <vt:variant>
        <vt:lpwstr/>
      </vt:variant>
      <vt:variant>
        <vt:i4>4521991</vt:i4>
      </vt:variant>
      <vt:variant>
        <vt:i4>3</vt:i4>
      </vt:variant>
      <vt:variant>
        <vt:i4>0</vt:i4>
      </vt:variant>
      <vt:variant>
        <vt:i4>5</vt:i4>
      </vt:variant>
      <vt:variant>
        <vt:lpwstr>http://www.nntt.gov.au/searchRegApps/NativeTitleClaims/Pages/default.aspx</vt:lpwstr>
      </vt:variant>
      <vt:variant>
        <vt:lpwstr/>
      </vt:variant>
      <vt:variant>
        <vt:i4>4521991</vt:i4>
      </vt:variant>
      <vt:variant>
        <vt:i4>0</vt:i4>
      </vt:variant>
      <vt:variant>
        <vt:i4>0</vt:i4>
      </vt:variant>
      <vt:variant>
        <vt:i4>5</vt:i4>
      </vt:variant>
      <vt:variant>
        <vt:lpwstr>http://www.nntt.gov.au/searchRegApps/NativeTitleClaims/Pages/default.aspx</vt:lpwstr>
      </vt:variant>
      <vt:variant>
        <vt:lpwstr/>
      </vt:variant>
      <vt:variant>
        <vt:i4>8126482</vt:i4>
      </vt:variant>
      <vt:variant>
        <vt:i4>3</vt:i4>
      </vt:variant>
      <vt:variant>
        <vt:i4>0</vt:i4>
      </vt:variant>
      <vt:variant>
        <vt:i4>5</vt:i4>
      </vt:variant>
      <vt:variant>
        <vt:lpwstr>mailto:penny.gregory@nousgroup.com</vt:lpwstr>
      </vt:variant>
      <vt:variant>
        <vt:lpwstr/>
      </vt:variant>
      <vt:variant>
        <vt:i4>4653105</vt:i4>
      </vt:variant>
      <vt:variant>
        <vt:i4>0</vt:i4>
      </vt:variant>
      <vt:variant>
        <vt:i4>0</vt:i4>
      </vt:variant>
      <vt:variant>
        <vt:i4>5</vt:i4>
      </vt:variant>
      <vt:variant>
        <vt:lpwstr>mailto:Joshua.McKinnon@nousgroup.com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2025-10-23T03:39:00Z</dcterms:created>
  <dcterms:modified xsi:type="dcterms:W3CDTF">2025-10-23T03:39:00Z</dcterms:modified>
</cp:coreProperties>
</file>