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B039" w14:textId="552AFCB0" w:rsidR="00C8049B" w:rsidRPr="00B44EC3" w:rsidRDefault="004771F3" w:rsidP="00330585">
      <w:pPr>
        <w:jc w:val="center"/>
        <w:rPr>
          <w:rFonts w:ascii="Calibri" w:hAnsi="Calibri" w:cs="Calibri"/>
          <w:b/>
          <w:bCs/>
          <w:caps/>
          <w:sz w:val="28"/>
          <w:szCs w:val="28"/>
        </w:rPr>
      </w:pPr>
      <w:r w:rsidRPr="00B44EC3">
        <w:rPr>
          <w:rFonts w:ascii="Calibri" w:hAnsi="Calibri" w:cs="Calibri"/>
          <w:b/>
          <w:bCs/>
          <w:caps/>
          <w:sz w:val="28"/>
          <w:szCs w:val="28"/>
        </w:rPr>
        <w:t xml:space="preserve">Response to Nous Review Recommendations </w:t>
      </w:r>
      <w:r w:rsidR="00A16E46" w:rsidRPr="00B44EC3">
        <w:rPr>
          <w:rFonts w:ascii="Calibri" w:hAnsi="Calibri" w:cs="Calibri"/>
          <w:b/>
          <w:bCs/>
          <w:caps/>
          <w:sz w:val="28"/>
          <w:szCs w:val="28"/>
        </w:rPr>
        <w:t>–</w:t>
      </w:r>
      <w:r w:rsidR="00330585" w:rsidRPr="00B44EC3">
        <w:rPr>
          <w:rFonts w:ascii="Calibri" w:hAnsi="Calibri" w:cs="Calibri"/>
          <w:b/>
          <w:bCs/>
          <w:caps/>
          <w:sz w:val="28"/>
          <w:szCs w:val="28"/>
        </w:rPr>
        <w:t xml:space="preserve"> </w:t>
      </w:r>
      <w:r w:rsidR="00D749D7" w:rsidRPr="00B44EC3">
        <w:rPr>
          <w:rFonts w:ascii="Calibri" w:hAnsi="Calibri" w:cs="Calibri"/>
          <w:b/>
          <w:bCs/>
          <w:caps/>
          <w:sz w:val="28"/>
          <w:szCs w:val="28"/>
        </w:rPr>
        <w:t>South Australian Native Title Services</w:t>
      </w:r>
      <w:r w:rsidR="00A16E46" w:rsidRPr="00B44EC3">
        <w:rPr>
          <w:rFonts w:ascii="Calibri" w:hAnsi="Calibri" w:cs="Calibri"/>
          <w:b/>
          <w:bCs/>
          <w:caps/>
          <w:sz w:val="28"/>
          <w:szCs w:val="28"/>
        </w:rPr>
        <w:t xml:space="preserve"> (</w:t>
      </w:r>
      <w:r w:rsidR="00D749D7" w:rsidRPr="00B44EC3">
        <w:rPr>
          <w:rFonts w:ascii="Calibri" w:hAnsi="Calibri" w:cs="Calibri"/>
          <w:b/>
          <w:bCs/>
          <w:caps/>
          <w:sz w:val="28"/>
          <w:szCs w:val="28"/>
        </w:rPr>
        <w:t>SANTS</w:t>
      </w:r>
      <w:r w:rsidR="00A16E46" w:rsidRPr="00B44EC3">
        <w:rPr>
          <w:rFonts w:ascii="Calibri" w:hAnsi="Calibri" w:cs="Calibri"/>
          <w:b/>
          <w:bCs/>
          <w:caps/>
          <w:sz w:val="28"/>
          <w:szCs w:val="28"/>
        </w:rPr>
        <w:t>)</w:t>
      </w:r>
    </w:p>
    <w:tbl>
      <w:tblPr>
        <w:tblStyle w:val="TableGrid"/>
        <w:tblW w:w="0" w:type="auto"/>
        <w:tblLook w:val="04A0" w:firstRow="1" w:lastRow="0" w:firstColumn="1" w:lastColumn="0" w:noHBand="0" w:noVBand="1"/>
      </w:tblPr>
      <w:tblGrid>
        <w:gridCol w:w="9016"/>
      </w:tblGrid>
      <w:tr w:rsidR="004771F3" w14:paraId="4DEA21B5" w14:textId="77777777" w:rsidTr="00594576">
        <w:tc>
          <w:tcPr>
            <w:tcW w:w="9016" w:type="dxa"/>
            <w:shd w:val="clear" w:color="auto" w:fill="C1E4F5" w:themeFill="accent1" w:themeFillTint="33"/>
          </w:tcPr>
          <w:p w14:paraId="384BC5A5" w14:textId="26ECE35B" w:rsidR="004771F3" w:rsidRPr="00B07FE3" w:rsidRDefault="004771F3" w:rsidP="00594576">
            <w:pPr>
              <w:jc w:val="both"/>
              <w:rPr>
                <w:b/>
                <w:bCs/>
              </w:rPr>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00B07FE3">
              <w:rPr>
                <w:rFonts w:ascii="Calibri" w:hAnsi="Calibri" w:cs="Calibri"/>
                <w:lang w:val="en-GB"/>
              </w:rPr>
              <w:t xml:space="preserve"> </w:t>
            </w:r>
            <w:r w:rsidR="00B07FE3">
              <w:rPr>
                <w:rFonts w:ascii="Calibri" w:hAnsi="Calibri" w:cs="Calibri"/>
                <w:b/>
                <w:bCs/>
                <w:lang w:val="en-GB"/>
              </w:rPr>
              <w:t>(Rec 1)</w:t>
            </w:r>
          </w:p>
        </w:tc>
      </w:tr>
      <w:tr w:rsidR="00F64B7C" w14:paraId="0FC42064" w14:textId="77777777" w:rsidTr="004771F3">
        <w:tc>
          <w:tcPr>
            <w:tcW w:w="9016" w:type="dxa"/>
          </w:tcPr>
          <w:p w14:paraId="2A1C03A2" w14:textId="5EAB0914" w:rsidR="00F64B7C" w:rsidRPr="008C54EF" w:rsidRDefault="00F64B7C" w:rsidP="00F64B7C">
            <w:pPr>
              <w:jc w:val="both"/>
            </w:pPr>
            <w:r w:rsidRPr="005F2FE8">
              <w:rPr>
                <w:rFonts w:ascii="Calibri" w:hAnsi="Calibri" w:cs="Calibri"/>
                <w:b/>
                <w:bCs/>
                <w:lang w:val="en-US"/>
              </w:rPr>
              <w:t>Rec 1</w:t>
            </w:r>
            <w:r>
              <w:rPr>
                <w:rFonts w:ascii="Calibri" w:hAnsi="Calibri" w:cs="Calibri"/>
                <w:lang w:val="en-US"/>
              </w:rPr>
              <w:t xml:space="preserve"> </w:t>
            </w:r>
            <w:r w:rsidRPr="005F2FE8">
              <w:rPr>
                <w:rFonts w:ascii="Calibri" w:hAnsi="Calibri" w:cs="Calibri"/>
                <w:lang w:val="en-US"/>
              </w:rPr>
              <w:t>Consider a more structured approach to the allocation of legal work across claims to increase the effectiveness of teams.</w:t>
            </w:r>
          </w:p>
        </w:tc>
      </w:tr>
      <w:tr w:rsidR="00F64B7C" w14:paraId="41CFD17C" w14:textId="77777777" w:rsidTr="004771F3">
        <w:tc>
          <w:tcPr>
            <w:tcW w:w="9016" w:type="dxa"/>
          </w:tcPr>
          <w:p w14:paraId="46C9722E" w14:textId="77777777" w:rsidR="006D7DBD" w:rsidRDefault="00D50CD0" w:rsidP="006D7DBD">
            <w:pPr>
              <w:rPr>
                <w:rFonts w:ascii="Calibri" w:hAnsi="Calibri" w:cs="Calibri"/>
                <w:lang w:val="en-US"/>
              </w:rPr>
            </w:pPr>
            <w:r>
              <w:rPr>
                <w:rFonts w:ascii="Calibri" w:hAnsi="Calibri" w:cs="Calibri"/>
                <w:b/>
                <w:bCs/>
                <w:lang w:val="en-US"/>
              </w:rPr>
              <w:t>Response</w:t>
            </w:r>
            <w:r>
              <w:rPr>
                <w:rFonts w:ascii="Calibri" w:hAnsi="Calibri" w:cs="Calibri"/>
                <w:b/>
                <w:bCs/>
                <w:lang w:val="en-US"/>
              </w:rPr>
              <w:br/>
            </w:r>
            <w:r w:rsidR="006D7DBD">
              <w:rPr>
                <w:rFonts w:ascii="Calibri" w:hAnsi="Calibri" w:cs="Calibri"/>
                <w:lang w:val="en-US"/>
              </w:rPr>
              <w:t xml:space="preserve">Recommendation is accepted. </w:t>
            </w:r>
          </w:p>
          <w:p w14:paraId="392E3823" w14:textId="77777777" w:rsidR="006D7DBD" w:rsidRDefault="006D7DBD" w:rsidP="006D7DBD">
            <w:pPr>
              <w:rPr>
                <w:rFonts w:ascii="Calibri" w:hAnsi="Calibri" w:cs="Calibri"/>
                <w:lang w:val="en-US"/>
              </w:rPr>
            </w:pPr>
            <w:r w:rsidRPr="0013207E">
              <w:rPr>
                <w:rFonts w:ascii="Calibri" w:hAnsi="Calibri" w:cs="Calibri"/>
                <w:lang w:val="en-US"/>
              </w:rPr>
              <w:t>SANTS considers this recommendation has been implemented.</w:t>
            </w:r>
          </w:p>
          <w:p w14:paraId="4DA8FE03" w14:textId="3D2C5FFF" w:rsidR="004E2630" w:rsidRDefault="004E2630" w:rsidP="00D50CD0">
            <w:pPr>
              <w:tabs>
                <w:tab w:val="left" w:pos="1815"/>
              </w:tabs>
              <w:jc w:val="both"/>
              <w:rPr>
                <w:rFonts w:ascii="Calibri" w:hAnsi="Calibri" w:cs="Calibri"/>
                <w:lang w:val="en-US"/>
              </w:rPr>
            </w:pPr>
          </w:p>
          <w:p w14:paraId="5E31B29A" w14:textId="77777777" w:rsidR="004E2630" w:rsidRPr="007545AF" w:rsidRDefault="004E2630" w:rsidP="004E2630">
            <w:pPr>
              <w:rPr>
                <w:rFonts w:ascii="Calibri" w:hAnsi="Calibri" w:cs="Calibri"/>
              </w:rPr>
            </w:pPr>
            <w:r w:rsidRPr="007545AF">
              <w:rPr>
                <w:rFonts w:ascii="Calibri" w:hAnsi="Calibri" w:cs="Calibri"/>
              </w:rPr>
              <w:t>It should be noted that the Federal Court had placed much pressure on SANTS during the reporting period having to address three trials running at the same time, and all other matters given programming orders.  There was significant pressure on SANTS but particularly more so on the legal team.  In fact, for SANTS, COVID was a blessing in disguise because of the slowdown of Court activity which enabled SANTS to re-focus, catch up on matters, and plan future activities in a less pressured environment. </w:t>
            </w:r>
          </w:p>
          <w:p w14:paraId="5F650724" w14:textId="339D9B75" w:rsidR="00D50CD0" w:rsidRPr="005F2FE8" w:rsidRDefault="004E2630" w:rsidP="004E2630">
            <w:pPr>
              <w:tabs>
                <w:tab w:val="left" w:pos="1815"/>
              </w:tabs>
              <w:jc w:val="both"/>
              <w:rPr>
                <w:rFonts w:ascii="Calibri" w:hAnsi="Calibri" w:cs="Calibri"/>
                <w:b/>
                <w:bCs/>
                <w:lang w:val="en-US"/>
              </w:rPr>
            </w:pPr>
            <w:r w:rsidRPr="007545AF">
              <w:rPr>
                <w:rFonts w:ascii="Calibri" w:hAnsi="Calibri" w:cs="Calibri"/>
                <w:lang w:val="en-US"/>
              </w:rPr>
              <w:t>SANTS weathered the storm, and has since reinvigorated its legal team, which is functioning at a high level.</w:t>
            </w:r>
          </w:p>
        </w:tc>
      </w:tr>
      <w:tr w:rsidR="00F64B7C" w14:paraId="49BC6AD0" w14:textId="77777777" w:rsidTr="006276A1">
        <w:tc>
          <w:tcPr>
            <w:tcW w:w="9016" w:type="dxa"/>
            <w:shd w:val="clear" w:color="auto" w:fill="C1E4F5" w:themeFill="accent1" w:themeFillTint="33"/>
          </w:tcPr>
          <w:p w14:paraId="4C28867E" w14:textId="756F5B30" w:rsidR="00F64B7C" w:rsidRPr="00B670D0" w:rsidRDefault="00F64B7C" w:rsidP="00BB03B4">
            <w:pPr>
              <w:rPr>
                <w:rFonts w:ascii="Calibri" w:hAnsi="Calibri" w:cs="Calibri"/>
                <w:b/>
                <w:bCs/>
                <w:lang w:val="en-US"/>
              </w:rPr>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B670D0">
              <w:rPr>
                <w:rFonts w:ascii="Calibri" w:hAnsi="Calibri" w:cs="Calibri"/>
                <w:b/>
                <w:bCs/>
              </w:rPr>
              <w:t>(Rec 2-3)</w:t>
            </w:r>
          </w:p>
        </w:tc>
      </w:tr>
      <w:tr w:rsidR="0094404B" w14:paraId="1689F6EA" w14:textId="77777777" w:rsidTr="000F1B07">
        <w:trPr>
          <w:trHeight w:val="348"/>
        </w:trPr>
        <w:tc>
          <w:tcPr>
            <w:tcW w:w="9016" w:type="dxa"/>
          </w:tcPr>
          <w:p w14:paraId="16460066" w14:textId="4BCC0A5E" w:rsidR="0094404B" w:rsidRDefault="0094404B" w:rsidP="0094404B">
            <w:pPr>
              <w:jc w:val="both"/>
              <w:rPr>
                <w:rFonts w:ascii="Calibri" w:hAnsi="Calibri" w:cs="Calibri"/>
                <w:lang w:val="en-US"/>
              </w:rPr>
            </w:pPr>
            <w:r w:rsidRPr="00A077AF">
              <w:rPr>
                <w:rFonts w:ascii="Calibri" w:hAnsi="Calibri" w:cs="Calibri"/>
                <w:b/>
                <w:bCs/>
                <w:lang w:val="en-US"/>
              </w:rPr>
              <w:t>Rec 2</w:t>
            </w:r>
            <w:r>
              <w:rPr>
                <w:rFonts w:ascii="Calibri" w:hAnsi="Calibri" w:cs="Calibri"/>
                <w:lang w:val="en-US"/>
              </w:rPr>
              <w:t xml:space="preserve"> </w:t>
            </w:r>
            <w:r w:rsidRPr="00A077AF">
              <w:rPr>
                <w:rFonts w:ascii="Calibri" w:hAnsi="Calibri" w:cs="Calibri"/>
                <w:lang w:val="en-US"/>
              </w:rPr>
              <w:t>Make the Facilitation and Assistance Policy available online.</w:t>
            </w:r>
            <w:r w:rsidRPr="00A077AF">
              <w:rPr>
                <w:rFonts w:ascii="Calibri" w:hAnsi="Calibri" w:cs="Calibri"/>
              </w:rPr>
              <w:t> </w:t>
            </w:r>
          </w:p>
        </w:tc>
      </w:tr>
      <w:tr w:rsidR="0094404B" w14:paraId="358A6C16" w14:textId="77777777" w:rsidTr="000F1B07">
        <w:trPr>
          <w:trHeight w:val="348"/>
        </w:trPr>
        <w:tc>
          <w:tcPr>
            <w:tcW w:w="9016" w:type="dxa"/>
          </w:tcPr>
          <w:p w14:paraId="5139041D" w14:textId="77777777" w:rsidR="0094404B" w:rsidRDefault="00C85E4E" w:rsidP="0094404B">
            <w:pPr>
              <w:jc w:val="both"/>
              <w:rPr>
                <w:rFonts w:ascii="Calibri" w:hAnsi="Calibri" w:cs="Calibri"/>
                <w:b/>
                <w:bCs/>
                <w:lang w:val="en-US"/>
              </w:rPr>
            </w:pPr>
            <w:r>
              <w:rPr>
                <w:rFonts w:ascii="Calibri" w:hAnsi="Calibri" w:cs="Calibri"/>
                <w:b/>
                <w:bCs/>
                <w:lang w:val="en-US"/>
              </w:rPr>
              <w:t>Response</w:t>
            </w:r>
          </w:p>
          <w:p w14:paraId="432E0595" w14:textId="77777777" w:rsidR="00C828C7" w:rsidRPr="001D5C8A" w:rsidRDefault="00C828C7" w:rsidP="00C828C7">
            <w:pPr>
              <w:rPr>
                <w:rFonts w:ascii="Calibri" w:hAnsi="Calibri" w:cs="Calibri"/>
              </w:rPr>
            </w:pPr>
            <w:r>
              <w:rPr>
                <w:rFonts w:ascii="Calibri" w:hAnsi="Calibri" w:cs="Calibri"/>
                <w:lang w:val="en-US"/>
              </w:rPr>
              <w:t xml:space="preserve">Recommendation is accepted. </w:t>
            </w:r>
            <w:r w:rsidRPr="001D5C8A">
              <w:rPr>
                <w:rFonts w:ascii="Calibri" w:hAnsi="Calibri" w:cs="Calibri"/>
              </w:rPr>
              <w:t> </w:t>
            </w:r>
          </w:p>
          <w:p w14:paraId="5798F3E1" w14:textId="77777777" w:rsidR="00C828C7" w:rsidRDefault="00C828C7" w:rsidP="00C828C7">
            <w:pPr>
              <w:rPr>
                <w:rFonts w:ascii="Calibri" w:hAnsi="Calibri" w:cs="Calibri"/>
              </w:rPr>
            </w:pPr>
            <w:r w:rsidRPr="001D5C8A">
              <w:rPr>
                <w:rFonts w:ascii="Calibri" w:hAnsi="Calibri" w:cs="Calibri"/>
                <w:lang w:val="en-US"/>
              </w:rPr>
              <w:t>SANTS considers this recommendation has been implemented.</w:t>
            </w:r>
            <w:r w:rsidRPr="001D5C8A">
              <w:rPr>
                <w:rFonts w:ascii="Calibri" w:hAnsi="Calibri" w:cs="Calibri"/>
              </w:rPr>
              <w:t> </w:t>
            </w:r>
          </w:p>
          <w:p w14:paraId="21D0D4E8" w14:textId="77777777" w:rsidR="00C828C7" w:rsidRDefault="00C828C7" w:rsidP="00C828C7">
            <w:pPr>
              <w:rPr>
                <w:rFonts w:ascii="Calibri" w:hAnsi="Calibri" w:cs="Calibri"/>
              </w:rPr>
            </w:pPr>
          </w:p>
          <w:p w14:paraId="29F84C0E" w14:textId="63849DC6" w:rsidR="00C85E4E" w:rsidRPr="00A077AF" w:rsidRDefault="00C828C7" w:rsidP="00C828C7">
            <w:pPr>
              <w:jc w:val="both"/>
              <w:rPr>
                <w:rFonts w:ascii="Calibri" w:hAnsi="Calibri" w:cs="Calibri"/>
                <w:b/>
                <w:bCs/>
                <w:lang w:val="en-US"/>
              </w:rPr>
            </w:pPr>
            <w:r w:rsidRPr="001D5C8A">
              <w:rPr>
                <w:rFonts w:ascii="Calibri" w:hAnsi="Calibri" w:cs="Calibri"/>
                <w:lang w:val="en-US"/>
              </w:rPr>
              <w:t xml:space="preserve">SANTS has made the Facilitation and </w:t>
            </w:r>
            <w:r w:rsidRPr="001A4996">
              <w:rPr>
                <w:rFonts w:ascii="Calibri" w:hAnsi="Calibri" w:cs="Calibri"/>
                <w:lang w:val="en-US"/>
              </w:rPr>
              <w:t>Assistance Policy online.</w:t>
            </w:r>
          </w:p>
        </w:tc>
      </w:tr>
      <w:tr w:rsidR="00763E77" w14:paraId="5160C6F0" w14:textId="77777777" w:rsidTr="000F1B07">
        <w:trPr>
          <w:trHeight w:val="348"/>
        </w:trPr>
        <w:tc>
          <w:tcPr>
            <w:tcW w:w="9016" w:type="dxa"/>
          </w:tcPr>
          <w:p w14:paraId="15D96E15" w14:textId="48AC1281" w:rsidR="00763E77" w:rsidRDefault="0033354A" w:rsidP="0094404B">
            <w:pPr>
              <w:jc w:val="both"/>
              <w:rPr>
                <w:rFonts w:ascii="Calibri" w:hAnsi="Calibri" w:cs="Calibri"/>
                <w:b/>
                <w:bCs/>
                <w:lang w:val="en-US"/>
              </w:rPr>
            </w:pPr>
            <w:r w:rsidRPr="0045674B">
              <w:rPr>
                <w:rFonts w:ascii="Calibri" w:hAnsi="Calibri" w:cs="Calibri"/>
                <w:b/>
                <w:bCs/>
                <w:lang w:val="en-US"/>
              </w:rPr>
              <w:t>Rec 3</w:t>
            </w:r>
            <w:r>
              <w:rPr>
                <w:rFonts w:ascii="Calibri" w:hAnsi="Calibri" w:cs="Calibri"/>
                <w:lang w:val="en-US"/>
              </w:rPr>
              <w:t xml:space="preserve"> </w:t>
            </w:r>
            <w:r w:rsidRPr="0045674B">
              <w:rPr>
                <w:rFonts w:ascii="Calibri" w:hAnsi="Calibri" w:cs="Calibri"/>
                <w:lang w:val="en-US"/>
              </w:rPr>
              <w:t>Ensure that guidelines for Traditional Owner requests for funding to respond to claims are accessible and provide clear and timely justifications for decisions.</w:t>
            </w:r>
            <w:r w:rsidRPr="0045674B">
              <w:rPr>
                <w:rFonts w:ascii="Calibri" w:hAnsi="Calibri" w:cs="Calibri"/>
              </w:rPr>
              <w:t> </w:t>
            </w:r>
          </w:p>
        </w:tc>
      </w:tr>
      <w:tr w:rsidR="001E7B0A" w14:paraId="1EA13907" w14:textId="77777777" w:rsidTr="000F1B07">
        <w:trPr>
          <w:trHeight w:val="348"/>
        </w:trPr>
        <w:tc>
          <w:tcPr>
            <w:tcW w:w="9016" w:type="dxa"/>
          </w:tcPr>
          <w:p w14:paraId="728316C8" w14:textId="62620BEA" w:rsidR="001E7B0A" w:rsidRPr="001E7B0A" w:rsidRDefault="001E7B0A" w:rsidP="001E7B0A">
            <w:pPr>
              <w:rPr>
                <w:rFonts w:ascii="Calibri" w:hAnsi="Calibri" w:cs="Calibri"/>
                <w:b/>
                <w:bCs/>
                <w:lang w:val="en-US"/>
              </w:rPr>
            </w:pPr>
            <w:r w:rsidRPr="001E7B0A">
              <w:rPr>
                <w:rFonts w:ascii="Calibri" w:hAnsi="Calibri" w:cs="Calibri"/>
                <w:b/>
                <w:bCs/>
                <w:lang w:val="en-US"/>
              </w:rPr>
              <w:t>Response</w:t>
            </w:r>
          </w:p>
          <w:p w14:paraId="47BC7C95" w14:textId="02E3A6CF" w:rsidR="001E7B0A" w:rsidRDefault="001E7B0A" w:rsidP="001E7B0A">
            <w:pPr>
              <w:rPr>
                <w:rFonts w:ascii="Calibri" w:hAnsi="Calibri" w:cs="Calibri"/>
                <w:lang w:val="en-US"/>
              </w:rPr>
            </w:pPr>
            <w:r w:rsidRPr="002336DA">
              <w:rPr>
                <w:rFonts w:ascii="Calibri" w:hAnsi="Calibri" w:cs="Calibri"/>
                <w:lang w:val="en-US"/>
              </w:rPr>
              <w:t>Recommendation is accepted.</w:t>
            </w:r>
          </w:p>
          <w:p w14:paraId="25043194" w14:textId="77777777" w:rsidR="001E7B0A" w:rsidRDefault="001E7B0A" w:rsidP="001E7B0A">
            <w:pPr>
              <w:rPr>
                <w:rFonts w:ascii="Calibri" w:hAnsi="Calibri" w:cs="Calibri"/>
              </w:rPr>
            </w:pPr>
            <w:r w:rsidRPr="002336DA">
              <w:rPr>
                <w:rFonts w:ascii="Calibri" w:hAnsi="Calibri" w:cs="Calibri"/>
                <w:lang w:val="en-US"/>
              </w:rPr>
              <w:t>SANTS considers this recommendation has been implemented. </w:t>
            </w:r>
            <w:r w:rsidRPr="002336DA">
              <w:rPr>
                <w:rFonts w:ascii="Calibri" w:hAnsi="Calibri" w:cs="Calibri"/>
              </w:rPr>
              <w:t> </w:t>
            </w:r>
          </w:p>
          <w:p w14:paraId="2CEEBF40" w14:textId="77777777" w:rsidR="001E7B0A" w:rsidRPr="002336DA" w:rsidRDefault="001E7B0A" w:rsidP="001E7B0A">
            <w:pPr>
              <w:rPr>
                <w:rFonts w:ascii="Calibri" w:hAnsi="Calibri" w:cs="Calibri"/>
              </w:rPr>
            </w:pPr>
          </w:p>
          <w:p w14:paraId="4BE801FE" w14:textId="5E2BD4D6" w:rsidR="001E7B0A" w:rsidRDefault="001E7B0A" w:rsidP="00BB03B4">
            <w:pPr>
              <w:rPr>
                <w:rFonts w:ascii="Calibri" w:hAnsi="Calibri" w:cs="Calibri"/>
                <w:b/>
                <w:bCs/>
                <w:lang w:val="en-US"/>
              </w:rPr>
            </w:pPr>
            <w:r w:rsidRPr="002336DA">
              <w:rPr>
                <w:rFonts w:ascii="Calibri" w:hAnsi="Calibri" w:cs="Calibri"/>
                <w:lang w:val="en-US"/>
              </w:rPr>
              <w:t>The implementation of Recommendation 2 will provide guidelines for funding requests.  SANTS always clearly articulates funding decisions including information about the right to seek review of SANTS decisions.</w:t>
            </w:r>
          </w:p>
        </w:tc>
      </w:tr>
      <w:tr w:rsidR="001E7B0A" w14:paraId="20E5EB0D" w14:textId="77777777" w:rsidTr="000F1B07">
        <w:tc>
          <w:tcPr>
            <w:tcW w:w="9016" w:type="dxa"/>
            <w:shd w:val="clear" w:color="auto" w:fill="C1E4F5" w:themeFill="accent1" w:themeFillTint="33"/>
          </w:tcPr>
          <w:p w14:paraId="2A7335DB" w14:textId="1D210884" w:rsidR="001E7B0A" w:rsidRPr="00772B2B" w:rsidRDefault="001E7B0A" w:rsidP="001E7B0A">
            <w:pPr>
              <w:jc w:val="both"/>
              <w:rPr>
                <w:rFonts w:ascii="Calibri" w:hAnsi="Calibri" w:cs="Calibri"/>
                <w:b/>
                <w:bCs/>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772B2B">
              <w:rPr>
                <w:rFonts w:ascii="Calibri" w:hAnsi="Calibri" w:cs="Calibri"/>
                <w:b/>
                <w:bCs/>
              </w:rPr>
              <w:t>(Rec 4</w:t>
            </w:r>
            <w:r w:rsidR="009A6B0A">
              <w:rPr>
                <w:rFonts w:ascii="Calibri" w:hAnsi="Calibri" w:cs="Calibri"/>
                <w:b/>
                <w:bCs/>
              </w:rPr>
              <w:t>)</w:t>
            </w:r>
          </w:p>
        </w:tc>
      </w:tr>
      <w:tr w:rsidR="001E7B0A" w14:paraId="000EE5F2" w14:textId="77777777" w:rsidTr="004771F3">
        <w:tc>
          <w:tcPr>
            <w:tcW w:w="9016" w:type="dxa"/>
          </w:tcPr>
          <w:p w14:paraId="070904EE" w14:textId="1781DD9A" w:rsidR="006B487F" w:rsidRPr="00940F82" w:rsidRDefault="006253BB" w:rsidP="00B44EC3">
            <w:pPr>
              <w:jc w:val="both"/>
              <w:rPr>
                <w:rFonts w:ascii="Calibri" w:hAnsi="Calibri" w:cs="Calibri"/>
                <w:lang w:val="en-US"/>
              </w:rPr>
            </w:pPr>
            <w:r w:rsidRPr="00791538">
              <w:rPr>
                <w:rFonts w:ascii="Calibri" w:hAnsi="Calibri" w:cs="Calibri"/>
                <w:b/>
                <w:bCs/>
                <w:lang w:val="en-US"/>
              </w:rPr>
              <w:t>Rec 4</w:t>
            </w:r>
            <w:r w:rsidRPr="00791538">
              <w:rPr>
                <w:rFonts w:ascii="Calibri" w:hAnsi="Calibri" w:cs="Calibri"/>
                <w:lang w:val="en-US"/>
              </w:rPr>
              <w:t xml:space="preserve"> Develop proactive mechanisms for seeking and managing feedback from clients across all services to support long term relationship management across Traditional Owner groups and native title holders.</w:t>
            </w:r>
            <w:r w:rsidRPr="00791538">
              <w:rPr>
                <w:rFonts w:ascii="Calibri" w:hAnsi="Calibri" w:cs="Calibri"/>
              </w:rPr>
              <w:t> </w:t>
            </w:r>
          </w:p>
        </w:tc>
      </w:tr>
      <w:tr w:rsidR="001E7B0A" w14:paraId="23E28911" w14:textId="77777777" w:rsidTr="004771F3">
        <w:tc>
          <w:tcPr>
            <w:tcW w:w="9016" w:type="dxa"/>
          </w:tcPr>
          <w:p w14:paraId="0EF20531" w14:textId="77777777" w:rsidR="001E7B0A" w:rsidRPr="007009A2" w:rsidRDefault="001E7B0A" w:rsidP="00E24F53">
            <w:pPr>
              <w:keepNext/>
              <w:jc w:val="both"/>
              <w:rPr>
                <w:rFonts w:ascii="Calibri" w:hAnsi="Calibri" w:cs="Calibri"/>
                <w:b/>
                <w:bCs/>
                <w:lang w:val="en-US"/>
              </w:rPr>
            </w:pPr>
            <w:r w:rsidRPr="007009A2">
              <w:rPr>
                <w:rFonts w:ascii="Calibri" w:hAnsi="Calibri" w:cs="Calibri"/>
                <w:b/>
                <w:bCs/>
                <w:lang w:val="en-US"/>
              </w:rPr>
              <w:lastRenderedPageBreak/>
              <w:t>Response</w:t>
            </w:r>
          </w:p>
          <w:p w14:paraId="70A9E748" w14:textId="77777777" w:rsidR="0033502D" w:rsidRDefault="0033502D" w:rsidP="00E24F53">
            <w:pPr>
              <w:keepNext/>
              <w:rPr>
                <w:rFonts w:ascii="Calibri" w:hAnsi="Calibri" w:cs="Calibri"/>
                <w:lang w:val="en-US"/>
              </w:rPr>
            </w:pPr>
            <w:r w:rsidRPr="00681870">
              <w:rPr>
                <w:rFonts w:ascii="Calibri" w:hAnsi="Calibri" w:cs="Calibri"/>
                <w:lang w:val="en-US"/>
              </w:rPr>
              <w:t>Recommendation is accepted.</w:t>
            </w:r>
          </w:p>
          <w:p w14:paraId="411AAB2B" w14:textId="77777777" w:rsidR="0033502D" w:rsidRPr="00681870" w:rsidRDefault="0033502D" w:rsidP="00E24F53">
            <w:pPr>
              <w:keepNext/>
              <w:rPr>
                <w:rFonts w:ascii="Calibri" w:hAnsi="Calibri" w:cs="Calibri"/>
                <w:lang w:val="en-US"/>
              </w:rPr>
            </w:pPr>
            <w:r w:rsidRPr="00681870">
              <w:rPr>
                <w:rFonts w:ascii="Calibri" w:hAnsi="Calibri" w:cs="Calibri"/>
                <w:lang w:val="en-US"/>
              </w:rPr>
              <w:t>SANTS considers action for this recommendation to be ongoing.</w:t>
            </w:r>
            <w:r w:rsidRPr="00681870">
              <w:rPr>
                <w:rFonts w:ascii="Calibri" w:hAnsi="Calibri" w:cs="Calibri"/>
              </w:rPr>
              <w:t> </w:t>
            </w:r>
            <w:r w:rsidRPr="00681870">
              <w:rPr>
                <w:rFonts w:ascii="Calibri" w:hAnsi="Calibri" w:cs="Calibri"/>
                <w:lang w:val="en-US"/>
              </w:rPr>
              <w:t> </w:t>
            </w:r>
          </w:p>
          <w:p w14:paraId="37256DC2" w14:textId="77777777" w:rsidR="0033502D" w:rsidRPr="00681870" w:rsidRDefault="0033502D" w:rsidP="00E24F53">
            <w:pPr>
              <w:keepNext/>
              <w:rPr>
                <w:rFonts w:ascii="Calibri" w:hAnsi="Calibri" w:cs="Calibri"/>
              </w:rPr>
            </w:pPr>
            <w:r w:rsidRPr="00681870">
              <w:rPr>
                <w:rFonts w:ascii="Calibri" w:hAnsi="Calibri" w:cs="Calibri"/>
              </w:rPr>
              <w:t> </w:t>
            </w:r>
          </w:p>
          <w:p w14:paraId="27F6031F" w14:textId="0DDAE7BA" w:rsidR="001E7B0A" w:rsidRPr="0033502D" w:rsidRDefault="0033502D" w:rsidP="00E24F53">
            <w:pPr>
              <w:keepNext/>
              <w:rPr>
                <w:rFonts w:ascii="Calibri" w:hAnsi="Calibri" w:cs="Calibri"/>
              </w:rPr>
            </w:pPr>
            <w:r w:rsidRPr="00681870">
              <w:rPr>
                <w:rFonts w:ascii="Calibri" w:hAnsi="Calibri" w:cs="Calibri"/>
              </w:rPr>
              <w:t>SANTS is investigating how to better obtain feedback from clients.  Currently most feedback is verbal, and generally that feedback only occurs when there has been an issue with the delivery of services.  SANTS is considering technology such as online surveys for this purpose and including a session during meetings to obtain feedback (we find at the end of meetings people leave quickly and do not complete feedback forms).</w:t>
            </w:r>
          </w:p>
        </w:tc>
      </w:tr>
      <w:tr w:rsidR="001E7B0A" w14:paraId="2E1A14A7" w14:textId="77777777" w:rsidTr="007D4FCA">
        <w:tc>
          <w:tcPr>
            <w:tcW w:w="9016" w:type="dxa"/>
            <w:shd w:val="clear" w:color="auto" w:fill="C1E4F5" w:themeFill="accent1" w:themeFillTint="33"/>
          </w:tcPr>
          <w:p w14:paraId="7416E9F3" w14:textId="4FE1E38F" w:rsidR="001E7B0A" w:rsidRDefault="001E7B0A" w:rsidP="001E7B0A">
            <w:pPr>
              <w:jc w:val="both"/>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r w:rsidR="009A6B0A" w:rsidRPr="009A6B0A">
              <w:rPr>
                <w:rFonts w:ascii="Calibri" w:hAnsi="Calibri" w:cs="Calibri"/>
                <w:b/>
                <w:bCs/>
              </w:rPr>
              <w:t>(Rec 5)</w:t>
            </w:r>
          </w:p>
        </w:tc>
      </w:tr>
      <w:tr w:rsidR="001E7B0A" w14:paraId="02BA3EFF" w14:textId="77777777" w:rsidTr="004771F3">
        <w:tc>
          <w:tcPr>
            <w:tcW w:w="9016" w:type="dxa"/>
          </w:tcPr>
          <w:p w14:paraId="72780DE7" w14:textId="413D3ADB" w:rsidR="001E7B0A" w:rsidRPr="00F952C3" w:rsidRDefault="001E7B0A" w:rsidP="001E7B0A">
            <w:pPr>
              <w:jc w:val="both"/>
              <w:rPr>
                <w:rFonts w:ascii="Calibri" w:hAnsi="Calibri" w:cs="Calibri"/>
              </w:rPr>
            </w:pPr>
            <w:r w:rsidRPr="00F66D39">
              <w:rPr>
                <w:rFonts w:ascii="Calibri" w:hAnsi="Calibri" w:cs="Calibri"/>
                <w:b/>
                <w:bCs/>
              </w:rPr>
              <w:t xml:space="preserve">Rec </w:t>
            </w:r>
            <w:r w:rsidR="009A6B0A">
              <w:rPr>
                <w:rFonts w:ascii="Calibri" w:hAnsi="Calibri" w:cs="Calibri"/>
                <w:b/>
                <w:bCs/>
              </w:rPr>
              <w:t>5</w:t>
            </w:r>
            <w:r>
              <w:rPr>
                <w:rFonts w:ascii="Calibri" w:hAnsi="Calibri" w:cs="Calibri"/>
              </w:rPr>
              <w:t xml:space="preserve"> </w:t>
            </w:r>
            <w:r w:rsidR="00707697" w:rsidRPr="006B561F">
              <w:rPr>
                <w:rFonts w:ascii="Calibri" w:hAnsi="Calibri" w:cs="Calibri"/>
                <w:lang w:val="en-US"/>
              </w:rPr>
              <w:t>Continue to explore opportunities for continued growth in fee-for-service and other revenue.</w:t>
            </w:r>
            <w:r w:rsidR="00707697" w:rsidRPr="006B561F">
              <w:rPr>
                <w:rFonts w:ascii="Calibri" w:hAnsi="Calibri" w:cs="Calibri"/>
              </w:rPr>
              <w:t> </w:t>
            </w:r>
          </w:p>
        </w:tc>
      </w:tr>
      <w:tr w:rsidR="001E7B0A" w14:paraId="75A17A2E" w14:textId="77777777" w:rsidTr="004771F3">
        <w:tc>
          <w:tcPr>
            <w:tcW w:w="9016" w:type="dxa"/>
          </w:tcPr>
          <w:p w14:paraId="332BAE5F" w14:textId="77777777" w:rsidR="001E7B0A" w:rsidRPr="007009A2" w:rsidRDefault="001E7B0A" w:rsidP="001E7B0A">
            <w:pPr>
              <w:jc w:val="both"/>
              <w:rPr>
                <w:rFonts w:ascii="Calibri" w:hAnsi="Calibri" w:cs="Calibri"/>
                <w:b/>
                <w:bCs/>
                <w:lang w:val="en-US"/>
              </w:rPr>
            </w:pPr>
            <w:r w:rsidRPr="007009A2">
              <w:rPr>
                <w:rFonts w:ascii="Calibri" w:hAnsi="Calibri" w:cs="Calibri"/>
                <w:b/>
                <w:bCs/>
                <w:lang w:val="en-US"/>
              </w:rPr>
              <w:t>Response</w:t>
            </w:r>
          </w:p>
          <w:p w14:paraId="35307C86" w14:textId="77777777" w:rsidR="001E7B0A" w:rsidRDefault="001E7B0A" w:rsidP="001E7B0A">
            <w:pPr>
              <w:rPr>
                <w:rFonts w:ascii="Calibri" w:hAnsi="Calibri" w:cs="Calibri"/>
                <w:lang w:val="en-US"/>
              </w:rPr>
            </w:pPr>
            <w:r>
              <w:rPr>
                <w:rFonts w:ascii="Calibri" w:hAnsi="Calibri" w:cs="Calibri"/>
                <w:lang w:val="en-US"/>
              </w:rPr>
              <w:t xml:space="preserve">Accepted. </w:t>
            </w:r>
          </w:p>
          <w:p w14:paraId="5CFCCFF3" w14:textId="6114A870" w:rsidR="00200574" w:rsidRDefault="00334316" w:rsidP="001E7B0A">
            <w:pPr>
              <w:rPr>
                <w:rFonts w:ascii="Calibri" w:hAnsi="Calibri" w:cs="Calibri"/>
                <w:lang w:val="en-US"/>
              </w:rPr>
            </w:pPr>
            <w:r>
              <w:rPr>
                <w:rFonts w:ascii="Calibri" w:hAnsi="Calibri" w:cs="Calibri"/>
                <w:lang w:val="en-US"/>
              </w:rPr>
              <w:t>SANTS considers action for the recommendation to be ongoing.</w:t>
            </w:r>
          </w:p>
          <w:p w14:paraId="2DB1FD63" w14:textId="77777777" w:rsidR="00334316" w:rsidRDefault="00334316" w:rsidP="001E7B0A">
            <w:pPr>
              <w:rPr>
                <w:rFonts w:ascii="Calibri" w:hAnsi="Calibri" w:cs="Calibri"/>
                <w:lang w:val="en-US"/>
              </w:rPr>
            </w:pPr>
          </w:p>
          <w:p w14:paraId="720C0484" w14:textId="0CB16A80" w:rsidR="00C960C5" w:rsidRDefault="00C960C5" w:rsidP="001E7B0A">
            <w:pPr>
              <w:rPr>
                <w:rFonts w:ascii="Calibri" w:hAnsi="Calibri" w:cs="Calibri"/>
                <w:lang w:val="en-US"/>
              </w:rPr>
            </w:pPr>
            <w:r>
              <w:rPr>
                <w:rFonts w:ascii="Calibri" w:hAnsi="Calibri" w:cs="Calibri"/>
                <w:lang w:val="en-US"/>
              </w:rPr>
              <w:t>SANTS</w:t>
            </w:r>
            <w:r w:rsidR="00200574">
              <w:rPr>
                <w:rFonts w:ascii="Calibri" w:hAnsi="Calibri" w:cs="Calibri"/>
                <w:lang w:val="en-US"/>
              </w:rPr>
              <w:t xml:space="preserve"> continues to explore opportunities for revenue growth</w:t>
            </w:r>
            <w:r w:rsidR="003B7358">
              <w:rPr>
                <w:rFonts w:ascii="Calibri" w:hAnsi="Calibri" w:cs="Calibri"/>
                <w:lang w:val="en-US"/>
              </w:rPr>
              <w:t xml:space="preserve">. </w:t>
            </w:r>
          </w:p>
          <w:p w14:paraId="3C2B036E" w14:textId="77777777" w:rsidR="003B7358" w:rsidRDefault="003B7358" w:rsidP="001E7B0A">
            <w:pPr>
              <w:rPr>
                <w:rFonts w:ascii="Calibri" w:hAnsi="Calibri" w:cs="Calibri"/>
                <w:lang w:val="en-US"/>
              </w:rPr>
            </w:pPr>
          </w:p>
          <w:p w14:paraId="09937B7D" w14:textId="3227A1E2" w:rsidR="003B7358" w:rsidRDefault="003B7358" w:rsidP="001E7B0A">
            <w:pPr>
              <w:rPr>
                <w:rFonts w:ascii="Calibri" w:hAnsi="Calibri" w:cs="Calibri"/>
                <w:lang w:val="en-US"/>
              </w:rPr>
            </w:pPr>
            <w:r>
              <w:rPr>
                <w:rFonts w:ascii="Calibri" w:hAnsi="Calibri" w:cs="Calibri"/>
                <w:lang w:val="en-US"/>
              </w:rPr>
              <w:t>A significant cost relates to in person meetings and SAN</w:t>
            </w:r>
            <w:r w:rsidR="00287F08">
              <w:rPr>
                <w:rFonts w:ascii="Calibri" w:hAnsi="Calibri" w:cs="Calibri"/>
                <w:lang w:val="en-US"/>
              </w:rPr>
              <w:t xml:space="preserve">TS continues to </w:t>
            </w:r>
            <w:r w:rsidR="00F75767">
              <w:rPr>
                <w:rFonts w:ascii="Calibri" w:hAnsi="Calibri" w:cs="Calibri"/>
                <w:lang w:val="en-US"/>
              </w:rPr>
              <w:t>explore avenues for managing time as a resource, including encouraging the use of technology to minimize travel, and the use of technology in meetings, while recognizing the value of in person meetings</w:t>
            </w:r>
            <w:r w:rsidR="00AD42D9">
              <w:rPr>
                <w:rFonts w:ascii="Calibri" w:hAnsi="Calibri" w:cs="Calibri"/>
                <w:lang w:val="en-US"/>
              </w:rPr>
              <w:t>.</w:t>
            </w:r>
          </w:p>
          <w:p w14:paraId="6CE8984D" w14:textId="77777777" w:rsidR="00AD42D9" w:rsidRDefault="00AD42D9" w:rsidP="001E7B0A">
            <w:pPr>
              <w:rPr>
                <w:rFonts w:ascii="Calibri" w:hAnsi="Calibri" w:cs="Calibri"/>
                <w:lang w:val="en-US"/>
              </w:rPr>
            </w:pPr>
          </w:p>
          <w:p w14:paraId="335F99F1" w14:textId="48F85740" w:rsidR="001E7B0A" w:rsidRPr="00AD42D9" w:rsidRDefault="00F75767" w:rsidP="00AD42D9">
            <w:pPr>
              <w:rPr>
                <w:rFonts w:ascii="Calibri" w:hAnsi="Calibri" w:cs="Calibri"/>
                <w:lang w:val="en-US"/>
              </w:rPr>
            </w:pPr>
            <w:r>
              <w:rPr>
                <w:rFonts w:ascii="Calibri" w:hAnsi="Calibri" w:cs="Calibri"/>
                <w:lang w:val="en-US"/>
              </w:rPr>
              <w:t>SAN</w:t>
            </w:r>
            <w:r w:rsidR="000D5C1C">
              <w:rPr>
                <w:rFonts w:ascii="Calibri" w:hAnsi="Calibri" w:cs="Calibri"/>
                <w:lang w:val="en-US"/>
              </w:rPr>
              <w:t>T</w:t>
            </w:r>
            <w:r>
              <w:rPr>
                <w:rFonts w:ascii="Calibri" w:hAnsi="Calibri" w:cs="Calibri"/>
                <w:lang w:val="en-US"/>
              </w:rPr>
              <w:t xml:space="preserve">S is also exploring ways to reduce its carbon footprint. </w:t>
            </w:r>
          </w:p>
        </w:tc>
      </w:tr>
      <w:tr w:rsidR="001E7B0A" w14:paraId="1D01D827" w14:textId="77777777" w:rsidTr="00211EF0">
        <w:tc>
          <w:tcPr>
            <w:tcW w:w="9016" w:type="dxa"/>
            <w:shd w:val="clear" w:color="auto" w:fill="C1E4F5" w:themeFill="accent1" w:themeFillTint="33"/>
          </w:tcPr>
          <w:p w14:paraId="7C171808" w14:textId="3F8E8B43" w:rsidR="001E7B0A" w:rsidRPr="009E6AF2" w:rsidRDefault="001E7B0A" w:rsidP="001813AC">
            <w:pPr>
              <w:rPr>
                <w:rFonts w:ascii="Calibri" w:hAnsi="Calibri" w:cs="Calibri"/>
                <w:b/>
                <w:bCs/>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334316" w:rsidRPr="00334316">
              <w:rPr>
                <w:rFonts w:ascii="Calibri" w:hAnsi="Calibri" w:cs="Calibri"/>
                <w:b/>
                <w:bCs/>
              </w:rPr>
              <w:t>(Rec 6)</w:t>
            </w:r>
          </w:p>
        </w:tc>
      </w:tr>
      <w:tr w:rsidR="001E7B0A" w14:paraId="191A43C8" w14:textId="77777777" w:rsidTr="004771F3">
        <w:tc>
          <w:tcPr>
            <w:tcW w:w="9016" w:type="dxa"/>
          </w:tcPr>
          <w:p w14:paraId="013CEB44" w14:textId="462DD20C" w:rsidR="001E7B0A" w:rsidRPr="00CD1C4D" w:rsidRDefault="009C5B4C" w:rsidP="001813AC">
            <w:pPr>
              <w:jc w:val="both"/>
              <w:rPr>
                <w:rFonts w:ascii="Calibri" w:hAnsi="Calibri" w:cs="Calibri"/>
                <w:lang w:val="en-US"/>
              </w:rPr>
            </w:pPr>
            <w:r w:rsidRPr="006B561F">
              <w:rPr>
                <w:rFonts w:ascii="Calibri" w:hAnsi="Calibri" w:cs="Calibri"/>
                <w:b/>
                <w:bCs/>
                <w:lang w:val="en-US"/>
              </w:rPr>
              <w:t xml:space="preserve">Rec </w:t>
            </w:r>
            <w:r w:rsidR="00CD1C4D">
              <w:rPr>
                <w:rFonts w:ascii="Calibri" w:hAnsi="Calibri" w:cs="Calibri"/>
                <w:b/>
                <w:bCs/>
                <w:lang w:val="en-US"/>
              </w:rPr>
              <w:t>6</w:t>
            </w:r>
            <w:r w:rsidRPr="006B561F">
              <w:rPr>
                <w:rFonts w:ascii="Calibri" w:hAnsi="Calibri" w:cs="Calibri"/>
                <w:lang w:val="en-US"/>
              </w:rPr>
              <w:t xml:space="preserve"> </w:t>
            </w:r>
            <w:r w:rsidR="00CD1C4D" w:rsidRPr="00CD1C4D">
              <w:rPr>
                <w:rFonts w:ascii="Calibri" w:hAnsi="Calibri" w:cs="Calibri"/>
                <w:lang w:val="en-US"/>
              </w:rPr>
              <w:t>Continue to plan for the workforce and leadership capability required in the coming years, including supporting succession planning for long-tenured senior staff.</w:t>
            </w:r>
          </w:p>
        </w:tc>
      </w:tr>
      <w:tr w:rsidR="001E7B0A" w14:paraId="28DFBD24" w14:textId="77777777" w:rsidTr="004771F3">
        <w:tc>
          <w:tcPr>
            <w:tcW w:w="9016" w:type="dxa"/>
          </w:tcPr>
          <w:p w14:paraId="7607BD27" w14:textId="77777777" w:rsidR="001E7B0A" w:rsidRPr="007009A2" w:rsidRDefault="001E7B0A" w:rsidP="001E7B0A">
            <w:pPr>
              <w:jc w:val="both"/>
              <w:rPr>
                <w:rFonts w:ascii="Calibri" w:hAnsi="Calibri" w:cs="Calibri"/>
                <w:b/>
                <w:bCs/>
                <w:lang w:val="en-US"/>
              </w:rPr>
            </w:pPr>
            <w:r w:rsidRPr="007009A2">
              <w:rPr>
                <w:rFonts w:ascii="Calibri" w:hAnsi="Calibri" w:cs="Calibri"/>
                <w:b/>
                <w:bCs/>
                <w:lang w:val="en-US"/>
              </w:rPr>
              <w:t>Response</w:t>
            </w:r>
          </w:p>
          <w:p w14:paraId="6D593ABE" w14:textId="77777777" w:rsidR="006A1E06" w:rsidRDefault="006A1E06" w:rsidP="006A1E06">
            <w:pPr>
              <w:rPr>
                <w:rFonts w:ascii="Calibri" w:hAnsi="Calibri" w:cs="Calibri"/>
                <w:lang w:val="en-US"/>
              </w:rPr>
            </w:pPr>
            <w:r w:rsidRPr="00936A66">
              <w:rPr>
                <w:rFonts w:ascii="Calibri" w:hAnsi="Calibri" w:cs="Calibri"/>
                <w:lang w:val="en-US"/>
              </w:rPr>
              <w:t>Recommendation is accepted.</w:t>
            </w:r>
          </w:p>
          <w:p w14:paraId="132F719A" w14:textId="77777777" w:rsidR="006A1E06" w:rsidRPr="00936A66" w:rsidRDefault="006A1E06" w:rsidP="006A1E06">
            <w:pPr>
              <w:rPr>
                <w:rFonts w:ascii="Calibri" w:hAnsi="Calibri" w:cs="Calibri"/>
                <w:lang w:val="en-US"/>
              </w:rPr>
            </w:pPr>
            <w:r w:rsidRPr="00936A66">
              <w:rPr>
                <w:rFonts w:ascii="Calibri" w:hAnsi="Calibri" w:cs="Calibri"/>
                <w:lang w:val="en-US"/>
              </w:rPr>
              <w:t>SANTS considers action for this recommendation to be ongoing.</w:t>
            </w:r>
          </w:p>
          <w:p w14:paraId="1E25EE0D" w14:textId="77777777" w:rsidR="006A1E06" w:rsidRPr="00936A66" w:rsidRDefault="006A1E06" w:rsidP="006A1E06">
            <w:pPr>
              <w:rPr>
                <w:rFonts w:ascii="Calibri" w:hAnsi="Calibri" w:cs="Calibri"/>
              </w:rPr>
            </w:pPr>
            <w:r w:rsidRPr="00936A66">
              <w:rPr>
                <w:rFonts w:ascii="Calibri" w:hAnsi="Calibri" w:cs="Calibri"/>
                <w:lang w:val="en-US"/>
              </w:rPr>
              <w:t> </w:t>
            </w:r>
            <w:r w:rsidRPr="00936A66">
              <w:rPr>
                <w:rFonts w:ascii="Calibri" w:hAnsi="Calibri" w:cs="Calibri"/>
              </w:rPr>
              <w:t> </w:t>
            </w:r>
          </w:p>
          <w:p w14:paraId="302A18AE" w14:textId="77777777" w:rsidR="006A1E06" w:rsidRPr="00936A66" w:rsidRDefault="006A1E06" w:rsidP="006A1E06">
            <w:pPr>
              <w:rPr>
                <w:rFonts w:ascii="Calibri" w:hAnsi="Calibri" w:cs="Calibri"/>
              </w:rPr>
            </w:pPr>
            <w:r w:rsidRPr="00936A66">
              <w:rPr>
                <w:rFonts w:ascii="Calibri" w:hAnsi="Calibri" w:cs="Calibri"/>
                <w:lang w:val="en-US"/>
              </w:rPr>
              <w:t>The SANTS Board is actively looking at succession planning and has engaged a consultant for this purpose.  SANTS sought additional funding this financial year to support a deputy CEO position that might transition to filling the CEO position in the future.</w:t>
            </w:r>
            <w:r w:rsidRPr="00936A66">
              <w:rPr>
                <w:rFonts w:ascii="Calibri" w:hAnsi="Calibri" w:cs="Calibri"/>
              </w:rPr>
              <w:t> </w:t>
            </w:r>
          </w:p>
          <w:p w14:paraId="5A018847" w14:textId="77777777" w:rsidR="006A1E06" w:rsidRPr="00936A66" w:rsidRDefault="006A1E06" w:rsidP="006A1E06">
            <w:pPr>
              <w:rPr>
                <w:rFonts w:ascii="Calibri" w:hAnsi="Calibri" w:cs="Calibri"/>
              </w:rPr>
            </w:pPr>
          </w:p>
          <w:p w14:paraId="7D3D046D" w14:textId="07D5E70F" w:rsidR="001E7B0A" w:rsidRDefault="006A1E06" w:rsidP="006A1E06">
            <w:pPr>
              <w:rPr>
                <w:rFonts w:ascii="Calibri" w:hAnsi="Calibri" w:cs="Calibri"/>
                <w:lang w:val="en-US"/>
              </w:rPr>
            </w:pPr>
            <w:r w:rsidRPr="00936A66">
              <w:rPr>
                <w:rFonts w:ascii="Calibri" w:hAnsi="Calibri" w:cs="Calibri"/>
                <w:lang w:val="en-US"/>
              </w:rPr>
              <w:t>SANTS leadership is exploring broadening the areas of expertise of its legal team as native title holders transition into the context of protecting and preserving their native title rights and interests, and further leveraging wealth creation and beneficial outcomes from being the holders of rights and interests that must be dealt with by governments and third parties when granting or creating new rights and interests in land and waters.</w:t>
            </w:r>
          </w:p>
        </w:tc>
      </w:tr>
      <w:tr w:rsidR="001E7B0A" w14:paraId="0A5CC5B1" w14:textId="77777777" w:rsidTr="002A0C79">
        <w:tc>
          <w:tcPr>
            <w:tcW w:w="9016" w:type="dxa"/>
            <w:shd w:val="clear" w:color="auto" w:fill="C1E4F5" w:themeFill="accent1" w:themeFillTint="33"/>
          </w:tcPr>
          <w:p w14:paraId="767890ED" w14:textId="3A257A2B" w:rsidR="001E7B0A" w:rsidRPr="006B0A39" w:rsidRDefault="001E7B0A" w:rsidP="001E7B0A">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334316" w:rsidRPr="00334316">
              <w:rPr>
                <w:rFonts w:ascii="Calibri" w:hAnsi="Calibri" w:cs="Calibri"/>
                <w:b/>
                <w:bCs/>
              </w:rPr>
              <w:t>(Rec 7 -8)</w:t>
            </w:r>
          </w:p>
        </w:tc>
      </w:tr>
      <w:tr w:rsidR="00BB7B1D" w14:paraId="242F7191" w14:textId="77777777" w:rsidTr="004771F3">
        <w:tc>
          <w:tcPr>
            <w:tcW w:w="9016" w:type="dxa"/>
          </w:tcPr>
          <w:p w14:paraId="68446DA6" w14:textId="77DD3076" w:rsidR="00BB7B1D" w:rsidRPr="00BB7B1D" w:rsidRDefault="00BB7B1D" w:rsidP="00BB7B1D">
            <w:pPr>
              <w:rPr>
                <w:rFonts w:ascii="Calibri" w:hAnsi="Calibri" w:cs="Calibri"/>
              </w:rPr>
            </w:pPr>
            <w:r w:rsidRPr="00345D11">
              <w:rPr>
                <w:rFonts w:ascii="Calibri" w:hAnsi="Calibri" w:cs="Calibri"/>
                <w:b/>
                <w:bCs/>
                <w:lang w:val="en-US"/>
              </w:rPr>
              <w:t>Rec 7</w:t>
            </w:r>
            <w:r w:rsidRPr="00345D11">
              <w:rPr>
                <w:rFonts w:ascii="Calibri" w:hAnsi="Calibri" w:cs="Calibri"/>
                <w:lang w:val="en-US"/>
              </w:rPr>
              <w:t xml:space="preserve"> Consider ways to most effectively target support for PBCs within the limitations of resource capacity.</w:t>
            </w:r>
            <w:r w:rsidRPr="00345D11">
              <w:rPr>
                <w:rFonts w:ascii="Calibri" w:hAnsi="Calibri" w:cs="Calibri"/>
              </w:rPr>
              <w:t> </w:t>
            </w:r>
          </w:p>
        </w:tc>
      </w:tr>
      <w:tr w:rsidR="00516325" w14:paraId="0294F5A6" w14:textId="77777777" w:rsidTr="004771F3">
        <w:tc>
          <w:tcPr>
            <w:tcW w:w="9016" w:type="dxa"/>
          </w:tcPr>
          <w:p w14:paraId="561246D5" w14:textId="2284D985" w:rsidR="00516325" w:rsidRPr="00516325" w:rsidRDefault="00516325" w:rsidP="00187907">
            <w:pPr>
              <w:keepNext/>
              <w:keepLines/>
              <w:rPr>
                <w:rFonts w:ascii="Calibri" w:hAnsi="Calibri" w:cs="Calibri"/>
                <w:b/>
                <w:bCs/>
                <w:lang w:val="en-US"/>
              </w:rPr>
            </w:pPr>
            <w:r w:rsidRPr="00516325">
              <w:rPr>
                <w:rFonts w:ascii="Calibri" w:hAnsi="Calibri" w:cs="Calibri"/>
                <w:b/>
                <w:bCs/>
                <w:lang w:val="en-US"/>
              </w:rPr>
              <w:lastRenderedPageBreak/>
              <w:t>Response</w:t>
            </w:r>
          </w:p>
          <w:p w14:paraId="3E6BE747" w14:textId="4F143A6D" w:rsidR="00516325" w:rsidRDefault="00516325" w:rsidP="00187907">
            <w:pPr>
              <w:keepNext/>
              <w:keepLines/>
              <w:rPr>
                <w:rFonts w:ascii="Calibri" w:hAnsi="Calibri" w:cs="Calibri"/>
                <w:lang w:val="en-US"/>
              </w:rPr>
            </w:pPr>
            <w:r w:rsidRPr="00CF3A21">
              <w:rPr>
                <w:rFonts w:ascii="Calibri" w:hAnsi="Calibri" w:cs="Calibri"/>
                <w:lang w:val="en-US"/>
              </w:rPr>
              <w:t>Recommendation is accepted.</w:t>
            </w:r>
          </w:p>
          <w:p w14:paraId="4C9464E3" w14:textId="77777777" w:rsidR="00516325" w:rsidRPr="00CF3A21" w:rsidRDefault="00516325" w:rsidP="00187907">
            <w:pPr>
              <w:keepNext/>
              <w:keepLines/>
              <w:rPr>
                <w:rFonts w:ascii="Calibri" w:hAnsi="Calibri" w:cs="Calibri"/>
                <w:lang w:val="en-US"/>
              </w:rPr>
            </w:pPr>
            <w:r w:rsidRPr="00CF3A21">
              <w:rPr>
                <w:rFonts w:ascii="Calibri" w:hAnsi="Calibri" w:cs="Calibri"/>
                <w:lang w:val="en-US"/>
              </w:rPr>
              <w:t>SANTS considers action for this recommendation to be ongoing. </w:t>
            </w:r>
          </w:p>
          <w:p w14:paraId="73EF26FD" w14:textId="77777777" w:rsidR="00516325" w:rsidRPr="00CF3A21" w:rsidRDefault="00516325" w:rsidP="00187907">
            <w:pPr>
              <w:keepNext/>
              <w:keepLines/>
              <w:rPr>
                <w:rFonts w:ascii="Calibri" w:hAnsi="Calibri" w:cs="Calibri"/>
              </w:rPr>
            </w:pPr>
            <w:r w:rsidRPr="00CF3A21">
              <w:rPr>
                <w:rFonts w:ascii="Calibri" w:hAnsi="Calibri" w:cs="Calibri"/>
              </w:rPr>
              <w:t> </w:t>
            </w:r>
          </w:p>
          <w:p w14:paraId="54A61588" w14:textId="38B79F89" w:rsidR="00516325" w:rsidRPr="006B0A39" w:rsidRDefault="00516325" w:rsidP="00187907">
            <w:pPr>
              <w:keepNext/>
              <w:keepLines/>
              <w:rPr>
                <w:rFonts w:ascii="Calibri" w:hAnsi="Calibri" w:cs="Calibri"/>
                <w:b/>
                <w:bCs/>
                <w:lang w:val="en-US"/>
              </w:rPr>
            </w:pPr>
            <w:r w:rsidRPr="00CF3A21">
              <w:rPr>
                <w:rFonts w:ascii="Calibri" w:hAnsi="Calibri" w:cs="Calibri"/>
                <w:lang w:val="en-US"/>
              </w:rPr>
              <w:t>SANTS provides significant support services to PBCs which are identified by the PBCs themselves as priority activities often linked to development opportunities including good governance practices, economic and social program growth, looking after country, and maintaining law and culture.</w:t>
            </w:r>
          </w:p>
        </w:tc>
      </w:tr>
      <w:tr w:rsidR="00516325" w14:paraId="09220C93" w14:textId="77777777" w:rsidTr="004771F3">
        <w:tc>
          <w:tcPr>
            <w:tcW w:w="9016" w:type="dxa"/>
          </w:tcPr>
          <w:p w14:paraId="588F3646" w14:textId="02B28314" w:rsidR="00516325" w:rsidRPr="006B0A39" w:rsidRDefault="00DE2C45" w:rsidP="00516325">
            <w:pPr>
              <w:rPr>
                <w:rFonts w:ascii="Calibri" w:hAnsi="Calibri" w:cs="Calibri"/>
                <w:b/>
                <w:bCs/>
                <w:lang w:val="en-US"/>
              </w:rPr>
            </w:pPr>
            <w:r w:rsidRPr="00F85442">
              <w:rPr>
                <w:rFonts w:ascii="Calibri" w:hAnsi="Calibri" w:cs="Calibri"/>
                <w:b/>
                <w:bCs/>
                <w:lang w:val="en-US"/>
              </w:rPr>
              <w:t>Rec 8</w:t>
            </w:r>
            <w:r w:rsidRPr="00F85442">
              <w:rPr>
                <w:rFonts w:ascii="Calibri" w:hAnsi="Calibri" w:cs="Calibri"/>
                <w:lang w:val="en-US"/>
              </w:rPr>
              <w:t xml:space="preserve"> </w:t>
            </w:r>
            <w:proofErr w:type="spellStart"/>
            <w:r w:rsidRPr="00F85442">
              <w:rPr>
                <w:rFonts w:ascii="Calibri" w:hAnsi="Calibri" w:cs="Calibri"/>
                <w:lang w:val="en-US"/>
              </w:rPr>
              <w:t>Finalise</w:t>
            </w:r>
            <w:proofErr w:type="spellEnd"/>
            <w:r w:rsidRPr="00F85442">
              <w:rPr>
                <w:rFonts w:ascii="Calibri" w:hAnsi="Calibri" w:cs="Calibri"/>
                <w:lang w:val="en-US"/>
              </w:rPr>
              <w:t xml:space="preserve"> the development of a consistent and respectful approach to the repatriation of cultural materials.</w:t>
            </w:r>
            <w:r w:rsidRPr="00F85442">
              <w:rPr>
                <w:rFonts w:ascii="Calibri" w:hAnsi="Calibri" w:cs="Calibri"/>
              </w:rPr>
              <w:t> </w:t>
            </w:r>
          </w:p>
        </w:tc>
      </w:tr>
      <w:tr w:rsidR="00516325" w14:paraId="71095D01" w14:textId="77777777" w:rsidTr="004771F3">
        <w:tc>
          <w:tcPr>
            <w:tcW w:w="9016" w:type="dxa"/>
          </w:tcPr>
          <w:p w14:paraId="15C45C05" w14:textId="5B84AF36" w:rsidR="00516325" w:rsidRPr="00305D2D" w:rsidRDefault="00516325" w:rsidP="00516325">
            <w:pPr>
              <w:rPr>
                <w:rFonts w:ascii="Calibri" w:hAnsi="Calibri" w:cs="Calibri"/>
                <w:b/>
                <w:bCs/>
              </w:rPr>
            </w:pPr>
            <w:r w:rsidRPr="00305D2D">
              <w:rPr>
                <w:rFonts w:ascii="Calibri" w:hAnsi="Calibri" w:cs="Calibri"/>
                <w:b/>
                <w:bCs/>
              </w:rPr>
              <w:t>Response</w:t>
            </w:r>
          </w:p>
          <w:p w14:paraId="5916237B" w14:textId="77777777" w:rsidR="00280AB5" w:rsidRDefault="00280AB5" w:rsidP="00280AB5">
            <w:pPr>
              <w:rPr>
                <w:rFonts w:ascii="Calibri" w:hAnsi="Calibri" w:cs="Calibri"/>
                <w:lang w:val="en-US"/>
              </w:rPr>
            </w:pPr>
            <w:r w:rsidRPr="007E59BB">
              <w:rPr>
                <w:rFonts w:ascii="Calibri" w:hAnsi="Calibri" w:cs="Calibri"/>
                <w:lang w:val="en-US"/>
              </w:rPr>
              <w:t>Recommendation is accepted.</w:t>
            </w:r>
          </w:p>
          <w:p w14:paraId="415C194D" w14:textId="77777777" w:rsidR="00280AB5" w:rsidRPr="007E59BB" w:rsidRDefault="00280AB5" w:rsidP="00280AB5">
            <w:pPr>
              <w:rPr>
                <w:rFonts w:ascii="Calibri" w:hAnsi="Calibri" w:cs="Calibri"/>
                <w:lang w:val="en-US"/>
              </w:rPr>
            </w:pPr>
            <w:r w:rsidRPr="007E59BB">
              <w:rPr>
                <w:rFonts w:ascii="Calibri" w:hAnsi="Calibri" w:cs="Calibri"/>
                <w:lang w:val="en-US"/>
              </w:rPr>
              <w:t>SANTS considers action for this recommendation to be ongoing.</w:t>
            </w:r>
          </w:p>
          <w:p w14:paraId="054373DF" w14:textId="77777777" w:rsidR="00280AB5" w:rsidRPr="007E59BB" w:rsidRDefault="00280AB5" w:rsidP="00280AB5">
            <w:pPr>
              <w:rPr>
                <w:rFonts w:ascii="Calibri" w:hAnsi="Calibri" w:cs="Calibri"/>
              </w:rPr>
            </w:pPr>
            <w:r w:rsidRPr="007E59BB">
              <w:rPr>
                <w:rFonts w:ascii="Calibri" w:hAnsi="Calibri" w:cs="Calibri"/>
                <w:lang w:val="en-US"/>
              </w:rPr>
              <w:t> </w:t>
            </w:r>
            <w:r w:rsidRPr="007E59BB">
              <w:rPr>
                <w:rFonts w:ascii="Calibri" w:hAnsi="Calibri" w:cs="Calibri"/>
              </w:rPr>
              <w:t> </w:t>
            </w:r>
          </w:p>
          <w:p w14:paraId="6297B50B" w14:textId="07C0DDC6" w:rsidR="00516325" w:rsidRPr="006B0A39" w:rsidRDefault="00280AB5" w:rsidP="00280AB5">
            <w:pPr>
              <w:rPr>
                <w:rFonts w:ascii="Calibri" w:hAnsi="Calibri" w:cs="Calibri"/>
                <w:b/>
                <w:bCs/>
                <w:lang w:val="en-US"/>
              </w:rPr>
            </w:pPr>
            <w:r w:rsidRPr="007E59BB">
              <w:rPr>
                <w:rFonts w:ascii="Calibri" w:hAnsi="Calibri" w:cs="Calibri"/>
                <w:lang w:val="en-US"/>
              </w:rPr>
              <w:t>SANTS is actively developing policy and capacity to return cultural materials to traditional owners.</w:t>
            </w:r>
          </w:p>
        </w:tc>
      </w:tr>
      <w:tr w:rsidR="00516325" w14:paraId="730408A2" w14:textId="77777777" w:rsidTr="00B34614">
        <w:tc>
          <w:tcPr>
            <w:tcW w:w="9016" w:type="dxa"/>
            <w:shd w:val="clear" w:color="auto" w:fill="C1E4F5" w:themeFill="accent1" w:themeFillTint="33"/>
          </w:tcPr>
          <w:p w14:paraId="18FB1291" w14:textId="35705CDF" w:rsidR="00516325" w:rsidRDefault="00516325" w:rsidP="00516325">
            <w:pPr>
              <w:rPr>
                <w:rFonts w:ascii="Calibri" w:hAnsi="Calibri" w:cs="Calibri"/>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C922AF">
              <w:rPr>
                <w:rFonts w:ascii="Calibri" w:hAnsi="Calibri" w:cs="Calibri"/>
              </w:rPr>
              <w:t> </w:t>
            </w:r>
            <w:r w:rsidR="00334316" w:rsidRPr="00334316">
              <w:rPr>
                <w:rFonts w:ascii="Calibri" w:hAnsi="Calibri" w:cs="Calibri"/>
                <w:b/>
                <w:bCs/>
              </w:rPr>
              <w:t xml:space="preserve">(Rec 9 </w:t>
            </w:r>
            <w:r w:rsidR="00334316">
              <w:rPr>
                <w:rFonts w:ascii="Calibri" w:hAnsi="Calibri" w:cs="Calibri"/>
                <w:b/>
                <w:bCs/>
              </w:rPr>
              <w:t>-</w:t>
            </w:r>
            <w:r w:rsidR="00334316" w:rsidRPr="00334316">
              <w:rPr>
                <w:rFonts w:ascii="Calibri" w:hAnsi="Calibri" w:cs="Calibri"/>
                <w:b/>
                <w:bCs/>
              </w:rPr>
              <w:t xml:space="preserve"> 10)</w:t>
            </w:r>
          </w:p>
        </w:tc>
      </w:tr>
      <w:tr w:rsidR="00516325" w14:paraId="60DF38C9" w14:textId="77777777" w:rsidTr="004771F3">
        <w:tc>
          <w:tcPr>
            <w:tcW w:w="9016" w:type="dxa"/>
          </w:tcPr>
          <w:p w14:paraId="3EC32E97" w14:textId="1BC9D189" w:rsidR="00516325" w:rsidRPr="00E43735" w:rsidRDefault="00E43735" w:rsidP="00516325">
            <w:pPr>
              <w:rPr>
                <w:rFonts w:ascii="Calibri" w:hAnsi="Calibri" w:cs="Calibri"/>
              </w:rPr>
            </w:pPr>
            <w:r w:rsidRPr="005C0021">
              <w:rPr>
                <w:rFonts w:ascii="Calibri" w:hAnsi="Calibri" w:cs="Calibri"/>
                <w:b/>
                <w:bCs/>
                <w:lang w:val="en-US"/>
              </w:rPr>
              <w:t>Rec 9</w:t>
            </w:r>
            <w:r w:rsidRPr="005C0021">
              <w:rPr>
                <w:rFonts w:ascii="Calibri" w:hAnsi="Calibri" w:cs="Calibri"/>
                <w:lang w:val="en-US"/>
              </w:rPr>
              <w:t xml:space="preserve"> Undertake a planning process to explore what services SANTS should provide in a post-determination environment. This planning process should involve a variety of internal staff and external stakeholders.</w:t>
            </w:r>
            <w:r w:rsidRPr="005C0021">
              <w:rPr>
                <w:rFonts w:ascii="Calibri" w:hAnsi="Calibri" w:cs="Calibri"/>
              </w:rPr>
              <w:t> </w:t>
            </w:r>
          </w:p>
        </w:tc>
      </w:tr>
      <w:tr w:rsidR="00516325" w14:paraId="777C150C" w14:textId="77777777" w:rsidTr="004771F3">
        <w:tc>
          <w:tcPr>
            <w:tcW w:w="9016" w:type="dxa"/>
          </w:tcPr>
          <w:p w14:paraId="59F8CB38" w14:textId="77777777" w:rsidR="00516325" w:rsidRPr="007009A2" w:rsidRDefault="00516325" w:rsidP="00516325">
            <w:pPr>
              <w:jc w:val="both"/>
              <w:rPr>
                <w:rFonts w:ascii="Calibri" w:hAnsi="Calibri" w:cs="Calibri"/>
                <w:b/>
                <w:bCs/>
                <w:lang w:val="en-US"/>
              </w:rPr>
            </w:pPr>
            <w:r w:rsidRPr="007009A2">
              <w:rPr>
                <w:rFonts w:ascii="Calibri" w:hAnsi="Calibri" w:cs="Calibri"/>
                <w:b/>
                <w:bCs/>
                <w:lang w:val="en-US"/>
              </w:rPr>
              <w:t>Response</w:t>
            </w:r>
          </w:p>
          <w:p w14:paraId="59D46E43" w14:textId="77777777" w:rsidR="00E62BC1" w:rsidRDefault="00E62BC1" w:rsidP="00E62BC1">
            <w:pPr>
              <w:rPr>
                <w:rFonts w:ascii="Calibri" w:hAnsi="Calibri" w:cs="Calibri"/>
                <w:lang w:val="en-US"/>
              </w:rPr>
            </w:pPr>
            <w:r w:rsidRPr="00525BD5">
              <w:rPr>
                <w:rFonts w:ascii="Calibri" w:hAnsi="Calibri" w:cs="Calibri"/>
                <w:lang w:val="en-US"/>
              </w:rPr>
              <w:t>Recommendation is accepted.</w:t>
            </w:r>
          </w:p>
          <w:p w14:paraId="4596E51E" w14:textId="77777777" w:rsidR="00E62BC1" w:rsidRPr="00525BD5" w:rsidRDefault="00E62BC1" w:rsidP="00E62BC1">
            <w:pPr>
              <w:rPr>
                <w:rFonts w:ascii="Calibri" w:hAnsi="Calibri" w:cs="Calibri"/>
                <w:lang w:val="en-US"/>
              </w:rPr>
            </w:pPr>
            <w:r w:rsidRPr="00525BD5">
              <w:rPr>
                <w:rFonts w:ascii="Calibri" w:hAnsi="Calibri" w:cs="Calibri"/>
                <w:lang w:val="en-US"/>
              </w:rPr>
              <w:t>SANTS considers action for this recommendation to be ongoing.</w:t>
            </w:r>
          </w:p>
          <w:p w14:paraId="48E09580" w14:textId="77777777" w:rsidR="00E62BC1" w:rsidRPr="00525BD5" w:rsidRDefault="00E62BC1" w:rsidP="00E62BC1">
            <w:pPr>
              <w:rPr>
                <w:rFonts w:ascii="Calibri" w:hAnsi="Calibri" w:cs="Calibri"/>
              </w:rPr>
            </w:pPr>
            <w:r w:rsidRPr="00525BD5">
              <w:rPr>
                <w:rFonts w:ascii="Calibri" w:hAnsi="Calibri" w:cs="Calibri"/>
                <w:lang w:val="en-US"/>
              </w:rPr>
              <w:t> </w:t>
            </w:r>
            <w:r w:rsidRPr="00525BD5">
              <w:rPr>
                <w:rFonts w:ascii="Calibri" w:hAnsi="Calibri" w:cs="Calibri"/>
              </w:rPr>
              <w:t> </w:t>
            </w:r>
          </w:p>
          <w:p w14:paraId="0087DED4" w14:textId="6AD43507" w:rsidR="00516325" w:rsidRDefault="00E62BC1" w:rsidP="00E62BC1">
            <w:pPr>
              <w:rPr>
                <w:rFonts w:ascii="Calibri" w:hAnsi="Calibri" w:cs="Calibri"/>
                <w:lang w:val="en-US"/>
              </w:rPr>
            </w:pPr>
            <w:r w:rsidRPr="00525BD5">
              <w:rPr>
                <w:rFonts w:ascii="Calibri" w:hAnsi="Calibri" w:cs="Calibri"/>
                <w:lang w:val="en-US"/>
              </w:rPr>
              <w:t>SANTS is currently undertaking a strategic planning process to produce a new strategic plan for the period 2025-2030.  SANTS will be engaging with internal and external stakeholders in this process.  A significant portion of SANTS work is currently in a post determination environment.</w:t>
            </w:r>
          </w:p>
        </w:tc>
      </w:tr>
      <w:tr w:rsidR="00A47626" w14:paraId="364610DC" w14:textId="77777777" w:rsidTr="004771F3">
        <w:tc>
          <w:tcPr>
            <w:tcW w:w="9016" w:type="dxa"/>
          </w:tcPr>
          <w:p w14:paraId="24F71750" w14:textId="4B23AE2B" w:rsidR="00A47626" w:rsidRPr="00596DF6" w:rsidRDefault="00A47626" w:rsidP="00596DF6">
            <w:pPr>
              <w:rPr>
                <w:rFonts w:ascii="Calibri" w:hAnsi="Calibri" w:cs="Calibri"/>
              </w:rPr>
            </w:pPr>
            <w:r w:rsidRPr="00800E07">
              <w:rPr>
                <w:rFonts w:ascii="Calibri" w:hAnsi="Calibri" w:cs="Calibri"/>
                <w:b/>
                <w:bCs/>
                <w:lang w:val="en-US"/>
              </w:rPr>
              <w:t>Rec 10</w:t>
            </w:r>
            <w:r w:rsidRPr="00800E07">
              <w:rPr>
                <w:rFonts w:ascii="Calibri" w:hAnsi="Calibri" w:cs="Calibri"/>
                <w:lang w:val="en-US"/>
              </w:rPr>
              <w:t xml:space="preserve"> Fast track the development of an operating model for post-determination which defines sustainable resource requirements and guides future funding discussions with NIAA.</w:t>
            </w:r>
          </w:p>
        </w:tc>
      </w:tr>
      <w:tr w:rsidR="00A47626" w14:paraId="037783B2" w14:textId="77777777" w:rsidTr="004771F3">
        <w:tc>
          <w:tcPr>
            <w:tcW w:w="9016" w:type="dxa"/>
          </w:tcPr>
          <w:p w14:paraId="517C238F" w14:textId="61EC5EF1" w:rsidR="006B487F" w:rsidRPr="006B487F" w:rsidRDefault="006B487F" w:rsidP="006B487F">
            <w:pPr>
              <w:rPr>
                <w:rFonts w:ascii="Calibri" w:hAnsi="Calibri" w:cs="Calibri"/>
                <w:b/>
                <w:bCs/>
                <w:lang w:val="en-US"/>
              </w:rPr>
            </w:pPr>
            <w:r w:rsidRPr="006B487F">
              <w:rPr>
                <w:rFonts w:ascii="Calibri" w:hAnsi="Calibri" w:cs="Calibri"/>
                <w:b/>
                <w:bCs/>
                <w:lang w:val="en-US"/>
              </w:rPr>
              <w:t>Response</w:t>
            </w:r>
          </w:p>
          <w:p w14:paraId="78EED5AA" w14:textId="2A6DCDC7" w:rsidR="006B487F" w:rsidRDefault="006B487F" w:rsidP="006B487F">
            <w:pPr>
              <w:rPr>
                <w:rFonts w:ascii="Calibri" w:hAnsi="Calibri" w:cs="Calibri"/>
                <w:lang w:val="en-US"/>
              </w:rPr>
            </w:pPr>
            <w:r w:rsidRPr="00577A00">
              <w:rPr>
                <w:rFonts w:ascii="Calibri" w:hAnsi="Calibri" w:cs="Calibri"/>
                <w:lang w:val="en-US"/>
              </w:rPr>
              <w:t>Recommendation is accepted.</w:t>
            </w:r>
          </w:p>
          <w:p w14:paraId="7D87E466" w14:textId="77777777" w:rsidR="006B487F" w:rsidRPr="00577A00" w:rsidRDefault="006B487F" w:rsidP="006B487F">
            <w:pPr>
              <w:rPr>
                <w:rFonts w:ascii="Calibri" w:hAnsi="Calibri" w:cs="Calibri"/>
                <w:lang w:val="en-US"/>
              </w:rPr>
            </w:pPr>
            <w:r w:rsidRPr="00577A00">
              <w:rPr>
                <w:rFonts w:ascii="Calibri" w:hAnsi="Calibri" w:cs="Calibri"/>
                <w:lang w:val="en-US"/>
              </w:rPr>
              <w:t>SANTS considers action for this recommendation to be ongoing.</w:t>
            </w:r>
            <w:r w:rsidRPr="00577A00">
              <w:rPr>
                <w:rFonts w:ascii="Calibri" w:hAnsi="Calibri" w:cs="Calibri"/>
              </w:rPr>
              <w:t> </w:t>
            </w:r>
          </w:p>
          <w:p w14:paraId="615210D1" w14:textId="77777777" w:rsidR="006B487F" w:rsidRPr="00577A00" w:rsidRDefault="006B487F" w:rsidP="006B487F">
            <w:pPr>
              <w:rPr>
                <w:rFonts w:ascii="Calibri" w:hAnsi="Calibri" w:cs="Calibri"/>
              </w:rPr>
            </w:pPr>
            <w:r w:rsidRPr="00577A00">
              <w:rPr>
                <w:rFonts w:ascii="Calibri" w:hAnsi="Calibri" w:cs="Calibri"/>
                <w:lang w:val="en-US"/>
              </w:rPr>
              <w:t> </w:t>
            </w:r>
            <w:r w:rsidRPr="00577A00">
              <w:rPr>
                <w:rFonts w:ascii="Calibri" w:hAnsi="Calibri" w:cs="Calibri"/>
              </w:rPr>
              <w:t> </w:t>
            </w:r>
          </w:p>
          <w:p w14:paraId="0CD5DC77" w14:textId="245C1432" w:rsidR="00A47626" w:rsidRPr="007009A2" w:rsidRDefault="006B487F" w:rsidP="006B487F">
            <w:pPr>
              <w:jc w:val="both"/>
              <w:rPr>
                <w:rFonts w:ascii="Calibri" w:hAnsi="Calibri" w:cs="Calibri"/>
                <w:b/>
                <w:bCs/>
                <w:lang w:val="en-US"/>
              </w:rPr>
            </w:pPr>
            <w:r w:rsidRPr="00577A00">
              <w:rPr>
                <w:rFonts w:ascii="Calibri" w:hAnsi="Calibri" w:cs="Calibri"/>
                <w:lang w:val="en-US"/>
              </w:rPr>
              <w:t>SANTS is currently working in a post determination operating model.  Discussions with NIAA about future funding support is a high priority.</w:t>
            </w:r>
          </w:p>
        </w:tc>
      </w:tr>
    </w:tbl>
    <w:p w14:paraId="22B72C67" w14:textId="77777777" w:rsidR="004771F3" w:rsidRDefault="004771F3"/>
    <w:p w14:paraId="67456EE2" w14:textId="77777777" w:rsidR="007009A2" w:rsidRDefault="007009A2"/>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848F" w14:textId="77777777" w:rsidR="00DB4407" w:rsidRDefault="00DB4407" w:rsidP="004771F3">
      <w:pPr>
        <w:spacing w:after="0" w:line="240" w:lineRule="auto"/>
      </w:pPr>
      <w:r>
        <w:separator/>
      </w:r>
    </w:p>
  </w:endnote>
  <w:endnote w:type="continuationSeparator" w:id="0">
    <w:p w14:paraId="5E5903AC" w14:textId="77777777" w:rsidR="00DB4407" w:rsidRDefault="00DB4407" w:rsidP="004771F3">
      <w:pPr>
        <w:spacing w:after="0" w:line="240" w:lineRule="auto"/>
      </w:pPr>
      <w:r>
        <w:continuationSeparator/>
      </w:r>
    </w:p>
  </w:endnote>
  <w:endnote w:type="continuationNotice" w:id="1">
    <w:p w14:paraId="3FD5B077" w14:textId="77777777" w:rsidR="00DB4407" w:rsidRDefault="00DB4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6F2BB78B" w:rsidR="00934114" w:rsidRDefault="00934114">
        <w:pPr>
          <w:pStyle w:val="Footer"/>
          <w:jc w:val="right"/>
        </w:pPr>
        <w:r>
          <w:fldChar w:fldCharType="begin"/>
        </w:r>
        <w:r>
          <w:instrText xml:space="preserve"> PAGE   \* MERGEFORMAT </w:instrText>
        </w:r>
        <w:r>
          <w:fldChar w:fldCharType="separate"/>
        </w:r>
        <w:r>
          <w:rPr>
            <w:noProof/>
          </w:rPr>
          <w:t>2</w:t>
        </w:r>
        <w:r>
          <w:rPr>
            <w:noProof/>
          </w:rPr>
          <w:fldChar w:fldCharType="end"/>
        </w:r>
        <w:r w:rsidR="00B14762">
          <w:rPr>
            <w:noProof/>
          </w:rPr>
          <w:t>/3</w:t>
        </w:r>
      </w:p>
    </w:sdtContent>
  </w:sdt>
  <w:p w14:paraId="4093C261" w14:textId="16572417" w:rsidR="004771F3" w:rsidRDefault="004801FA">
    <w:pPr>
      <w:pStyle w:val="Footer"/>
    </w:pPr>
    <w:r>
      <w:t>South Australian Native Title Services</w:t>
    </w:r>
    <w:r w:rsidR="00DD79EC" w:rsidRPr="00DD79EC">
      <w:t xml:space="preserve"> </w:t>
    </w:r>
    <w:r w:rsidR="00CB2290">
      <w:t>R</w:t>
    </w:r>
    <w:r w:rsidR="00F441AC">
      <w:t>esponse</w:t>
    </w:r>
    <w:r w:rsidR="00B7466F">
      <w:t xml:space="preserve"> as </w:t>
    </w:r>
    <w:proofErr w:type="gramStart"/>
    <w:r w:rsidR="00B7466F">
      <w:t>at</w:t>
    </w:r>
    <w:proofErr w:type="gramEnd"/>
    <w:r w:rsidR="00B7466F">
      <w:t xml:space="preserve">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BDA4" w14:textId="77777777" w:rsidR="00DB4407" w:rsidRDefault="00DB4407" w:rsidP="004771F3">
      <w:pPr>
        <w:spacing w:after="0" w:line="240" w:lineRule="auto"/>
      </w:pPr>
      <w:r>
        <w:separator/>
      </w:r>
    </w:p>
  </w:footnote>
  <w:footnote w:type="continuationSeparator" w:id="0">
    <w:p w14:paraId="2097CE25" w14:textId="77777777" w:rsidR="00DB4407" w:rsidRDefault="00DB4407" w:rsidP="004771F3">
      <w:pPr>
        <w:spacing w:after="0" w:line="240" w:lineRule="auto"/>
      </w:pPr>
      <w:r>
        <w:continuationSeparator/>
      </w:r>
    </w:p>
  </w:footnote>
  <w:footnote w:type="continuationNotice" w:id="1">
    <w:p w14:paraId="01E0F1D5" w14:textId="77777777" w:rsidR="00DB4407" w:rsidRDefault="00DB4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1D7C28"/>
    <w:multiLevelType w:val="hybridMultilevel"/>
    <w:tmpl w:val="B2365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92F32"/>
    <w:multiLevelType w:val="hybridMultilevel"/>
    <w:tmpl w:val="DAD81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849302">
    <w:abstractNumId w:val="10"/>
  </w:num>
  <w:num w:numId="2" w16cid:durableId="1127285451">
    <w:abstractNumId w:val="5"/>
  </w:num>
  <w:num w:numId="3" w16cid:durableId="461190126">
    <w:abstractNumId w:val="3"/>
  </w:num>
  <w:num w:numId="4" w16cid:durableId="1277173127">
    <w:abstractNumId w:val="6"/>
  </w:num>
  <w:num w:numId="5" w16cid:durableId="740759474">
    <w:abstractNumId w:val="4"/>
  </w:num>
  <w:num w:numId="6" w16cid:durableId="652680975">
    <w:abstractNumId w:val="7"/>
  </w:num>
  <w:num w:numId="7" w16cid:durableId="1568302850">
    <w:abstractNumId w:val="0"/>
  </w:num>
  <w:num w:numId="8" w16cid:durableId="957180694">
    <w:abstractNumId w:val="8"/>
  </w:num>
  <w:num w:numId="9" w16cid:durableId="940835993">
    <w:abstractNumId w:val="2"/>
  </w:num>
  <w:num w:numId="10" w16cid:durableId="357857398">
    <w:abstractNumId w:val="9"/>
  </w:num>
  <w:num w:numId="11" w16cid:durableId="97710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10D0D"/>
    <w:rsid w:val="00023BB7"/>
    <w:rsid w:val="00033CBB"/>
    <w:rsid w:val="00033FDE"/>
    <w:rsid w:val="00042F44"/>
    <w:rsid w:val="00045087"/>
    <w:rsid w:val="000652AE"/>
    <w:rsid w:val="00087CB6"/>
    <w:rsid w:val="000A029E"/>
    <w:rsid w:val="000A420B"/>
    <w:rsid w:val="000A7229"/>
    <w:rsid w:val="000D5C1C"/>
    <w:rsid w:val="000E61F4"/>
    <w:rsid w:val="000F1B07"/>
    <w:rsid w:val="00130141"/>
    <w:rsid w:val="00156EC2"/>
    <w:rsid w:val="001813AC"/>
    <w:rsid w:val="00187907"/>
    <w:rsid w:val="001A6DB4"/>
    <w:rsid w:val="001B619E"/>
    <w:rsid w:val="001E7B0A"/>
    <w:rsid w:val="00200574"/>
    <w:rsid w:val="0020440A"/>
    <w:rsid w:val="00211EF0"/>
    <w:rsid w:val="00241280"/>
    <w:rsid w:val="00246151"/>
    <w:rsid w:val="00247196"/>
    <w:rsid w:val="00280AB5"/>
    <w:rsid w:val="00287F08"/>
    <w:rsid w:val="0029597E"/>
    <w:rsid w:val="002A0C79"/>
    <w:rsid w:val="002D4928"/>
    <w:rsid w:val="002E5A23"/>
    <w:rsid w:val="00305D2D"/>
    <w:rsid w:val="00310F46"/>
    <w:rsid w:val="00330585"/>
    <w:rsid w:val="0033354A"/>
    <w:rsid w:val="00334316"/>
    <w:rsid w:val="0033502D"/>
    <w:rsid w:val="003366E8"/>
    <w:rsid w:val="003771F8"/>
    <w:rsid w:val="00390005"/>
    <w:rsid w:val="003A45F7"/>
    <w:rsid w:val="003B7358"/>
    <w:rsid w:val="003C1E16"/>
    <w:rsid w:val="003D1F6A"/>
    <w:rsid w:val="003D503B"/>
    <w:rsid w:val="003D643F"/>
    <w:rsid w:val="003F21C6"/>
    <w:rsid w:val="00467620"/>
    <w:rsid w:val="00474F50"/>
    <w:rsid w:val="004771F3"/>
    <w:rsid w:val="004801FA"/>
    <w:rsid w:val="00492BE1"/>
    <w:rsid w:val="004E2630"/>
    <w:rsid w:val="004F1D6A"/>
    <w:rsid w:val="00516325"/>
    <w:rsid w:val="005365A9"/>
    <w:rsid w:val="00594576"/>
    <w:rsid w:val="00596DF6"/>
    <w:rsid w:val="005F5748"/>
    <w:rsid w:val="006077C5"/>
    <w:rsid w:val="00623B98"/>
    <w:rsid w:val="006253BB"/>
    <w:rsid w:val="006276A1"/>
    <w:rsid w:val="0068009F"/>
    <w:rsid w:val="00683D7A"/>
    <w:rsid w:val="006A1E06"/>
    <w:rsid w:val="006A7195"/>
    <w:rsid w:val="006B487F"/>
    <w:rsid w:val="006D0692"/>
    <w:rsid w:val="006D7DBD"/>
    <w:rsid w:val="006E12F1"/>
    <w:rsid w:val="007009A2"/>
    <w:rsid w:val="00707697"/>
    <w:rsid w:val="0071643A"/>
    <w:rsid w:val="00740895"/>
    <w:rsid w:val="00763E77"/>
    <w:rsid w:val="00766DAE"/>
    <w:rsid w:val="00772B2B"/>
    <w:rsid w:val="00797523"/>
    <w:rsid w:val="007A2219"/>
    <w:rsid w:val="007B2A40"/>
    <w:rsid w:val="007C4B32"/>
    <w:rsid w:val="007D4FCA"/>
    <w:rsid w:val="007E580A"/>
    <w:rsid w:val="008012EF"/>
    <w:rsid w:val="0080667C"/>
    <w:rsid w:val="00816493"/>
    <w:rsid w:val="0082142C"/>
    <w:rsid w:val="00827D8C"/>
    <w:rsid w:val="00860977"/>
    <w:rsid w:val="00872D60"/>
    <w:rsid w:val="008737A2"/>
    <w:rsid w:val="00890A38"/>
    <w:rsid w:val="00894FFB"/>
    <w:rsid w:val="008A7AE8"/>
    <w:rsid w:val="008C1B7A"/>
    <w:rsid w:val="008C54EF"/>
    <w:rsid w:val="008C7DDA"/>
    <w:rsid w:val="008E712A"/>
    <w:rsid w:val="00913850"/>
    <w:rsid w:val="00923AFB"/>
    <w:rsid w:val="00926FC6"/>
    <w:rsid w:val="00932ABA"/>
    <w:rsid w:val="00934114"/>
    <w:rsid w:val="00940F82"/>
    <w:rsid w:val="0094404B"/>
    <w:rsid w:val="009501B6"/>
    <w:rsid w:val="00951063"/>
    <w:rsid w:val="00976A33"/>
    <w:rsid w:val="009A2C59"/>
    <w:rsid w:val="009A6308"/>
    <w:rsid w:val="009A6B0A"/>
    <w:rsid w:val="009C518D"/>
    <w:rsid w:val="009C5B4C"/>
    <w:rsid w:val="00A018F4"/>
    <w:rsid w:val="00A10CF9"/>
    <w:rsid w:val="00A1601B"/>
    <w:rsid w:val="00A16E46"/>
    <w:rsid w:val="00A319EC"/>
    <w:rsid w:val="00A47626"/>
    <w:rsid w:val="00A55CD5"/>
    <w:rsid w:val="00A96533"/>
    <w:rsid w:val="00AB2C53"/>
    <w:rsid w:val="00AC05D7"/>
    <w:rsid w:val="00AC09AD"/>
    <w:rsid w:val="00AC5DDF"/>
    <w:rsid w:val="00AD42D9"/>
    <w:rsid w:val="00B07FE3"/>
    <w:rsid w:val="00B12293"/>
    <w:rsid w:val="00B14762"/>
    <w:rsid w:val="00B17761"/>
    <w:rsid w:val="00B22E97"/>
    <w:rsid w:val="00B34614"/>
    <w:rsid w:val="00B44CF1"/>
    <w:rsid w:val="00B44EC3"/>
    <w:rsid w:val="00B532BA"/>
    <w:rsid w:val="00B670D0"/>
    <w:rsid w:val="00B7466F"/>
    <w:rsid w:val="00BB03B4"/>
    <w:rsid w:val="00BB4714"/>
    <w:rsid w:val="00BB7B1D"/>
    <w:rsid w:val="00BC0BCF"/>
    <w:rsid w:val="00BC1744"/>
    <w:rsid w:val="00BD1D50"/>
    <w:rsid w:val="00C062E1"/>
    <w:rsid w:val="00C17248"/>
    <w:rsid w:val="00C47A39"/>
    <w:rsid w:val="00C672D7"/>
    <w:rsid w:val="00C67F6A"/>
    <w:rsid w:val="00C8049B"/>
    <w:rsid w:val="00C8255C"/>
    <w:rsid w:val="00C828C7"/>
    <w:rsid w:val="00C85E4E"/>
    <w:rsid w:val="00C960C5"/>
    <w:rsid w:val="00CB2290"/>
    <w:rsid w:val="00CB571F"/>
    <w:rsid w:val="00CB6837"/>
    <w:rsid w:val="00CD1C4D"/>
    <w:rsid w:val="00D266B5"/>
    <w:rsid w:val="00D32B53"/>
    <w:rsid w:val="00D50CD0"/>
    <w:rsid w:val="00D7316B"/>
    <w:rsid w:val="00D749D7"/>
    <w:rsid w:val="00D83E0D"/>
    <w:rsid w:val="00D96EB1"/>
    <w:rsid w:val="00DA7E3C"/>
    <w:rsid w:val="00DB4407"/>
    <w:rsid w:val="00DD79EC"/>
    <w:rsid w:val="00DE2C45"/>
    <w:rsid w:val="00E15BC3"/>
    <w:rsid w:val="00E24F53"/>
    <w:rsid w:val="00E43735"/>
    <w:rsid w:val="00E62BC1"/>
    <w:rsid w:val="00E630FB"/>
    <w:rsid w:val="00E759B4"/>
    <w:rsid w:val="00E9137B"/>
    <w:rsid w:val="00E91C0E"/>
    <w:rsid w:val="00EF2789"/>
    <w:rsid w:val="00EF408B"/>
    <w:rsid w:val="00F041D0"/>
    <w:rsid w:val="00F277BE"/>
    <w:rsid w:val="00F34EF5"/>
    <w:rsid w:val="00F441AC"/>
    <w:rsid w:val="00F55ECC"/>
    <w:rsid w:val="00F64B7C"/>
    <w:rsid w:val="00F75767"/>
    <w:rsid w:val="00F7606E"/>
    <w:rsid w:val="00F90201"/>
    <w:rsid w:val="00F952C3"/>
    <w:rsid w:val="00FB014F"/>
    <w:rsid w:val="00FB4014"/>
    <w:rsid w:val="00FC249B"/>
    <w:rsid w:val="00FD061A"/>
    <w:rsid w:val="00FD7D15"/>
    <w:rsid w:val="00FE28BA"/>
    <w:rsid w:val="00FE7331"/>
    <w:rsid w:val="00FF0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2025-10-23T04:03:00Z</dcterms:created>
  <dcterms:modified xsi:type="dcterms:W3CDTF">2025-10-23T04:03:00Z</dcterms:modified>
</cp:coreProperties>
</file>