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AAB8" w14:textId="77777777" w:rsidR="002C5434" w:rsidRPr="005B5DE5" w:rsidRDefault="00FF723C" w:rsidP="007E1222">
      <w:pPr>
        <w:pStyle w:val="BodyText"/>
        <w:rPr>
          <w:color w:val="191919" w:themeColor="text1" w:themeTint="E6"/>
        </w:rPr>
      </w:pPr>
      <w:r>
        <w:rPr>
          <w:noProof/>
          <w:lang w:eastAsia="en-AU"/>
        </w:rPr>
        <w:drawing>
          <wp:inline distT="0" distB="0" distL="0" distR="0" wp14:anchorId="03B37EEB" wp14:editId="1818A9A8">
            <wp:extent cx="6400800" cy="1040130"/>
            <wp:effectExtent l="0" t="0" r="0" b="0"/>
            <wp:docPr id="12" name="Picture 12" descr="Australian Government&#10;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2-023_Word_Template_Report_Cover_Header_A4_Portrait.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6400800" cy="1040130"/>
                    </a:xfrm>
                    <a:prstGeom prst="rect">
                      <a:avLst/>
                    </a:prstGeom>
                    <a:ln>
                      <a:noFill/>
                    </a:ln>
                    <a:extLst>
                      <a:ext uri="{53640926-AAD7-44D8-BBD7-CCE9431645EC}">
                        <a14:shadowObscured xmlns:a14="http://schemas.microsoft.com/office/drawing/2010/main"/>
                      </a:ext>
                    </a:extLst>
                  </pic:spPr>
                </pic:pic>
              </a:graphicData>
            </a:graphic>
          </wp:inline>
        </w:drawing>
      </w:r>
    </w:p>
    <w:p w14:paraId="47823CFE" w14:textId="77777777" w:rsidR="002C5434" w:rsidRPr="00900A13" w:rsidRDefault="00000000" w:rsidP="00955BC4">
      <w:pPr>
        <w:pStyle w:val="Title"/>
      </w:pPr>
      <w:sdt>
        <w:sdtPr>
          <w:alias w:val="Document Heading"/>
          <w:tag w:val="DH"/>
          <w:id w:val="-270555869"/>
          <w:placeholder>
            <w:docPart w:val="F8468213B5FF4E04AA2ADDD5C920D617"/>
          </w:placeholder>
          <w:dataBinding w:xpath="/root[1]/DH[1]" w:storeItemID="{F533AE62-A212-4B26-92DA-A3B336E8AE06}"/>
          <w15:color w:val="2A4056"/>
          <w:text w:multiLine="1"/>
        </w:sdtPr>
        <w:sdtContent>
          <w:r w:rsidR="00E92DC4">
            <w:t>Privacy Management Plan</w:t>
          </w:r>
          <w:r w:rsidR="003670B8">
            <w:t xml:space="preserve"> </w:t>
          </w:r>
        </w:sdtContent>
      </w:sdt>
    </w:p>
    <w:sdt>
      <w:sdtPr>
        <w:alias w:val="Subheading"/>
        <w:tag w:val="Subheading"/>
        <w:id w:val="-1818024927"/>
        <w:placeholder>
          <w:docPart w:val="9F926E6DDEB24780956E26A2B34F2EF0"/>
        </w:placeholder>
        <w:dataBinding w:xpath="/root[1]/Byline[1]" w:storeItemID="{F533AE62-A212-4B26-92DA-A3B336E8AE06}"/>
        <w:text w:multiLine="1"/>
      </w:sdtPr>
      <w:sdtContent>
        <w:p w14:paraId="6A6AC8B1" w14:textId="020D361C" w:rsidR="002C5434" w:rsidRPr="0001611A" w:rsidRDefault="00E92DC4" w:rsidP="00993ADB">
          <w:pPr>
            <w:pStyle w:val="Subtitle"/>
          </w:pPr>
          <w:r>
            <w:t>202</w:t>
          </w:r>
          <w:r w:rsidR="00F92C75">
            <w:t>5</w:t>
          </w:r>
          <w:r w:rsidR="00E52DC9">
            <w:t>-</w:t>
          </w:r>
          <w:r w:rsidR="00D5776B">
            <w:t>2</w:t>
          </w:r>
          <w:r w:rsidR="00F92C75">
            <w:t>6</w:t>
          </w:r>
        </w:p>
      </w:sdtContent>
    </w:sdt>
    <w:p w14:paraId="1DA22823" w14:textId="77777777" w:rsidR="002C5434" w:rsidRDefault="002C5434" w:rsidP="00B651F8">
      <w:pPr>
        <w:rPr>
          <w:rFonts w:asciiTheme="majorHAnsi" w:hAnsiTheme="majorHAnsi"/>
          <w:color w:val="2A4055" w:themeColor="accent1"/>
        </w:rPr>
      </w:pPr>
      <w:r>
        <w:rPr>
          <w:noProof/>
          <w:lang w:eastAsia="en-AU"/>
        </w:rPr>
        <w:t xml:space="preserve"> </w:t>
      </w:r>
      <w:r>
        <w:br w:type="page"/>
      </w:r>
    </w:p>
    <w:p w14:paraId="77C8B177" w14:textId="2F7E911B" w:rsidR="00E35FAC" w:rsidRDefault="00B50F02" w:rsidP="00E92DC4">
      <w:pPr>
        <w:pStyle w:val="Heading2"/>
      </w:pPr>
      <w:r>
        <w:lastRenderedPageBreak/>
        <w:t>What is a Privacy Management Plan?</w:t>
      </w:r>
    </w:p>
    <w:p w14:paraId="6BD35B02" w14:textId="1039F71A" w:rsidR="00E92DC4" w:rsidRPr="00E92DC4" w:rsidRDefault="00E92DC4" w:rsidP="00E92DC4">
      <w:pPr>
        <w:pStyle w:val="BodyText"/>
      </w:pPr>
      <w:r w:rsidRPr="00E92DC4">
        <w:t xml:space="preserve">The National Indigenous Australians Agency (NIAA) is required to have a Privacy Management Plan (PMP) under the </w:t>
      </w:r>
      <w:hyperlink r:id="rId13" w:history="1">
        <w:r w:rsidRPr="00A52420">
          <w:rPr>
            <w:rStyle w:val="Hyperlink"/>
            <w:i/>
            <w:color w:val="3F6080" w:themeColor="accent5" w:themeTint="BF"/>
          </w:rPr>
          <w:t>Privacy (Australian Government Agencies – Governance) APP Code 2017</w:t>
        </w:r>
        <w:r w:rsidRPr="00A52420">
          <w:rPr>
            <w:rStyle w:val="Hyperlink"/>
            <w:color w:val="3F6080" w:themeColor="accent5" w:themeTint="BF"/>
            <w:u w:val="none"/>
          </w:rPr>
          <w:t xml:space="preserve"> </w:t>
        </w:r>
      </w:hyperlink>
      <w:r w:rsidRPr="00E92DC4">
        <w:t xml:space="preserve">(the Code). </w:t>
      </w:r>
    </w:p>
    <w:p w14:paraId="26574A66" w14:textId="5A6EC15E" w:rsidR="00E92DC4" w:rsidRDefault="00E92DC4" w:rsidP="00E92DC4">
      <w:pPr>
        <w:pStyle w:val="BodyText"/>
      </w:pPr>
      <w:r>
        <w:t xml:space="preserve">The </w:t>
      </w:r>
      <w:r w:rsidR="00B50F02">
        <w:t xml:space="preserve">PMP is </w:t>
      </w:r>
      <w:r>
        <w:t xml:space="preserve">a strategic planning document </w:t>
      </w:r>
      <w:r w:rsidR="0072345B">
        <w:t xml:space="preserve">that the NIAA uses </w:t>
      </w:r>
      <w:r>
        <w:t xml:space="preserve">to: </w:t>
      </w:r>
    </w:p>
    <w:p w14:paraId="7DCDE977" w14:textId="2887AE9B" w:rsidR="003E68A7" w:rsidRDefault="003E68A7" w:rsidP="00E92DC4">
      <w:pPr>
        <w:pStyle w:val="BodyText"/>
        <w:numPr>
          <w:ilvl w:val="0"/>
          <w:numId w:val="32"/>
        </w:numPr>
      </w:pPr>
      <w:r>
        <w:t>identify its privacy risk profile</w:t>
      </w:r>
    </w:p>
    <w:p w14:paraId="5F828632" w14:textId="77777777" w:rsidR="00E92DC4" w:rsidRPr="00E92DC4" w:rsidRDefault="00E92DC4" w:rsidP="00E92DC4">
      <w:pPr>
        <w:pStyle w:val="BodyText"/>
        <w:numPr>
          <w:ilvl w:val="0"/>
          <w:numId w:val="32"/>
        </w:numPr>
      </w:pPr>
      <w:r w:rsidRPr="00E92DC4">
        <w:t xml:space="preserve">assess </w:t>
      </w:r>
      <w:r w:rsidR="003E68A7">
        <w:t xml:space="preserve">its </w:t>
      </w:r>
      <w:r w:rsidRPr="00E92DC4">
        <w:t xml:space="preserve">privacy maturity level </w:t>
      </w:r>
    </w:p>
    <w:p w14:paraId="2D6311B1" w14:textId="77777777" w:rsidR="00E92DC4" w:rsidRPr="00E92DC4" w:rsidRDefault="003E68A7" w:rsidP="00E92DC4">
      <w:pPr>
        <w:pStyle w:val="BodyText"/>
        <w:numPr>
          <w:ilvl w:val="0"/>
          <w:numId w:val="32"/>
        </w:numPr>
      </w:pPr>
      <w:r>
        <w:t>set</w:t>
      </w:r>
      <w:r w:rsidR="00E92DC4" w:rsidRPr="00E92DC4">
        <w:t xml:space="preserve"> privacy goals and targets, and </w:t>
      </w:r>
    </w:p>
    <w:p w14:paraId="4CAA91DC" w14:textId="77777777" w:rsidR="00E92DC4" w:rsidRDefault="00E92DC4" w:rsidP="00E92DC4">
      <w:pPr>
        <w:pStyle w:val="BodyText"/>
        <w:numPr>
          <w:ilvl w:val="0"/>
          <w:numId w:val="32"/>
        </w:numPr>
      </w:pPr>
      <w:r w:rsidRPr="00E92DC4">
        <w:t xml:space="preserve">set out how </w:t>
      </w:r>
      <w:r w:rsidR="003E68A7">
        <w:t xml:space="preserve">it </w:t>
      </w:r>
      <w:r w:rsidRPr="00E92DC4">
        <w:t xml:space="preserve">will meet </w:t>
      </w:r>
      <w:r>
        <w:t xml:space="preserve">its </w:t>
      </w:r>
      <w:r w:rsidRPr="00E92DC4">
        <w:t>compliance obligations under the Australian Privacy Principles</w:t>
      </w:r>
      <w:r>
        <w:t xml:space="preserve"> (APPs)</w:t>
      </w:r>
      <w:r w:rsidR="004B5DFD">
        <w:t xml:space="preserve"> and the </w:t>
      </w:r>
      <w:r w:rsidR="004B5DFD">
        <w:rPr>
          <w:i/>
        </w:rPr>
        <w:t>Privacy Act 1988</w:t>
      </w:r>
      <w:r w:rsidR="004B5DFD">
        <w:t xml:space="preserve"> (Privacy Act)</w:t>
      </w:r>
      <w:r>
        <w:t>.</w:t>
      </w:r>
    </w:p>
    <w:p w14:paraId="2C060042" w14:textId="5D22A715" w:rsidR="00BD34C2" w:rsidRPr="00BD34C2" w:rsidRDefault="00B1791E" w:rsidP="00BD34C2">
      <w:pPr>
        <w:pStyle w:val="BodyText"/>
      </w:pPr>
      <w:r w:rsidRPr="00B1791E">
        <w:t xml:space="preserve">The </w:t>
      </w:r>
      <w:r>
        <w:t>NIAA</w:t>
      </w:r>
      <w:r w:rsidRPr="00B1791E">
        <w:t xml:space="preserve"> </w:t>
      </w:r>
      <w:r>
        <w:t>has developed</w:t>
      </w:r>
      <w:r w:rsidRPr="00B1791E">
        <w:t xml:space="preserve"> this PMP with reference to the </w:t>
      </w:r>
      <w:hyperlink r:id="rId14" w:history="1">
        <w:r w:rsidR="003E68A7" w:rsidRPr="00A52420">
          <w:rPr>
            <w:rStyle w:val="Hyperlink"/>
            <w:color w:val="3F6080" w:themeColor="accent5" w:themeTint="BF"/>
          </w:rPr>
          <w:t>Interactive PMP Explained</w:t>
        </w:r>
      </w:hyperlink>
      <w:r w:rsidRPr="00B1791E">
        <w:t xml:space="preserve"> </w:t>
      </w:r>
      <w:r w:rsidR="003E68A7">
        <w:t>resource published</w:t>
      </w:r>
      <w:r w:rsidR="003E68A7" w:rsidRPr="00B1791E">
        <w:t xml:space="preserve"> by the Office of the Australian Information Commissioner</w:t>
      </w:r>
      <w:r w:rsidR="003E68A7">
        <w:t xml:space="preserve"> (OAIC)</w:t>
      </w:r>
      <w:r w:rsidRPr="00B1791E">
        <w:t>.</w:t>
      </w:r>
      <w:r w:rsidR="0072345B">
        <w:t xml:space="preserve"> The PMP is reviewed annually.</w:t>
      </w:r>
      <w:bookmarkStart w:id="0" w:name="_Toc208302755"/>
    </w:p>
    <w:p w14:paraId="30CC3AF0" w14:textId="119C1609" w:rsidR="00BD34C2" w:rsidRPr="00BD34C2" w:rsidRDefault="00BD34C2" w:rsidP="00BD34C2">
      <w:pPr>
        <w:pStyle w:val="Heading2"/>
      </w:pPr>
      <w:r w:rsidRPr="00BD34C2">
        <w:t>Privacy Risk Profile</w:t>
      </w:r>
      <w:bookmarkEnd w:id="0"/>
    </w:p>
    <w:p w14:paraId="25FDC907" w14:textId="77777777" w:rsidR="00BD34C2" w:rsidRDefault="00BD34C2" w:rsidP="00BD34C2">
      <w:pPr>
        <w:pStyle w:val="BodyText"/>
      </w:pPr>
      <w:r>
        <w:t xml:space="preserve">The NIAA must self-assess its privacy risk profile (low, medium or high) to help set appropriate targets and actions in its PMP. </w:t>
      </w:r>
    </w:p>
    <w:p w14:paraId="1415E218" w14:textId="77777777" w:rsidR="00BD34C2" w:rsidRDefault="00BD34C2" w:rsidP="00BD34C2">
      <w:pPr>
        <w:pStyle w:val="BodyText"/>
      </w:pPr>
      <w:r>
        <w:rPr>
          <w:noProof/>
          <w:lang w:eastAsia="en-AU"/>
        </w:rPr>
        <w:drawing>
          <wp:inline distT="0" distB="0" distL="0" distR="0" wp14:anchorId="351391D0" wp14:editId="4ACDB7B9">
            <wp:extent cx="6505575" cy="1333500"/>
            <wp:effectExtent l="38100" t="0" r="9525" b="19050"/>
            <wp:docPr id="1" name="Diagram 1" descr="The first box is light green and is low risk. Agencies which provide no public services, are largely policy focused, and handle little to no personal information.&#10;&#10;The second box is light yellow and is medium risk. Agencies which provide some public services but handle less personal information, or which influence the privacy practices of other agencies&#10;&#10;The third box is red and is high risk. Agencies which provide complex public services to individuals and handle a significant amount of personal information" title="Privacy risk profiles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68F7050" w14:textId="77777777" w:rsidR="00BD34C2" w:rsidRDefault="00BD34C2" w:rsidP="00BD34C2">
      <w:pPr>
        <w:pStyle w:val="BodyText"/>
      </w:pPr>
      <w:r>
        <w:t xml:space="preserve">The NIAA has assessed its privacy risk as MEDIUM. </w:t>
      </w:r>
    </w:p>
    <w:p w14:paraId="67D46C60" w14:textId="77777777" w:rsidR="00BD34C2" w:rsidRPr="00921B9D" w:rsidRDefault="00BD34C2" w:rsidP="00BD34C2">
      <w:pPr>
        <w:pStyle w:val="BodyText"/>
      </w:pPr>
      <w:r w:rsidRPr="00921B9D">
        <w:t>Risk assessment rationale</w:t>
      </w:r>
    </w:p>
    <w:p w14:paraId="5B4E8B5F" w14:textId="77777777" w:rsidR="00BD34C2" w:rsidRDefault="00BD34C2" w:rsidP="00BD34C2">
      <w:pPr>
        <w:pStyle w:val="BodyText"/>
      </w:pPr>
      <w:r>
        <w:t>The NIAA (we, us, our) works in genuine partnership to enable the self-determination and aspirations of First Nations communities. We lead and influence change across government to ensure Aboriginal and Torres Strait Islander peoples have a say in the decisions that affect them.</w:t>
      </w:r>
    </w:p>
    <w:p w14:paraId="6F4595F3" w14:textId="77777777" w:rsidR="00BD34C2" w:rsidRDefault="00BD34C2" w:rsidP="00BD34C2">
      <w:pPr>
        <w:pStyle w:val="BodyText"/>
      </w:pPr>
      <w:r>
        <w:t xml:space="preserve">We handle sensitive information about racial or ethnic origin, and other personal information, for our engagement, policy development, design and implementation functions and activities, and in limited direct service delivery and program implementation. </w:t>
      </w:r>
    </w:p>
    <w:p w14:paraId="5B966E55" w14:textId="77777777" w:rsidR="00BD34C2" w:rsidRDefault="00BD34C2" w:rsidP="00BD34C2">
      <w:pPr>
        <w:pStyle w:val="BodyText"/>
      </w:pPr>
      <w:r>
        <w:t>Our PMP supports our purpose by recognising the role of collecting, using and sharing personal information to empower Aboriginal and Torres Strait Islander peoples and communities, influence change across government, and build and maintain genuine partnerships.</w:t>
      </w:r>
    </w:p>
    <w:p w14:paraId="47F583C0" w14:textId="77777777" w:rsidR="00BD34C2" w:rsidRDefault="00BD34C2" w:rsidP="00B1791E">
      <w:pPr>
        <w:pStyle w:val="BodyText"/>
      </w:pPr>
    </w:p>
    <w:p w14:paraId="17210141" w14:textId="77777777" w:rsidR="00B1791E" w:rsidRDefault="00E92DC4" w:rsidP="00B1791E">
      <w:pPr>
        <w:pStyle w:val="Heading2"/>
      </w:pPr>
      <w:bookmarkStart w:id="1" w:name="_Toc208302754"/>
      <w:r>
        <w:lastRenderedPageBreak/>
        <w:t xml:space="preserve">The </w:t>
      </w:r>
      <w:r w:rsidR="004B5DFD">
        <w:t>p</w:t>
      </w:r>
      <w:r w:rsidR="00422988">
        <w:t xml:space="preserve">rivacy </w:t>
      </w:r>
      <w:r w:rsidR="004B5DFD">
        <w:t>m</w:t>
      </w:r>
      <w:r>
        <w:t xml:space="preserve">aturity </w:t>
      </w:r>
      <w:r w:rsidR="004B5DFD">
        <w:t>f</w:t>
      </w:r>
      <w:r>
        <w:t>ramework</w:t>
      </w:r>
      <w:bookmarkEnd w:id="1"/>
    </w:p>
    <w:p w14:paraId="6839DA13" w14:textId="77777777" w:rsidR="00422988" w:rsidRDefault="00422988" w:rsidP="00422988">
      <w:pPr>
        <w:pStyle w:val="BodyText"/>
      </w:pPr>
      <w:r>
        <w:t xml:space="preserve">The NIAA measures its </w:t>
      </w:r>
      <w:r w:rsidR="00B1791E" w:rsidRPr="00B1791E">
        <w:t>privacy maturity using the</w:t>
      </w:r>
      <w:r>
        <w:t xml:space="preserve"> Privacy Program</w:t>
      </w:r>
      <w:r w:rsidR="00B1791E" w:rsidRPr="00B1791E">
        <w:t xml:space="preserve"> Maturity Framework </w:t>
      </w:r>
      <w:r w:rsidR="004B5DFD">
        <w:t xml:space="preserve">(Maturity Framework) </w:t>
      </w:r>
      <w:r w:rsidR="00B1791E" w:rsidRPr="00B1791E">
        <w:t xml:space="preserve">developed by the </w:t>
      </w:r>
      <w:r>
        <w:t>OAIC</w:t>
      </w:r>
      <w:r w:rsidR="00B1791E" w:rsidRPr="00B1791E">
        <w:t xml:space="preserve">. The Maturity Framework </w:t>
      </w:r>
      <w:r w:rsidR="004B5DFD">
        <w:t>has</w:t>
      </w:r>
      <w:r w:rsidR="00B1791E" w:rsidRPr="00B1791E">
        <w:t xml:space="preserve"> 21 attributes, which are </w:t>
      </w:r>
      <w:r w:rsidR="004B5DFD">
        <w:t>sorted</w:t>
      </w:r>
      <w:r w:rsidR="00B1791E" w:rsidRPr="00B1791E">
        <w:t xml:space="preserve"> into 5 elements: </w:t>
      </w:r>
    </w:p>
    <w:p w14:paraId="0E700557" w14:textId="77777777" w:rsidR="00745A54" w:rsidRPr="00B50F02" w:rsidRDefault="00B1791E" w:rsidP="00745A54">
      <w:pPr>
        <w:pStyle w:val="BodyText"/>
        <w:numPr>
          <w:ilvl w:val="0"/>
          <w:numId w:val="36"/>
        </w:numPr>
        <w:rPr>
          <w:bCs/>
        </w:rPr>
      </w:pPr>
      <w:r w:rsidRPr="00B50F02">
        <w:rPr>
          <w:bCs/>
        </w:rPr>
        <w:t>Governance and Culture</w:t>
      </w:r>
    </w:p>
    <w:p w14:paraId="08F75A7F" w14:textId="77777777" w:rsidR="00745A54" w:rsidRPr="00B50F02" w:rsidRDefault="00B1791E" w:rsidP="00745A54">
      <w:pPr>
        <w:pStyle w:val="BodyText"/>
        <w:numPr>
          <w:ilvl w:val="0"/>
          <w:numId w:val="36"/>
        </w:numPr>
        <w:rPr>
          <w:bCs/>
        </w:rPr>
      </w:pPr>
      <w:r w:rsidRPr="00B50F02">
        <w:rPr>
          <w:bCs/>
        </w:rPr>
        <w:t>Privacy Strategy</w:t>
      </w:r>
    </w:p>
    <w:p w14:paraId="78C47553" w14:textId="77777777" w:rsidR="00745A54" w:rsidRPr="00B50F02" w:rsidRDefault="00745A54" w:rsidP="00745A54">
      <w:pPr>
        <w:pStyle w:val="BodyText"/>
        <w:numPr>
          <w:ilvl w:val="0"/>
          <w:numId w:val="36"/>
        </w:numPr>
        <w:rPr>
          <w:bCs/>
        </w:rPr>
      </w:pPr>
      <w:r w:rsidRPr="00B50F02">
        <w:rPr>
          <w:bCs/>
        </w:rPr>
        <w:t>Privacy Processes</w:t>
      </w:r>
    </w:p>
    <w:p w14:paraId="61934210" w14:textId="77777777" w:rsidR="00745A54" w:rsidRPr="00B50F02" w:rsidRDefault="00745A54" w:rsidP="00745A54">
      <w:pPr>
        <w:pStyle w:val="BodyText"/>
        <w:numPr>
          <w:ilvl w:val="0"/>
          <w:numId w:val="36"/>
        </w:numPr>
        <w:rPr>
          <w:bCs/>
        </w:rPr>
      </w:pPr>
      <w:r w:rsidRPr="00B50F02">
        <w:rPr>
          <w:bCs/>
        </w:rPr>
        <w:t>Risk and Assurance</w:t>
      </w:r>
    </w:p>
    <w:p w14:paraId="4798D3DD" w14:textId="77777777" w:rsidR="00745A54" w:rsidRPr="00B50F02" w:rsidRDefault="00422988" w:rsidP="00745A54">
      <w:pPr>
        <w:pStyle w:val="BodyText"/>
        <w:numPr>
          <w:ilvl w:val="0"/>
          <w:numId w:val="36"/>
        </w:numPr>
        <w:rPr>
          <w:bCs/>
        </w:rPr>
      </w:pPr>
      <w:r w:rsidRPr="00B50F02">
        <w:rPr>
          <w:bCs/>
        </w:rPr>
        <w:t>Data Breach Response</w:t>
      </w:r>
    </w:p>
    <w:p w14:paraId="4709E067" w14:textId="77777777" w:rsidR="00BD34C2" w:rsidRDefault="00BD34C2" w:rsidP="004B5DFD">
      <w:pPr>
        <w:pStyle w:val="BodyText"/>
      </w:pPr>
    </w:p>
    <w:p w14:paraId="2A839C2A" w14:textId="0FFF0FB2" w:rsidR="004B5DFD" w:rsidRDefault="00422988" w:rsidP="004B5DFD">
      <w:pPr>
        <w:pStyle w:val="BodyText"/>
      </w:pPr>
      <w:r>
        <w:t xml:space="preserve">Each attribute is assessed against </w:t>
      </w:r>
      <w:r w:rsidR="004B5DFD">
        <w:t>four maturity level</w:t>
      </w:r>
      <w:r w:rsidR="00237E75">
        <w:rPr>
          <w:noProof/>
        </w:rPr>
        <mc:AlternateContent>
          <mc:Choice Requires="wps">
            <w:drawing>
              <wp:anchor distT="0" distB="0" distL="114300" distR="114300" simplePos="0" relativeHeight="251659264" behindDoc="0" locked="0" layoutInCell="1" allowOverlap="1" wp14:anchorId="030691DB" wp14:editId="7F035418">
                <wp:simplePos x="0" y="0"/>
                <wp:positionH relativeFrom="column">
                  <wp:posOffset>8806885</wp:posOffset>
                </wp:positionH>
                <wp:positionV relativeFrom="paragraph">
                  <wp:posOffset>143802</wp:posOffset>
                </wp:positionV>
                <wp:extent cx="390263" cy="456426"/>
                <wp:effectExtent l="0" t="0" r="10160" b="1270"/>
                <wp:wrapNone/>
                <wp:docPr id="11" name="Text Box 1"/>
                <wp:cNvGraphicFramePr/>
                <a:graphic xmlns:a="http://schemas.openxmlformats.org/drawingml/2006/main">
                  <a:graphicData uri="http://schemas.microsoft.com/office/word/2010/wordprocessingShape">
                    <wps:wsp>
                      <wps:cNvSpPr txBox="1"/>
                      <wps:spPr bwMode="auto">
                        <a:xfrm>
                          <a:off x="0" y="0"/>
                          <a:ext cx="390263" cy="456426"/>
                        </a:xfrm>
                        <a:prstGeom prst="rect">
                          <a:avLst/>
                        </a:prstGeom>
                        <a:noFill/>
                        <a:ln w="6350">
                          <a:noFill/>
                        </a:ln>
                      </wps:spPr>
                      <wps:txbx>
                        <w:txbxContent>
                          <w:p w14:paraId="3F2D0246" w14:textId="77777777" w:rsidR="004A07B3" w:rsidRPr="001F3F23" w:rsidRDefault="004A07B3" w:rsidP="004B5DFD">
                            <w:pPr>
                              <w:rPr>
                                <w:b/>
                                <w:color w:val="FFFFFF" w:themeColor="background1"/>
                                <w:sz w:val="32"/>
                              </w:rPr>
                            </w:pPr>
                            <w:r w:rsidRPr="001F3F23">
                              <w:rPr>
                                <w:b/>
                                <w:color w:val="FFFFFF" w:themeColor="background1"/>
                                <w:sz w:val="3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030691DB" id="_x0000_t202" coordsize="21600,21600" o:spt="202" path="m,l,21600r21600,l21600,xe">
                <v:stroke joinstyle="miter"/>
                <v:path gradientshapeok="t" o:connecttype="rect"/>
              </v:shapetype>
              <v:shape id="Text Box 1" o:spid="_x0000_s1026" type="#_x0000_t202" style="position:absolute;margin-left:693.45pt;margin-top:11.3pt;width:30.75pt;height:35.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" filled="f" stroked="f" strokeweight=".5pt">
                <v:textbox inset="0,0,0,0">
                  <w:txbxContent>
                    <w:p w14:paraId="3F2D0246" w14:textId="77777777" w:rsidR="004A07B3" w:rsidRPr="001F3F23" w:rsidRDefault="004A07B3" w:rsidP="004B5DFD">
                      <w:pPr>
                        <w:rPr>
                          <w:b/>
                          <w:color w:val="FFFFFF" w:themeColor="background1"/>
                          <w:sz w:val="32"/>
                        </w:rPr>
                      </w:pPr>
                      <w:r w:rsidRPr="001F3F23">
                        <w:rPr>
                          <w:b/>
                          <w:color w:val="FFFFFF" w:themeColor="background1"/>
                          <w:sz w:val="32"/>
                        </w:rPr>
                        <w:t>4</w:t>
                      </w:r>
                    </w:p>
                  </w:txbxContent>
                </v:textbox>
              </v:shape>
            </w:pict>
          </mc:Fallback>
        </mc:AlternateContent>
      </w:r>
      <w:r w:rsidR="0027695E">
        <w:t>s</w:t>
      </w:r>
      <w:r w:rsidR="00B50F02">
        <w:t>:</w:t>
      </w:r>
    </w:p>
    <w:p w14:paraId="458CFBD9" w14:textId="2147A2B7" w:rsidR="00B50F02" w:rsidRDefault="00DC6216" w:rsidP="00DC6216">
      <w:pPr>
        <w:pStyle w:val="BodyText"/>
        <w:jc w:val="center"/>
      </w:pPr>
      <w:r>
        <w:rPr>
          <w:noProof/>
        </w:rPr>
        <w:drawing>
          <wp:inline distT="0" distB="0" distL="0" distR="0" wp14:anchorId="04D42106" wp14:editId="4FE1867F">
            <wp:extent cx="4933950" cy="2810282"/>
            <wp:effectExtent l="0" t="0" r="0" b="9525"/>
            <wp:docPr id="129874178" name="Picture 2" descr="Level 1 – Initial – Privacy practice is ad hoc and unpredictable. Practices, procedures and systems are reactive and inconsistent, relying on individual effort and heroics. &#10;Level 2 – Developing – Privacy practice is improving, with repeatable processes developing. Practices, procedures and symptoms are more proactive and repeatable. &#10;Level 3 – Defined – Privacy culture is well developed and defined. Practices, procedures and systems are consistent, proactive, documented, integrated into broader organisational frameworks and measured.&#10;Level 4 – Leader – The leader takes an innovative approach to achieving privacy best practice. Practices, procedures and systems are continuously improved. The leader helps others to innovate and achi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4178" name="Picture 2" descr="Level 1 – Initial – Privacy practice is ad hoc and unpredictable. Practices, procedures and systems are reactive and inconsistent, relying on individual effort and heroics. &#10;Level 2 – Developing – Privacy practice is improving, with repeatable processes developing. Practices, procedures and symptoms are more proactive and repeatable. &#10;Level 3 – Defined – Privacy culture is well developed and defined. Practices, procedures and systems are consistent, proactive, documented, integrated into broader organisational frameworks and measured.&#10;Level 4 – Leader – The leader takes an innovative approach to achieving privacy best practice. Practices, procedures and systems are continuously improved. The leader helps others to innovate and achiev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18902" cy="2858669"/>
                    </a:xfrm>
                    <a:prstGeom prst="rect">
                      <a:avLst/>
                    </a:prstGeom>
                    <a:noFill/>
                    <a:ln>
                      <a:noFill/>
                    </a:ln>
                  </pic:spPr>
                </pic:pic>
              </a:graphicData>
            </a:graphic>
          </wp:inline>
        </w:drawing>
      </w:r>
    </w:p>
    <w:p w14:paraId="271F018B" w14:textId="1570A706" w:rsidR="0072345B" w:rsidRPr="00BD34C2" w:rsidRDefault="0072345B" w:rsidP="00BD34C2">
      <w:pPr>
        <w:pStyle w:val="Heading2"/>
      </w:pPr>
      <w:r w:rsidRPr="00BD34C2">
        <w:t>Privacy Maturity Assessment</w:t>
      </w:r>
      <w:r w:rsidR="00BD34C2" w:rsidRPr="00BD34C2">
        <w:t xml:space="preserve"> - Current</w:t>
      </w:r>
      <w:r w:rsidR="00F87A60" w:rsidRPr="00BD34C2">
        <w:t xml:space="preserve"> and Target</w:t>
      </w:r>
      <w:r w:rsidRPr="00BD34C2">
        <w:t xml:space="preserve">  </w:t>
      </w:r>
    </w:p>
    <w:p w14:paraId="3E747ABE" w14:textId="0620C5AF" w:rsidR="0072345B" w:rsidRPr="0072345B" w:rsidRDefault="00F87A60" w:rsidP="0072345B">
      <w:pPr>
        <w:pStyle w:val="BodyText"/>
      </w:pPr>
      <w:r>
        <w:t>Using the OAIC Maturity Framework, t</w:t>
      </w:r>
      <w:r w:rsidR="0072345B" w:rsidRPr="0072345B">
        <w:t>he NIAA</w:t>
      </w:r>
      <w:r w:rsidR="0072345B">
        <w:t xml:space="preserve"> has assessed its current privacy </w:t>
      </w:r>
      <w:r w:rsidR="0072345B" w:rsidRPr="0072345B">
        <w:t xml:space="preserve">maturity level </w:t>
      </w:r>
      <w:r w:rsidR="0072345B">
        <w:t>a</w:t>
      </w:r>
      <w:r w:rsidR="0072345B" w:rsidRPr="0072345B">
        <w:t xml:space="preserve">s </w:t>
      </w:r>
      <w:r w:rsidR="0072345B">
        <w:t>‘DEFINED’.</w:t>
      </w:r>
    </w:p>
    <w:p w14:paraId="6403C3BE" w14:textId="77777777" w:rsidR="001768BB" w:rsidRDefault="0072345B" w:rsidP="0072345B">
      <w:pPr>
        <w:pStyle w:val="BodyText"/>
      </w:pPr>
      <w:r w:rsidRPr="0072345B">
        <w:t xml:space="preserve">A </w:t>
      </w:r>
      <w:r w:rsidR="00F87A60">
        <w:t>DEFINED</w:t>
      </w:r>
      <w:r w:rsidRPr="0072345B">
        <w:t xml:space="preserve"> maturity level recognises the NIAA’s key privacy compliance and governance systems are established, documented and measured. This privacy maturity level acknowledges there are opportunities to continuously improve privacy and information handling practices across the agency, to support strategic outcomes and promote a culture that values privacy.</w:t>
      </w:r>
    </w:p>
    <w:p w14:paraId="2A92FDA9" w14:textId="125E569D" w:rsidR="00F87A60" w:rsidRDefault="00F87A60" w:rsidP="00F87A60">
      <w:pPr>
        <w:pStyle w:val="BodyText"/>
      </w:pPr>
      <w:r>
        <w:t>The NIAA’s privacy maturity target is ‘LEADER’.</w:t>
      </w:r>
    </w:p>
    <w:p w14:paraId="4410A9FF" w14:textId="745C8085" w:rsidR="00F87A60" w:rsidRPr="0072345B" w:rsidRDefault="00F87A60" w:rsidP="00F87A60">
      <w:pPr>
        <w:pStyle w:val="BodyText"/>
        <w:sectPr w:rsidR="00F87A60" w:rsidRPr="0072345B" w:rsidSect="00B50F02">
          <w:headerReference w:type="even" r:id="rId21"/>
          <w:headerReference w:type="default" r:id="rId22"/>
          <w:footerReference w:type="even" r:id="rId23"/>
          <w:footerReference w:type="default" r:id="rId24"/>
          <w:headerReference w:type="first" r:id="rId25"/>
          <w:footerReference w:type="first" r:id="rId26"/>
          <w:pgSz w:w="11906" w:h="16838"/>
          <w:pgMar w:top="1559" w:right="851" w:bottom="1135" w:left="851" w:header="567" w:footer="246" w:gutter="0"/>
          <w:cols w:space="708"/>
          <w:titlePg/>
          <w:docGrid w:linePitch="360"/>
        </w:sectPr>
      </w:pPr>
      <w:r>
        <w:t>A target maturity of LEADER reflects the NIAA’s vision as a reliable and trusted digital leader that shares and uses personal information with confidence and is a trusted custodian of others’ data. This PMP identifies goals and targets to support continuous improvement of the NIAA’s privacy capability, to drive and inform evidence-based policy and program outcomes that make a tangible different to the lives of First Nations peoples.’</w:t>
      </w:r>
    </w:p>
    <w:p w14:paraId="412E705E" w14:textId="5C6855F8" w:rsidR="00010691" w:rsidRDefault="00700379" w:rsidP="004B5DFD">
      <w:pPr>
        <w:pStyle w:val="Heading1"/>
      </w:pPr>
      <w:bookmarkStart w:id="2" w:name="_Attachment_A:_Privacy"/>
      <w:bookmarkStart w:id="3" w:name="_Toc208302760"/>
      <w:bookmarkStart w:id="4" w:name="_Hlk218779056"/>
      <w:bookmarkEnd w:id="2"/>
      <w:r>
        <w:lastRenderedPageBreak/>
        <w:t xml:space="preserve">Privacy </w:t>
      </w:r>
      <w:r w:rsidR="004B5DFD">
        <w:t xml:space="preserve">Maturity </w:t>
      </w:r>
      <w:r>
        <w:t>A</w:t>
      </w:r>
      <w:r w:rsidR="004B5DFD">
        <w:t>ssessment</w:t>
      </w:r>
      <w:bookmarkEnd w:id="3"/>
      <w:r w:rsidR="001F5D76">
        <w:t xml:space="preserve"> – Detail by Element</w:t>
      </w:r>
    </w:p>
    <w:p w14:paraId="779335FD" w14:textId="6BEEC11D" w:rsidR="00E66ADA" w:rsidRDefault="00E66ADA" w:rsidP="00E66ADA">
      <w:pPr>
        <w:pStyle w:val="Heading2"/>
      </w:pPr>
      <w:bookmarkStart w:id="5" w:name="_Toc208302761"/>
      <w:bookmarkEnd w:id="4"/>
      <w:r>
        <w:t>Overall privacy maturity level</w:t>
      </w:r>
      <w:bookmarkEnd w:id="5"/>
    </w:p>
    <w:tbl>
      <w:tblPr>
        <w:tblW w:w="13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0"/>
        <w:gridCol w:w="6837"/>
      </w:tblGrid>
      <w:tr w:rsidR="00CE5583" w:rsidRPr="00CE5583" w14:paraId="30867176" w14:textId="200144FD" w:rsidTr="00EE7433">
        <w:trPr>
          <w:trHeight w:val="330"/>
        </w:trPr>
        <w:tc>
          <w:tcPr>
            <w:tcW w:w="7040" w:type="dxa"/>
            <w:shd w:val="clear" w:color="000000" w:fill="757171"/>
            <w:noWrap/>
            <w:hideMark/>
          </w:tcPr>
          <w:p w14:paraId="658B154E" w14:textId="03E63784"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Average of element scores</w:t>
            </w:r>
          </w:p>
        </w:tc>
        <w:tc>
          <w:tcPr>
            <w:tcW w:w="6837" w:type="dxa"/>
            <w:noWrap/>
            <w:hideMark/>
          </w:tcPr>
          <w:p w14:paraId="23BD4ED8" w14:textId="31E10172" w:rsidR="00CE5583" w:rsidRPr="00EE7433" w:rsidRDefault="00CE5583" w:rsidP="00CE5583">
            <w:pPr>
              <w:spacing w:after="0" w:line="240" w:lineRule="auto"/>
              <w:jc w:val="center"/>
              <w:rPr>
                <w:rFonts w:ascii="Calibri" w:eastAsia="Times New Roman" w:hAnsi="Calibri" w:cs="Calibri"/>
                <w:b/>
                <w:bCs/>
                <w:color w:val="auto"/>
                <w:sz w:val="22"/>
                <w:szCs w:val="22"/>
                <w:lang w:eastAsia="en-AU"/>
              </w:rPr>
            </w:pPr>
            <w:r w:rsidRPr="00EE7433">
              <w:rPr>
                <w:rFonts w:ascii="Calibri" w:eastAsia="Times New Roman" w:hAnsi="Calibri" w:cs="Calibri"/>
                <w:b/>
                <w:bCs/>
                <w:color w:val="auto"/>
                <w:sz w:val="22"/>
                <w:szCs w:val="22"/>
                <w:lang w:eastAsia="en-AU"/>
              </w:rPr>
              <w:t>3.</w:t>
            </w:r>
            <w:r w:rsidR="006D63A6" w:rsidRPr="00EE7433">
              <w:rPr>
                <w:rFonts w:ascii="Calibri" w:eastAsia="Times New Roman" w:hAnsi="Calibri" w:cs="Calibri"/>
                <w:b/>
                <w:bCs/>
                <w:color w:val="auto"/>
                <w:sz w:val="22"/>
                <w:szCs w:val="22"/>
                <w:lang w:eastAsia="en-AU"/>
              </w:rPr>
              <w:t>4</w:t>
            </w:r>
            <w:r w:rsidRPr="00EE7433">
              <w:rPr>
                <w:rFonts w:ascii="Calibri" w:eastAsia="Times New Roman" w:hAnsi="Calibri" w:cs="Calibri"/>
                <w:b/>
                <w:bCs/>
                <w:color w:val="auto"/>
                <w:sz w:val="22"/>
                <w:szCs w:val="22"/>
                <w:lang w:eastAsia="en-AU"/>
              </w:rPr>
              <w:t xml:space="preserve"> / 4</w:t>
            </w:r>
          </w:p>
        </w:tc>
      </w:tr>
      <w:tr w:rsidR="00CE5583" w:rsidRPr="00CE5583" w14:paraId="71541D13" w14:textId="20D07B9D" w:rsidTr="00EE7433">
        <w:trPr>
          <w:trHeight w:val="330"/>
        </w:trPr>
        <w:tc>
          <w:tcPr>
            <w:tcW w:w="7040" w:type="dxa"/>
            <w:shd w:val="clear" w:color="000000" w:fill="3A3838"/>
            <w:noWrap/>
            <w:hideMark/>
          </w:tcPr>
          <w:p w14:paraId="30BB902A" w14:textId="4CF64984"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Overall privacy maturity level</w:t>
            </w:r>
          </w:p>
        </w:tc>
        <w:tc>
          <w:tcPr>
            <w:tcW w:w="6837" w:type="dxa"/>
            <w:shd w:val="clear" w:color="auto" w:fill="BDD7EE"/>
            <w:noWrap/>
            <w:hideMark/>
          </w:tcPr>
          <w:p w14:paraId="26965BFF" w14:textId="07FD7F3E" w:rsidR="00CE5583" w:rsidRPr="00EE7433" w:rsidRDefault="00CE5583" w:rsidP="00CE5583">
            <w:pPr>
              <w:spacing w:after="0" w:line="240" w:lineRule="auto"/>
              <w:jc w:val="center"/>
              <w:rPr>
                <w:rFonts w:ascii="Calibri" w:eastAsia="Times New Roman" w:hAnsi="Calibri" w:cs="Calibri"/>
                <w:b/>
                <w:bCs/>
                <w:color w:val="000000"/>
                <w:sz w:val="22"/>
                <w:szCs w:val="22"/>
                <w:lang w:eastAsia="en-AU"/>
              </w:rPr>
            </w:pPr>
            <w:r w:rsidRPr="00EE7433">
              <w:rPr>
                <w:rFonts w:ascii="Calibri" w:eastAsia="Times New Roman" w:hAnsi="Calibri" w:cs="Calibri"/>
                <w:b/>
                <w:bCs/>
                <w:color w:val="000000"/>
                <w:sz w:val="22"/>
                <w:szCs w:val="22"/>
                <w:lang w:eastAsia="en-AU"/>
              </w:rPr>
              <w:t>3 / 4 (D</w:t>
            </w:r>
            <w:r w:rsidR="00EE7433" w:rsidRPr="00EE7433">
              <w:rPr>
                <w:rFonts w:ascii="Calibri" w:eastAsia="Times New Roman" w:hAnsi="Calibri" w:cs="Calibri"/>
                <w:b/>
                <w:bCs/>
                <w:color w:val="000000"/>
                <w:sz w:val="22"/>
                <w:szCs w:val="22"/>
                <w:lang w:eastAsia="en-AU"/>
              </w:rPr>
              <w:t>EFINED</w:t>
            </w:r>
            <w:r w:rsidRPr="00EE7433">
              <w:rPr>
                <w:rFonts w:ascii="Calibri" w:eastAsia="Times New Roman" w:hAnsi="Calibri" w:cs="Calibri"/>
                <w:b/>
                <w:bCs/>
                <w:color w:val="000000"/>
                <w:sz w:val="22"/>
                <w:szCs w:val="22"/>
                <w:lang w:eastAsia="en-AU"/>
              </w:rPr>
              <w:t>)</w:t>
            </w:r>
          </w:p>
        </w:tc>
      </w:tr>
    </w:tbl>
    <w:p w14:paraId="53FA4D75" w14:textId="7799A220" w:rsidR="001F5D76" w:rsidRPr="001F5D76" w:rsidRDefault="001F5D76" w:rsidP="00E66ADA">
      <w:pPr>
        <w:pStyle w:val="BodyText"/>
        <w:rPr>
          <w:rFonts w:asciiTheme="majorHAnsi" w:eastAsiaTheme="majorEastAsia" w:hAnsiTheme="majorHAnsi" w:cstheme="majorBidi"/>
          <w:color w:val="2A4055" w:themeColor="accent1"/>
          <w:sz w:val="36"/>
          <w:szCs w:val="36"/>
        </w:rPr>
      </w:pPr>
      <w:r w:rsidRPr="001F5D76">
        <w:rPr>
          <w:rFonts w:asciiTheme="majorHAnsi" w:eastAsiaTheme="majorEastAsia" w:hAnsiTheme="majorHAnsi" w:cstheme="majorBidi"/>
          <w:color w:val="2A4055" w:themeColor="accent1"/>
          <w:sz w:val="36"/>
          <w:szCs w:val="36"/>
        </w:rPr>
        <w:t>Gover</w:t>
      </w:r>
      <w:r>
        <w:rPr>
          <w:rFonts w:asciiTheme="majorHAnsi" w:eastAsiaTheme="majorEastAsia" w:hAnsiTheme="majorHAnsi" w:cstheme="majorBidi"/>
          <w:color w:val="2A4055" w:themeColor="accent1"/>
          <w:sz w:val="36"/>
          <w:szCs w:val="36"/>
        </w:rPr>
        <w:t>n</w:t>
      </w:r>
      <w:r w:rsidRPr="001F5D76">
        <w:rPr>
          <w:rFonts w:asciiTheme="majorHAnsi" w:eastAsiaTheme="majorEastAsia" w:hAnsiTheme="majorHAnsi" w:cstheme="majorBidi"/>
          <w:color w:val="2A4055" w:themeColor="accent1"/>
          <w:sz w:val="36"/>
          <w:szCs w:val="36"/>
        </w:rPr>
        <w:t>ance and Culture</w:t>
      </w:r>
    </w:p>
    <w:tbl>
      <w:tblPr>
        <w:tblW w:w="1359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2074"/>
        <w:gridCol w:w="1531"/>
        <w:gridCol w:w="1483"/>
        <w:gridCol w:w="48"/>
        <w:gridCol w:w="8457"/>
      </w:tblGrid>
      <w:tr w:rsidR="000743A2" w:rsidRPr="000743A2" w14:paraId="235DFF47" w14:textId="77777777" w:rsidTr="0033168B">
        <w:trPr>
          <w:trHeight w:val="345"/>
          <w:tblHeader/>
        </w:trPr>
        <w:tc>
          <w:tcPr>
            <w:tcW w:w="13593" w:type="dxa"/>
            <w:gridSpan w:val="5"/>
            <w:shd w:val="clear" w:color="000000" w:fill="757171"/>
            <w:noWrap/>
            <w:hideMark/>
          </w:tcPr>
          <w:p w14:paraId="0572E23D" w14:textId="77777777" w:rsidR="000743A2" w:rsidRPr="000743A2" w:rsidRDefault="000743A2" w:rsidP="000743A2">
            <w:pPr>
              <w:spacing w:after="0" w:line="240" w:lineRule="auto"/>
              <w:jc w:val="center"/>
              <w:rPr>
                <w:rFonts w:ascii="Calibri" w:eastAsia="Times New Roman" w:hAnsi="Calibri" w:cs="Calibri"/>
                <w:b/>
                <w:bCs/>
                <w:color w:val="FFFFFF"/>
                <w:sz w:val="24"/>
                <w:szCs w:val="24"/>
                <w:lang w:eastAsia="en-AU"/>
              </w:rPr>
            </w:pPr>
            <w:r w:rsidRPr="000743A2">
              <w:rPr>
                <w:rFonts w:ascii="Calibri" w:eastAsia="Times New Roman" w:hAnsi="Calibri" w:cs="Calibri"/>
                <w:b/>
                <w:bCs/>
                <w:color w:val="FFFFFF"/>
                <w:sz w:val="24"/>
                <w:szCs w:val="24"/>
                <w:lang w:eastAsia="en-AU"/>
              </w:rPr>
              <w:t>Governance &amp; Culture</w:t>
            </w:r>
          </w:p>
        </w:tc>
      </w:tr>
      <w:tr w:rsidR="000743A2" w:rsidRPr="000743A2" w14:paraId="78D1E977" w14:textId="77777777" w:rsidTr="0033168B">
        <w:trPr>
          <w:trHeight w:val="330"/>
          <w:tblHeader/>
        </w:trPr>
        <w:tc>
          <w:tcPr>
            <w:tcW w:w="2074" w:type="dxa"/>
            <w:shd w:val="clear" w:color="000000" w:fill="757171"/>
            <w:noWrap/>
            <w:hideMark/>
          </w:tcPr>
          <w:p w14:paraId="6816FFD8"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Attribute</w:t>
            </w:r>
          </w:p>
        </w:tc>
        <w:tc>
          <w:tcPr>
            <w:tcW w:w="1531" w:type="dxa"/>
            <w:shd w:val="clear" w:color="000000" w:fill="757171"/>
            <w:noWrap/>
            <w:hideMark/>
          </w:tcPr>
          <w:p w14:paraId="5561F319"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Current Level</w:t>
            </w:r>
          </w:p>
        </w:tc>
        <w:tc>
          <w:tcPr>
            <w:tcW w:w="1531" w:type="dxa"/>
            <w:gridSpan w:val="2"/>
            <w:shd w:val="clear" w:color="000000" w:fill="757171"/>
            <w:noWrap/>
            <w:hideMark/>
          </w:tcPr>
          <w:p w14:paraId="29B7DE59"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Target Level</w:t>
            </w:r>
          </w:p>
        </w:tc>
        <w:tc>
          <w:tcPr>
            <w:tcW w:w="8457" w:type="dxa"/>
            <w:shd w:val="clear" w:color="000000" w:fill="757171"/>
            <w:noWrap/>
            <w:hideMark/>
          </w:tcPr>
          <w:p w14:paraId="0DD9D520"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Rationale/Commentary</w:t>
            </w:r>
          </w:p>
        </w:tc>
      </w:tr>
      <w:tr w:rsidR="000743A2" w:rsidRPr="000743A2" w14:paraId="2D5D47D6" w14:textId="77777777" w:rsidTr="0033168B">
        <w:trPr>
          <w:trHeight w:val="2225"/>
        </w:trPr>
        <w:tc>
          <w:tcPr>
            <w:tcW w:w="2074" w:type="dxa"/>
            <w:shd w:val="clear" w:color="000000" w:fill="757171"/>
            <w:noWrap/>
            <w:hideMark/>
          </w:tcPr>
          <w:p w14:paraId="27F666F4" w14:textId="77777777" w:rsidR="000743A2" w:rsidRPr="000743A2" w:rsidRDefault="000743A2" w:rsidP="000743A2">
            <w:pPr>
              <w:spacing w:after="0" w:line="240" w:lineRule="auto"/>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Privacy Champion*</w:t>
            </w:r>
          </w:p>
        </w:tc>
        <w:tc>
          <w:tcPr>
            <w:tcW w:w="1531" w:type="dxa"/>
            <w:shd w:val="clear" w:color="auto" w:fill="BDD7EE"/>
            <w:noWrap/>
            <w:hideMark/>
          </w:tcPr>
          <w:p w14:paraId="32D867B2" w14:textId="77777777" w:rsidR="000743A2" w:rsidRPr="000743A2" w:rsidRDefault="000743A2" w:rsidP="000743A2">
            <w:pPr>
              <w:spacing w:after="0" w:line="240" w:lineRule="auto"/>
              <w:jc w:val="center"/>
              <w:rPr>
                <w:rFonts w:ascii="Calibri" w:eastAsia="Times New Roman" w:hAnsi="Calibri" w:cs="Calibri"/>
                <w:b/>
                <w:bCs/>
                <w:color w:val="000000"/>
                <w:sz w:val="22"/>
                <w:szCs w:val="22"/>
                <w:lang w:eastAsia="en-AU"/>
              </w:rPr>
            </w:pPr>
            <w:r w:rsidRPr="000743A2">
              <w:rPr>
                <w:rFonts w:ascii="Calibri" w:eastAsia="Times New Roman" w:hAnsi="Calibri" w:cs="Calibri"/>
                <w:b/>
                <w:bCs/>
                <w:color w:val="000000"/>
                <w:sz w:val="22"/>
                <w:szCs w:val="22"/>
                <w:lang w:eastAsia="en-AU"/>
              </w:rPr>
              <w:t>Defined</w:t>
            </w:r>
          </w:p>
        </w:tc>
        <w:tc>
          <w:tcPr>
            <w:tcW w:w="1531" w:type="dxa"/>
            <w:gridSpan w:val="2"/>
            <w:shd w:val="clear" w:color="auto" w:fill="336699"/>
            <w:noWrap/>
            <w:hideMark/>
          </w:tcPr>
          <w:p w14:paraId="330EF553"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Leader</w:t>
            </w:r>
          </w:p>
        </w:tc>
        <w:tc>
          <w:tcPr>
            <w:tcW w:w="8457" w:type="dxa"/>
            <w:shd w:val="clear" w:color="000000" w:fill="D9D9D9"/>
            <w:hideMark/>
          </w:tcPr>
          <w:p w14:paraId="4B352514" w14:textId="77777777" w:rsidR="004E5786" w:rsidRDefault="000743A2" w:rsidP="004E5786">
            <w:pPr>
              <w:spacing w:line="240" w:lineRule="auto"/>
              <w:rPr>
                <w:rFonts w:ascii="Calibri" w:eastAsia="Times New Roman" w:hAnsi="Calibri" w:cs="Calibri"/>
                <w:color w:val="000000"/>
                <w:sz w:val="22"/>
                <w:szCs w:val="22"/>
                <w:lang w:eastAsia="en-AU"/>
              </w:rPr>
            </w:pPr>
            <w:bookmarkStart w:id="6" w:name="RANGE!K39:Q43"/>
            <w:r w:rsidRPr="000743A2">
              <w:rPr>
                <w:rFonts w:ascii="Calibri" w:eastAsia="Times New Roman" w:hAnsi="Calibri" w:cs="Calibri"/>
                <w:color w:val="000000"/>
                <w:sz w:val="22"/>
                <w:szCs w:val="22"/>
                <w:lang w:eastAsia="en-AU"/>
              </w:rPr>
              <w:t xml:space="preserve">The NIAA's Deputy Chief Executive Officer is the NIAA's Privacy Champion. The Privacy Champion promotes a culture of privacy that values and protects personal information. This includes regular emails to engage with all staff about privacy compliance focus areas, messaging during Privacy Awareness Week and annual reporting to the Executive Board. </w:t>
            </w:r>
          </w:p>
          <w:p w14:paraId="43ABB576" w14:textId="46F1F447" w:rsidR="000743A2" w:rsidRPr="000743A2"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 xml:space="preserve">The NIAA's </w:t>
            </w:r>
            <w:r w:rsidR="001F5D76">
              <w:rPr>
                <w:rFonts w:ascii="Calibri" w:eastAsia="Times New Roman" w:hAnsi="Calibri" w:cs="Calibri"/>
                <w:color w:val="000000"/>
                <w:sz w:val="22"/>
                <w:szCs w:val="22"/>
                <w:lang w:eastAsia="en-AU"/>
              </w:rPr>
              <w:t>Legal Services Branch</w:t>
            </w:r>
            <w:r w:rsidRPr="000743A2">
              <w:rPr>
                <w:rFonts w:ascii="Calibri" w:eastAsia="Times New Roman" w:hAnsi="Calibri" w:cs="Calibri"/>
                <w:color w:val="000000"/>
                <w:sz w:val="22"/>
                <w:szCs w:val="22"/>
                <w:lang w:eastAsia="en-AU"/>
              </w:rPr>
              <w:t xml:space="preserve"> supports the Privacy Champion by providing updates on privacy developments, such as PIAs conducted, emerging privacy risks</w:t>
            </w:r>
            <w:r w:rsidR="00B93B70">
              <w:rPr>
                <w:rFonts w:ascii="Calibri" w:eastAsia="Times New Roman" w:hAnsi="Calibri" w:cs="Calibri"/>
                <w:color w:val="000000"/>
                <w:sz w:val="22"/>
                <w:szCs w:val="22"/>
                <w:lang w:eastAsia="en-AU"/>
              </w:rPr>
              <w:t>, significant data breaches</w:t>
            </w:r>
            <w:r w:rsidRPr="000743A2">
              <w:rPr>
                <w:rFonts w:ascii="Calibri" w:eastAsia="Times New Roman" w:hAnsi="Calibri" w:cs="Calibri"/>
                <w:color w:val="000000"/>
                <w:sz w:val="22"/>
                <w:szCs w:val="22"/>
                <w:lang w:eastAsia="en-AU"/>
              </w:rPr>
              <w:t xml:space="preserve"> and regulatory change. </w:t>
            </w:r>
            <w:r w:rsidRPr="000743A2">
              <w:rPr>
                <w:rFonts w:ascii="Calibri" w:eastAsia="Times New Roman" w:hAnsi="Calibri" w:cs="Calibri"/>
                <w:color w:val="000000"/>
                <w:sz w:val="22"/>
                <w:szCs w:val="22"/>
                <w:lang w:eastAsia="en-AU"/>
              </w:rPr>
              <w:br/>
              <w:t>The performance of the Privacy Champion is not measured as a KPI.</w:t>
            </w:r>
            <w:bookmarkEnd w:id="6"/>
          </w:p>
        </w:tc>
      </w:tr>
      <w:tr w:rsidR="000743A2" w:rsidRPr="000743A2" w14:paraId="67D4870F" w14:textId="77777777" w:rsidTr="0033168B">
        <w:trPr>
          <w:trHeight w:val="1928"/>
        </w:trPr>
        <w:tc>
          <w:tcPr>
            <w:tcW w:w="2074" w:type="dxa"/>
            <w:shd w:val="clear" w:color="000000" w:fill="757171"/>
            <w:noWrap/>
            <w:hideMark/>
          </w:tcPr>
          <w:p w14:paraId="6E9999A8" w14:textId="77777777" w:rsidR="000743A2" w:rsidRPr="000743A2" w:rsidRDefault="000743A2" w:rsidP="000743A2">
            <w:pPr>
              <w:spacing w:after="0" w:line="240" w:lineRule="auto"/>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Privacy Values</w:t>
            </w:r>
          </w:p>
        </w:tc>
        <w:tc>
          <w:tcPr>
            <w:tcW w:w="1531" w:type="dxa"/>
            <w:shd w:val="clear" w:color="auto" w:fill="B7CADC" w:themeFill="accent5" w:themeFillTint="40"/>
            <w:noWrap/>
            <w:hideMark/>
          </w:tcPr>
          <w:p w14:paraId="15A8B5B9" w14:textId="77777777" w:rsidR="000743A2" w:rsidRPr="000743A2" w:rsidRDefault="000743A2" w:rsidP="000743A2">
            <w:pPr>
              <w:spacing w:after="0" w:line="240" w:lineRule="auto"/>
              <w:jc w:val="center"/>
              <w:rPr>
                <w:rFonts w:ascii="Calibri" w:eastAsia="Times New Roman" w:hAnsi="Calibri" w:cs="Calibri"/>
                <w:b/>
                <w:bCs/>
                <w:color w:val="000000"/>
                <w:sz w:val="22"/>
                <w:szCs w:val="22"/>
                <w:lang w:eastAsia="en-AU"/>
              </w:rPr>
            </w:pPr>
            <w:r w:rsidRPr="000743A2">
              <w:rPr>
                <w:rFonts w:ascii="Calibri" w:eastAsia="Times New Roman" w:hAnsi="Calibri" w:cs="Calibri"/>
                <w:b/>
                <w:bCs/>
                <w:color w:val="000000"/>
                <w:sz w:val="22"/>
                <w:szCs w:val="22"/>
                <w:lang w:eastAsia="en-AU"/>
              </w:rPr>
              <w:t>Defined</w:t>
            </w:r>
          </w:p>
        </w:tc>
        <w:tc>
          <w:tcPr>
            <w:tcW w:w="1531" w:type="dxa"/>
            <w:gridSpan w:val="2"/>
            <w:shd w:val="clear" w:color="auto" w:fill="B7CADC" w:themeFill="accent5" w:themeFillTint="40"/>
            <w:noWrap/>
            <w:hideMark/>
          </w:tcPr>
          <w:p w14:paraId="04503F12" w14:textId="77777777" w:rsidR="000743A2" w:rsidRPr="000743A2" w:rsidRDefault="000743A2" w:rsidP="000743A2">
            <w:pPr>
              <w:spacing w:after="0" w:line="240" w:lineRule="auto"/>
              <w:jc w:val="center"/>
              <w:rPr>
                <w:rFonts w:ascii="Calibri" w:eastAsia="Times New Roman" w:hAnsi="Calibri" w:cs="Calibri"/>
                <w:b/>
                <w:bCs/>
                <w:color w:val="000000"/>
                <w:sz w:val="22"/>
                <w:szCs w:val="22"/>
                <w:lang w:eastAsia="en-AU"/>
              </w:rPr>
            </w:pPr>
            <w:r w:rsidRPr="000743A2">
              <w:rPr>
                <w:rFonts w:ascii="Calibri" w:eastAsia="Times New Roman" w:hAnsi="Calibri" w:cs="Calibri"/>
                <w:b/>
                <w:bCs/>
                <w:color w:val="000000"/>
                <w:sz w:val="22"/>
                <w:szCs w:val="22"/>
                <w:lang w:eastAsia="en-AU"/>
              </w:rPr>
              <w:t>Defined</w:t>
            </w:r>
          </w:p>
        </w:tc>
        <w:tc>
          <w:tcPr>
            <w:tcW w:w="8457" w:type="dxa"/>
            <w:shd w:val="clear" w:color="000000" w:fill="D9D9D9"/>
            <w:hideMark/>
          </w:tcPr>
          <w:p w14:paraId="4E2C3A18" w14:textId="77777777" w:rsidR="004E5786"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 xml:space="preserve">The NIAA promotes a culture of respecting and protecting personal information to build trust. </w:t>
            </w:r>
          </w:p>
          <w:p w14:paraId="31CF0E60" w14:textId="6F6754A9" w:rsidR="004E5786"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The NIAA's vision is documented in this PMP and Data and Digital Strategy (2024 - 2028), to be a trusted digital leader that shares and uses data and personal information with confidence, and as a trusted custodian of others</w:t>
            </w:r>
            <w:r w:rsidR="009C5FDD">
              <w:rPr>
                <w:rFonts w:ascii="Calibri" w:eastAsia="Times New Roman" w:hAnsi="Calibri" w:cs="Calibri"/>
                <w:color w:val="000000"/>
                <w:sz w:val="22"/>
                <w:szCs w:val="22"/>
                <w:lang w:eastAsia="en-AU"/>
              </w:rPr>
              <w:t>’</w:t>
            </w:r>
            <w:r w:rsidRPr="000743A2">
              <w:rPr>
                <w:rFonts w:ascii="Calibri" w:eastAsia="Times New Roman" w:hAnsi="Calibri" w:cs="Calibri"/>
                <w:color w:val="000000"/>
                <w:sz w:val="22"/>
                <w:szCs w:val="22"/>
                <w:lang w:eastAsia="en-AU"/>
              </w:rPr>
              <w:t xml:space="preserve"> data and personal information.</w:t>
            </w:r>
          </w:p>
          <w:p w14:paraId="5AE394E9" w14:textId="11BD9A24" w:rsidR="000743A2" w:rsidRPr="000743A2"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The NIAA PIA threshold assessment template encourages staff to assess how a new project or initiative aligns to the Agency's values.</w:t>
            </w:r>
          </w:p>
        </w:tc>
      </w:tr>
      <w:tr w:rsidR="000743A2" w:rsidRPr="000743A2" w14:paraId="7C53CE2F" w14:textId="77777777" w:rsidTr="0033168B">
        <w:trPr>
          <w:trHeight w:val="2633"/>
        </w:trPr>
        <w:tc>
          <w:tcPr>
            <w:tcW w:w="2074" w:type="dxa"/>
            <w:shd w:val="clear" w:color="000000" w:fill="757171"/>
            <w:noWrap/>
            <w:hideMark/>
          </w:tcPr>
          <w:p w14:paraId="5F4E312D" w14:textId="77777777" w:rsidR="000743A2" w:rsidRPr="000743A2" w:rsidRDefault="000743A2" w:rsidP="000743A2">
            <w:pPr>
              <w:spacing w:after="0" w:line="240" w:lineRule="auto"/>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lastRenderedPageBreak/>
              <w:t>Privacy Officer*</w:t>
            </w:r>
          </w:p>
        </w:tc>
        <w:tc>
          <w:tcPr>
            <w:tcW w:w="1531" w:type="dxa"/>
            <w:tcBorders>
              <w:bottom w:val="single" w:sz="12" w:space="0" w:color="FFFFFF"/>
            </w:tcBorders>
            <w:shd w:val="clear" w:color="auto" w:fill="B7CADC" w:themeFill="accent5" w:themeFillTint="40"/>
            <w:noWrap/>
            <w:hideMark/>
          </w:tcPr>
          <w:p w14:paraId="55C1664F" w14:textId="77777777" w:rsidR="000743A2" w:rsidRPr="000743A2" w:rsidRDefault="000743A2" w:rsidP="000743A2">
            <w:pPr>
              <w:spacing w:after="0" w:line="240" w:lineRule="auto"/>
              <w:jc w:val="center"/>
              <w:rPr>
                <w:rFonts w:ascii="Calibri" w:eastAsia="Times New Roman" w:hAnsi="Calibri" w:cs="Calibri"/>
                <w:b/>
                <w:bCs/>
                <w:color w:val="000000"/>
                <w:sz w:val="22"/>
                <w:szCs w:val="22"/>
                <w:lang w:eastAsia="en-AU"/>
              </w:rPr>
            </w:pPr>
            <w:r w:rsidRPr="000743A2">
              <w:rPr>
                <w:rFonts w:ascii="Calibri" w:eastAsia="Times New Roman" w:hAnsi="Calibri" w:cs="Calibri"/>
                <w:b/>
                <w:bCs/>
                <w:color w:val="000000"/>
                <w:sz w:val="22"/>
                <w:szCs w:val="22"/>
                <w:lang w:eastAsia="en-AU"/>
              </w:rPr>
              <w:t>Defined</w:t>
            </w:r>
          </w:p>
        </w:tc>
        <w:tc>
          <w:tcPr>
            <w:tcW w:w="1531" w:type="dxa"/>
            <w:gridSpan w:val="2"/>
            <w:tcBorders>
              <w:bottom w:val="single" w:sz="12" w:space="0" w:color="FFFFFF"/>
            </w:tcBorders>
            <w:shd w:val="clear" w:color="auto" w:fill="336699"/>
            <w:noWrap/>
            <w:hideMark/>
          </w:tcPr>
          <w:p w14:paraId="777ED22B"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Leader</w:t>
            </w:r>
          </w:p>
        </w:tc>
        <w:tc>
          <w:tcPr>
            <w:tcW w:w="8457" w:type="dxa"/>
            <w:shd w:val="clear" w:color="000000" w:fill="D9D9D9"/>
            <w:hideMark/>
          </w:tcPr>
          <w:p w14:paraId="186EC7AF" w14:textId="6CEF399F" w:rsidR="004E5786"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The NIAA has 3 designated Privacy Officers within the Legal Services Branch</w:t>
            </w:r>
            <w:r w:rsidR="00770FB1">
              <w:rPr>
                <w:rFonts w:ascii="Calibri" w:eastAsia="Times New Roman" w:hAnsi="Calibri" w:cs="Calibri"/>
                <w:color w:val="000000"/>
                <w:sz w:val="22"/>
                <w:szCs w:val="22"/>
                <w:lang w:eastAsia="en-AU"/>
              </w:rPr>
              <w:t xml:space="preserve"> (LSB)</w:t>
            </w:r>
            <w:r w:rsidRPr="000743A2">
              <w:rPr>
                <w:rFonts w:ascii="Calibri" w:eastAsia="Times New Roman" w:hAnsi="Calibri" w:cs="Calibri"/>
                <w:color w:val="000000"/>
                <w:sz w:val="22"/>
                <w:szCs w:val="22"/>
                <w:lang w:eastAsia="en-AU"/>
              </w:rPr>
              <w:t xml:space="preserve">. </w:t>
            </w:r>
            <w:r w:rsidR="00770FB1">
              <w:rPr>
                <w:rFonts w:ascii="Calibri" w:eastAsia="Times New Roman" w:hAnsi="Calibri" w:cs="Calibri"/>
                <w:color w:val="000000"/>
                <w:sz w:val="22"/>
                <w:szCs w:val="22"/>
                <w:lang w:eastAsia="en-AU"/>
              </w:rPr>
              <w:t>LSB</w:t>
            </w:r>
            <w:r w:rsidRPr="000743A2">
              <w:rPr>
                <w:rFonts w:ascii="Calibri" w:eastAsia="Times New Roman" w:hAnsi="Calibri" w:cs="Calibri"/>
                <w:color w:val="000000"/>
                <w:sz w:val="22"/>
                <w:szCs w:val="22"/>
                <w:lang w:eastAsia="en-AU"/>
              </w:rPr>
              <w:t xml:space="preserve"> has established practices, templates and procedures to support staff to meet privacy obligations, which are integrated into broader organisational frameworks. </w:t>
            </w:r>
          </w:p>
          <w:p w14:paraId="1882D7DD" w14:textId="6E9FEFFB" w:rsidR="004E5786"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 xml:space="preserve">There is agency-wide awareness of the Privacy Officers, including through intranet presence and messaging during Privacy Awareness Week.  </w:t>
            </w:r>
          </w:p>
          <w:p w14:paraId="7D97268C" w14:textId="308279AE" w:rsidR="00900B23"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The Privacy Officers</w:t>
            </w:r>
            <w:r w:rsidR="00BD37C4">
              <w:rPr>
                <w:rFonts w:ascii="Calibri" w:eastAsia="Times New Roman" w:hAnsi="Calibri" w:cs="Calibri"/>
                <w:color w:val="000000"/>
                <w:sz w:val="22"/>
                <w:szCs w:val="22"/>
                <w:lang w:eastAsia="en-AU"/>
              </w:rPr>
              <w:t xml:space="preserve"> </w:t>
            </w:r>
            <w:r w:rsidR="00BD37C4" w:rsidRPr="000743A2">
              <w:rPr>
                <w:rFonts w:ascii="Calibri" w:eastAsia="Times New Roman" w:hAnsi="Calibri" w:cs="Calibri"/>
                <w:color w:val="000000"/>
                <w:sz w:val="22"/>
                <w:szCs w:val="22"/>
                <w:lang w:eastAsia="en-AU"/>
              </w:rPr>
              <w:t>make proactive privacy improvements</w:t>
            </w:r>
            <w:r w:rsidR="001F5D76">
              <w:rPr>
                <w:rFonts w:ascii="Calibri" w:eastAsia="Times New Roman" w:hAnsi="Calibri" w:cs="Calibri"/>
                <w:color w:val="000000"/>
                <w:sz w:val="22"/>
                <w:szCs w:val="22"/>
                <w:lang w:eastAsia="en-AU"/>
              </w:rPr>
              <w:t>,</w:t>
            </w:r>
            <w:r w:rsidR="00827095">
              <w:rPr>
                <w:rFonts w:ascii="Calibri" w:eastAsia="Times New Roman" w:hAnsi="Calibri" w:cs="Calibri"/>
                <w:color w:val="000000"/>
                <w:sz w:val="22"/>
                <w:szCs w:val="22"/>
                <w:lang w:eastAsia="en-AU"/>
              </w:rPr>
              <w:t xml:space="preserve"> </w:t>
            </w:r>
            <w:r w:rsidR="001F5D76">
              <w:rPr>
                <w:rFonts w:ascii="Calibri" w:eastAsia="Times New Roman" w:hAnsi="Calibri" w:cs="Calibri"/>
                <w:color w:val="000000"/>
                <w:sz w:val="22"/>
                <w:szCs w:val="22"/>
                <w:lang w:eastAsia="en-AU"/>
              </w:rPr>
              <w:t xml:space="preserve">including </w:t>
            </w:r>
            <w:r w:rsidR="001F5D76" w:rsidRPr="000743A2">
              <w:rPr>
                <w:rFonts w:ascii="Calibri" w:eastAsia="Times New Roman" w:hAnsi="Calibri" w:cs="Calibri"/>
                <w:color w:val="000000"/>
                <w:sz w:val="22"/>
                <w:szCs w:val="22"/>
                <w:lang w:eastAsia="en-AU"/>
              </w:rPr>
              <w:t>providing</w:t>
            </w:r>
            <w:r w:rsidRPr="000743A2">
              <w:rPr>
                <w:rFonts w:ascii="Calibri" w:eastAsia="Times New Roman" w:hAnsi="Calibri" w:cs="Calibri"/>
                <w:color w:val="000000"/>
                <w:sz w:val="22"/>
                <w:szCs w:val="22"/>
                <w:lang w:eastAsia="en-AU"/>
              </w:rPr>
              <w:t xml:space="preserve"> plain-language templates</w:t>
            </w:r>
            <w:r w:rsidR="00827095">
              <w:rPr>
                <w:rFonts w:ascii="Calibri" w:eastAsia="Times New Roman" w:hAnsi="Calibri" w:cs="Calibri"/>
                <w:color w:val="000000"/>
                <w:sz w:val="22"/>
                <w:szCs w:val="22"/>
                <w:lang w:eastAsia="en-AU"/>
              </w:rPr>
              <w:t xml:space="preserve">, </w:t>
            </w:r>
            <w:r w:rsidRPr="000743A2">
              <w:rPr>
                <w:rFonts w:ascii="Calibri" w:eastAsia="Times New Roman" w:hAnsi="Calibri" w:cs="Calibri"/>
                <w:color w:val="000000"/>
                <w:sz w:val="22"/>
                <w:szCs w:val="22"/>
                <w:lang w:eastAsia="en-AU"/>
              </w:rPr>
              <w:t>privacy advice</w:t>
            </w:r>
            <w:r w:rsidR="00827095">
              <w:rPr>
                <w:rFonts w:ascii="Calibri" w:eastAsia="Times New Roman" w:hAnsi="Calibri" w:cs="Calibri"/>
                <w:color w:val="000000"/>
                <w:sz w:val="22"/>
                <w:szCs w:val="22"/>
                <w:lang w:eastAsia="en-AU"/>
              </w:rPr>
              <w:t xml:space="preserve"> and delivering privacy training to staff</w:t>
            </w:r>
            <w:r w:rsidRPr="000743A2">
              <w:rPr>
                <w:rFonts w:ascii="Calibri" w:eastAsia="Times New Roman" w:hAnsi="Calibri" w:cs="Calibri"/>
                <w:color w:val="000000"/>
                <w:sz w:val="22"/>
                <w:szCs w:val="22"/>
                <w:lang w:eastAsia="en-AU"/>
              </w:rPr>
              <w:t>.</w:t>
            </w:r>
            <w:r w:rsidR="002E3918">
              <w:rPr>
                <w:rFonts w:ascii="Calibri" w:eastAsia="Times New Roman" w:hAnsi="Calibri" w:cs="Calibri"/>
                <w:color w:val="000000"/>
                <w:sz w:val="22"/>
                <w:szCs w:val="22"/>
                <w:lang w:eastAsia="en-AU"/>
              </w:rPr>
              <w:t xml:space="preserve"> </w:t>
            </w:r>
          </w:p>
          <w:p w14:paraId="145AD96C" w14:textId="6D0ABEB4" w:rsidR="000743A2" w:rsidRPr="000743A2" w:rsidRDefault="009B738D" w:rsidP="004E5786">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A</w:t>
            </w:r>
            <w:r w:rsidR="00900B23">
              <w:rPr>
                <w:rFonts w:ascii="Calibri" w:eastAsia="Times New Roman" w:hAnsi="Calibri" w:cs="Calibri"/>
                <w:color w:val="000000"/>
                <w:sz w:val="22"/>
                <w:szCs w:val="22"/>
                <w:lang w:eastAsia="en-AU"/>
              </w:rPr>
              <w:t xml:space="preserve"> Privacy Officer will attend and participate in </w:t>
            </w:r>
            <w:r w:rsidR="00942895">
              <w:rPr>
                <w:rFonts w:ascii="Calibri" w:eastAsia="Times New Roman" w:hAnsi="Calibri" w:cs="Calibri"/>
                <w:color w:val="000000"/>
                <w:sz w:val="22"/>
                <w:szCs w:val="22"/>
                <w:lang w:eastAsia="en-AU"/>
              </w:rPr>
              <w:t xml:space="preserve">the AGD </w:t>
            </w:r>
            <w:r w:rsidR="00942895" w:rsidRPr="00942895">
              <w:rPr>
                <w:rFonts w:ascii="Calibri" w:eastAsia="Times New Roman" w:hAnsi="Calibri" w:cs="Calibri"/>
                <w:color w:val="000000"/>
                <w:sz w:val="22"/>
                <w:szCs w:val="22"/>
                <w:lang w:eastAsia="en-AU"/>
              </w:rPr>
              <w:t>Officials Working Group on privacy reform</w:t>
            </w:r>
            <w:r w:rsidR="00942895">
              <w:rPr>
                <w:rFonts w:ascii="Calibri" w:eastAsia="Times New Roman" w:hAnsi="Calibri" w:cs="Calibri"/>
                <w:color w:val="000000"/>
                <w:sz w:val="22"/>
                <w:szCs w:val="22"/>
                <w:lang w:eastAsia="en-AU"/>
              </w:rPr>
              <w:t>.</w:t>
            </w:r>
          </w:p>
        </w:tc>
      </w:tr>
      <w:tr w:rsidR="000743A2" w:rsidRPr="000743A2" w14:paraId="186795F8" w14:textId="77777777" w:rsidTr="0033168B">
        <w:trPr>
          <w:trHeight w:val="649"/>
        </w:trPr>
        <w:tc>
          <w:tcPr>
            <w:tcW w:w="2074" w:type="dxa"/>
            <w:shd w:val="clear" w:color="000000" w:fill="757171"/>
            <w:noWrap/>
            <w:hideMark/>
          </w:tcPr>
          <w:p w14:paraId="3619EBFE" w14:textId="77777777" w:rsidR="000743A2" w:rsidRPr="000743A2" w:rsidRDefault="000743A2" w:rsidP="000743A2">
            <w:pPr>
              <w:spacing w:after="0" w:line="240" w:lineRule="auto"/>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Management &amp; Accountability</w:t>
            </w:r>
          </w:p>
        </w:tc>
        <w:tc>
          <w:tcPr>
            <w:tcW w:w="1531" w:type="dxa"/>
            <w:shd w:val="clear" w:color="000000" w:fill="336699"/>
            <w:noWrap/>
            <w:hideMark/>
          </w:tcPr>
          <w:p w14:paraId="1B7F4020"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Leader</w:t>
            </w:r>
          </w:p>
        </w:tc>
        <w:tc>
          <w:tcPr>
            <w:tcW w:w="1531" w:type="dxa"/>
            <w:gridSpan w:val="2"/>
            <w:shd w:val="clear" w:color="000000" w:fill="336699"/>
            <w:noWrap/>
            <w:hideMark/>
          </w:tcPr>
          <w:p w14:paraId="7BCBBEB9"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Leader</w:t>
            </w:r>
          </w:p>
        </w:tc>
        <w:tc>
          <w:tcPr>
            <w:tcW w:w="8457" w:type="dxa"/>
            <w:shd w:val="clear" w:color="000000" w:fill="D9D9D9"/>
            <w:hideMark/>
          </w:tcPr>
          <w:p w14:paraId="518030EE" w14:textId="48E382B2" w:rsidR="007159D9"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The NIAA</w:t>
            </w:r>
            <w:r w:rsidR="00641E1F">
              <w:rPr>
                <w:rFonts w:ascii="Calibri" w:eastAsia="Times New Roman" w:hAnsi="Calibri" w:cs="Calibri"/>
                <w:color w:val="000000"/>
                <w:sz w:val="22"/>
                <w:szCs w:val="22"/>
                <w:lang w:eastAsia="en-AU"/>
              </w:rPr>
              <w:t xml:space="preserve">’s Legal Services Branch (LSB), led by the </w:t>
            </w:r>
            <w:r w:rsidR="000B51E3">
              <w:rPr>
                <w:rFonts w:ascii="Calibri" w:eastAsia="Times New Roman" w:hAnsi="Calibri" w:cs="Calibri"/>
                <w:color w:val="000000"/>
                <w:sz w:val="22"/>
                <w:szCs w:val="22"/>
                <w:lang w:eastAsia="en-AU"/>
              </w:rPr>
              <w:t>Chief Lawyer</w:t>
            </w:r>
            <w:r w:rsidR="00641E1F">
              <w:rPr>
                <w:rFonts w:ascii="Calibri" w:eastAsia="Times New Roman" w:hAnsi="Calibri" w:cs="Calibri"/>
                <w:color w:val="000000"/>
                <w:sz w:val="22"/>
                <w:szCs w:val="22"/>
                <w:lang w:eastAsia="en-AU"/>
              </w:rPr>
              <w:t>,</w:t>
            </w:r>
            <w:r w:rsidR="000B51E3">
              <w:rPr>
                <w:rFonts w:ascii="Calibri" w:eastAsia="Times New Roman" w:hAnsi="Calibri" w:cs="Calibri"/>
                <w:color w:val="000000"/>
                <w:sz w:val="22"/>
                <w:szCs w:val="22"/>
                <w:lang w:eastAsia="en-AU"/>
              </w:rPr>
              <w:t xml:space="preserve"> </w:t>
            </w:r>
            <w:r w:rsidRPr="000743A2">
              <w:rPr>
                <w:rFonts w:ascii="Calibri" w:eastAsia="Times New Roman" w:hAnsi="Calibri" w:cs="Calibri"/>
                <w:color w:val="000000"/>
                <w:sz w:val="22"/>
                <w:szCs w:val="22"/>
                <w:lang w:eastAsia="en-AU"/>
              </w:rPr>
              <w:t>overs</w:t>
            </w:r>
            <w:r w:rsidR="000B51E3">
              <w:rPr>
                <w:rFonts w:ascii="Calibri" w:eastAsia="Times New Roman" w:hAnsi="Calibri" w:cs="Calibri"/>
                <w:color w:val="000000"/>
                <w:sz w:val="22"/>
                <w:szCs w:val="22"/>
                <w:lang w:eastAsia="en-AU"/>
              </w:rPr>
              <w:t>ees</w:t>
            </w:r>
            <w:r w:rsidRPr="000743A2">
              <w:rPr>
                <w:rFonts w:ascii="Calibri" w:eastAsia="Times New Roman" w:hAnsi="Calibri" w:cs="Calibri"/>
                <w:color w:val="000000"/>
                <w:sz w:val="22"/>
                <w:szCs w:val="22"/>
                <w:lang w:eastAsia="en-AU"/>
              </w:rPr>
              <w:t xml:space="preserve"> </w:t>
            </w:r>
            <w:r w:rsidR="00946643" w:rsidRPr="000743A2">
              <w:rPr>
                <w:rFonts w:ascii="Calibri" w:eastAsia="Times New Roman" w:hAnsi="Calibri" w:cs="Calibri"/>
                <w:color w:val="000000"/>
                <w:sz w:val="22"/>
                <w:szCs w:val="22"/>
                <w:lang w:eastAsia="en-AU"/>
              </w:rPr>
              <w:t xml:space="preserve">privacy </w:t>
            </w:r>
            <w:r w:rsidRPr="000743A2">
              <w:rPr>
                <w:rFonts w:ascii="Calibri" w:eastAsia="Times New Roman" w:hAnsi="Calibri" w:cs="Calibri"/>
                <w:color w:val="000000"/>
                <w:sz w:val="22"/>
                <w:szCs w:val="22"/>
                <w:lang w:eastAsia="en-AU"/>
              </w:rPr>
              <w:t xml:space="preserve">compliance and trends. The Privacy Champion provides strategic leadership and promotes the value of personal information. </w:t>
            </w:r>
          </w:p>
          <w:p w14:paraId="39610748" w14:textId="5A611512" w:rsidR="004E5786" w:rsidRDefault="00641E1F" w:rsidP="004E5786">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LSB</w:t>
            </w:r>
            <w:r w:rsidR="007159D9">
              <w:rPr>
                <w:rFonts w:ascii="Calibri" w:eastAsia="Times New Roman" w:hAnsi="Calibri" w:cs="Calibri"/>
                <w:color w:val="000000"/>
                <w:sz w:val="22"/>
                <w:szCs w:val="22"/>
                <w:lang w:eastAsia="en-AU"/>
              </w:rPr>
              <w:t xml:space="preserve"> </w:t>
            </w:r>
            <w:r w:rsidR="00E0650E">
              <w:rPr>
                <w:rFonts w:ascii="Calibri" w:eastAsia="Times New Roman" w:hAnsi="Calibri" w:cs="Calibri"/>
                <w:color w:val="000000"/>
                <w:sz w:val="22"/>
                <w:szCs w:val="22"/>
                <w:lang w:eastAsia="en-AU"/>
              </w:rPr>
              <w:t xml:space="preserve">has created </w:t>
            </w:r>
            <w:r w:rsidR="00334A68">
              <w:rPr>
                <w:rFonts w:ascii="Calibri" w:eastAsia="Times New Roman" w:hAnsi="Calibri" w:cs="Calibri"/>
                <w:color w:val="000000"/>
                <w:sz w:val="22"/>
                <w:szCs w:val="22"/>
                <w:lang w:eastAsia="en-AU"/>
              </w:rPr>
              <w:t xml:space="preserve">and maintained </w:t>
            </w:r>
            <w:r w:rsidR="00E0650E">
              <w:rPr>
                <w:rFonts w:ascii="Calibri" w:eastAsia="Times New Roman" w:hAnsi="Calibri" w:cs="Calibri"/>
                <w:color w:val="000000"/>
                <w:sz w:val="22"/>
                <w:szCs w:val="22"/>
                <w:lang w:eastAsia="en-AU"/>
              </w:rPr>
              <w:t>documents promot</w:t>
            </w:r>
            <w:r>
              <w:rPr>
                <w:rFonts w:ascii="Calibri" w:eastAsia="Times New Roman" w:hAnsi="Calibri" w:cs="Calibri"/>
                <w:color w:val="000000"/>
                <w:sz w:val="22"/>
                <w:szCs w:val="22"/>
                <w:lang w:eastAsia="en-AU"/>
              </w:rPr>
              <w:t>ing</w:t>
            </w:r>
            <w:r w:rsidR="00E0650E">
              <w:rPr>
                <w:rFonts w:ascii="Calibri" w:eastAsia="Times New Roman" w:hAnsi="Calibri" w:cs="Calibri"/>
                <w:color w:val="000000"/>
                <w:sz w:val="22"/>
                <w:szCs w:val="22"/>
                <w:lang w:eastAsia="en-AU"/>
              </w:rPr>
              <w:t xml:space="preserve"> </w:t>
            </w:r>
            <w:r w:rsidR="00B83E46">
              <w:rPr>
                <w:rFonts w:ascii="Calibri" w:eastAsia="Times New Roman" w:hAnsi="Calibri" w:cs="Calibri"/>
                <w:color w:val="000000"/>
                <w:sz w:val="22"/>
                <w:szCs w:val="22"/>
                <w:lang w:eastAsia="en-AU"/>
              </w:rPr>
              <w:t xml:space="preserve">privacy </w:t>
            </w:r>
            <w:r w:rsidR="000743A2" w:rsidRPr="000743A2">
              <w:rPr>
                <w:rFonts w:ascii="Calibri" w:eastAsia="Times New Roman" w:hAnsi="Calibri" w:cs="Calibri"/>
                <w:color w:val="000000"/>
                <w:sz w:val="22"/>
                <w:szCs w:val="22"/>
                <w:lang w:eastAsia="en-AU"/>
              </w:rPr>
              <w:t xml:space="preserve">compliance </w:t>
            </w:r>
            <w:r w:rsidR="0074783A">
              <w:rPr>
                <w:rFonts w:ascii="Calibri" w:eastAsia="Times New Roman" w:hAnsi="Calibri" w:cs="Calibri"/>
                <w:color w:val="000000"/>
                <w:sz w:val="22"/>
                <w:szCs w:val="22"/>
                <w:lang w:eastAsia="en-AU"/>
              </w:rPr>
              <w:t xml:space="preserve">and accountability. </w:t>
            </w:r>
            <w:r w:rsidR="00B83E46">
              <w:rPr>
                <w:rFonts w:ascii="Calibri" w:eastAsia="Times New Roman" w:hAnsi="Calibri" w:cs="Calibri"/>
                <w:color w:val="000000"/>
                <w:sz w:val="22"/>
                <w:szCs w:val="22"/>
                <w:lang w:eastAsia="en-AU"/>
              </w:rPr>
              <w:t>Documents</w:t>
            </w:r>
            <w:r w:rsidR="0074783A">
              <w:rPr>
                <w:rFonts w:ascii="Calibri" w:eastAsia="Times New Roman" w:hAnsi="Calibri" w:cs="Calibri"/>
                <w:color w:val="000000"/>
                <w:sz w:val="22"/>
                <w:szCs w:val="22"/>
                <w:lang w:eastAsia="en-AU"/>
              </w:rPr>
              <w:t xml:space="preserve"> are</w:t>
            </w:r>
            <w:r w:rsidR="000743A2" w:rsidRPr="000743A2">
              <w:rPr>
                <w:rFonts w:ascii="Calibri" w:eastAsia="Times New Roman" w:hAnsi="Calibri" w:cs="Calibri"/>
                <w:color w:val="000000"/>
                <w:sz w:val="22"/>
                <w:szCs w:val="22"/>
                <w:lang w:eastAsia="en-AU"/>
              </w:rPr>
              <w:t xml:space="preserve"> published on the intranet and reinforced through staff messaging</w:t>
            </w:r>
            <w:r w:rsidR="0074783A">
              <w:rPr>
                <w:rFonts w:ascii="Calibri" w:eastAsia="Times New Roman" w:hAnsi="Calibri" w:cs="Calibri"/>
                <w:color w:val="000000"/>
                <w:sz w:val="22"/>
                <w:szCs w:val="22"/>
                <w:lang w:eastAsia="en-AU"/>
              </w:rPr>
              <w:t>,</w:t>
            </w:r>
            <w:r w:rsidR="000743A2" w:rsidRPr="000743A2">
              <w:rPr>
                <w:rFonts w:ascii="Calibri" w:eastAsia="Times New Roman" w:hAnsi="Calibri" w:cs="Calibri"/>
                <w:color w:val="000000"/>
                <w:sz w:val="22"/>
                <w:szCs w:val="22"/>
                <w:lang w:eastAsia="en-AU"/>
              </w:rPr>
              <w:t xml:space="preserve"> including through Privacy Awareness Week. </w:t>
            </w:r>
            <w:r w:rsidR="003E0BD1">
              <w:rPr>
                <w:rFonts w:ascii="Calibri" w:eastAsia="Times New Roman" w:hAnsi="Calibri" w:cs="Calibri"/>
                <w:color w:val="000000"/>
                <w:sz w:val="22"/>
                <w:szCs w:val="22"/>
                <w:lang w:eastAsia="en-AU"/>
              </w:rPr>
              <w:t>Other documents (such as the Access and Corrections Policy</w:t>
            </w:r>
            <w:r w:rsidR="002C3389">
              <w:rPr>
                <w:rFonts w:ascii="Calibri" w:eastAsia="Times New Roman" w:hAnsi="Calibri" w:cs="Calibri"/>
                <w:color w:val="000000"/>
                <w:sz w:val="22"/>
                <w:szCs w:val="22"/>
                <w:lang w:eastAsia="en-AU"/>
              </w:rPr>
              <w:t xml:space="preserve"> and complaints standard operating procedure</w:t>
            </w:r>
            <w:r w:rsidR="003E0BD1">
              <w:rPr>
                <w:rFonts w:ascii="Calibri" w:eastAsia="Times New Roman" w:hAnsi="Calibri" w:cs="Calibri"/>
                <w:color w:val="000000"/>
                <w:sz w:val="22"/>
                <w:szCs w:val="22"/>
                <w:lang w:eastAsia="en-AU"/>
              </w:rPr>
              <w:t xml:space="preserve">) are </w:t>
            </w:r>
            <w:r w:rsidR="0071726A">
              <w:rPr>
                <w:rFonts w:ascii="Calibri" w:eastAsia="Times New Roman" w:hAnsi="Calibri" w:cs="Calibri"/>
                <w:color w:val="000000"/>
                <w:sz w:val="22"/>
                <w:szCs w:val="22"/>
                <w:lang w:eastAsia="en-AU"/>
              </w:rPr>
              <w:t>available</w:t>
            </w:r>
            <w:r w:rsidR="007D78DE">
              <w:rPr>
                <w:rFonts w:ascii="Calibri" w:eastAsia="Times New Roman" w:hAnsi="Calibri" w:cs="Calibri"/>
                <w:color w:val="000000"/>
                <w:sz w:val="22"/>
                <w:szCs w:val="22"/>
                <w:lang w:eastAsia="en-AU"/>
              </w:rPr>
              <w:t xml:space="preserve"> for LSB use only.</w:t>
            </w:r>
          </w:p>
          <w:p w14:paraId="123B987C" w14:textId="0EE8E4C0" w:rsidR="00020388"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 xml:space="preserve">Privacy Officers measure and document the Agency's privacy performance and undertake continuous improvement </w:t>
            </w:r>
            <w:r w:rsidR="00CE5583" w:rsidRPr="000743A2">
              <w:rPr>
                <w:rFonts w:ascii="Calibri" w:eastAsia="Times New Roman" w:hAnsi="Calibri" w:cs="Calibri"/>
                <w:color w:val="000000"/>
                <w:sz w:val="22"/>
                <w:szCs w:val="22"/>
                <w:lang w:eastAsia="en-AU"/>
              </w:rPr>
              <w:t>initiatives</w:t>
            </w:r>
            <w:r w:rsidRPr="000743A2">
              <w:rPr>
                <w:rFonts w:ascii="Calibri" w:eastAsia="Times New Roman" w:hAnsi="Calibri" w:cs="Calibri"/>
                <w:color w:val="000000"/>
                <w:sz w:val="22"/>
                <w:szCs w:val="22"/>
                <w:lang w:eastAsia="en-AU"/>
              </w:rPr>
              <w:t xml:space="preserve"> (review and uplift of privacy governance, processes and templates). </w:t>
            </w:r>
            <w:r w:rsidR="009673CF">
              <w:rPr>
                <w:rFonts w:ascii="Calibri" w:eastAsia="Times New Roman" w:hAnsi="Calibri" w:cs="Calibri"/>
                <w:color w:val="000000"/>
                <w:sz w:val="22"/>
                <w:szCs w:val="22"/>
                <w:lang w:eastAsia="en-AU"/>
              </w:rPr>
              <w:t>The Privacy Team and / or Privacy Officers</w:t>
            </w:r>
            <w:r w:rsidRPr="000743A2">
              <w:rPr>
                <w:rFonts w:ascii="Calibri" w:eastAsia="Times New Roman" w:hAnsi="Calibri" w:cs="Calibri"/>
                <w:color w:val="000000"/>
                <w:sz w:val="22"/>
                <w:szCs w:val="22"/>
                <w:lang w:eastAsia="en-AU"/>
              </w:rPr>
              <w:t xml:space="preserve"> regularly report to senior management, the </w:t>
            </w:r>
            <w:r w:rsidR="00641E1F">
              <w:rPr>
                <w:rFonts w:ascii="Calibri" w:eastAsia="Times New Roman" w:hAnsi="Calibri" w:cs="Calibri"/>
                <w:color w:val="000000"/>
                <w:sz w:val="22"/>
                <w:szCs w:val="22"/>
                <w:lang w:eastAsia="en-AU"/>
              </w:rPr>
              <w:t xml:space="preserve">NIAA </w:t>
            </w:r>
            <w:r w:rsidRPr="000743A2">
              <w:rPr>
                <w:rFonts w:ascii="Calibri" w:eastAsia="Times New Roman" w:hAnsi="Calibri" w:cs="Calibri"/>
                <w:color w:val="000000"/>
                <w:sz w:val="22"/>
                <w:szCs w:val="22"/>
                <w:lang w:eastAsia="en-AU"/>
              </w:rPr>
              <w:t>Executive Board and the Privacy Champion</w:t>
            </w:r>
            <w:r w:rsidR="00061C20">
              <w:rPr>
                <w:rFonts w:ascii="Calibri" w:eastAsia="Times New Roman" w:hAnsi="Calibri" w:cs="Calibri"/>
                <w:color w:val="000000"/>
                <w:sz w:val="22"/>
                <w:szCs w:val="22"/>
                <w:lang w:eastAsia="en-AU"/>
              </w:rPr>
              <w:t xml:space="preserve"> on significant privacy issues</w:t>
            </w:r>
            <w:r w:rsidRPr="000743A2">
              <w:rPr>
                <w:rFonts w:ascii="Calibri" w:eastAsia="Times New Roman" w:hAnsi="Calibri" w:cs="Calibri"/>
                <w:color w:val="000000"/>
                <w:sz w:val="22"/>
                <w:szCs w:val="22"/>
                <w:lang w:eastAsia="en-AU"/>
              </w:rPr>
              <w:t>.</w:t>
            </w:r>
          </w:p>
          <w:p w14:paraId="63E9B8E8" w14:textId="19CCE2DC" w:rsidR="00020388" w:rsidRPr="000743A2" w:rsidRDefault="00020388" w:rsidP="004E5786">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The Chief Lawyer is a member of the </w:t>
            </w:r>
            <w:r w:rsidR="00641E1F">
              <w:rPr>
                <w:rFonts w:ascii="Calibri" w:eastAsia="Times New Roman" w:hAnsi="Calibri" w:cs="Calibri"/>
                <w:color w:val="000000"/>
                <w:sz w:val="22"/>
                <w:szCs w:val="22"/>
                <w:lang w:eastAsia="en-AU"/>
              </w:rPr>
              <w:t xml:space="preserve">NIAA’s </w:t>
            </w:r>
            <w:r>
              <w:rPr>
                <w:rFonts w:ascii="Calibri" w:eastAsia="Times New Roman" w:hAnsi="Calibri" w:cs="Calibri"/>
                <w:color w:val="000000"/>
                <w:sz w:val="22"/>
                <w:szCs w:val="22"/>
                <w:lang w:eastAsia="en-AU"/>
              </w:rPr>
              <w:t>Risk and Operations Committee and raises sign</w:t>
            </w:r>
            <w:r w:rsidR="00770FB1">
              <w:rPr>
                <w:rFonts w:ascii="Calibri" w:eastAsia="Times New Roman" w:hAnsi="Calibri" w:cs="Calibri"/>
                <w:color w:val="000000"/>
                <w:sz w:val="22"/>
                <w:szCs w:val="22"/>
                <w:lang w:eastAsia="en-AU"/>
              </w:rPr>
              <w:t>ificant or strategic privacy risks in this forum.</w:t>
            </w:r>
          </w:p>
        </w:tc>
      </w:tr>
      <w:tr w:rsidR="009D5321" w:rsidRPr="000743A2" w14:paraId="49BA26F1" w14:textId="77777777" w:rsidTr="0033168B">
        <w:trPr>
          <w:trHeight w:val="2730"/>
        </w:trPr>
        <w:tc>
          <w:tcPr>
            <w:tcW w:w="2074" w:type="dxa"/>
            <w:shd w:val="clear" w:color="000000" w:fill="757171"/>
            <w:noWrap/>
            <w:hideMark/>
          </w:tcPr>
          <w:p w14:paraId="58F0FDF8" w14:textId="77777777" w:rsidR="000743A2" w:rsidRPr="000743A2" w:rsidRDefault="000743A2" w:rsidP="000743A2">
            <w:pPr>
              <w:spacing w:after="0" w:line="240" w:lineRule="auto"/>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lastRenderedPageBreak/>
              <w:t>Awareness</w:t>
            </w:r>
          </w:p>
        </w:tc>
        <w:tc>
          <w:tcPr>
            <w:tcW w:w="1531" w:type="dxa"/>
            <w:shd w:val="clear" w:color="auto" w:fill="B7CADC" w:themeFill="accent5" w:themeFillTint="40"/>
            <w:noWrap/>
            <w:hideMark/>
          </w:tcPr>
          <w:p w14:paraId="01872981" w14:textId="1DEF6305" w:rsidR="000743A2" w:rsidRPr="00BB10DB" w:rsidRDefault="006D08FB" w:rsidP="000743A2">
            <w:pPr>
              <w:spacing w:after="0" w:line="240" w:lineRule="auto"/>
              <w:jc w:val="center"/>
              <w:rPr>
                <w:rFonts w:ascii="Calibri" w:eastAsia="Times New Roman" w:hAnsi="Calibri" w:cs="Calibri"/>
                <w:b/>
                <w:bCs/>
                <w:color w:val="auto"/>
                <w:sz w:val="22"/>
                <w:szCs w:val="22"/>
                <w:lang w:eastAsia="en-AU"/>
              </w:rPr>
            </w:pPr>
            <w:r w:rsidRPr="00BB10DB">
              <w:rPr>
                <w:rFonts w:ascii="Calibri" w:eastAsia="Times New Roman" w:hAnsi="Calibri" w:cs="Calibri"/>
                <w:b/>
                <w:bCs/>
                <w:color w:val="auto"/>
                <w:sz w:val="22"/>
                <w:szCs w:val="22"/>
                <w:lang w:eastAsia="en-AU"/>
              </w:rPr>
              <w:t>Defined</w:t>
            </w:r>
          </w:p>
          <w:p w14:paraId="48EC8451" w14:textId="77777777" w:rsidR="004B3E2D" w:rsidRDefault="004B3E2D" w:rsidP="004B3E2D">
            <w:pPr>
              <w:rPr>
                <w:rFonts w:ascii="Calibri" w:eastAsia="Times New Roman" w:hAnsi="Calibri" w:cs="Calibri"/>
                <w:b/>
                <w:bCs/>
                <w:color w:val="FFFFFF"/>
                <w:sz w:val="22"/>
                <w:szCs w:val="22"/>
                <w:lang w:eastAsia="en-AU"/>
              </w:rPr>
            </w:pPr>
          </w:p>
          <w:p w14:paraId="019EC960" w14:textId="77777777" w:rsidR="004B3E2D" w:rsidRDefault="004B3E2D" w:rsidP="003A4729">
            <w:pPr>
              <w:ind w:firstLine="720"/>
              <w:rPr>
                <w:rFonts w:ascii="Calibri" w:eastAsia="Times New Roman" w:hAnsi="Calibri" w:cs="Calibri"/>
                <w:b/>
                <w:bCs/>
                <w:color w:val="FFFFFF"/>
                <w:sz w:val="22"/>
                <w:szCs w:val="22"/>
                <w:lang w:eastAsia="en-AU"/>
              </w:rPr>
            </w:pPr>
          </w:p>
          <w:p w14:paraId="304BF9BF" w14:textId="77777777" w:rsidR="004B3E2D" w:rsidRPr="006D08FB" w:rsidRDefault="004B3E2D" w:rsidP="003A4729">
            <w:pPr>
              <w:rPr>
                <w:rFonts w:ascii="Calibri" w:eastAsia="Times New Roman" w:hAnsi="Calibri" w:cs="Calibri"/>
                <w:sz w:val="22"/>
                <w:szCs w:val="22"/>
                <w:lang w:eastAsia="en-AU"/>
              </w:rPr>
            </w:pPr>
          </w:p>
        </w:tc>
        <w:tc>
          <w:tcPr>
            <w:tcW w:w="1531" w:type="dxa"/>
            <w:gridSpan w:val="2"/>
            <w:shd w:val="clear" w:color="auto" w:fill="B7CADC" w:themeFill="accent5" w:themeFillTint="40"/>
            <w:noWrap/>
            <w:hideMark/>
          </w:tcPr>
          <w:p w14:paraId="6DB8E861" w14:textId="77777777" w:rsidR="000743A2" w:rsidRPr="000743A2" w:rsidRDefault="000743A2" w:rsidP="000743A2">
            <w:pPr>
              <w:spacing w:after="0" w:line="240" w:lineRule="auto"/>
              <w:jc w:val="center"/>
              <w:rPr>
                <w:rFonts w:ascii="Calibri" w:eastAsia="Times New Roman" w:hAnsi="Calibri" w:cs="Calibri"/>
                <w:b/>
                <w:bCs/>
                <w:color w:val="000000"/>
                <w:sz w:val="22"/>
                <w:szCs w:val="22"/>
                <w:lang w:eastAsia="en-AU"/>
              </w:rPr>
            </w:pPr>
            <w:r w:rsidRPr="000743A2">
              <w:rPr>
                <w:rFonts w:ascii="Calibri" w:eastAsia="Times New Roman" w:hAnsi="Calibri" w:cs="Calibri"/>
                <w:b/>
                <w:bCs/>
                <w:color w:val="000000"/>
                <w:sz w:val="22"/>
                <w:szCs w:val="22"/>
                <w:lang w:eastAsia="en-AU"/>
              </w:rPr>
              <w:t>Defined</w:t>
            </w:r>
          </w:p>
        </w:tc>
        <w:tc>
          <w:tcPr>
            <w:tcW w:w="8457" w:type="dxa"/>
            <w:shd w:val="clear" w:color="000000" w:fill="D9D9D9"/>
            <w:hideMark/>
          </w:tcPr>
          <w:p w14:paraId="100F8001" w14:textId="658326C3" w:rsidR="001C2552" w:rsidRDefault="000743A2" w:rsidP="004E5786">
            <w:pPr>
              <w:spacing w:line="240" w:lineRule="auto"/>
              <w:rPr>
                <w:rFonts w:ascii="Calibri" w:eastAsia="Times New Roman" w:hAnsi="Calibri" w:cs="Calibri"/>
                <w:color w:val="000000"/>
                <w:sz w:val="22"/>
                <w:szCs w:val="22"/>
                <w:lang w:eastAsia="en-AU"/>
              </w:rPr>
            </w:pPr>
            <w:r w:rsidRPr="000743A2">
              <w:rPr>
                <w:rFonts w:ascii="Calibri" w:eastAsia="Times New Roman" w:hAnsi="Calibri" w:cs="Calibri"/>
                <w:color w:val="000000"/>
                <w:sz w:val="22"/>
                <w:szCs w:val="22"/>
                <w:lang w:eastAsia="en-AU"/>
              </w:rPr>
              <w:t xml:space="preserve">The Privacy Officers, supported by the </w:t>
            </w:r>
            <w:r w:rsidR="00967283">
              <w:rPr>
                <w:rFonts w:ascii="Calibri" w:eastAsia="Times New Roman" w:hAnsi="Calibri" w:cs="Calibri"/>
                <w:color w:val="000000"/>
                <w:sz w:val="22"/>
                <w:szCs w:val="22"/>
                <w:lang w:eastAsia="en-AU"/>
              </w:rPr>
              <w:t>Legal Services Branch</w:t>
            </w:r>
            <w:r w:rsidR="00641E1F">
              <w:rPr>
                <w:rFonts w:ascii="Calibri" w:eastAsia="Times New Roman" w:hAnsi="Calibri" w:cs="Calibri"/>
                <w:color w:val="000000"/>
                <w:sz w:val="22"/>
                <w:szCs w:val="22"/>
                <w:lang w:eastAsia="en-AU"/>
              </w:rPr>
              <w:t xml:space="preserve"> (LSB)</w:t>
            </w:r>
            <w:r w:rsidRPr="000743A2">
              <w:rPr>
                <w:rFonts w:ascii="Calibri" w:eastAsia="Times New Roman" w:hAnsi="Calibri" w:cs="Calibri"/>
                <w:color w:val="000000"/>
                <w:sz w:val="22"/>
                <w:szCs w:val="22"/>
                <w:lang w:eastAsia="en-AU"/>
              </w:rPr>
              <w:t xml:space="preserve">, </w:t>
            </w:r>
            <w:r w:rsidR="004A07B3" w:rsidRPr="004A07B3">
              <w:rPr>
                <w:rFonts w:ascii="Calibri" w:eastAsia="Times New Roman" w:hAnsi="Calibri" w:cs="Calibri"/>
                <w:color w:val="000000"/>
                <w:sz w:val="22"/>
                <w:szCs w:val="22"/>
                <w:lang w:eastAsia="en-AU"/>
              </w:rPr>
              <w:t>work with clients to ensure their work complies with the Privacy Act. This includes ensuring privacy is built into the lifecycle of grants and procurements</w:t>
            </w:r>
            <w:r w:rsidR="004A07B3">
              <w:rPr>
                <w:rFonts w:ascii="Calibri" w:eastAsia="Times New Roman" w:hAnsi="Calibri" w:cs="Calibri"/>
                <w:color w:val="000000"/>
                <w:sz w:val="22"/>
                <w:szCs w:val="22"/>
                <w:lang w:eastAsia="en-AU"/>
              </w:rPr>
              <w:t>.</w:t>
            </w:r>
          </w:p>
          <w:p w14:paraId="5B3E3D87" w14:textId="5DA64F98" w:rsidR="00C93554" w:rsidRDefault="006B596E" w:rsidP="004E5786">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There is an increased engagement on privacy issues. </w:t>
            </w:r>
            <w:r w:rsidR="00816FA9">
              <w:rPr>
                <w:rFonts w:ascii="Calibri" w:eastAsia="Times New Roman" w:hAnsi="Calibri" w:cs="Calibri"/>
                <w:color w:val="000000"/>
                <w:sz w:val="22"/>
                <w:szCs w:val="22"/>
                <w:lang w:eastAsia="en-AU"/>
              </w:rPr>
              <w:t>Data from L</w:t>
            </w:r>
            <w:r w:rsidR="00641E1F">
              <w:rPr>
                <w:rFonts w:ascii="Calibri" w:eastAsia="Times New Roman" w:hAnsi="Calibri" w:cs="Calibri"/>
                <w:color w:val="000000"/>
                <w:sz w:val="22"/>
                <w:szCs w:val="22"/>
                <w:lang w:eastAsia="en-AU"/>
              </w:rPr>
              <w:t>SB</w:t>
            </w:r>
            <w:r w:rsidR="00816FA9">
              <w:rPr>
                <w:rFonts w:ascii="Calibri" w:eastAsia="Times New Roman" w:hAnsi="Calibri" w:cs="Calibri"/>
                <w:color w:val="000000"/>
                <w:sz w:val="22"/>
                <w:szCs w:val="22"/>
                <w:lang w:eastAsia="en-AU"/>
              </w:rPr>
              <w:t xml:space="preserve">’s matter management system shows </w:t>
            </w:r>
            <w:r>
              <w:rPr>
                <w:rFonts w:ascii="Calibri" w:eastAsia="Times New Roman" w:hAnsi="Calibri" w:cs="Calibri"/>
                <w:color w:val="000000"/>
                <w:sz w:val="22"/>
                <w:szCs w:val="22"/>
                <w:lang w:eastAsia="en-AU"/>
              </w:rPr>
              <w:t>that privacy is the second most frequent</w:t>
            </w:r>
            <w:r w:rsidR="006D08FB">
              <w:rPr>
                <w:rFonts w:ascii="Calibri" w:eastAsia="Times New Roman" w:hAnsi="Calibri" w:cs="Calibri"/>
                <w:color w:val="000000"/>
                <w:sz w:val="22"/>
                <w:szCs w:val="22"/>
                <w:lang w:eastAsia="en-AU"/>
              </w:rPr>
              <w:t xml:space="preserve"> type of request for advice. </w:t>
            </w:r>
          </w:p>
          <w:p w14:paraId="69B7C2D4" w14:textId="2E603C71" w:rsidR="006A1D5F" w:rsidRPr="000743A2" w:rsidRDefault="004A07B3" w:rsidP="004E5786">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The Privacy Officers</w:t>
            </w:r>
            <w:r w:rsidRPr="004A07B3">
              <w:rPr>
                <w:rFonts w:ascii="Calibri" w:eastAsia="Times New Roman" w:hAnsi="Calibri" w:cs="Calibri"/>
                <w:color w:val="000000"/>
                <w:sz w:val="22"/>
                <w:szCs w:val="22"/>
                <w:lang w:eastAsia="en-AU"/>
              </w:rPr>
              <w:t xml:space="preserve"> </w:t>
            </w:r>
            <w:r w:rsidR="000743A2" w:rsidRPr="000743A2">
              <w:rPr>
                <w:rFonts w:ascii="Calibri" w:eastAsia="Times New Roman" w:hAnsi="Calibri" w:cs="Calibri"/>
                <w:color w:val="000000"/>
                <w:sz w:val="22"/>
                <w:szCs w:val="22"/>
                <w:lang w:eastAsia="en-AU"/>
              </w:rPr>
              <w:t xml:space="preserve">are continuing efforts to encourage staff to view privacy as a positive and valuable part of business as usual. This includes updating the staff intranet so that information and resources on privacy are easy to find and understand, and activities and communications through Privacy Awareness Week. </w:t>
            </w:r>
          </w:p>
        </w:tc>
      </w:tr>
      <w:tr w:rsidR="000743A2" w:rsidRPr="000743A2" w14:paraId="56C6B5FF" w14:textId="77777777" w:rsidTr="0033168B">
        <w:trPr>
          <w:trHeight w:val="330"/>
        </w:trPr>
        <w:tc>
          <w:tcPr>
            <w:tcW w:w="5088" w:type="dxa"/>
            <w:gridSpan w:val="3"/>
            <w:shd w:val="clear" w:color="000000" w:fill="757171"/>
            <w:noWrap/>
            <w:hideMark/>
          </w:tcPr>
          <w:p w14:paraId="0574C2EC" w14:textId="77777777"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Element score (average of attribute scores)</w:t>
            </w:r>
          </w:p>
        </w:tc>
        <w:tc>
          <w:tcPr>
            <w:tcW w:w="8505" w:type="dxa"/>
            <w:gridSpan w:val="2"/>
            <w:shd w:val="clear" w:color="000000" w:fill="757171"/>
            <w:noWrap/>
            <w:hideMark/>
          </w:tcPr>
          <w:p w14:paraId="6B668344" w14:textId="0299BAF9" w:rsidR="000743A2" w:rsidRPr="000743A2" w:rsidRDefault="000743A2" w:rsidP="000743A2">
            <w:pPr>
              <w:spacing w:after="0" w:line="240" w:lineRule="auto"/>
              <w:jc w:val="center"/>
              <w:rPr>
                <w:rFonts w:ascii="Calibri" w:eastAsia="Times New Roman" w:hAnsi="Calibri" w:cs="Calibri"/>
                <w:b/>
                <w:bCs/>
                <w:color w:val="FFFFFF"/>
                <w:sz w:val="22"/>
                <w:szCs w:val="22"/>
                <w:lang w:eastAsia="en-AU"/>
              </w:rPr>
            </w:pPr>
            <w:r w:rsidRPr="000743A2">
              <w:rPr>
                <w:rFonts w:ascii="Calibri" w:eastAsia="Times New Roman" w:hAnsi="Calibri" w:cs="Calibri"/>
                <w:b/>
                <w:bCs/>
                <w:color w:val="FFFFFF"/>
                <w:sz w:val="22"/>
                <w:szCs w:val="22"/>
                <w:lang w:eastAsia="en-AU"/>
              </w:rPr>
              <w:t>3</w:t>
            </w:r>
            <w:r w:rsidR="00CA185C">
              <w:rPr>
                <w:rFonts w:ascii="Calibri" w:eastAsia="Times New Roman" w:hAnsi="Calibri" w:cs="Calibri"/>
                <w:b/>
                <w:bCs/>
                <w:color w:val="FFFFFF"/>
                <w:sz w:val="22"/>
                <w:szCs w:val="22"/>
                <w:lang w:eastAsia="en-AU"/>
              </w:rPr>
              <w:t>.2</w:t>
            </w:r>
            <w:r w:rsidRPr="000743A2">
              <w:rPr>
                <w:rFonts w:ascii="Calibri" w:eastAsia="Times New Roman" w:hAnsi="Calibri" w:cs="Calibri"/>
                <w:b/>
                <w:bCs/>
                <w:color w:val="FFFFFF"/>
                <w:sz w:val="22"/>
                <w:szCs w:val="22"/>
                <w:lang w:eastAsia="en-AU"/>
              </w:rPr>
              <w:t xml:space="preserve"> / 4 (Defined)</w:t>
            </w:r>
          </w:p>
        </w:tc>
      </w:tr>
    </w:tbl>
    <w:p w14:paraId="7FA9B463" w14:textId="77777777" w:rsidR="007111D5" w:rsidRDefault="007111D5" w:rsidP="00E66ADA">
      <w:pPr>
        <w:pStyle w:val="BodyText"/>
        <w:rPr>
          <w:rFonts w:asciiTheme="majorHAnsi" w:eastAsiaTheme="majorEastAsia" w:hAnsiTheme="majorHAnsi" w:cstheme="majorBidi"/>
          <w:color w:val="2A4055" w:themeColor="accent1"/>
          <w:sz w:val="36"/>
          <w:szCs w:val="36"/>
        </w:rPr>
      </w:pPr>
    </w:p>
    <w:p w14:paraId="660E0CD9" w14:textId="77777777" w:rsidR="007111D5" w:rsidRDefault="007111D5">
      <w:pPr>
        <w:rPr>
          <w:rFonts w:asciiTheme="majorHAnsi" w:eastAsiaTheme="majorEastAsia" w:hAnsiTheme="majorHAnsi" w:cstheme="majorBidi"/>
          <w:color w:val="2A4055" w:themeColor="accent1"/>
          <w:sz w:val="36"/>
          <w:szCs w:val="36"/>
        </w:rPr>
      </w:pPr>
      <w:r>
        <w:rPr>
          <w:rFonts w:asciiTheme="majorHAnsi" w:eastAsiaTheme="majorEastAsia" w:hAnsiTheme="majorHAnsi" w:cstheme="majorBidi"/>
          <w:color w:val="2A4055" w:themeColor="accent1"/>
          <w:sz w:val="36"/>
          <w:szCs w:val="36"/>
        </w:rPr>
        <w:br w:type="page"/>
      </w:r>
    </w:p>
    <w:p w14:paraId="73D8EE29" w14:textId="2C7A2C9B" w:rsidR="00E66ADA" w:rsidRPr="001F5D76" w:rsidRDefault="001F5D76" w:rsidP="00E66ADA">
      <w:pPr>
        <w:pStyle w:val="BodyText"/>
        <w:rPr>
          <w:rFonts w:asciiTheme="majorHAnsi" w:eastAsiaTheme="majorEastAsia" w:hAnsiTheme="majorHAnsi" w:cstheme="majorBidi"/>
          <w:color w:val="2A4055" w:themeColor="accent1"/>
          <w:sz w:val="36"/>
          <w:szCs w:val="36"/>
        </w:rPr>
      </w:pPr>
      <w:r>
        <w:rPr>
          <w:rFonts w:asciiTheme="majorHAnsi" w:eastAsiaTheme="majorEastAsia" w:hAnsiTheme="majorHAnsi" w:cstheme="majorBidi"/>
          <w:color w:val="2A4055" w:themeColor="accent1"/>
          <w:sz w:val="36"/>
          <w:szCs w:val="36"/>
        </w:rPr>
        <w:lastRenderedPageBreak/>
        <w:t>Privacy Strategy</w:t>
      </w:r>
    </w:p>
    <w:tbl>
      <w:tblPr>
        <w:tblW w:w="13593" w:type="dxa"/>
        <w:tblLayout w:type="fixed"/>
        <w:tblLook w:val="04A0" w:firstRow="1" w:lastRow="0" w:firstColumn="1" w:lastColumn="0" w:noHBand="0" w:noVBand="1"/>
      </w:tblPr>
      <w:tblGrid>
        <w:gridCol w:w="2074"/>
        <w:gridCol w:w="1531"/>
        <w:gridCol w:w="1531"/>
        <w:gridCol w:w="1086"/>
        <w:gridCol w:w="7371"/>
      </w:tblGrid>
      <w:tr w:rsidR="00CE5583" w:rsidRPr="00CE5583" w14:paraId="73E2C9FC" w14:textId="77777777" w:rsidTr="0033168B">
        <w:trPr>
          <w:tblHeader/>
        </w:trPr>
        <w:tc>
          <w:tcPr>
            <w:tcW w:w="13593" w:type="dxa"/>
            <w:gridSpan w:val="5"/>
            <w:tcBorders>
              <w:top w:val="single" w:sz="12" w:space="0" w:color="FFFFFF"/>
              <w:left w:val="single" w:sz="12" w:space="0" w:color="FFFFFF"/>
              <w:bottom w:val="single" w:sz="12" w:space="0" w:color="FFFFFF"/>
              <w:right w:val="single" w:sz="12" w:space="0" w:color="FFFFFF"/>
            </w:tcBorders>
            <w:shd w:val="clear" w:color="000000" w:fill="757171"/>
            <w:noWrap/>
            <w:hideMark/>
          </w:tcPr>
          <w:p w14:paraId="643582AB" w14:textId="77777777" w:rsidR="00CE5583" w:rsidRPr="00CE5583" w:rsidRDefault="00CE5583" w:rsidP="00CE5583">
            <w:pPr>
              <w:spacing w:after="0" w:line="240" w:lineRule="auto"/>
              <w:jc w:val="center"/>
              <w:rPr>
                <w:rFonts w:ascii="Calibri" w:eastAsia="Times New Roman" w:hAnsi="Calibri" w:cs="Calibri"/>
                <w:b/>
                <w:bCs/>
                <w:color w:val="FFFFFF"/>
                <w:sz w:val="24"/>
                <w:szCs w:val="24"/>
                <w:lang w:eastAsia="en-AU"/>
              </w:rPr>
            </w:pPr>
            <w:r w:rsidRPr="00CE5583">
              <w:rPr>
                <w:rFonts w:ascii="Calibri" w:eastAsia="Times New Roman" w:hAnsi="Calibri" w:cs="Calibri"/>
                <w:b/>
                <w:bCs/>
                <w:color w:val="FFFFFF"/>
                <w:sz w:val="24"/>
                <w:szCs w:val="24"/>
                <w:lang w:eastAsia="en-AU"/>
              </w:rPr>
              <w:t>Privacy Strategy</w:t>
            </w:r>
          </w:p>
        </w:tc>
      </w:tr>
      <w:tr w:rsidR="00CE5583" w:rsidRPr="00CE5583" w14:paraId="0F0A0E3E" w14:textId="77777777" w:rsidTr="0033168B">
        <w:trPr>
          <w:tblHeader/>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5E6BD004"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Attribute</w:t>
            </w:r>
          </w:p>
        </w:tc>
        <w:tc>
          <w:tcPr>
            <w:tcW w:w="1531" w:type="dxa"/>
            <w:tcBorders>
              <w:top w:val="single" w:sz="12" w:space="0" w:color="FFFFFF"/>
              <w:left w:val="nil"/>
              <w:bottom w:val="single" w:sz="12" w:space="0" w:color="FFFFFF"/>
              <w:right w:val="single" w:sz="12" w:space="0" w:color="FFFFFF"/>
            </w:tcBorders>
            <w:shd w:val="clear" w:color="000000" w:fill="757171"/>
            <w:noWrap/>
            <w:hideMark/>
          </w:tcPr>
          <w:p w14:paraId="691812E0"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Current Level</w:t>
            </w:r>
          </w:p>
        </w:tc>
        <w:tc>
          <w:tcPr>
            <w:tcW w:w="1531" w:type="dxa"/>
            <w:tcBorders>
              <w:top w:val="single" w:sz="12" w:space="0" w:color="FFFFFF"/>
              <w:left w:val="nil"/>
              <w:bottom w:val="single" w:sz="12" w:space="0" w:color="FFFFFF"/>
              <w:right w:val="single" w:sz="12" w:space="0" w:color="FFFFFF"/>
            </w:tcBorders>
            <w:shd w:val="clear" w:color="000000" w:fill="757171"/>
            <w:noWrap/>
            <w:hideMark/>
          </w:tcPr>
          <w:p w14:paraId="5B990B04"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Target Level</w:t>
            </w:r>
          </w:p>
        </w:tc>
        <w:tc>
          <w:tcPr>
            <w:tcW w:w="8457" w:type="dxa"/>
            <w:gridSpan w:val="2"/>
            <w:tcBorders>
              <w:top w:val="single" w:sz="12" w:space="0" w:color="FFFFFF"/>
              <w:left w:val="nil"/>
              <w:bottom w:val="single" w:sz="12" w:space="0" w:color="FFFFFF"/>
              <w:right w:val="single" w:sz="12" w:space="0" w:color="FFFFFF"/>
            </w:tcBorders>
            <w:shd w:val="clear" w:color="000000" w:fill="757171"/>
            <w:noWrap/>
            <w:hideMark/>
          </w:tcPr>
          <w:p w14:paraId="19488B05"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Rationale/Commentary</w:t>
            </w:r>
          </w:p>
        </w:tc>
      </w:tr>
      <w:tr w:rsidR="00CE5583" w:rsidRPr="00CE5583" w14:paraId="1829402F" w14:textId="77777777" w:rsidTr="0033168B">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0FD128AF"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Privacy Management Plan*</w:t>
            </w:r>
          </w:p>
        </w:tc>
        <w:tc>
          <w:tcPr>
            <w:tcW w:w="1531" w:type="dxa"/>
            <w:tcBorders>
              <w:top w:val="single" w:sz="12" w:space="0" w:color="FFFFFF"/>
              <w:left w:val="single" w:sz="12" w:space="0" w:color="FFFFFF"/>
              <w:bottom w:val="single" w:sz="12" w:space="0" w:color="FFFFFF"/>
              <w:right w:val="single" w:sz="12" w:space="0" w:color="FFFFFF"/>
            </w:tcBorders>
            <w:shd w:val="clear" w:color="000000" w:fill="B7CADC" w:themeFill="accent5" w:themeFillTint="40"/>
            <w:noWrap/>
            <w:hideMark/>
          </w:tcPr>
          <w:p w14:paraId="661271FA"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1531" w:type="dxa"/>
            <w:tcBorders>
              <w:top w:val="single" w:sz="12" w:space="0" w:color="FFFFFF"/>
              <w:left w:val="single" w:sz="12" w:space="0" w:color="FFFFFF"/>
              <w:bottom w:val="single" w:sz="12" w:space="0" w:color="FFFFFF"/>
              <w:right w:val="single" w:sz="12" w:space="0" w:color="FFFFFF"/>
            </w:tcBorders>
            <w:shd w:val="clear" w:color="000000" w:fill="B7CADC" w:themeFill="accent5" w:themeFillTint="40"/>
            <w:noWrap/>
            <w:hideMark/>
          </w:tcPr>
          <w:p w14:paraId="6CAB6AB2"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8457" w:type="dxa"/>
            <w:gridSpan w:val="2"/>
            <w:tcBorders>
              <w:top w:val="single" w:sz="12" w:space="0" w:color="FFFFFF"/>
              <w:left w:val="nil"/>
              <w:bottom w:val="single" w:sz="12" w:space="0" w:color="FFFFFF"/>
              <w:right w:val="single" w:sz="12" w:space="0" w:color="FFFFFF"/>
            </w:tcBorders>
            <w:shd w:val="clear" w:color="000000" w:fill="D9D9D9"/>
            <w:hideMark/>
          </w:tcPr>
          <w:p w14:paraId="72E174EC" w14:textId="4E4F6996" w:rsidR="004E5786" w:rsidRDefault="00CE5583" w:rsidP="004E5786">
            <w:pPr>
              <w:spacing w:line="240" w:lineRule="auto"/>
              <w:rPr>
                <w:rFonts w:ascii="Calibri" w:eastAsia="Times New Roman" w:hAnsi="Calibri" w:cs="Calibri"/>
                <w:color w:val="000000"/>
                <w:sz w:val="22"/>
                <w:szCs w:val="22"/>
                <w:lang w:eastAsia="en-AU"/>
              </w:rPr>
            </w:pPr>
            <w:bookmarkStart w:id="7" w:name="RANGE!K48:Q51"/>
            <w:r w:rsidRPr="00CE5583">
              <w:rPr>
                <w:rFonts w:ascii="Calibri" w:eastAsia="Times New Roman" w:hAnsi="Calibri" w:cs="Calibri"/>
                <w:color w:val="000000"/>
                <w:sz w:val="22"/>
                <w:szCs w:val="22"/>
                <w:lang w:eastAsia="en-AU"/>
              </w:rPr>
              <w:t>The Privacy Management Plan is a strategic planning document used by the Privacy Officers, Champion and Senior Executive to measure the NIAA's privacy maturity and identify opportunities to improve, innovate and uplift privacy practices across the Agency.</w:t>
            </w:r>
            <w:r w:rsidR="007C3BA1">
              <w:rPr>
                <w:rFonts w:ascii="Calibri" w:eastAsia="Times New Roman" w:hAnsi="Calibri" w:cs="Calibri"/>
                <w:color w:val="000000"/>
                <w:sz w:val="22"/>
                <w:szCs w:val="22"/>
                <w:lang w:eastAsia="en-AU"/>
              </w:rPr>
              <w:t xml:space="preserve"> </w:t>
            </w:r>
            <w:r w:rsidR="007C3BA1" w:rsidRPr="00CE5583">
              <w:rPr>
                <w:rFonts w:ascii="Calibri" w:eastAsia="Times New Roman" w:hAnsi="Calibri" w:cs="Calibri"/>
                <w:color w:val="000000"/>
                <w:sz w:val="22"/>
                <w:szCs w:val="22"/>
                <w:lang w:eastAsia="en-AU"/>
              </w:rPr>
              <w:t xml:space="preserve">The PMP is considered and endorsed by the </w:t>
            </w:r>
            <w:r w:rsidR="007C3BA1">
              <w:rPr>
                <w:rFonts w:ascii="Calibri" w:eastAsia="Times New Roman" w:hAnsi="Calibri" w:cs="Calibri"/>
                <w:color w:val="000000"/>
                <w:sz w:val="22"/>
                <w:szCs w:val="22"/>
                <w:lang w:eastAsia="en-AU"/>
              </w:rPr>
              <w:t>NIAA’s Risk and Operations Committee.</w:t>
            </w:r>
          </w:p>
          <w:p w14:paraId="32DB9B2F" w14:textId="5D4D206A" w:rsidR="00CE5583" w:rsidRDefault="00CE5583" w:rsidP="004E5786">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The PMP includes measures for addressing any known privacy</w:t>
            </w:r>
            <w:r>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 xml:space="preserve">compliance </w:t>
            </w:r>
            <w:r w:rsidR="007C3BA1" w:rsidRPr="00CE5583">
              <w:rPr>
                <w:rFonts w:ascii="Calibri" w:eastAsia="Times New Roman" w:hAnsi="Calibri" w:cs="Calibri"/>
                <w:color w:val="000000"/>
                <w:sz w:val="22"/>
                <w:szCs w:val="22"/>
                <w:lang w:eastAsia="en-AU"/>
              </w:rPr>
              <w:t>gaps and</w:t>
            </w:r>
            <w:r w:rsidRPr="00CE5583">
              <w:rPr>
                <w:rFonts w:ascii="Calibri" w:eastAsia="Times New Roman" w:hAnsi="Calibri" w:cs="Calibri"/>
                <w:color w:val="000000"/>
                <w:sz w:val="22"/>
                <w:szCs w:val="22"/>
                <w:lang w:eastAsia="en-AU"/>
              </w:rPr>
              <w:t xml:space="preserve"> details the handling of personal information</w:t>
            </w:r>
            <w:r>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throughout the information lifecycle with specific focus on areas that the Agency assesses as having greater risk. It also includes actions to improve privacy maturity outcomes. The NIAA advise</w:t>
            </w:r>
            <w:r w:rsidR="007C3BA1">
              <w:rPr>
                <w:rFonts w:ascii="Calibri" w:eastAsia="Times New Roman" w:hAnsi="Calibri" w:cs="Calibri"/>
                <w:color w:val="000000"/>
                <w:sz w:val="22"/>
                <w:szCs w:val="22"/>
                <w:lang w:eastAsia="en-AU"/>
              </w:rPr>
              <w:t>s</w:t>
            </w:r>
            <w:r w:rsidRPr="00CE5583">
              <w:rPr>
                <w:rFonts w:ascii="Calibri" w:eastAsia="Times New Roman" w:hAnsi="Calibri" w:cs="Calibri"/>
                <w:color w:val="000000"/>
                <w:sz w:val="22"/>
                <w:szCs w:val="22"/>
                <w:lang w:eastAsia="en-AU"/>
              </w:rPr>
              <w:t xml:space="preserve"> staff and senior management of the NIAA's PMP including publishing the PMP on the intranet.</w:t>
            </w:r>
            <w:bookmarkEnd w:id="7"/>
          </w:p>
          <w:p w14:paraId="2DDD26E1" w14:textId="77777777" w:rsidR="00CE5583" w:rsidRPr="00CE5583" w:rsidRDefault="00CE5583" w:rsidP="004E5786">
            <w:pPr>
              <w:spacing w:line="240" w:lineRule="auto"/>
              <w:rPr>
                <w:rFonts w:ascii="Calibri" w:eastAsia="Times New Roman" w:hAnsi="Calibri" w:cs="Calibri"/>
                <w:color w:val="000000"/>
                <w:sz w:val="22"/>
                <w:szCs w:val="22"/>
                <w:lang w:eastAsia="en-AU"/>
              </w:rPr>
            </w:pPr>
          </w:p>
        </w:tc>
      </w:tr>
      <w:tr w:rsidR="00CE5583" w:rsidRPr="00CE5583" w14:paraId="2ACBDB69" w14:textId="77777777" w:rsidTr="0033168B">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019018A1"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Inventory of Personal Information*</w:t>
            </w:r>
          </w:p>
        </w:tc>
        <w:tc>
          <w:tcPr>
            <w:tcW w:w="1531"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2F64AFF1" w14:textId="03B66C8B" w:rsidR="00CE5583" w:rsidRPr="003B6C20" w:rsidRDefault="00976FDF" w:rsidP="00CE5583">
            <w:pPr>
              <w:spacing w:after="0" w:line="240" w:lineRule="auto"/>
              <w:jc w:val="center"/>
              <w:rPr>
                <w:rFonts w:ascii="Calibri" w:eastAsia="Times New Roman" w:hAnsi="Calibri" w:cs="Calibri"/>
                <w:b/>
                <w:bCs/>
                <w:color w:val="FFFFFF" w:themeColor="background1"/>
                <w:sz w:val="22"/>
                <w:szCs w:val="22"/>
                <w:lang w:eastAsia="en-AU"/>
              </w:rPr>
            </w:pPr>
            <w:r>
              <w:rPr>
                <w:rFonts w:ascii="Calibri" w:eastAsia="Times New Roman" w:hAnsi="Calibri" w:cs="Calibri"/>
                <w:b/>
                <w:bCs/>
                <w:color w:val="FFFFFF" w:themeColor="background1"/>
                <w:sz w:val="22"/>
                <w:szCs w:val="22"/>
                <w:lang w:eastAsia="en-AU"/>
              </w:rPr>
              <w:t>Leader</w:t>
            </w:r>
          </w:p>
          <w:p w14:paraId="5EDFE155" w14:textId="77777777" w:rsidR="00E85106" w:rsidRDefault="00E85106" w:rsidP="00E85106">
            <w:pPr>
              <w:ind w:firstLine="720"/>
              <w:rPr>
                <w:rFonts w:ascii="Calibri" w:eastAsia="Times New Roman" w:hAnsi="Calibri" w:cs="Calibri"/>
                <w:b/>
                <w:bCs/>
                <w:color w:val="000000"/>
                <w:sz w:val="22"/>
                <w:szCs w:val="22"/>
                <w:lang w:eastAsia="en-AU"/>
              </w:rPr>
            </w:pPr>
          </w:p>
          <w:p w14:paraId="100D8BE4" w14:textId="6E20BF0B" w:rsidR="00E85106" w:rsidRPr="00E85106" w:rsidRDefault="00E85106" w:rsidP="00E85106">
            <w:pPr>
              <w:rPr>
                <w:rFonts w:ascii="Calibri" w:eastAsia="Times New Roman" w:hAnsi="Calibri" w:cs="Calibri"/>
                <w:sz w:val="22"/>
                <w:szCs w:val="22"/>
                <w:lang w:eastAsia="en-AU"/>
              </w:rPr>
            </w:pPr>
          </w:p>
        </w:tc>
        <w:tc>
          <w:tcPr>
            <w:tcW w:w="1531"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72BC7488"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8457" w:type="dxa"/>
            <w:gridSpan w:val="2"/>
            <w:tcBorders>
              <w:top w:val="single" w:sz="12" w:space="0" w:color="FFFFFF"/>
              <w:left w:val="nil"/>
              <w:bottom w:val="single" w:sz="12" w:space="0" w:color="FFFFFF"/>
              <w:right w:val="single" w:sz="12" w:space="0" w:color="FFFFFF"/>
            </w:tcBorders>
            <w:shd w:val="clear" w:color="000000" w:fill="D9D9D9"/>
            <w:hideMark/>
          </w:tcPr>
          <w:p w14:paraId="42CF6E6B" w14:textId="0D80B8D0" w:rsidR="007C3BA1" w:rsidRPr="007C3BA1" w:rsidRDefault="00CE5583" w:rsidP="004E5786">
            <w:pPr>
              <w:spacing w:line="240" w:lineRule="auto"/>
              <w:rPr>
                <w:rFonts w:ascii="Calibri" w:eastAsia="Times New Roman" w:hAnsi="Calibri" w:cs="Calibri"/>
                <w:sz w:val="22"/>
                <w:szCs w:val="22"/>
                <w:lang w:eastAsia="en-AU"/>
              </w:rPr>
            </w:pPr>
            <w:r w:rsidRPr="00CE5583">
              <w:rPr>
                <w:rFonts w:ascii="Calibri" w:eastAsia="Times New Roman" w:hAnsi="Calibri" w:cs="Calibri"/>
                <w:color w:val="000000"/>
                <w:sz w:val="22"/>
                <w:szCs w:val="22"/>
                <w:lang w:eastAsia="en-AU"/>
              </w:rPr>
              <w:t xml:space="preserve">The NIAA has a comprehensive Personal Information (PI) Holdings Register </w:t>
            </w:r>
            <w:r w:rsidR="00F171D2">
              <w:rPr>
                <w:rFonts w:ascii="Calibri" w:eastAsia="Times New Roman" w:hAnsi="Calibri" w:cs="Calibri"/>
                <w:color w:val="000000"/>
                <w:sz w:val="22"/>
                <w:szCs w:val="22"/>
                <w:lang w:eastAsia="en-AU"/>
              </w:rPr>
              <w:t>that documents</w:t>
            </w:r>
            <w:r w:rsidR="00EE69A2">
              <w:rPr>
                <w:rFonts w:ascii="Calibri" w:eastAsia="Times New Roman" w:hAnsi="Calibri" w:cs="Calibri"/>
                <w:color w:val="000000"/>
                <w:sz w:val="22"/>
                <w:szCs w:val="22"/>
                <w:lang w:eastAsia="en-AU"/>
              </w:rPr>
              <w:t xml:space="preserve"> data flows in and out of the agency. The PI Holdings Register</w:t>
            </w:r>
            <w:r w:rsidRPr="00CE5583">
              <w:rPr>
                <w:rFonts w:ascii="Calibri" w:eastAsia="Times New Roman" w:hAnsi="Calibri" w:cs="Calibri"/>
                <w:color w:val="000000"/>
                <w:sz w:val="22"/>
                <w:szCs w:val="22"/>
                <w:lang w:eastAsia="en-AU"/>
              </w:rPr>
              <w:t xml:space="preserve"> is </w:t>
            </w:r>
            <w:r w:rsidR="008F5AB9">
              <w:rPr>
                <w:rFonts w:ascii="Calibri" w:eastAsia="Times New Roman" w:hAnsi="Calibri" w:cs="Calibri"/>
                <w:color w:val="000000"/>
                <w:sz w:val="22"/>
                <w:szCs w:val="22"/>
                <w:lang w:eastAsia="en-AU"/>
              </w:rPr>
              <w:t>being updated</w:t>
            </w:r>
            <w:r w:rsidR="00EE69A2">
              <w:rPr>
                <w:rFonts w:ascii="Calibri" w:eastAsia="Times New Roman" w:hAnsi="Calibri" w:cs="Calibri"/>
                <w:color w:val="000000"/>
                <w:sz w:val="22"/>
                <w:szCs w:val="22"/>
                <w:lang w:eastAsia="en-AU"/>
              </w:rPr>
              <w:t xml:space="preserve"> as part of a</w:t>
            </w:r>
            <w:r w:rsidR="00B97222">
              <w:rPr>
                <w:rFonts w:ascii="Calibri" w:eastAsia="Times New Roman" w:hAnsi="Calibri" w:cs="Calibri"/>
                <w:color w:val="000000"/>
                <w:sz w:val="22"/>
                <w:szCs w:val="22"/>
                <w:lang w:eastAsia="en-AU"/>
              </w:rPr>
              <w:t xml:space="preserve"> regular</w:t>
            </w:r>
            <w:r w:rsidR="00EE69A2">
              <w:rPr>
                <w:rFonts w:ascii="Calibri" w:eastAsia="Times New Roman" w:hAnsi="Calibri" w:cs="Calibri"/>
                <w:color w:val="000000"/>
                <w:sz w:val="22"/>
                <w:szCs w:val="22"/>
                <w:lang w:eastAsia="en-AU"/>
              </w:rPr>
              <w:t xml:space="preserve"> review to ensure </w:t>
            </w:r>
            <w:r w:rsidR="00B97222">
              <w:rPr>
                <w:rFonts w:ascii="Calibri" w:eastAsia="Times New Roman" w:hAnsi="Calibri" w:cs="Calibri"/>
                <w:color w:val="000000"/>
                <w:sz w:val="22"/>
                <w:szCs w:val="22"/>
                <w:lang w:eastAsia="en-AU"/>
              </w:rPr>
              <w:t>changes are documented</w:t>
            </w:r>
            <w:r w:rsidRPr="00CE5583">
              <w:rPr>
                <w:rFonts w:ascii="Calibri" w:eastAsia="Times New Roman" w:hAnsi="Calibri" w:cs="Calibri"/>
                <w:color w:val="000000"/>
                <w:sz w:val="22"/>
                <w:szCs w:val="22"/>
                <w:lang w:eastAsia="en-AU"/>
              </w:rPr>
              <w:t xml:space="preserve">. </w:t>
            </w:r>
            <w:r w:rsidR="00F95215">
              <w:rPr>
                <w:rFonts w:ascii="Calibri" w:eastAsia="Times New Roman" w:hAnsi="Calibri" w:cs="Calibri"/>
                <w:color w:val="000000"/>
                <w:sz w:val="22"/>
                <w:szCs w:val="22"/>
                <w:lang w:eastAsia="en-AU"/>
              </w:rPr>
              <w:t>M</w:t>
            </w:r>
            <w:r w:rsidR="00EE055A">
              <w:rPr>
                <w:rFonts w:ascii="Calibri" w:eastAsia="Times New Roman" w:hAnsi="Calibri" w:cs="Calibri"/>
                <w:color w:val="000000"/>
                <w:sz w:val="22"/>
                <w:szCs w:val="22"/>
                <w:lang w:eastAsia="en-AU"/>
              </w:rPr>
              <w:t>aterial updates to the NIAA’s information holdings</w:t>
            </w:r>
            <w:r w:rsidR="00881EE7">
              <w:rPr>
                <w:rFonts w:ascii="Calibri" w:eastAsia="Times New Roman" w:hAnsi="Calibri" w:cs="Calibri"/>
                <w:color w:val="000000"/>
                <w:sz w:val="22"/>
                <w:szCs w:val="22"/>
                <w:lang w:eastAsia="en-AU"/>
              </w:rPr>
              <w:t xml:space="preserve"> </w:t>
            </w:r>
            <w:r w:rsidR="00F95215">
              <w:rPr>
                <w:rFonts w:ascii="Calibri" w:eastAsia="Times New Roman" w:hAnsi="Calibri" w:cs="Calibri"/>
                <w:color w:val="000000"/>
                <w:sz w:val="22"/>
                <w:szCs w:val="22"/>
                <w:lang w:eastAsia="en-AU"/>
              </w:rPr>
              <w:t xml:space="preserve">have </w:t>
            </w:r>
            <w:r w:rsidR="00881EE7">
              <w:rPr>
                <w:rFonts w:ascii="Calibri" w:eastAsia="Times New Roman" w:hAnsi="Calibri" w:cs="Calibri"/>
                <w:color w:val="000000"/>
                <w:sz w:val="22"/>
                <w:szCs w:val="22"/>
                <w:lang w:eastAsia="en-AU"/>
              </w:rPr>
              <w:t>inform</w:t>
            </w:r>
            <w:r w:rsidR="00F95215">
              <w:rPr>
                <w:rFonts w:ascii="Calibri" w:eastAsia="Times New Roman" w:hAnsi="Calibri" w:cs="Calibri"/>
                <w:color w:val="000000"/>
                <w:sz w:val="22"/>
                <w:szCs w:val="22"/>
                <w:lang w:eastAsia="en-AU"/>
              </w:rPr>
              <w:t>ed</w:t>
            </w:r>
            <w:r w:rsidR="00881EE7">
              <w:rPr>
                <w:rFonts w:ascii="Calibri" w:eastAsia="Times New Roman" w:hAnsi="Calibri" w:cs="Calibri"/>
                <w:color w:val="000000"/>
                <w:sz w:val="22"/>
                <w:szCs w:val="22"/>
                <w:lang w:eastAsia="en-AU"/>
              </w:rPr>
              <w:t xml:space="preserve"> the </w:t>
            </w:r>
            <w:r w:rsidRPr="00CE5583">
              <w:rPr>
                <w:rFonts w:ascii="Calibri" w:eastAsia="Times New Roman" w:hAnsi="Calibri" w:cs="Calibri"/>
                <w:color w:val="000000"/>
                <w:sz w:val="22"/>
                <w:szCs w:val="22"/>
                <w:lang w:eastAsia="en-AU"/>
              </w:rPr>
              <w:t>review of the</w:t>
            </w:r>
            <w:r w:rsidR="00AD64A5">
              <w:rPr>
                <w:rFonts w:ascii="Calibri" w:eastAsia="Times New Roman" w:hAnsi="Calibri" w:cs="Calibri"/>
                <w:color w:val="000000"/>
                <w:sz w:val="22"/>
                <w:szCs w:val="22"/>
                <w:lang w:eastAsia="en-AU"/>
              </w:rPr>
              <w:t xml:space="preserve"> NIAA</w:t>
            </w:r>
            <w:r w:rsidR="005E4C74">
              <w:rPr>
                <w:rFonts w:ascii="Calibri" w:eastAsia="Times New Roman" w:hAnsi="Calibri" w:cs="Calibri"/>
                <w:color w:val="000000"/>
                <w:sz w:val="22"/>
                <w:szCs w:val="22"/>
                <w:lang w:eastAsia="en-AU"/>
              </w:rPr>
              <w:t xml:space="preserve">’s </w:t>
            </w:r>
            <w:r w:rsidRPr="00CE5583">
              <w:rPr>
                <w:rFonts w:ascii="Calibri" w:eastAsia="Times New Roman" w:hAnsi="Calibri" w:cs="Calibri"/>
                <w:color w:val="000000"/>
                <w:sz w:val="22"/>
                <w:szCs w:val="22"/>
                <w:lang w:eastAsia="en-AU"/>
              </w:rPr>
              <w:t>privacy policy.</w:t>
            </w:r>
          </w:p>
        </w:tc>
      </w:tr>
      <w:tr w:rsidR="007111D5" w:rsidRPr="00CE5583" w14:paraId="29EA4CD2" w14:textId="77777777" w:rsidTr="0033168B">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0138B425" w14:textId="77777777" w:rsidR="007111D5" w:rsidRPr="00CE5583" w:rsidRDefault="007111D5" w:rsidP="00F84D69">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Data Quality Processes*</w:t>
            </w:r>
          </w:p>
        </w:tc>
        <w:tc>
          <w:tcPr>
            <w:tcW w:w="1531" w:type="dxa"/>
            <w:tcBorders>
              <w:top w:val="single" w:sz="12" w:space="0" w:color="FFFFFF"/>
              <w:left w:val="single" w:sz="12" w:space="0" w:color="FFFFFF"/>
              <w:bottom w:val="single" w:sz="12" w:space="0" w:color="FFFFFF"/>
              <w:right w:val="single" w:sz="12" w:space="0" w:color="FFFFFF"/>
            </w:tcBorders>
            <w:shd w:val="clear" w:color="auto" w:fill="B7CADC" w:themeFill="accent5" w:themeFillTint="40"/>
            <w:noWrap/>
            <w:hideMark/>
          </w:tcPr>
          <w:p w14:paraId="7763B100" w14:textId="77777777" w:rsidR="007111D5" w:rsidRPr="00CE5583" w:rsidRDefault="007111D5" w:rsidP="00F84D69">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1531"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468A4ABB" w14:textId="77777777" w:rsidR="007111D5" w:rsidRPr="00CE5583" w:rsidRDefault="007111D5" w:rsidP="00F84D69">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8457" w:type="dxa"/>
            <w:gridSpan w:val="2"/>
            <w:tcBorders>
              <w:top w:val="single" w:sz="12" w:space="0" w:color="FFFFFF"/>
              <w:left w:val="nil"/>
              <w:bottom w:val="single" w:sz="12" w:space="0" w:color="FFFFFF"/>
              <w:right w:val="single" w:sz="12" w:space="0" w:color="FFFFFF"/>
            </w:tcBorders>
            <w:shd w:val="clear" w:color="000000" w:fill="D9D9D9"/>
            <w:hideMark/>
          </w:tcPr>
          <w:p w14:paraId="579B4685" w14:textId="77777777" w:rsidR="004E5786" w:rsidRDefault="007111D5" w:rsidP="004E5786">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The NIAA has a range of data management policies to support staff to</w:t>
            </w:r>
            <w:r>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maintain data quality.</w:t>
            </w:r>
          </w:p>
          <w:p w14:paraId="59C41EE1" w14:textId="77777777" w:rsidR="004E5786" w:rsidRDefault="007111D5" w:rsidP="004E5786">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These resources include the Information</w:t>
            </w:r>
            <w:r>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 xml:space="preserve">Management Policy and Records Management Policy. These resources are routinely reviewed to improve the quality of information holdings (including those with </w:t>
            </w:r>
            <w:r>
              <w:rPr>
                <w:rFonts w:ascii="Calibri" w:eastAsia="Times New Roman" w:hAnsi="Calibri" w:cs="Calibri"/>
                <w:color w:val="000000"/>
                <w:sz w:val="22"/>
                <w:szCs w:val="22"/>
                <w:lang w:eastAsia="en-AU"/>
              </w:rPr>
              <w:t>personal information</w:t>
            </w:r>
            <w:r w:rsidRPr="00CE5583">
              <w:rPr>
                <w:rFonts w:ascii="Calibri" w:eastAsia="Times New Roman" w:hAnsi="Calibri" w:cs="Calibri"/>
                <w:color w:val="000000"/>
                <w:sz w:val="22"/>
                <w:szCs w:val="22"/>
                <w:lang w:eastAsia="en-AU"/>
              </w:rPr>
              <w:t xml:space="preserve">). The NIAA also has project and team-level procedures to support good data governance practices for teams dealing with high amounts of data, including personal information. </w:t>
            </w:r>
          </w:p>
          <w:p w14:paraId="3E92BA16" w14:textId="42128D7B" w:rsidR="007111D5" w:rsidRDefault="007111D5" w:rsidP="004E5786">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NIAA Data and Digital Strategy 2024-28 </w:t>
            </w:r>
            <w:r w:rsidR="004E5786" w:rsidRPr="00CE5583">
              <w:rPr>
                <w:rFonts w:ascii="Calibri" w:eastAsia="Times New Roman" w:hAnsi="Calibri" w:cs="Calibri"/>
                <w:color w:val="000000"/>
                <w:sz w:val="22"/>
                <w:szCs w:val="22"/>
                <w:lang w:eastAsia="en-AU"/>
              </w:rPr>
              <w:t>reinforce</w:t>
            </w:r>
            <w:r w:rsidR="004E5786">
              <w:rPr>
                <w:rFonts w:ascii="Calibri" w:eastAsia="Times New Roman" w:hAnsi="Calibri" w:cs="Calibri"/>
                <w:color w:val="000000"/>
                <w:sz w:val="22"/>
                <w:szCs w:val="22"/>
                <w:lang w:eastAsia="en-AU"/>
              </w:rPr>
              <w:t>s</w:t>
            </w:r>
            <w:r w:rsidRPr="00CE5583">
              <w:rPr>
                <w:rFonts w:ascii="Calibri" w:eastAsia="Times New Roman" w:hAnsi="Calibri" w:cs="Calibri"/>
                <w:color w:val="000000"/>
                <w:sz w:val="22"/>
                <w:szCs w:val="22"/>
                <w:lang w:eastAsia="en-AU"/>
              </w:rPr>
              <w:t xml:space="preserve"> the strategic importance of accurate, timely, reliable and reusable data and information. The Strategy supports a continuous improvement approach to developing processes and systems that ensure the quality of personal information and data.</w:t>
            </w:r>
          </w:p>
          <w:p w14:paraId="49AECFE8" w14:textId="77777777" w:rsidR="004E5786" w:rsidRDefault="007111D5" w:rsidP="004E5786">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The Digital Transformation Agency’s Policy for the Responsible Use of AI in Government states that agencies should consider i</w:t>
            </w:r>
            <w:r w:rsidRPr="0084553D">
              <w:rPr>
                <w:rFonts w:ascii="Calibri" w:eastAsia="Times New Roman" w:hAnsi="Calibri" w:cs="Calibri"/>
                <w:color w:val="000000"/>
                <w:sz w:val="22"/>
                <w:szCs w:val="22"/>
                <w:lang w:eastAsia="en-AU"/>
              </w:rPr>
              <w:t>ntegrating AI</w:t>
            </w:r>
            <w:r>
              <w:rPr>
                <w:rFonts w:ascii="Calibri" w:eastAsia="Times New Roman" w:hAnsi="Calibri" w:cs="Calibri"/>
                <w:color w:val="000000"/>
                <w:sz w:val="22"/>
                <w:szCs w:val="22"/>
                <w:lang w:eastAsia="en-AU"/>
              </w:rPr>
              <w:t xml:space="preserve"> and related issues and risks </w:t>
            </w:r>
            <w:r w:rsidRPr="0084553D">
              <w:rPr>
                <w:rFonts w:ascii="Calibri" w:eastAsia="Times New Roman" w:hAnsi="Calibri" w:cs="Calibri"/>
                <w:color w:val="000000"/>
                <w:sz w:val="22"/>
                <w:szCs w:val="22"/>
                <w:lang w:eastAsia="en-AU"/>
              </w:rPr>
              <w:t xml:space="preserve">into </w:t>
            </w:r>
            <w:r>
              <w:rPr>
                <w:rFonts w:ascii="Calibri" w:eastAsia="Times New Roman" w:hAnsi="Calibri" w:cs="Calibri"/>
                <w:color w:val="000000"/>
                <w:sz w:val="22"/>
                <w:szCs w:val="22"/>
                <w:lang w:eastAsia="en-AU"/>
              </w:rPr>
              <w:t>privacy</w:t>
            </w:r>
            <w:r w:rsidRPr="0084553D">
              <w:rPr>
                <w:rFonts w:ascii="Calibri" w:eastAsia="Times New Roman" w:hAnsi="Calibri" w:cs="Calibri"/>
                <w:color w:val="000000"/>
                <w:sz w:val="22"/>
                <w:szCs w:val="22"/>
                <w:lang w:eastAsia="en-AU"/>
              </w:rPr>
              <w:t xml:space="preserve"> frameworks</w:t>
            </w:r>
            <w:r>
              <w:rPr>
                <w:rFonts w:ascii="Calibri" w:eastAsia="Times New Roman" w:hAnsi="Calibri" w:cs="Calibri"/>
                <w:color w:val="000000"/>
                <w:sz w:val="22"/>
                <w:szCs w:val="22"/>
                <w:lang w:eastAsia="en-AU"/>
              </w:rPr>
              <w:t xml:space="preserve">. The PM&amp;C has an Artificial Intelligence Policy that addresses privacy issues. The NIAA does not yet have its own AI policy that addresses privacy risks (including data quality issues) around using AI to handle personal information. </w:t>
            </w:r>
          </w:p>
          <w:p w14:paraId="11028D10" w14:textId="103E8631" w:rsidR="007111D5" w:rsidRPr="00CE5583" w:rsidRDefault="007111D5" w:rsidP="004E5786">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lastRenderedPageBreak/>
              <w:t xml:space="preserve">Privacy Officers, </w:t>
            </w:r>
            <w:r>
              <w:rPr>
                <w:rFonts w:ascii="Calibri" w:eastAsia="Times New Roman" w:hAnsi="Calibri" w:cs="Calibri"/>
                <w:color w:val="000000"/>
                <w:sz w:val="22"/>
                <w:szCs w:val="22"/>
                <w:lang w:eastAsia="en-AU"/>
              </w:rPr>
              <w:t>with Legal Services Branch support</w:t>
            </w:r>
            <w:r w:rsidRPr="00CE5583">
              <w:rPr>
                <w:rFonts w:ascii="Calibri" w:eastAsia="Times New Roman" w:hAnsi="Calibri" w:cs="Calibri"/>
                <w:color w:val="000000"/>
                <w:sz w:val="22"/>
                <w:szCs w:val="22"/>
                <w:lang w:eastAsia="en-AU"/>
              </w:rPr>
              <w:t xml:space="preserve">, </w:t>
            </w:r>
            <w:r>
              <w:rPr>
                <w:rFonts w:ascii="Calibri" w:eastAsia="Times New Roman" w:hAnsi="Calibri" w:cs="Calibri"/>
                <w:color w:val="000000"/>
                <w:sz w:val="22"/>
                <w:szCs w:val="22"/>
                <w:lang w:eastAsia="en-AU"/>
              </w:rPr>
              <w:t>encourage</w:t>
            </w:r>
            <w:r w:rsidRPr="00CE5583">
              <w:rPr>
                <w:rFonts w:ascii="Calibri" w:eastAsia="Times New Roman" w:hAnsi="Calibri" w:cs="Calibri"/>
                <w:color w:val="000000"/>
                <w:sz w:val="22"/>
                <w:szCs w:val="22"/>
                <w:lang w:eastAsia="en-AU"/>
              </w:rPr>
              <w:t xml:space="preserve"> staff to keep personal information complete, accurate and up to date</w:t>
            </w:r>
            <w:r>
              <w:rPr>
                <w:rFonts w:ascii="Calibri" w:eastAsia="Times New Roman" w:hAnsi="Calibri" w:cs="Calibri"/>
                <w:color w:val="000000"/>
                <w:sz w:val="22"/>
                <w:szCs w:val="22"/>
                <w:lang w:eastAsia="en-AU"/>
              </w:rPr>
              <w:t>.</w:t>
            </w:r>
          </w:p>
        </w:tc>
      </w:tr>
      <w:tr w:rsidR="00CE5583" w:rsidRPr="00CE5583" w14:paraId="7395B09A" w14:textId="77777777" w:rsidTr="0033168B">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256DEF9C"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lastRenderedPageBreak/>
              <w:t>Information Security Processes</w:t>
            </w:r>
          </w:p>
        </w:tc>
        <w:tc>
          <w:tcPr>
            <w:tcW w:w="1531" w:type="dxa"/>
            <w:tcBorders>
              <w:top w:val="single" w:sz="12" w:space="0" w:color="FFFFFF"/>
              <w:left w:val="single" w:sz="12" w:space="0" w:color="FFFFFF"/>
              <w:bottom w:val="single" w:sz="12" w:space="0" w:color="FFFFFF"/>
              <w:right w:val="single" w:sz="12" w:space="0" w:color="FFFFFF"/>
            </w:tcBorders>
            <w:shd w:val="clear" w:color="auto" w:fill="B7CADC" w:themeFill="accent5" w:themeFillTint="40"/>
            <w:noWrap/>
            <w:hideMark/>
          </w:tcPr>
          <w:p w14:paraId="058DF6A9"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1531"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323C73B5"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8457" w:type="dxa"/>
            <w:gridSpan w:val="2"/>
            <w:tcBorders>
              <w:top w:val="single" w:sz="12" w:space="0" w:color="FFFFFF"/>
              <w:left w:val="nil"/>
              <w:bottom w:val="single" w:sz="12" w:space="0" w:color="FFFFFF"/>
              <w:right w:val="single" w:sz="12" w:space="0" w:color="FFFFFF"/>
            </w:tcBorders>
            <w:shd w:val="clear" w:color="000000" w:fill="D9D9D9"/>
            <w:hideMark/>
          </w:tcPr>
          <w:p w14:paraId="3E00E483" w14:textId="77777777" w:rsidR="005560CC"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Under </w:t>
            </w:r>
            <w:r w:rsidR="0086505A">
              <w:rPr>
                <w:rFonts w:ascii="Calibri" w:eastAsia="Times New Roman" w:hAnsi="Calibri" w:cs="Calibri"/>
                <w:color w:val="000000"/>
                <w:sz w:val="22"/>
                <w:szCs w:val="22"/>
                <w:lang w:eastAsia="en-AU"/>
              </w:rPr>
              <w:t xml:space="preserve">a </w:t>
            </w:r>
            <w:r w:rsidRPr="00CE5583">
              <w:rPr>
                <w:rFonts w:ascii="Calibri" w:eastAsia="Times New Roman" w:hAnsi="Calibri" w:cs="Calibri"/>
                <w:color w:val="000000"/>
                <w:sz w:val="22"/>
                <w:szCs w:val="22"/>
                <w:lang w:eastAsia="en-AU"/>
              </w:rPr>
              <w:t xml:space="preserve">Shared Services </w:t>
            </w:r>
            <w:r w:rsidR="0086505A">
              <w:rPr>
                <w:rFonts w:ascii="Calibri" w:eastAsia="Times New Roman" w:hAnsi="Calibri" w:cs="Calibri"/>
                <w:color w:val="000000"/>
                <w:sz w:val="22"/>
                <w:szCs w:val="22"/>
                <w:lang w:eastAsia="en-AU"/>
              </w:rPr>
              <w:t xml:space="preserve">arrangement, </w:t>
            </w:r>
            <w:r w:rsidRPr="00CE5583">
              <w:rPr>
                <w:rFonts w:ascii="Calibri" w:eastAsia="Times New Roman" w:hAnsi="Calibri" w:cs="Calibri"/>
                <w:color w:val="000000"/>
                <w:sz w:val="22"/>
                <w:szCs w:val="22"/>
                <w:lang w:eastAsia="en-AU"/>
              </w:rPr>
              <w:t xml:space="preserve">the NIAA leverages PM&amp;C's information security policies, systems and processes, aligned with the Australian Government’s Protective Security Policy Framework (PSPF). The NIAA predominantly holds electronic records, stored in </w:t>
            </w:r>
            <w:r w:rsidR="005560CC">
              <w:rPr>
                <w:rFonts w:ascii="Calibri" w:eastAsia="Times New Roman" w:hAnsi="Calibri" w:cs="Calibri"/>
                <w:color w:val="000000"/>
                <w:sz w:val="22"/>
                <w:szCs w:val="22"/>
                <w:lang w:eastAsia="en-AU"/>
              </w:rPr>
              <w:t xml:space="preserve">its </w:t>
            </w:r>
            <w:r w:rsidRPr="00CE5583">
              <w:rPr>
                <w:rFonts w:ascii="Calibri" w:eastAsia="Times New Roman" w:hAnsi="Calibri" w:cs="Calibri"/>
                <w:color w:val="000000"/>
                <w:sz w:val="22"/>
                <w:szCs w:val="22"/>
                <w:lang w:eastAsia="en-AU"/>
              </w:rPr>
              <w:t>E</w:t>
            </w:r>
            <w:r w:rsidR="005560CC">
              <w:rPr>
                <w:rFonts w:ascii="Calibri" w:eastAsia="Times New Roman" w:hAnsi="Calibri" w:cs="Calibri"/>
                <w:color w:val="000000"/>
                <w:sz w:val="22"/>
                <w:szCs w:val="22"/>
                <w:lang w:eastAsia="en-AU"/>
              </w:rPr>
              <w:t xml:space="preserve">lectronic </w:t>
            </w:r>
            <w:r w:rsidRPr="00CE5583">
              <w:rPr>
                <w:rFonts w:ascii="Calibri" w:eastAsia="Times New Roman" w:hAnsi="Calibri" w:cs="Calibri"/>
                <w:color w:val="000000"/>
                <w:sz w:val="22"/>
                <w:szCs w:val="22"/>
                <w:lang w:eastAsia="en-AU"/>
              </w:rPr>
              <w:t>D</w:t>
            </w:r>
            <w:r w:rsidR="005560CC">
              <w:rPr>
                <w:rFonts w:ascii="Calibri" w:eastAsia="Times New Roman" w:hAnsi="Calibri" w:cs="Calibri"/>
                <w:color w:val="000000"/>
                <w:sz w:val="22"/>
                <w:szCs w:val="22"/>
                <w:lang w:eastAsia="en-AU"/>
              </w:rPr>
              <w:t xml:space="preserve">ocument and </w:t>
            </w:r>
            <w:r w:rsidRPr="00CE5583">
              <w:rPr>
                <w:rFonts w:ascii="Calibri" w:eastAsia="Times New Roman" w:hAnsi="Calibri" w:cs="Calibri"/>
                <w:color w:val="000000"/>
                <w:sz w:val="22"/>
                <w:szCs w:val="22"/>
                <w:lang w:eastAsia="en-AU"/>
              </w:rPr>
              <w:t>R</w:t>
            </w:r>
            <w:r w:rsidR="005560CC">
              <w:rPr>
                <w:rFonts w:ascii="Calibri" w:eastAsia="Times New Roman" w:hAnsi="Calibri" w:cs="Calibri"/>
                <w:color w:val="000000"/>
                <w:sz w:val="22"/>
                <w:szCs w:val="22"/>
                <w:lang w:eastAsia="en-AU"/>
              </w:rPr>
              <w:t xml:space="preserve">ecords </w:t>
            </w:r>
            <w:r w:rsidR="005560CC" w:rsidRPr="00CE5583">
              <w:rPr>
                <w:rFonts w:ascii="Calibri" w:eastAsia="Times New Roman" w:hAnsi="Calibri" w:cs="Calibri"/>
                <w:color w:val="000000"/>
                <w:sz w:val="22"/>
                <w:szCs w:val="22"/>
                <w:lang w:eastAsia="en-AU"/>
              </w:rPr>
              <w:t>M</w:t>
            </w:r>
            <w:r w:rsidR="005560CC">
              <w:rPr>
                <w:rFonts w:ascii="Calibri" w:eastAsia="Times New Roman" w:hAnsi="Calibri" w:cs="Calibri"/>
                <w:color w:val="000000"/>
                <w:sz w:val="22"/>
                <w:szCs w:val="22"/>
                <w:lang w:eastAsia="en-AU"/>
              </w:rPr>
              <w:t xml:space="preserve">anagement </w:t>
            </w:r>
            <w:r w:rsidRPr="00CE5583">
              <w:rPr>
                <w:rFonts w:ascii="Calibri" w:eastAsia="Times New Roman" w:hAnsi="Calibri" w:cs="Calibri"/>
                <w:color w:val="000000"/>
                <w:sz w:val="22"/>
                <w:szCs w:val="22"/>
                <w:lang w:eastAsia="en-AU"/>
              </w:rPr>
              <w:t>S</w:t>
            </w:r>
            <w:r w:rsidR="005560CC">
              <w:rPr>
                <w:rFonts w:ascii="Calibri" w:eastAsia="Times New Roman" w:hAnsi="Calibri" w:cs="Calibri"/>
                <w:color w:val="000000"/>
                <w:sz w:val="22"/>
                <w:szCs w:val="22"/>
                <w:lang w:eastAsia="en-AU"/>
              </w:rPr>
              <w:t>ystem (EDRMS)</w:t>
            </w:r>
            <w:r w:rsidR="00C9790D">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 xml:space="preserve">SharePoint and </w:t>
            </w:r>
            <w:r w:rsidR="00EB2929" w:rsidRPr="00CE5583">
              <w:rPr>
                <w:rFonts w:ascii="Calibri" w:eastAsia="Times New Roman" w:hAnsi="Calibri" w:cs="Calibri"/>
                <w:color w:val="000000"/>
                <w:sz w:val="22"/>
                <w:szCs w:val="22"/>
                <w:lang w:eastAsia="en-AU"/>
              </w:rPr>
              <w:t>Share</w:t>
            </w:r>
            <w:r w:rsidR="00C9790D">
              <w:rPr>
                <w:rFonts w:ascii="Calibri" w:eastAsia="Times New Roman" w:hAnsi="Calibri" w:cs="Calibri"/>
                <w:color w:val="000000"/>
                <w:sz w:val="22"/>
                <w:szCs w:val="22"/>
                <w:lang w:eastAsia="en-AU"/>
              </w:rPr>
              <w:t>+</w:t>
            </w:r>
            <w:r w:rsidRPr="00CE5583">
              <w:rPr>
                <w:rFonts w:ascii="Calibri" w:eastAsia="Times New Roman" w:hAnsi="Calibri" w:cs="Calibri"/>
                <w:color w:val="000000"/>
                <w:sz w:val="22"/>
                <w:szCs w:val="22"/>
                <w:lang w:eastAsia="en-AU"/>
              </w:rPr>
              <w:t xml:space="preserve">. The records in EDRMS are accessible to staff with the appropriate security clearances within the Records Management Team only. </w:t>
            </w:r>
            <w:r w:rsidR="00EB2929" w:rsidRPr="00CE5583">
              <w:rPr>
                <w:rFonts w:ascii="Calibri" w:eastAsia="Times New Roman" w:hAnsi="Calibri" w:cs="Calibri"/>
                <w:color w:val="000000"/>
                <w:sz w:val="22"/>
                <w:szCs w:val="22"/>
                <w:lang w:eastAsia="en-AU"/>
              </w:rPr>
              <w:t>Share</w:t>
            </w:r>
            <w:r w:rsidR="00807A83">
              <w:rPr>
                <w:rFonts w:ascii="Calibri" w:eastAsia="Times New Roman" w:hAnsi="Calibri" w:cs="Calibri"/>
                <w:color w:val="000000"/>
                <w:sz w:val="22"/>
                <w:szCs w:val="22"/>
                <w:lang w:eastAsia="en-AU"/>
              </w:rPr>
              <w:t>+</w:t>
            </w:r>
            <w:r w:rsidR="00EB2929" w:rsidRPr="00CE5583">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 xml:space="preserve">and SharePoint files are accessed in accordance with business needs. For </w:t>
            </w:r>
            <w:r w:rsidR="00EB2929" w:rsidRPr="00CE5583">
              <w:rPr>
                <w:rFonts w:ascii="Calibri" w:eastAsia="Times New Roman" w:hAnsi="Calibri" w:cs="Calibri"/>
                <w:color w:val="000000"/>
                <w:sz w:val="22"/>
                <w:szCs w:val="22"/>
                <w:lang w:eastAsia="en-AU"/>
              </w:rPr>
              <w:t>Share</w:t>
            </w:r>
            <w:r w:rsidR="002C6034">
              <w:rPr>
                <w:rFonts w:ascii="Calibri" w:eastAsia="Times New Roman" w:hAnsi="Calibri" w:cs="Calibri"/>
                <w:color w:val="000000"/>
                <w:sz w:val="22"/>
                <w:szCs w:val="22"/>
                <w:lang w:eastAsia="en-AU"/>
              </w:rPr>
              <w:t>+</w:t>
            </w:r>
            <w:r w:rsidRPr="00CE5583">
              <w:rPr>
                <w:rFonts w:ascii="Calibri" w:eastAsia="Times New Roman" w:hAnsi="Calibri" w:cs="Calibri"/>
                <w:color w:val="000000"/>
                <w:sz w:val="22"/>
                <w:szCs w:val="22"/>
                <w:lang w:eastAsia="en-AU"/>
              </w:rPr>
              <w:t>, access is controlled through Aurion, and access is granted based on that profile (e.g. a staff member is part of a</w:t>
            </w:r>
            <w:r>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 xml:space="preserve">particular team and there is a business need to access particular records). </w:t>
            </w:r>
          </w:p>
          <w:p w14:paraId="24FC741B" w14:textId="5E2B4B9E" w:rsidR="00CE5583"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The Privacy Officers work collaboratively with key operational stakeholders (including the ICT Security Adviser, Chief Information Officer, and Records Management Team) on managing mutual and shared risks and issues, such as data breaches. The Privacy Officers influence the development and setting of technology controls, to help mitigate privacy risk.</w:t>
            </w:r>
            <w:r>
              <w:rPr>
                <w:rFonts w:ascii="Calibri" w:eastAsia="Times New Roman" w:hAnsi="Calibri" w:cs="Calibri"/>
                <w:color w:val="000000"/>
                <w:sz w:val="22"/>
                <w:szCs w:val="22"/>
                <w:lang w:eastAsia="en-AU"/>
              </w:rPr>
              <w:t xml:space="preserve"> </w:t>
            </w:r>
          </w:p>
          <w:p w14:paraId="03FEF4D2" w14:textId="77777777" w:rsidR="00CE5583"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The Privacy Officers will continue to raise awareness on complementary privacy and security policies and</w:t>
            </w:r>
            <w:r>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processes relating to mutual risks and issues (such as data breaches, access controls, appropriate use of technology, workplace surveillance, retention etc.)</w:t>
            </w:r>
          </w:p>
          <w:p w14:paraId="6702DAED" w14:textId="77777777" w:rsidR="00CE5583" w:rsidRPr="00CE5583" w:rsidRDefault="00CE5583" w:rsidP="00CE5583">
            <w:pPr>
              <w:spacing w:after="0" w:line="240" w:lineRule="auto"/>
              <w:rPr>
                <w:rFonts w:ascii="Calibri" w:eastAsia="Times New Roman" w:hAnsi="Calibri" w:cs="Calibri"/>
                <w:color w:val="000000"/>
                <w:sz w:val="22"/>
                <w:szCs w:val="22"/>
                <w:lang w:eastAsia="en-AU"/>
              </w:rPr>
            </w:pPr>
          </w:p>
        </w:tc>
      </w:tr>
      <w:tr w:rsidR="00CE5583" w:rsidRPr="00CE5583" w14:paraId="715AE36F" w14:textId="77777777" w:rsidTr="0033168B">
        <w:tc>
          <w:tcPr>
            <w:tcW w:w="6222" w:type="dxa"/>
            <w:gridSpan w:val="4"/>
            <w:tcBorders>
              <w:top w:val="single" w:sz="12" w:space="0" w:color="FFFFFF"/>
              <w:left w:val="single" w:sz="12" w:space="0" w:color="FFFFFF"/>
              <w:bottom w:val="single" w:sz="12" w:space="0" w:color="FFFFFF"/>
              <w:right w:val="single" w:sz="12" w:space="0" w:color="FFFFFF"/>
            </w:tcBorders>
            <w:shd w:val="clear" w:color="000000" w:fill="757171"/>
            <w:noWrap/>
            <w:hideMark/>
          </w:tcPr>
          <w:p w14:paraId="50A50379"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Element score (average of attribute scores)</w:t>
            </w:r>
          </w:p>
        </w:tc>
        <w:tc>
          <w:tcPr>
            <w:tcW w:w="7371" w:type="dxa"/>
            <w:tcBorders>
              <w:top w:val="single" w:sz="12" w:space="0" w:color="FFFFFF"/>
              <w:left w:val="nil"/>
              <w:bottom w:val="single" w:sz="12" w:space="0" w:color="FFFFFF"/>
              <w:right w:val="single" w:sz="12" w:space="0" w:color="FFFFFF"/>
            </w:tcBorders>
            <w:shd w:val="clear" w:color="000000" w:fill="757171"/>
            <w:noWrap/>
            <w:hideMark/>
          </w:tcPr>
          <w:p w14:paraId="658318CA" w14:textId="5B45A043"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3</w:t>
            </w:r>
            <w:r w:rsidR="00F83C3D">
              <w:rPr>
                <w:rFonts w:ascii="Calibri" w:eastAsia="Times New Roman" w:hAnsi="Calibri" w:cs="Calibri"/>
                <w:b/>
                <w:bCs/>
                <w:color w:val="FFFFFF"/>
                <w:sz w:val="22"/>
                <w:szCs w:val="22"/>
                <w:lang w:eastAsia="en-AU"/>
              </w:rPr>
              <w:t>.3</w:t>
            </w:r>
            <w:r w:rsidRPr="00CE5583">
              <w:rPr>
                <w:rFonts w:ascii="Calibri" w:eastAsia="Times New Roman" w:hAnsi="Calibri" w:cs="Calibri"/>
                <w:b/>
                <w:bCs/>
                <w:color w:val="FFFFFF"/>
                <w:sz w:val="22"/>
                <w:szCs w:val="22"/>
                <w:lang w:eastAsia="en-AU"/>
              </w:rPr>
              <w:t xml:space="preserve"> / 4 (Defined)</w:t>
            </w:r>
          </w:p>
        </w:tc>
      </w:tr>
    </w:tbl>
    <w:p w14:paraId="5DF37332" w14:textId="77777777" w:rsidR="0086505A" w:rsidRDefault="0086505A">
      <w:pPr>
        <w:rPr>
          <w:rFonts w:asciiTheme="majorHAnsi" w:eastAsiaTheme="majorEastAsia" w:hAnsiTheme="majorHAnsi" w:cstheme="majorBidi"/>
          <w:color w:val="2A4055" w:themeColor="accent1"/>
          <w:sz w:val="36"/>
          <w:szCs w:val="36"/>
        </w:rPr>
      </w:pPr>
      <w:r>
        <w:rPr>
          <w:rFonts w:asciiTheme="majorHAnsi" w:eastAsiaTheme="majorEastAsia" w:hAnsiTheme="majorHAnsi" w:cstheme="majorBidi"/>
          <w:color w:val="2A4055" w:themeColor="accent1"/>
          <w:sz w:val="36"/>
          <w:szCs w:val="36"/>
        </w:rPr>
        <w:br w:type="page"/>
      </w:r>
    </w:p>
    <w:p w14:paraId="72FBEB5E" w14:textId="4398F4C8" w:rsidR="0086505A" w:rsidRPr="001F5D76" w:rsidRDefault="0086505A" w:rsidP="0086505A">
      <w:pPr>
        <w:pStyle w:val="BodyText"/>
        <w:rPr>
          <w:rFonts w:asciiTheme="majorHAnsi" w:eastAsiaTheme="majorEastAsia" w:hAnsiTheme="majorHAnsi" w:cstheme="majorBidi"/>
          <w:color w:val="2A4055" w:themeColor="accent1"/>
          <w:sz w:val="36"/>
          <w:szCs w:val="36"/>
        </w:rPr>
      </w:pPr>
      <w:r>
        <w:rPr>
          <w:rFonts w:asciiTheme="majorHAnsi" w:eastAsiaTheme="majorEastAsia" w:hAnsiTheme="majorHAnsi" w:cstheme="majorBidi"/>
          <w:color w:val="2A4055" w:themeColor="accent1"/>
          <w:sz w:val="36"/>
          <w:szCs w:val="36"/>
        </w:rPr>
        <w:lastRenderedPageBreak/>
        <w:t>Privacy Processes</w:t>
      </w:r>
    </w:p>
    <w:tbl>
      <w:tblPr>
        <w:tblW w:w="13593" w:type="dxa"/>
        <w:tblLayout w:type="fixed"/>
        <w:tblLook w:val="04A0" w:firstRow="1" w:lastRow="0" w:firstColumn="1" w:lastColumn="0" w:noHBand="0" w:noVBand="1"/>
      </w:tblPr>
      <w:tblGrid>
        <w:gridCol w:w="2074"/>
        <w:gridCol w:w="2074"/>
        <w:gridCol w:w="2074"/>
        <w:gridCol w:w="7371"/>
      </w:tblGrid>
      <w:tr w:rsidR="00CE5583" w:rsidRPr="00CE5583" w14:paraId="2E048D5C" w14:textId="77777777" w:rsidTr="0033168B">
        <w:trPr>
          <w:trHeight w:val="345"/>
          <w:tblHeader/>
        </w:trPr>
        <w:tc>
          <w:tcPr>
            <w:tcW w:w="13593" w:type="dxa"/>
            <w:gridSpan w:val="4"/>
            <w:tcBorders>
              <w:top w:val="single" w:sz="12" w:space="0" w:color="FFFFFF"/>
              <w:left w:val="single" w:sz="12" w:space="0" w:color="FFFFFF"/>
              <w:bottom w:val="single" w:sz="12" w:space="0" w:color="FFFFFF"/>
              <w:right w:val="single" w:sz="12" w:space="0" w:color="FFFFFF"/>
            </w:tcBorders>
            <w:shd w:val="clear" w:color="000000" w:fill="757171"/>
            <w:noWrap/>
            <w:hideMark/>
          </w:tcPr>
          <w:p w14:paraId="62A9FABA" w14:textId="77777777" w:rsidR="00CE5583" w:rsidRPr="00CE5583" w:rsidRDefault="00CE5583" w:rsidP="00CE5583">
            <w:pPr>
              <w:spacing w:after="0" w:line="240" w:lineRule="auto"/>
              <w:jc w:val="center"/>
              <w:rPr>
                <w:rFonts w:ascii="Calibri" w:eastAsia="Times New Roman" w:hAnsi="Calibri" w:cs="Calibri"/>
                <w:b/>
                <w:bCs/>
                <w:color w:val="FFFFFF"/>
                <w:sz w:val="24"/>
                <w:szCs w:val="24"/>
                <w:lang w:eastAsia="en-AU"/>
              </w:rPr>
            </w:pPr>
            <w:r w:rsidRPr="00CE5583">
              <w:rPr>
                <w:rFonts w:ascii="Calibri" w:eastAsia="Times New Roman" w:hAnsi="Calibri" w:cs="Calibri"/>
                <w:b/>
                <w:bCs/>
                <w:color w:val="FFFFFF"/>
                <w:sz w:val="24"/>
                <w:szCs w:val="24"/>
                <w:lang w:eastAsia="en-AU"/>
              </w:rPr>
              <w:t>Privacy Processes</w:t>
            </w:r>
          </w:p>
        </w:tc>
      </w:tr>
      <w:tr w:rsidR="00CE5583" w:rsidRPr="00CE5583" w14:paraId="00F956D3" w14:textId="77777777" w:rsidTr="0033168B">
        <w:trPr>
          <w:trHeight w:val="330"/>
          <w:tblHeader/>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7FAFC973"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Attribute</w:t>
            </w:r>
          </w:p>
        </w:tc>
        <w:tc>
          <w:tcPr>
            <w:tcW w:w="2074" w:type="dxa"/>
            <w:tcBorders>
              <w:top w:val="single" w:sz="12" w:space="0" w:color="FFFFFF"/>
              <w:left w:val="nil"/>
              <w:bottom w:val="single" w:sz="12" w:space="0" w:color="FFFFFF"/>
              <w:right w:val="single" w:sz="12" w:space="0" w:color="FFFFFF"/>
            </w:tcBorders>
            <w:shd w:val="clear" w:color="000000" w:fill="757171"/>
            <w:noWrap/>
            <w:hideMark/>
          </w:tcPr>
          <w:p w14:paraId="15D0487A"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Current Level</w:t>
            </w:r>
          </w:p>
        </w:tc>
        <w:tc>
          <w:tcPr>
            <w:tcW w:w="2074" w:type="dxa"/>
            <w:tcBorders>
              <w:top w:val="single" w:sz="12" w:space="0" w:color="FFFFFF"/>
              <w:left w:val="nil"/>
              <w:bottom w:val="single" w:sz="12" w:space="0" w:color="FFFFFF"/>
              <w:right w:val="single" w:sz="12" w:space="0" w:color="FFFFFF"/>
            </w:tcBorders>
            <w:shd w:val="clear" w:color="000000" w:fill="757171"/>
            <w:noWrap/>
            <w:hideMark/>
          </w:tcPr>
          <w:p w14:paraId="727921FF"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Target Level</w:t>
            </w:r>
          </w:p>
        </w:tc>
        <w:tc>
          <w:tcPr>
            <w:tcW w:w="7371" w:type="dxa"/>
            <w:tcBorders>
              <w:top w:val="single" w:sz="12" w:space="0" w:color="FFFFFF"/>
              <w:left w:val="nil"/>
              <w:bottom w:val="single" w:sz="12" w:space="0" w:color="FFFFFF"/>
              <w:right w:val="single" w:sz="12" w:space="0" w:color="FFFFFF"/>
            </w:tcBorders>
            <w:shd w:val="clear" w:color="000000" w:fill="757171"/>
            <w:noWrap/>
            <w:hideMark/>
          </w:tcPr>
          <w:p w14:paraId="2C1A1DE3"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Rationale/Commentary</w:t>
            </w:r>
          </w:p>
        </w:tc>
      </w:tr>
      <w:tr w:rsidR="00CE5583" w:rsidRPr="00CE5583" w14:paraId="0C3363DD" w14:textId="77777777" w:rsidTr="0033168B">
        <w:trPr>
          <w:trHeight w:val="3175"/>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78848975"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External Privacy Policy &amp; Notices*</w:t>
            </w:r>
          </w:p>
        </w:tc>
        <w:tc>
          <w:tcPr>
            <w:tcW w:w="2074"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0F9A3F2D" w14:textId="086ECD0B" w:rsidR="00CE5583" w:rsidRPr="00CE5583" w:rsidRDefault="003B6C20"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FFFFFF"/>
                <w:sz w:val="22"/>
                <w:szCs w:val="22"/>
                <w:lang w:eastAsia="en-AU"/>
              </w:rPr>
              <w:t>Leader</w:t>
            </w:r>
          </w:p>
        </w:tc>
        <w:tc>
          <w:tcPr>
            <w:tcW w:w="2074"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2B764F21"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713DC288" w14:textId="77777777" w:rsidR="005560CC" w:rsidRDefault="00CE5583" w:rsidP="005560CC">
            <w:pPr>
              <w:spacing w:line="240" w:lineRule="auto"/>
              <w:rPr>
                <w:rFonts w:ascii="Calibri" w:eastAsia="Times New Roman" w:hAnsi="Calibri" w:cs="Calibri"/>
                <w:color w:val="000000"/>
                <w:sz w:val="22"/>
                <w:szCs w:val="22"/>
                <w:lang w:eastAsia="en-AU"/>
              </w:rPr>
            </w:pPr>
            <w:bookmarkStart w:id="8" w:name="RANGE!K56:Q62"/>
            <w:r w:rsidRPr="00CE5583">
              <w:rPr>
                <w:rFonts w:ascii="Calibri" w:eastAsia="Times New Roman" w:hAnsi="Calibri" w:cs="Calibri"/>
                <w:color w:val="000000"/>
                <w:sz w:val="22"/>
                <w:szCs w:val="22"/>
                <w:lang w:eastAsia="en-AU"/>
              </w:rPr>
              <w:t xml:space="preserve">The NIAA Privacy Policy is comprehensive and </w:t>
            </w:r>
            <w:r w:rsidR="0086505A" w:rsidRPr="00CE5583">
              <w:rPr>
                <w:rFonts w:ascii="Calibri" w:eastAsia="Times New Roman" w:hAnsi="Calibri" w:cs="Calibri"/>
                <w:color w:val="000000"/>
                <w:sz w:val="22"/>
                <w:szCs w:val="22"/>
                <w:lang w:eastAsia="en-AU"/>
              </w:rPr>
              <w:t>clear and</w:t>
            </w:r>
            <w:r w:rsidRPr="00CE5583">
              <w:rPr>
                <w:rFonts w:ascii="Calibri" w:eastAsia="Times New Roman" w:hAnsi="Calibri" w:cs="Calibri"/>
                <w:color w:val="000000"/>
                <w:sz w:val="22"/>
                <w:szCs w:val="22"/>
                <w:lang w:eastAsia="en-AU"/>
              </w:rPr>
              <w:t xml:space="preserve"> is published to the NIAA website.</w:t>
            </w:r>
            <w:r w:rsidR="0043208A">
              <w:rPr>
                <w:rFonts w:ascii="Calibri" w:eastAsia="Times New Roman" w:hAnsi="Calibri" w:cs="Calibri"/>
                <w:color w:val="000000"/>
                <w:sz w:val="22"/>
                <w:szCs w:val="22"/>
                <w:lang w:eastAsia="en-AU"/>
              </w:rPr>
              <w:t xml:space="preserve"> The NIAA Privacy Policy and external notices were comprehensively reviewed and simplified as part of the 2024-25 PMP.</w:t>
            </w:r>
          </w:p>
          <w:p w14:paraId="0D44EEFB" w14:textId="77777777" w:rsidR="005560CC"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There is a clear link between privacy notices and the privacy policy, which are easy to locate on the NIAA website. Privacy messaging is consistent and clear, and notices are usually provided at the point of contact.</w:t>
            </w:r>
          </w:p>
          <w:p w14:paraId="102F03A9" w14:textId="297BCBC4" w:rsidR="00C72427"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Privacy messaging is viewed positively and as an important part of the NIAA's privacy practice. Teams are proactive in developing privacy notices for projects and consultations, using available templates. </w:t>
            </w:r>
            <w:bookmarkEnd w:id="8"/>
            <w:r w:rsidR="0099343A">
              <w:rPr>
                <w:rFonts w:ascii="Calibri" w:eastAsia="Times New Roman" w:hAnsi="Calibri" w:cs="Calibri"/>
                <w:color w:val="000000"/>
                <w:sz w:val="22"/>
                <w:szCs w:val="22"/>
                <w:lang w:eastAsia="en-AU"/>
              </w:rPr>
              <w:t>They regularly seek advice from the Privacy Team on drafting privacy notices</w:t>
            </w:r>
            <w:r w:rsidR="003B5A93">
              <w:rPr>
                <w:rFonts w:ascii="Calibri" w:eastAsia="Times New Roman" w:hAnsi="Calibri" w:cs="Calibri"/>
                <w:color w:val="000000"/>
                <w:sz w:val="22"/>
                <w:szCs w:val="22"/>
                <w:lang w:eastAsia="en-AU"/>
              </w:rPr>
              <w:t>.</w:t>
            </w:r>
          </w:p>
          <w:p w14:paraId="7502EC62" w14:textId="00966A94" w:rsidR="00C72427" w:rsidRPr="00CE5583" w:rsidRDefault="00C72427" w:rsidP="005560CC">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The Privacy Team </w:t>
            </w:r>
            <w:r w:rsidR="009824F4">
              <w:rPr>
                <w:rFonts w:ascii="Calibri" w:eastAsia="Times New Roman" w:hAnsi="Calibri" w:cs="Calibri"/>
                <w:color w:val="000000"/>
                <w:sz w:val="22"/>
                <w:szCs w:val="22"/>
                <w:lang w:eastAsia="en-AU"/>
              </w:rPr>
              <w:t>provides both</w:t>
            </w:r>
            <w:r w:rsidR="00E36FAE">
              <w:rPr>
                <w:rFonts w:ascii="Calibri" w:eastAsia="Times New Roman" w:hAnsi="Calibri" w:cs="Calibri"/>
                <w:color w:val="000000"/>
                <w:sz w:val="22"/>
                <w:szCs w:val="22"/>
                <w:lang w:eastAsia="en-AU"/>
              </w:rPr>
              <w:t xml:space="preserve"> </w:t>
            </w:r>
            <w:r>
              <w:rPr>
                <w:rFonts w:ascii="Calibri" w:eastAsia="Times New Roman" w:hAnsi="Calibri" w:cs="Calibri"/>
                <w:color w:val="000000"/>
                <w:sz w:val="22"/>
                <w:szCs w:val="22"/>
                <w:lang w:eastAsia="en-AU"/>
              </w:rPr>
              <w:t xml:space="preserve">a standard and plain English </w:t>
            </w:r>
            <w:r w:rsidR="0061545C">
              <w:rPr>
                <w:rFonts w:ascii="Calibri" w:eastAsia="Times New Roman" w:hAnsi="Calibri" w:cs="Calibri"/>
                <w:color w:val="000000"/>
                <w:sz w:val="22"/>
                <w:szCs w:val="22"/>
                <w:lang w:eastAsia="en-AU"/>
              </w:rPr>
              <w:t>template</w:t>
            </w:r>
            <w:r w:rsidR="00EC30D9">
              <w:rPr>
                <w:rFonts w:ascii="Calibri" w:eastAsia="Times New Roman" w:hAnsi="Calibri" w:cs="Calibri"/>
                <w:color w:val="000000"/>
                <w:sz w:val="22"/>
                <w:szCs w:val="22"/>
                <w:lang w:eastAsia="en-AU"/>
              </w:rPr>
              <w:t xml:space="preserve"> privacy notice to clients</w:t>
            </w:r>
            <w:r w:rsidR="009824F4">
              <w:rPr>
                <w:rFonts w:ascii="Calibri" w:eastAsia="Times New Roman" w:hAnsi="Calibri" w:cs="Calibri"/>
                <w:color w:val="000000"/>
                <w:sz w:val="22"/>
                <w:szCs w:val="22"/>
                <w:lang w:eastAsia="en-AU"/>
              </w:rPr>
              <w:t>, where appropriate.</w:t>
            </w:r>
          </w:p>
        </w:tc>
      </w:tr>
      <w:tr w:rsidR="00CE5583" w:rsidRPr="00CE5583" w14:paraId="2044A1E6" w14:textId="77777777" w:rsidTr="0033168B">
        <w:trPr>
          <w:trHeight w:val="3175"/>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2A8ADD4B"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Internal Policies &amp; Procedures</w:t>
            </w:r>
          </w:p>
        </w:tc>
        <w:tc>
          <w:tcPr>
            <w:tcW w:w="2074" w:type="dxa"/>
            <w:tcBorders>
              <w:top w:val="single" w:sz="12" w:space="0" w:color="FFFFFF"/>
              <w:left w:val="single" w:sz="12" w:space="0" w:color="FFFFFF"/>
              <w:bottom w:val="single" w:sz="12" w:space="0" w:color="FFFFFF"/>
              <w:right w:val="single" w:sz="12" w:space="0" w:color="FFFFFF"/>
            </w:tcBorders>
            <w:shd w:val="clear" w:color="000000" w:fill="B7CADC" w:themeFill="accent5" w:themeFillTint="40"/>
            <w:noWrap/>
            <w:hideMark/>
          </w:tcPr>
          <w:p w14:paraId="2C584F14"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2074"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52DE7B05"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604DC347" w14:textId="77777777" w:rsidR="005560CC"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Internal privacy policies and procedures are clear, relevant, comprehensive, and easy to locate on the NIAA intranet. This includes a privacy resources page, with templates and links to information, and a dedicated data breach response page. All privacy governance documents are proactively reviewed and kept up to date (as required) in response to emerging privacy risks.</w:t>
            </w:r>
          </w:p>
          <w:p w14:paraId="0C6F2E01" w14:textId="54085FBD" w:rsidR="00CE5583" w:rsidRPr="00CE5583"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Privacy Officers, supported by </w:t>
            </w:r>
            <w:r w:rsidR="00797301">
              <w:rPr>
                <w:rFonts w:ascii="Calibri" w:eastAsia="Times New Roman" w:hAnsi="Calibri" w:cs="Calibri"/>
                <w:color w:val="000000"/>
                <w:sz w:val="22"/>
                <w:szCs w:val="22"/>
                <w:lang w:eastAsia="en-AU"/>
              </w:rPr>
              <w:t>the Corporate and Commercial Law team</w:t>
            </w:r>
            <w:r w:rsidRPr="00CE5583">
              <w:rPr>
                <w:rFonts w:ascii="Calibri" w:eastAsia="Times New Roman" w:hAnsi="Calibri" w:cs="Calibri"/>
                <w:color w:val="000000"/>
                <w:sz w:val="22"/>
                <w:szCs w:val="22"/>
                <w:lang w:eastAsia="en-AU"/>
              </w:rPr>
              <w:t>, take innovative approaches to improve these resources, including engaging with Communications team experts to ensure privacy resources are accessible, clear and can influence staff to build a privacy-aware culture and behaviour.</w:t>
            </w:r>
          </w:p>
        </w:tc>
      </w:tr>
      <w:tr w:rsidR="00CE5583" w:rsidRPr="00CE5583" w14:paraId="749FA977" w14:textId="77777777" w:rsidTr="0033168B">
        <w:trPr>
          <w:trHeight w:val="2665"/>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0403BD9D"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lastRenderedPageBreak/>
              <w:t>Privacy Training*</w:t>
            </w:r>
          </w:p>
        </w:tc>
        <w:tc>
          <w:tcPr>
            <w:tcW w:w="2074" w:type="dxa"/>
            <w:tcBorders>
              <w:top w:val="single" w:sz="12" w:space="0" w:color="FFFFFF"/>
              <w:left w:val="single" w:sz="12" w:space="0" w:color="FFFFFF"/>
              <w:bottom w:val="single" w:sz="12" w:space="0" w:color="FFFFFF"/>
              <w:right w:val="single" w:sz="12" w:space="0" w:color="FFFFFF"/>
            </w:tcBorders>
            <w:shd w:val="clear" w:color="000000" w:fill="B7CADC" w:themeFill="accent5" w:themeFillTint="40"/>
            <w:noWrap/>
            <w:hideMark/>
          </w:tcPr>
          <w:p w14:paraId="1E8DE756"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2074" w:type="dxa"/>
            <w:tcBorders>
              <w:top w:val="single" w:sz="12" w:space="0" w:color="FFFFFF"/>
              <w:left w:val="single" w:sz="12" w:space="0" w:color="FFFFFF"/>
              <w:bottom w:val="single" w:sz="12" w:space="0" w:color="FFFFFF"/>
              <w:right w:val="single" w:sz="12" w:space="0" w:color="FFFFFF"/>
            </w:tcBorders>
            <w:shd w:val="clear" w:color="000000" w:fill="B7CADC" w:themeFill="accent5" w:themeFillTint="40"/>
            <w:noWrap/>
            <w:hideMark/>
          </w:tcPr>
          <w:p w14:paraId="44F083AB"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6ED8D10D" w14:textId="76005EA1" w:rsidR="001432C8"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Privacy training is mandatory for all new staff, and annually for all staff. This training is delivered through the NIAA eLearning platform. The Privacy Officers, supported by </w:t>
            </w:r>
            <w:r w:rsidR="0086505A">
              <w:rPr>
                <w:rFonts w:ascii="Calibri" w:eastAsia="Times New Roman" w:hAnsi="Calibri" w:cs="Calibri"/>
                <w:color w:val="000000"/>
                <w:sz w:val="22"/>
                <w:szCs w:val="22"/>
                <w:lang w:eastAsia="en-AU"/>
              </w:rPr>
              <w:t>the Legal Services Branch (LSB)</w:t>
            </w:r>
            <w:r w:rsidRPr="00CE5583">
              <w:rPr>
                <w:rFonts w:ascii="Calibri" w:eastAsia="Times New Roman" w:hAnsi="Calibri" w:cs="Calibri"/>
                <w:color w:val="000000"/>
                <w:sz w:val="22"/>
                <w:szCs w:val="22"/>
                <w:lang w:eastAsia="en-AU"/>
              </w:rPr>
              <w:t xml:space="preserve">, develop and deliver bespoke privacy training that is operationalised to a business unit. </w:t>
            </w:r>
          </w:p>
          <w:p w14:paraId="19DDFF81" w14:textId="4CEA3464" w:rsidR="00CE5583" w:rsidRPr="00CE5583" w:rsidRDefault="0086505A" w:rsidP="005560CC">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LSB</w:t>
            </w:r>
            <w:r w:rsidR="001432C8">
              <w:rPr>
                <w:rFonts w:ascii="Calibri" w:eastAsia="Times New Roman" w:hAnsi="Calibri" w:cs="Calibri"/>
                <w:color w:val="000000"/>
                <w:sz w:val="22"/>
                <w:szCs w:val="22"/>
                <w:lang w:eastAsia="en-AU"/>
              </w:rPr>
              <w:t xml:space="preserve"> w</w:t>
            </w:r>
            <w:r w:rsidR="00CE5583" w:rsidRPr="00CE5583">
              <w:rPr>
                <w:rFonts w:ascii="Calibri" w:eastAsia="Times New Roman" w:hAnsi="Calibri" w:cs="Calibri"/>
                <w:color w:val="000000"/>
                <w:sz w:val="22"/>
                <w:szCs w:val="22"/>
                <w:lang w:eastAsia="en-AU"/>
              </w:rPr>
              <w:t>ork</w:t>
            </w:r>
            <w:r>
              <w:rPr>
                <w:rFonts w:ascii="Calibri" w:eastAsia="Times New Roman" w:hAnsi="Calibri" w:cs="Calibri"/>
                <w:color w:val="000000"/>
                <w:sz w:val="22"/>
                <w:szCs w:val="22"/>
                <w:lang w:eastAsia="en-AU"/>
              </w:rPr>
              <w:t>s</w:t>
            </w:r>
            <w:r w:rsidR="00CE5583" w:rsidRPr="00CE5583">
              <w:rPr>
                <w:rFonts w:ascii="Calibri" w:eastAsia="Times New Roman" w:hAnsi="Calibri" w:cs="Calibri"/>
                <w:color w:val="000000"/>
                <w:sz w:val="22"/>
                <w:szCs w:val="22"/>
                <w:lang w:eastAsia="en-AU"/>
              </w:rPr>
              <w:t xml:space="preserve"> with the NIAA</w:t>
            </w:r>
            <w:r>
              <w:rPr>
                <w:rFonts w:ascii="Calibri" w:eastAsia="Times New Roman" w:hAnsi="Calibri" w:cs="Calibri"/>
                <w:color w:val="000000"/>
                <w:sz w:val="22"/>
                <w:szCs w:val="22"/>
                <w:lang w:eastAsia="en-AU"/>
              </w:rPr>
              <w:t>’s</w:t>
            </w:r>
            <w:r w:rsidR="00CE5583" w:rsidRPr="00CE5583">
              <w:rPr>
                <w:rFonts w:ascii="Calibri" w:eastAsia="Times New Roman" w:hAnsi="Calibri" w:cs="Calibri"/>
                <w:color w:val="000000"/>
                <w:sz w:val="22"/>
                <w:szCs w:val="22"/>
                <w:lang w:eastAsia="en-AU"/>
              </w:rPr>
              <w:t xml:space="preserve"> Workforce Capability Team to develop a clear and integrated privacy training program that supports and is relevant to staff depending on their role and business unit.</w:t>
            </w:r>
            <w:r w:rsidR="00CE5583" w:rsidRPr="00CE5583">
              <w:rPr>
                <w:rFonts w:ascii="Calibri" w:eastAsia="Times New Roman" w:hAnsi="Calibri" w:cs="Calibri"/>
                <w:color w:val="000000"/>
                <w:sz w:val="22"/>
                <w:szCs w:val="22"/>
                <w:lang w:eastAsia="en-AU"/>
              </w:rPr>
              <w:br/>
              <w:t>Staff training completion rates and monitored and reported regularly at senior executive levels.</w:t>
            </w:r>
          </w:p>
        </w:tc>
      </w:tr>
      <w:tr w:rsidR="00CE5583" w:rsidRPr="00CE5583" w14:paraId="14734018" w14:textId="77777777" w:rsidTr="0033168B">
        <w:trPr>
          <w:trHeight w:val="2268"/>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2C351D83"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Privacy Impact Assessments*</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0CB9F7FF"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556B971A"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1B909365" w14:textId="51A21F39" w:rsidR="00CE5583" w:rsidRPr="00CE5583"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NIAA has tailored and clear PIA threshold assessment (PTA) templates to encourage and empower business areas to assess privacy risk and incorporate privacy by design into new projects and initiatives. The Privacy Officers, supported by </w:t>
            </w:r>
            <w:r w:rsidR="007E32D4">
              <w:rPr>
                <w:rFonts w:ascii="Calibri" w:eastAsia="Times New Roman" w:hAnsi="Calibri" w:cs="Calibri"/>
                <w:color w:val="000000"/>
                <w:sz w:val="22"/>
                <w:szCs w:val="22"/>
                <w:lang w:eastAsia="en-AU"/>
              </w:rPr>
              <w:t>the Corporate and Commercial Law team</w:t>
            </w:r>
            <w:r w:rsidRPr="00CE5583">
              <w:rPr>
                <w:rFonts w:ascii="Calibri" w:eastAsia="Times New Roman" w:hAnsi="Calibri" w:cs="Calibri"/>
                <w:color w:val="000000"/>
                <w:sz w:val="22"/>
                <w:szCs w:val="22"/>
                <w:lang w:eastAsia="en-AU"/>
              </w:rPr>
              <w:t>, support business areas to undertake comprehensive PTAs and PIAs for high privacy risk projects. The Privacy Officers leverage PIAs to continue to raise awareness to ensure privacy by design principles are understood and applied consistently across the agency.</w:t>
            </w:r>
          </w:p>
        </w:tc>
      </w:tr>
      <w:tr w:rsidR="00CE5583" w:rsidRPr="00CE5583" w14:paraId="72C55B29" w14:textId="77777777" w:rsidTr="0033168B">
        <w:trPr>
          <w:trHeight w:val="680"/>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246E8740"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Dealing with Suppliers</w:t>
            </w:r>
          </w:p>
        </w:tc>
        <w:tc>
          <w:tcPr>
            <w:tcW w:w="2074" w:type="dxa"/>
            <w:tcBorders>
              <w:top w:val="single" w:sz="12" w:space="0" w:color="FFFFFF"/>
              <w:left w:val="single" w:sz="12" w:space="0" w:color="FFFFFF"/>
              <w:bottom w:val="single" w:sz="12" w:space="0" w:color="FFFFFF"/>
              <w:right w:val="single" w:sz="12" w:space="0" w:color="FFFFFF"/>
            </w:tcBorders>
            <w:shd w:val="clear" w:color="000000" w:fill="548235"/>
            <w:noWrap/>
            <w:hideMark/>
          </w:tcPr>
          <w:p w14:paraId="3F47745F"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Developing</w:t>
            </w:r>
          </w:p>
        </w:tc>
        <w:tc>
          <w:tcPr>
            <w:tcW w:w="2074" w:type="dxa"/>
            <w:tcBorders>
              <w:top w:val="single" w:sz="12" w:space="0" w:color="FFFFFF"/>
              <w:left w:val="single" w:sz="12" w:space="0" w:color="FFFFFF"/>
              <w:bottom w:val="single" w:sz="12" w:space="0" w:color="FFFFFF"/>
              <w:right w:val="single" w:sz="12" w:space="0" w:color="FFFFFF"/>
            </w:tcBorders>
            <w:shd w:val="clear" w:color="auto" w:fill="B7CADC" w:themeFill="accent5" w:themeFillTint="40"/>
            <w:noWrap/>
            <w:hideMark/>
          </w:tcPr>
          <w:p w14:paraId="33483D59"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248E601D" w14:textId="5155A029" w:rsidR="00DE5089" w:rsidRPr="0079379B"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Privacy Officers provide advice on privacy </w:t>
            </w:r>
            <w:r>
              <w:rPr>
                <w:rFonts w:ascii="Calibri" w:eastAsia="Times New Roman" w:hAnsi="Calibri" w:cs="Calibri"/>
                <w:color w:val="000000"/>
                <w:sz w:val="22"/>
                <w:szCs w:val="22"/>
                <w:lang w:eastAsia="en-AU"/>
              </w:rPr>
              <w:t xml:space="preserve">due diligence and risk </w:t>
            </w:r>
            <w:r w:rsidRPr="00CE5583">
              <w:rPr>
                <w:rFonts w:ascii="Calibri" w:eastAsia="Times New Roman" w:hAnsi="Calibri" w:cs="Calibri"/>
                <w:color w:val="000000"/>
                <w:sz w:val="22"/>
                <w:szCs w:val="22"/>
                <w:lang w:eastAsia="en-AU"/>
              </w:rPr>
              <w:t xml:space="preserve">management in arrangements with third parties to produce better privacy outcomes. Business areas engage with privacy risks when engaging third parties in </w:t>
            </w:r>
            <w:r w:rsidR="00EB2929" w:rsidRPr="00CE5583">
              <w:rPr>
                <w:rFonts w:ascii="Calibri" w:eastAsia="Times New Roman" w:hAnsi="Calibri" w:cs="Calibri"/>
                <w:color w:val="000000"/>
                <w:sz w:val="22"/>
                <w:szCs w:val="22"/>
                <w:lang w:eastAsia="en-AU"/>
              </w:rPr>
              <w:t>a</w:t>
            </w:r>
            <w:r w:rsidR="00EB2929">
              <w:rPr>
                <w:rFonts w:ascii="Calibri" w:eastAsia="Times New Roman" w:hAnsi="Calibri" w:cs="Calibri"/>
                <w:color w:val="000000"/>
                <w:sz w:val="22"/>
                <w:szCs w:val="22"/>
                <w:lang w:eastAsia="en-AU"/>
              </w:rPr>
              <w:t xml:space="preserve"> variety of </w:t>
            </w:r>
            <w:r w:rsidRPr="00CE5583">
              <w:rPr>
                <w:rFonts w:ascii="Calibri" w:eastAsia="Times New Roman" w:hAnsi="Calibri" w:cs="Calibri"/>
                <w:color w:val="000000"/>
                <w:sz w:val="22"/>
                <w:szCs w:val="22"/>
                <w:lang w:eastAsia="en-AU"/>
              </w:rPr>
              <w:t>manner</w:t>
            </w:r>
            <w:r w:rsidR="00EB2929">
              <w:rPr>
                <w:rFonts w:ascii="Calibri" w:eastAsia="Times New Roman" w:hAnsi="Calibri" w:cs="Calibri"/>
                <w:color w:val="000000"/>
                <w:sz w:val="22"/>
                <w:szCs w:val="22"/>
                <w:lang w:eastAsia="en-AU"/>
              </w:rPr>
              <w:t>s, including grants and procurements</w:t>
            </w:r>
            <w:r w:rsidRPr="00CE5583">
              <w:rPr>
                <w:rFonts w:ascii="Calibri" w:eastAsia="Times New Roman" w:hAnsi="Calibri" w:cs="Calibri"/>
                <w:color w:val="000000"/>
                <w:sz w:val="22"/>
                <w:szCs w:val="22"/>
                <w:lang w:eastAsia="en-AU"/>
              </w:rPr>
              <w:t xml:space="preserve">. </w:t>
            </w:r>
          </w:p>
          <w:p w14:paraId="37C6CC3A" w14:textId="4353F251" w:rsidR="00DE5089" w:rsidRDefault="0079379B" w:rsidP="005560CC">
            <w:pPr>
              <w:spacing w:line="240" w:lineRule="auto"/>
              <w:rPr>
                <w:rFonts w:ascii="Calibri" w:eastAsia="Times New Roman" w:hAnsi="Calibri" w:cs="Calibri"/>
                <w:color w:val="000000"/>
                <w:sz w:val="22"/>
                <w:szCs w:val="22"/>
                <w:lang w:eastAsia="en-AU"/>
              </w:rPr>
            </w:pPr>
            <w:r w:rsidRPr="0079379B">
              <w:rPr>
                <w:rFonts w:ascii="Calibri" w:eastAsia="Times New Roman" w:hAnsi="Calibri" w:cs="Calibri"/>
                <w:color w:val="000000"/>
                <w:sz w:val="22"/>
                <w:szCs w:val="22"/>
                <w:lang w:eastAsia="en-AU"/>
              </w:rPr>
              <w:t>The</w:t>
            </w:r>
            <w:r>
              <w:rPr>
                <w:rFonts w:ascii="Calibri" w:eastAsia="Times New Roman" w:hAnsi="Calibri" w:cs="Calibri"/>
                <w:color w:val="000000"/>
                <w:sz w:val="22"/>
                <w:szCs w:val="22"/>
                <w:lang w:eastAsia="en-AU"/>
              </w:rPr>
              <w:t xml:space="preserve"> </w:t>
            </w:r>
            <w:r w:rsidR="0086505A">
              <w:rPr>
                <w:rFonts w:ascii="Calibri" w:eastAsia="Times New Roman" w:hAnsi="Calibri" w:cs="Calibri"/>
                <w:color w:val="000000"/>
                <w:sz w:val="22"/>
                <w:szCs w:val="22"/>
                <w:lang w:eastAsia="en-AU"/>
              </w:rPr>
              <w:t>Legal Services Branch (LSB) w</w:t>
            </w:r>
            <w:r>
              <w:rPr>
                <w:rFonts w:ascii="Calibri" w:eastAsia="Times New Roman" w:hAnsi="Calibri" w:cs="Calibri"/>
                <w:color w:val="000000"/>
                <w:sz w:val="22"/>
                <w:szCs w:val="22"/>
                <w:lang w:eastAsia="en-AU"/>
              </w:rPr>
              <w:t>ork</w:t>
            </w:r>
            <w:r w:rsidR="0086505A">
              <w:rPr>
                <w:rFonts w:ascii="Calibri" w:eastAsia="Times New Roman" w:hAnsi="Calibri" w:cs="Calibri"/>
                <w:color w:val="000000"/>
                <w:sz w:val="22"/>
                <w:szCs w:val="22"/>
                <w:lang w:eastAsia="en-AU"/>
              </w:rPr>
              <w:t>s</w:t>
            </w:r>
            <w:r>
              <w:rPr>
                <w:rFonts w:ascii="Calibri" w:eastAsia="Times New Roman" w:hAnsi="Calibri" w:cs="Calibri"/>
                <w:color w:val="000000"/>
                <w:sz w:val="22"/>
                <w:szCs w:val="22"/>
                <w:lang w:eastAsia="en-AU"/>
              </w:rPr>
              <w:t xml:space="preserve"> with the Procurement Team to update the</w:t>
            </w:r>
            <w:r w:rsidRPr="0079379B">
              <w:rPr>
                <w:rFonts w:ascii="Calibri" w:eastAsia="Times New Roman" w:hAnsi="Calibri" w:cs="Calibri"/>
                <w:color w:val="000000"/>
                <w:sz w:val="22"/>
                <w:szCs w:val="22"/>
                <w:lang w:eastAsia="en-AU"/>
              </w:rPr>
              <w:t xml:space="preserve"> procurement risk assessment templat</w:t>
            </w:r>
            <w:r>
              <w:rPr>
                <w:rFonts w:ascii="Calibri" w:eastAsia="Times New Roman" w:hAnsi="Calibri" w:cs="Calibri"/>
                <w:color w:val="000000"/>
                <w:sz w:val="22"/>
                <w:szCs w:val="22"/>
                <w:lang w:eastAsia="en-AU"/>
              </w:rPr>
              <w:t>e. It now</w:t>
            </w:r>
            <w:r w:rsidRPr="0079379B">
              <w:rPr>
                <w:rFonts w:ascii="Calibri" w:eastAsia="Times New Roman" w:hAnsi="Calibri" w:cs="Calibri"/>
                <w:color w:val="000000"/>
                <w:sz w:val="22"/>
                <w:szCs w:val="22"/>
                <w:lang w:eastAsia="en-AU"/>
              </w:rPr>
              <w:t xml:space="preserve"> includes consideration of whether the goods or services may introduce privacy data breach risks to Agenc</w:t>
            </w:r>
            <w:r w:rsidR="009F0E92">
              <w:rPr>
                <w:rFonts w:ascii="Calibri" w:eastAsia="Times New Roman" w:hAnsi="Calibri" w:cs="Calibri"/>
                <w:color w:val="000000"/>
                <w:sz w:val="22"/>
                <w:szCs w:val="22"/>
                <w:lang w:eastAsia="en-AU"/>
              </w:rPr>
              <w:t>y</w:t>
            </w:r>
            <w:r w:rsidRPr="0079379B">
              <w:rPr>
                <w:rFonts w:ascii="Calibri" w:eastAsia="Times New Roman" w:hAnsi="Calibri" w:cs="Calibri"/>
                <w:color w:val="000000"/>
                <w:sz w:val="22"/>
                <w:szCs w:val="22"/>
                <w:lang w:eastAsia="en-AU"/>
              </w:rPr>
              <w:t xml:space="preserve">. </w:t>
            </w:r>
            <w:r w:rsidR="0086505A">
              <w:rPr>
                <w:rFonts w:ascii="Calibri" w:eastAsia="Times New Roman" w:hAnsi="Calibri" w:cs="Calibri"/>
                <w:color w:val="000000"/>
                <w:sz w:val="22"/>
                <w:szCs w:val="22"/>
                <w:lang w:eastAsia="en-AU"/>
              </w:rPr>
              <w:t>LSB</w:t>
            </w:r>
            <w:r w:rsidR="009F0E92">
              <w:rPr>
                <w:rFonts w:ascii="Calibri" w:eastAsia="Times New Roman" w:hAnsi="Calibri" w:cs="Calibri"/>
                <w:color w:val="000000"/>
                <w:sz w:val="22"/>
                <w:szCs w:val="22"/>
                <w:lang w:eastAsia="en-AU"/>
              </w:rPr>
              <w:t xml:space="preserve"> continues</w:t>
            </w:r>
            <w:r w:rsidRPr="0079379B">
              <w:rPr>
                <w:rFonts w:ascii="Calibri" w:eastAsia="Times New Roman" w:hAnsi="Calibri" w:cs="Calibri"/>
                <w:color w:val="000000"/>
                <w:sz w:val="22"/>
                <w:szCs w:val="22"/>
                <w:lang w:eastAsia="en-AU"/>
              </w:rPr>
              <w:t xml:space="preserve"> to </w:t>
            </w:r>
            <w:r w:rsidR="00AB1055">
              <w:rPr>
                <w:rFonts w:ascii="Calibri" w:eastAsia="Times New Roman" w:hAnsi="Calibri" w:cs="Calibri"/>
                <w:color w:val="000000"/>
                <w:sz w:val="22"/>
                <w:szCs w:val="22"/>
                <w:lang w:eastAsia="en-AU"/>
              </w:rPr>
              <w:t xml:space="preserve">work with the Procurement Team to </w:t>
            </w:r>
            <w:r w:rsidRPr="0079379B">
              <w:rPr>
                <w:rFonts w:ascii="Calibri" w:eastAsia="Times New Roman" w:hAnsi="Calibri" w:cs="Calibri"/>
                <w:color w:val="000000"/>
                <w:sz w:val="22"/>
                <w:szCs w:val="22"/>
                <w:lang w:eastAsia="en-AU"/>
              </w:rPr>
              <w:t xml:space="preserve">develop procurement case </w:t>
            </w:r>
            <w:r w:rsidR="00A74622">
              <w:rPr>
                <w:rFonts w:ascii="Calibri" w:eastAsia="Times New Roman" w:hAnsi="Calibri" w:cs="Calibri"/>
                <w:color w:val="000000"/>
                <w:sz w:val="22"/>
                <w:szCs w:val="22"/>
                <w:lang w:eastAsia="en-AU"/>
              </w:rPr>
              <w:t xml:space="preserve">studies. </w:t>
            </w:r>
          </w:p>
          <w:p w14:paraId="75665B31" w14:textId="6A707329" w:rsidR="00CE5583" w:rsidRPr="00CE5583"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NIAA is working to mature its capability when engaging with grantees on privacy risks and opportunities. The Privacy Officers, supported by </w:t>
            </w:r>
            <w:r w:rsidR="0086505A">
              <w:rPr>
                <w:rFonts w:ascii="Calibri" w:eastAsia="Times New Roman" w:hAnsi="Calibri" w:cs="Calibri"/>
                <w:color w:val="000000"/>
                <w:sz w:val="22"/>
                <w:szCs w:val="22"/>
                <w:lang w:eastAsia="en-AU"/>
              </w:rPr>
              <w:t>LSB</w:t>
            </w:r>
            <w:r w:rsidRPr="00CE5583">
              <w:rPr>
                <w:rFonts w:ascii="Calibri" w:eastAsia="Times New Roman" w:hAnsi="Calibri" w:cs="Calibri"/>
                <w:color w:val="000000"/>
                <w:sz w:val="22"/>
                <w:szCs w:val="22"/>
                <w:lang w:eastAsia="en-AU"/>
              </w:rPr>
              <w:t>, continue to raise awareness of privacy risks through established forums with key business areas.</w:t>
            </w:r>
          </w:p>
        </w:tc>
      </w:tr>
      <w:tr w:rsidR="00CE5583" w:rsidRPr="00CE5583" w14:paraId="343EE949" w14:textId="77777777" w:rsidTr="0033168B">
        <w:trPr>
          <w:trHeight w:val="2494"/>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1847378C"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lastRenderedPageBreak/>
              <w:t>Access &amp; Correction*</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7F2AAEE0"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2383D059"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4827C553" w14:textId="74CA906F" w:rsidR="006F170B"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NIAA approaches access and correction requests as an opportunity to demonstrate openness and transparency. The Agency has an </w:t>
            </w:r>
            <w:r w:rsidR="00713309">
              <w:rPr>
                <w:rFonts w:ascii="Calibri" w:eastAsia="Times New Roman" w:hAnsi="Calibri" w:cs="Calibri"/>
                <w:color w:val="000000"/>
                <w:sz w:val="22"/>
                <w:szCs w:val="22"/>
                <w:lang w:eastAsia="en-AU"/>
              </w:rPr>
              <w:t>A</w:t>
            </w:r>
            <w:r w:rsidRPr="00CE5583">
              <w:rPr>
                <w:rFonts w:ascii="Calibri" w:eastAsia="Times New Roman" w:hAnsi="Calibri" w:cs="Calibri"/>
                <w:color w:val="000000"/>
                <w:sz w:val="22"/>
                <w:szCs w:val="22"/>
                <w:lang w:eastAsia="en-AU"/>
              </w:rPr>
              <w:t xml:space="preserve">ccess and </w:t>
            </w:r>
            <w:r w:rsidR="00713309">
              <w:rPr>
                <w:rFonts w:ascii="Calibri" w:eastAsia="Times New Roman" w:hAnsi="Calibri" w:cs="Calibri"/>
                <w:color w:val="000000"/>
                <w:sz w:val="22"/>
                <w:szCs w:val="22"/>
                <w:lang w:eastAsia="en-AU"/>
              </w:rPr>
              <w:t>C</w:t>
            </w:r>
            <w:r w:rsidRPr="00CE5583">
              <w:rPr>
                <w:rFonts w:ascii="Calibri" w:eastAsia="Times New Roman" w:hAnsi="Calibri" w:cs="Calibri"/>
                <w:color w:val="000000"/>
                <w:sz w:val="22"/>
                <w:szCs w:val="22"/>
                <w:lang w:eastAsia="en-AU"/>
              </w:rPr>
              <w:t xml:space="preserve">orrection </w:t>
            </w:r>
            <w:r w:rsidR="00713309">
              <w:rPr>
                <w:rFonts w:ascii="Calibri" w:eastAsia="Times New Roman" w:hAnsi="Calibri" w:cs="Calibri"/>
                <w:color w:val="000000"/>
                <w:sz w:val="22"/>
                <w:szCs w:val="22"/>
                <w:lang w:eastAsia="en-AU"/>
              </w:rPr>
              <w:t>P</w:t>
            </w:r>
            <w:r w:rsidRPr="00CE5583">
              <w:rPr>
                <w:rFonts w:ascii="Calibri" w:eastAsia="Times New Roman" w:hAnsi="Calibri" w:cs="Calibri"/>
                <w:color w:val="000000"/>
                <w:sz w:val="22"/>
                <w:szCs w:val="22"/>
                <w:lang w:eastAsia="en-AU"/>
              </w:rPr>
              <w:t xml:space="preserve">olicy to ensure requests are managed consistently and in line with the Agency's privacy obligations. </w:t>
            </w:r>
          </w:p>
          <w:p w14:paraId="1C239F14" w14:textId="33071B06" w:rsidR="006F170B" w:rsidRDefault="006F170B" w:rsidP="005560CC">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The Freedom of Information </w:t>
            </w:r>
            <w:r w:rsidR="0079361C">
              <w:rPr>
                <w:rFonts w:ascii="Calibri" w:eastAsia="Times New Roman" w:hAnsi="Calibri" w:cs="Calibri"/>
                <w:color w:val="000000"/>
                <w:sz w:val="22"/>
                <w:szCs w:val="22"/>
                <w:lang w:eastAsia="en-AU"/>
              </w:rPr>
              <w:t xml:space="preserve">(FOI) </w:t>
            </w:r>
            <w:r>
              <w:rPr>
                <w:rFonts w:ascii="Calibri" w:eastAsia="Times New Roman" w:hAnsi="Calibri" w:cs="Calibri"/>
                <w:color w:val="000000"/>
                <w:sz w:val="22"/>
                <w:szCs w:val="22"/>
                <w:lang w:eastAsia="en-AU"/>
              </w:rPr>
              <w:t>Team in L</w:t>
            </w:r>
            <w:r w:rsidR="0086505A">
              <w:rPr>
                <w:rFonts w:ascii="Calibri" w:eastAsia="Times New Roman" w:hAnsi="Calibri" w:cs="Calibri"/>
                <w:color w:val="000000"/>
                <w:sz w:val="22"/>
                <w:szCs w:val="22"/>
                <w:lang w:eastAsia="en-AU"/>
              </w:rPr>
              <w:t xml:space="preserve">egal Service Branch (LSB) </w:t>
            </w:r>
            <w:r>
              <w:rPr>
                <w:rFonts w:ascii="Calibri" w:eastAsia="Times New Roman" w:hAnsi="Calibri" w:cs="Calibri"/>
                <w:color w:val="000000"/>
                <w:sz w:val="22"/>
                <w:szCs w:val="22"/>
                <w:lang w:eastAsia="en-AU"/>
              </w:rPr>
              <w:t xml:space="preserve">consults with </w:t>
            </w:r>
            <w:r w:rsidR="0086505A">
              <w:rPr>
                <w:rFonts w:ascii="Calibri" w:eastAsia="Times New Roman" w:hAnsi="Calibri" w:cs="Calibri"/>
                <w:color w:val="000000"/>
                <w:sz w:val="22"/>
                <w:szCs w:val="22"/>
                <w:lang w:eastAsia="en-AU"/>
              </w:rPr>
              <w:t xml:space="preserve">Privacy Officers </w:t>
            </w:r>
            <w:r w:rsidR="00831A43">
              <w:rPr>
                <w:rFonts w:ascii="Calibri" w:eastAsia="Times New Roman" w:hAnsi="Calibri" w:cs="Calibri"/>
                <w:color w:val="000000"/>
                <w:sz w:val="22"/>
                <w:szCs w:val="22"/>
                <w:lang w:eastAsia="en-AU"/>
              </w:rPr>
              <w:t>on</w:t>
            </w:r>
            <w:r w:rsidR="0079361C">
              <w:rPr>
                <w:rFonts w:ascii="Calibri" w:eastAsia="Times New Roman" w:hAnsi="Calibri" w:cs="Calibri"/>
                <w:color w:val="000000"/>
                <w:sz w:val="22"/>
                <w:szCs w:val="22"/>
                <w:lang w:eastAsia="en-AU"/>
              </w:rPr>
              <w:t xml:space="preserve"> FOI requests</w:t>
            </w:r>
            <w:r w:rsidR="0048607A">
              <w:rPr>
                <w:rFonts w:ascii="Calibri" w:eastAsia="Times New Roman" w:hAnsi="Calibri" w:cs="Calibri"/>
                <w:color w:val="000000"/>
                <w:sz w:val="22"/>
                <w:szCs w:val="22"/>
                <w:lang w:eastAsia="en-AU"/>
              </w:rPr>
              <w:t xml:space="preserve"> </w:t>
            </w:r>
            <w:r w:rsidR="00831A43">
              <w:rPr>
                <w:rFonts w:ascii="Calibri" w:eastAsia="Times New Roman" w:hAnsi="Calibri" w:cs="Calibri"/>
                <w:color w:val="000000"/>
                <w:sz w:val="22"/>
                <w:szCs w:val="22"/>
                <w:lang w:eastAsia="en-AU"/>
              </w:rPr>
              <w:t xml:space="preserve">made </w:t>
            </w:r>
            <w:r w:rsidR="0048607A">
              <w:rPr>
                <w:rFonts w:ascii="Calibri" w:eastAsia="Times New Roman" w:hAnsi="Calibri" w:cs="Calibri"/>
                <w:color w:val="000000"/>
                <w:sz w:val="22"/>
                <w:szCs w:val="22"/>
                <w:lang w:eastAsia="en-AU"/>
              </w:rPr>
              <w:t>by applicant</w:t>
            </w:r>
            <w:r w:rsidR="0086505A">
              <w:rPr>
                <w:rFonts w:ascii="Calibri" w:eastAsia="Times New Roman" w:hAnsi="Calibri" w:cs="Calibri"/>
                <w:color w:val="000000"/>
                <w:sz w:val="22"/>
                <w:szCs w:val="22"/>
                <w:lang w:eastAsia="en-AU"/>
              </w:rPr>
              <w:t>s</w:t>
            </w:r>
            <w:r w:rsidR="0048607A">
              <w:rPr>
                <w:rFonts w:ascii="Calibri" w:eastAsia="Times New Roman" w:hAnsi="Calibri" w:cs="Calibri"/>
                <w:color w:val="000000"/>
                <w:sz w:val="22"/>
                <w:szCs w:val="22"/>
                <w:lang w:eastAsia="en-AU"/>
              </w:rPr>
              <w:t xml:space="preserve"> for access to their own personal information.</w:t>
            </w:r>
            <w:r w:rsidR="00FB05AC">
              <w:rPr>
                <w:rFonts w:ascii="Calibri" w:eastAsia="Times New Roman" w:hAnsi="Calibri" w:cs="Calibri"/>
                <w:color w:val="000000"/>
                <w:sz w:val="22"/>
                <w:szCs w:val="22"/>
                <w:lang w:eastAsia="en-AU"/>
              </w:rPr>
              <w:t xml:space="preserve"> </w:t>
            </w:r>
            <w:r w:rsidR="0086505A">
              <w:rPr>
                <w:rFonts w:ascii="Calibri" w:eastAsia="Times New Roman" w:hAnsi="Calibri" w:cs="Calibri"/>
                <w:color w:val="000000"/>
                <w:sz w:val="22"/>
                <w:szCs w:val="22"/>
                <w:lang w:eastAsia="en-AU"/>
              </w:rPr>
              <w:t xml:space="preserve">A </w:t>
            </w:r>
            <w:r w:rsidR="00ED4D08">
              <w:rPr>
                <w:rFonts w:ascii="Calibri" w:eastAsia="Times New Roman" w:hAnsi="Calibri" w:cs="Calibri"/>
                <w:color w:val="000000"/>
                <w:sz w:val="22"/>
                <w:szCs w:val="22"/>
                <w:lang w:eastAsia="en-AU"/>
              </w:rPr>
              <w:t xml:space="preserve">joint decision </w:t>
            </w:r>
            <w:r w:rsidR="0086505A">
              <w:rPr>
                <w:rFonts w:ascii="Calibri" w:eastAsia="Times New Roman" w:hAnsi="Calibri" w:cs="Calibri"/>
                <w:color w:val="000000"/>
                <w:sz w:val="22"/>
                <w:szCs w:val="22"/>
                <w:lang w:eastAsia="en-AU"/>
              </w:rPr>
              <w:t xml:space="preserve">is made </w:t>
            </w:r>
            <w:r w:rsidR="00ED4D08">
              <w:rPr>
                <w:rFonts w:ascii="Calibri" w:eastAsia="Times New Roman" w:hAnsi="Calibri" w:cs="Calibri"/>
                <w:color w:val="000000"/>
                <w:sz w:val="22"/>
                <w:szCs w:val="22"/>
                <w:lang w:eastAsia="en-AU"/>
              </w:rPr>
              <w:t>on</w:t>
            </w:r>
            <w:r w:rsidR="00FB05AC">
              <w:rPr>
                <w:rFonts w:ascii="Calibri" w:eastAsia="Times New Roman" w:hAnsi="Calibri" w:cs="Calibri"/>
                <w:color w:val="000000"/>
                <w:sz w:val="22"/>
                <w:szCs w:val="22"/>
                <w:lang w:eastAsia="en-AU"/>
              </w:rPr>
              <w:t xml:space="preserve"> whether the request s</w:t>
            </w:r>
            <w:r w:rsidR="00ED4D08">
              <w:rPr>
                <w:rFonts w:ascii="Calibri" w:eastAsia="Times New Roman" w:hAnsi="Calibri" w:cs="Calibri"/>
                <w:color w:val="000000"/>
                <w:sz w:val="22"/>
                <w:szCs w:val="22"/>
                <w:lang w:eastAsia="en-AU"/>
              </w:rPr>
              <w:t>hould be handled as a FOI request or an APP 12 access request.</w:t>
            </w:r>
          </w:p>
          <w:p w14:paraId="12DC9B4F" w14:textId="411CF0E6" w:rsidR="00CE5583" w:rsidRPr="00CE5583"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Privacy Officers, supported by </w:t>
            </w:r>
            <w:r w:rsidR="00742BED">
              <w:rPr>
                <w:rFonts w:ascii="Calibri" w:eastAsia="Times New Roman" w:hAnsi="Calibri" w:cs="Calibri"/>
                <w:color w:val="000000"/>
                <w:sz w:val="22"/>
                <w:szCs w:val="22"/>
                <w:lang w:eastAsia="en-AU"/>
              </w:rPr>
              <w:t xml:space="preserve">the </w:t>
            </w:r>
            <w:r w:rsidR="0086505A">
              <w:rPr>
                <w:rFonts w:ascii="Calibri" w:eastAsia="Times New Roman" w:hAnsi="Calibri" w:cs="Calibri"/>
                <w:color w:val="000000"/>
                <w:sz w:val="22"/>
                <w:szCs w:val="22"/>
                <w:lang w:eastAsia="en-AU"/>
              </w:rPr>
              <w:t>LSB</w:t>
            </w:r>
            <w:r w:rsidRPr="00CE5583">
              <w:rPr>
                <w:rFonts w:ascii="Calibri" w:eastAsia="Times New Roman" w:hAnsi="Calibri" w:cs="Calibri"/>
                <w:color w:val="000000"/>
                <w:sz w:val="22"/>
                <w:szCs w:val="22"/>
                <w:lang w:eastAsia="en-AU"/>
              </w:rPr>
              <w:t>, continue to raise awareness across the Agency to ensure access and correction requests are handled in a consistent manner.</w:t>
            </w:r>
          </w:p>
        </w:tc>
      </w:tr>
      <w:tr w:rsidR="00CE5583" w:rsidRPr="00CE5583" w14:paraId="65392ED9" w14:textId="77777777" w:rsidTr="0033168B">
        <w:trPr>
          <w:trHeight w:val="3059"/>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6C886936"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Complaints &amp; Enquiries</w:t>
            </w:r>
          </w:p>
        </w:tc>
        <w:tc>
          <w:tcPr>
            <w:tcW w:w="2074" w:type="dxa"/>
            <w:tcBorders>
              <w:top w:val="single" w:sz="12" w:space="0" w:color="FFFFFF"/>
              <w:left w:val="single" w:sz="12" w:space="0" w:color="FFFFFF"/>
              <w:bottom w:val="single" w:sz="12" w:space="0" w:color="FFFFFF"/>
              <w:right w:val="single" w:sz="12" w:space="0" w:color="FFFFFF"/>
            </w:tcBorders>
            <w:shd w:val="clear" w:color="auto" w:fill="B7CADC" w:themeFill="accent5" w:themeFillTint="40"/>
            <w:noWrap/>
            <w:hideMark/>
          </w:tcPr>
          <w:p w14:paraId="483938B3"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2074"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5640FD13"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7620DE72" w14:textId="77777777" w:rsidR="00CE78B3" w:rsidRDefault="00CE5583" w:rsidP="00CE5583">
            <w:pPr>
              <w:spacing w:after="0"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NIAA maintains open communication channels for privacy-related complaints and enquiries (by internal or external stakeholders) through the dedicated privacy telephone line and inbox. </w:t>
            </w:r>
          </w:p>
          <w:p w14:paraId="727D0F2A" w14:textId="77777777" w:rsidR="00CE78B3" w:rsidRDefault="00CE78B3" w:rsidP="00CE5583">
            <w:pPr>
              <w:spacing w:after="0" w:line="240" w:lineRule="auto"/>
              <w:rPr>
                <w:rFonts w:ascii="Calibri" w:eastAsia="Times New Roman" w:hAnsi="Calibri" w:cs="Calibri"/>
                <w:color w:val="000000"/>
                <w:sz w:val="22"/>
                <w:szCs w:val="22"/>
                <w:lang w:eastAsia="en-AU"/>
              </w:rPr>
            </w:pPr>
          </w:p>
          <w:p w14:paraId="163997C6" w14:textId="276C9495" w:rsidR="00CE5583" w:rsidRDefault="00CE5583" w:rsidP="00CE5583">
            <w:pPr>
              <w:spacing w:after="0"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Privacy </w:t>
            </w:r>
            <w:r w:rsidR="00CE78B3">
              <w:rPr>
                <w:rFonts w:ascii="Calibri" w:eastAsia="Times New Roman" w:hAnsi="Calibri" w:cs="Calibri"/>
                <w:color w:val="000000"/>
                <w:sz w:val="22"/>
                <w:szCs w:val="22"/>
                <w:lang w:eastAsia="en-AU"/>
              </w:rPr>
              <w:t>Team</w:t>
            </w:r>
            <w:r w:rsidRPr="00CE5583">
              <w:rPr>
                <w:rFonts w:ascii="Calibri" w:eastAsia="Times New Roman" w:hAnsi="Calibri" w:cs="Calibri"/>
                <w:color w:val="000000"/>
                <w:sz w:val="22"/>
                <w:szCs w:val="22"/>
                <w:lang w:eastAsia="en-AU"/>
              </w:rPr>
              <w:t xml:space="preserve"> </w:t>
            </w:r>
            <w:r w:rsidR="00CE78B3">
              <w:rPr>
                <w:rFonts w:ascii="Calibri" w:eastAsia="Times New Roman" w:hAnsi="Calibri" w:cs="Calibri"/>
                <w:color w:val="000000"/>
                <w:sz w:val="22"/>
                <w:szCs w:val="22"/>
                <w:lang w:eastAsia="en-AU"/>
              </w:rPr>
              <w:t>has</w:t>
            </w:r>
            <w:r w:rsidRPr="00CE5583">
              <w:rPr>
                <w:rFonts w:ascii="Calibri" w:eastAsia="Times New Roman" w:hAnsi="Calibri" w:cs="Calibri"/>
                <w:color w:val="000000"/>
                <w:sz w:val="22"/>
                <w:szCs w:val="22"/>
                <w:lang w:eastAsia="en-AU"/>
              </w:rPr>
              <w:t xml:space="preserve"> develop</w:t>
            </w:r>
            <w:r w:rsidR="00CE78B3">
              <w:rPr>
                <w:rFonts w:ascii="Calibri" w:eastAsia="Times New Roman" w:hAnsi="Calibri" w:cs="Calibri"/>
                <w:color w:val="000000"/>
                <w:sz w:val="22"/>
                <w:szCs w:val="22"/>
                <w:lang w:eastAsia="en-AU"/>
              </w:rPr>
              <w:t>ed a Privacy Complaints Standard Operating Procedure</w:t>
            </w:r>
            <w:r w:rsidR="00B847A9">
              <w:rPr>
                <w:rFonts w:ascii="Calibri" w:eastAsia="Times New Roman" w:hAnsi="Calibri" w:cs="Calibri"/>
                <w:color w:val="000000"/>
                <w:sz w:val="22"/>
                <w:szCs w:val="22"/>
                <w:lang w:eastAsia="en-AU"/>
              </w:rPr>
              <w:t xml:space="preserve"> </w:t>
            </w:r>
            <w:r w:rsidR="00D816F1">
              <w:rPr>
                <w:rFonts w:ascii="Calibri" w:eastAsia="Times New Roman" w:hAnsi="Calibri" w:cs="Calibri"/>
                <w:color w:val="000000"/>
                <w:sz w:val="22"/>
                <w:szCs w:val="22"/>
                <w:lang w:eastAsia="en-AU"/>
              </w:rPr>
              <w:t>(</w:t>
            </w:r>
            <w:r w:rsidR="00391D63">
              <w:rPr>
                <w:rFonts w:ascii="Calibri" w:eastAsia="Times New Roman" w:hAnsi="Calibri" w:cs="Calibri"/>
                <w:color w:val="000000"/>
                <w:sz w:val="22"/>
                <w:szCs w:val="22"/>
                <w:lang w:eastAsia="en-AU"/>
              </w:rPr>
              <w:t xml:space="preserve">Privacy Complaints </w:t>
            </w:r>
            <w:r w:rsidR="00D816F1">
              <w:rPr>
                <w:rFonts w:ascii="Calibri" w:eastAsia="Times New Roman" w:hAnsi="Calibri" w:cs="Calibri"/>
                <w:color w:val="000000"/>
                <w:sz w:val="22"/>
                <w:szCs w:val="22"/>
                <w:lang w:eastAsia="en-AU"/>
              </w:rPr>
              <w:t xml:space="preserve">SOP) </w:t>
            </w:r>
            <w:r w:rsidR="00B847A9">
              <w:rPr>
                <w:rFonts w:ascii="Calibri" w:eastAsia="Times New Roman" w:hAnsi="Calibri" w:cs="Calibri"/>
                <w:color w:val="000000"/>
                <w:sz w:val="22"/>
                <w:szCs w:val="22"/>
                <w:lang w:eastAsia="en-AU"/>
              </w:rPr>
              <w:t xml:space="preserve">to assist </w:t>
            </w:r>
            <w:r w:rsidR="00B5375E">
              <w:rPr>
                <w:rFonts w:ascii="Calibri" w:eastAsia="Times New Roman" w:hAnsi="Calibri" w:cs="Calibri"/>
                <w:color w:val="000000"/>
                <w:sz w:val="22"/>
                <w:szCs w:val="22"/>
                <w:lang w:eastAsia="en-AU"/>
              </w:rPr>
              <w:t xml:space="preserve">Corporate and Commercial Law </w:t>
            </w:r>
            <w:r w:rsidR="00B847A9">
              <w:rPr>
                <w:rFonts w:ascii="Calibri" w:eastAsia="Times New Roman" w:hAnsi="Calibri" w:cs="Calibri"/>
                <w:color w:val="000000"/>
                <w:sz w:val="22"/>
                <w:szCs w:val="22"/>
                <w:lang w:eastAsia="en-AU"/>
              </w:rPr>
              <w:t xml:space="preserve">staff in responding to privacy complaints. </w:t>
            </w:r>
          </w:p>
          <w:p w14:paraId="3A80408D" w14:textId="27F04DDC" w:rsidR="00CE5583" w:rsidRPr="00CE5583" w:rsidRDefault="00CE5583" w:rsidP="00CE5583">
            <w:pPr>
              <w:spacing w:after="0"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br/>
              <w:t>The Privacy Officers continue to engage with the Complaints Team on client-focused approaches to support consistent complaints-handling practice at an Agency level.</w:t>
            </w:r>
          </w:p>
        </w:tc>
      </w:tr>
      <w:tr w:rsidR="00CE5583" w:rsidRPr="00CE5583" w14:paraId="5B08D1DC" w14:textId="77777777" w:rsidTr="0033168B">
        <w:trPr>
          <w:trHeight w:val="330"/>
        </w:trPr>
        <w:tc>
          <w:tcPr>
            <w:tcW w:w="6222" w:type="dxa"/>
            <w:gridSpan w:val="3"/>
            <w:tcBorders>
              <w:top w:val="single" w:sz="12" w:space="0" w:color="FFFFFF"/>
              <w:left w:val="single" w:sz="12" w:space="0" w:color="FFFFFF"/>
              <w:bottom w:val="single" w:sz="12" w:space="0" w:color="FFFFFF"/>
              <w:right w:val="single" w:sz="12" w:space="0" w:color="FFFFFF"/>
            </w:tcBorders>
            <w:shd w:val="clear" w:color="000000" w:fill="757171"/>
            <w:noWrap/>
            <w:hideMark/>
          </w:tcPr>
          <w:p w14:paraId="5DC71B90"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Element score (average of attribute scores)</w:t>
            </w:r>
          </w:p>
        </w:tc>
        <w:tc>
          <w:tcPr>
            <w:tcW w:w="7371" w:type="dxa"/>
            <w:tcBorders>
              <w:top w:val="single" w:sz="12" w:space="0" w:color="FFFFFF"/>
              <w:left w:val="nil"/>
              <w:bottom w:val="single" w:sz="12" w:space="0" w:color="FFFFFF"/>
              <w:right w:val="single" w:sz="12" w:space="0" w:color="FFFFFF"/>
            </w:tcBorders>
            <w:shd w:val="clear" w:color="000000" w:fill="757171"/>
            <w:noWrap/>
            <w:hideMark/>
          </w:tcPr>
          <w:p w14:paraId="3A795042" w14:textId="1DBCC97C"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3.</w:t>
            </w:r>
            <w:r w:rsidR="00F83C3D">
              <w:rPr>
                <w:rFonts w:ascii="Calibri" w:eastAsia="Times New Roman" w:hAnsi="Calibri" w:cs="Calibri"/>
                <w:b/>
                <w:bCs/>
                <w:color w:val="FFFFFF"/>
                <w:sz w:val="22"/>
                <w:szCs w:val="22"/>
                <w:lang w:eastAsia="en-AU"/>
              </w:rPr>
              <w:t>3</w:t>
            </w:r>
            <w:r w:rsidRPr="00CE5583">
              <w:rPr>
                <w:rFonts w:ascii="Calibri" w:eastAsia="Times New Roman" w:hAnsi="Calibri" w:cs="Calibri"/>
                <w:b/>
                <w:bCs/>
                <w:color w:val="FFFFFF"/>
                <w:sz w:val="22"/>
                <w:szCs w:val="22"/>
                <w:lang w:eastAsia="en-AU"/>
              </w:rPr>
              <w:t xml:space="preserve"> / 4 (Defined)</w:t>
            </w:r>
          </w:p>
        </w:tc>
      </w:tr>
    </w:tbl>
    <w:p w14:paraId="6E9CBCEF" w14:textId="77777777" w:rsidR="00DA0AFA" w:rsidRDefault="00DA0AFA"/>
    <w:p w14:paraId="0ED96539" w14:textId="77777777" w:rsidR="00DA0AFA" w:rsidRDefault="00DA0AFA">
      <w:r>
        <w:br w:type="page"/>
      </w:r>
    </w:p>
    <w:p w14:paraId="450D007E" w14:textId="72F1ABAE" w:rsidR="00DA0AFA" w:rsidRPr="001F5D76" w:rsidRDefault="00DA0AFA" w:rsidP="00DA0AFA">
      <w:pPr>
        <w:pStyle w:val="BodyText"/>
        <w:rPr>
          <w:rFonts w:asciiTheme="majorHAnsi" w:eastAsiaTheme="majorEastAsia" w:hAnsiTheme="majorHAnsi" w:cstheme="majorBidi"/>
          <w:color w:val="2A4055" w:themeColor="accent1"/>
          <w:sz w:val="36"/>
          <w:szCs w:val="36"/>
        </w:rPr>
      </w:pPr>
      <w:r>
        <w:rPr>
          <w:rFonts w:asciiTheme="majorHAnsi" w:eastAsiaTheme="majorEastAsia" w:hAnsiTheme="majorHAnsi" w:cstheme="majorBidi"/>
          <w:color w:val="2A4055" w:themeColor="accent1"/>
          <w:sz w:val="36"/>
          <w:szCs w:val="36"/>
        </w:rPr>
        <w:lastRenderedPageBreak/>
        <w:t>Risk and Assurance</w:t>
      </w:r>
    </w:p>
    <w:tbl>
      <w:tblPr>
        <w:tblW w:w="13593" w:type="dxa"/>
        <w:tblLayout w:type="fixed"/>
        <w:tblLook w:val="04A0" w:firstRow="1" w:lastRow="0" w:firstColumn="1" w:lastColumn="0" w:noHBand="0" w:noVBand="1"/>
      </w:tblPr>
      <w:tblGrid>
        <w:gridCol w:w="2074"/>
        <w:gridCol w:w="2074"/>
        <w:gridCol w:w="2074"/>
        <w:gridCol w:w="7371"/>
      </w:tblGrid>
      <w:tr w:rsidR="00CE5583" w:rsidRPr="00CE5583" w14:paraId="448E8255" w14:textId="77777777" w:rsidTr="0033168B">
        <w:trPr>
          <w:trHeight w:val="345"/>
          <w:tblHeader/>
        </w:trPr>
        <w:tc>
          <w:tcPr>
            <w:tcW w:w="13593" w:type="dxa"/>
            <w:gridSpan w:val="4"/>
            <w:tcBorders>
              <w:top w:val="single" w:sz="12" w:space="0" w:color="FFFFFF"/>
              <w:left w:val="single" w:sz="12" w:space="0" w:color="FFFFFF"/>
              <w:bottom w:val="single" w:sz="12" w:space="0" w:color="FFFFFF"/>
              <w:right w:val="single" w:sz="12" w:space="0" w:color="FFFFFF"/>
            </w:tcBorders>
            <w:shd w:val="clear" w:color="000000" w:fill="757171"/>
            <w:noWrap/>
            <w:hideMark/>
          </w:tcPr>
          <w:p w14:paraId="1DE3BB20" w14:textId="63C93394" w:rsidR="00CE5583" w:rsidRPr="00CE5583" w:rsidRDefault="00DA0AFA" w:rsidP="00CE5583">
            <w:pPr>
              <w:spacing w:after="0" w:line="240" w:lineRule="auto"/>
              <w:jc w:val="center"/>
              <w:rPr>
                <w:rFonts w:ascii="Calibri" w:eastAsia="Times New Roman" w:hAnsi="Calibri" w:cs="Calibri"/>
                <w:b/>
                <w:bCs/>
                <w:color w:val="FFFFFF"/>
                <w:sz w:val="24"/>
                <w:szCs w:val="24"/>
                <w:lang w:eastAsia="en-AU"/>
              </w:rPr>
            </w:pPr>
            <w:r w:rsidRPr="00A52420">
              <w:rPr>
                <w:color w:val="FFFFFF" w:themeColor="background1"/>
              </w:rPr>
              <w:t>i</w:t>
            </w:r>
            <w:r w:rsidR="00CE5583" w:rsidRPr="00CE5583">
              <w:rPr>
                <w:rFonts w:ascii="Calibri" w:eastAsia="Times New Roman" w:hAnsi="Calibri" w:cs="Calibri"/>
                <w:b/>
                <w:bCs/>
                <w:color w:val="FFFFFF"/>
                <w:sz w:val="24"/>
                <w:szCs w:val="24"/>
                <w:lang w:eastAsia="en-AU"/>
              </w:rPr>
              <w:t>Risk &amp; Assurance</w:t>
            </w:r>
          </w:p>
        </w:tc>
      </w:tr>
      <w:tr w:rsidR="00CE5583" w:rsidRPr="00CE5583" w14:paraId="39998BD1" w14:textId="77777777" w:rsidTr="0033168B">
        <w:trPr>
          <w:trHeight w:val="330"/>
          <w:tblHeader/>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2A2ACA33"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Attribute</w:t>
            </w:r>
          </w:p>
        </w:tc>
        <w:tc>
          <w:tcPr>
            <w:tcW w:w="2074" w:type="dxa"/>
            <w:tcBorders>
              <w:top w:val="single" w:sz="12" w:space="0" w:color="FFFFFF"/>
              <w:left w:val="nil"/>
              <w:bottom w:val="single" w:sz="12" w:space="0" w:color="FFFFFF"/>
              <w:right w:val="single" w:sz="12" w:space="0" w:color="FFFFFF"/>
            </w:tcBorders>
            <w:shd w:val="clear" w:color="000000" w:fill="757171"/>
            <w:noWrap/>
            <w:hideMark/>
          </w:tcPr>
          <w:p w14:paraId="469BDFC4"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Current Level</w:t>
            </w:r>
          </w:p>
        </w:tc>
        <w:tc>
          <w:tcPr>
            <w:tcW w:w="2074" w:type="dxa"/>
            <w:tcBorders>
              <w:top w:val="single" w:sz="12" w:space="0" w:color="FFFFFF"/>
              <w:left w:val="nil"/>
              <w:bottom w:val="single" w:sz="12" w:space="0" w:color="FFFFFF"/>
              <w:right w:val="single" w:sz="12" w:space="0" w:color="FFFFFF"/>
            </w:tcBorders>
            <w:shd w:val="clear" w:color="000000" w:fill="757171"/>
            <w:noWrap/>
            <w:hideMark/>
          </w:tcPr>
          <w:p w14:paraId="64E448DA"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Target Level</w:t>
            </w:r>
          </w:p>
        </w:tc>
        <w:tc>
          <w:tcPr>
            <w:tcW w:w="7371" w:type="dxa"/>
            <w:tcBorders>
              <w:top w:val="single" w:sz="12" w:space="0" w:color="FFFFFF"/>
              <w:left w:val="nil"/>
              <w:bottom w:val="single" w:sz="12" w:space="0" w:color="FFFFFF"/>
              <w:right w:val="single" w:sz="12" w:space="0" w:color="FFFFFF"/>
            </w:tcBorders>
            <w:shd w:val="clear" w:color="000000" w:fill="757171"/>
            <w:noWrap/>
            <w:hideMark/>
          </w:tcPr>
          <w:p w14:paraId="24CBCD8E"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Rationale/Commentary</w:t>
            </w:r>
          </w:p>
        </w:tc>
      </w:tr>
      <w:tr w:rsidR="00CE5583" w:rsidRPr="00CE5583" w14:paraId="6F1E4EC5" w14:textId="77777777" w:rsidTr="0033168B">
        <w:trPr>
          <w:trHeight w:val="3005"/>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5295927D"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Risk Identification &amp; Assessment</w:t>
            </w:r>
          </w:p>
        </w:tc>
        <w:tc>
          <w:tcPr>
            <w:tcW w:w="2074" w:type="dxa"/>
            <w:tcBorders>
              <w:top w:val="single" w:sz="12" w:space="0" w:color="FFFFFF"/>
              <w:left w:val="single" w:sz="12" w:space="0" w:color="FFFFFF"/>
              <w:bottom w:val="single" w:sz="12" w:space="0" w:color="FFFFFF"/>
              <w:right w:val="single" w:sz="12" w:space="0" w:color="FFFFFF"/>
            </w:tcBorders>
            <w:shd w:val="clear" w:color="000000" w:fill="B7CADC" w:themeFill="accent5" w:themeFillTint="40"/>
            <w:noWrap/>
            <w:hideMark/>
          </w:tcPr>
          <w:p w14:paraId="4F219CC7"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2074" w:type="dxa"/>
            <w:tcBorders>
              <w:top w:val="single" w:sz="12" w:space="0" w:color="FFFFFF"/>
              <w:left w:val="single" w:sz="12" w:space="0" w:color="FFFFFF"/>
              <w:bottom w:val="single" w:sz="12" w:space="0" w:color="FFFFFF"/>
              <w:right w:val="single" w:sz="12" w:space="0" w:color="FFFFFF"/>
            </w:tcBorders>
            <w:shd w:val="clear" w:color="000000" w:fill="B7CADC" w:themeFill="accent5" w:themeFillTint="40"/>
            <w:noWrap/>
            <w:hideMark/>
          </w:tcPr>
          <w:p w14:paraId="57885030"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79CCA204" w14:textId="77777777" w:rsidR="005560CC" w:rsidRDefault="00CE5583" w:rsidP="005560CC">
            <w:pPr>
              <w:spacing w:line="240" w:lineRule="auto"/>
              <w:rPr>
                <w:rFonts w:ascii="Calibri" w:eastAsia="Times New Roman" w:hAnsi="Calibri" w:cs="Calibri"/>
                <w:color w:val="000000"/>
                <w:sz w:val="22"/>
                <w:szCs w:val="22"/>
                <w:lang w:eastAsia="en-AU"/>
              </w:rPr>
            </w:pPr>
            <w:bookmarkStart w:id="9" w:name="RANGE!K67:Q69"/>
            <w:r w:rsidRPr="00CE5583">
              <w:rPr>
                <w:rFonts w:ascii="Calibri" w:eastAsia="Times New Roman" w:hAnsi="Calibri" w:cs="Calibri"/>
                <w:color w:val="000000"/>
                <w:sz w:val="22"/>
                <w:szCs w:val="22"/>
                <w:lang w:eastAsia="en-AU"/>
              </w:rPr>
              <w:t>The NIAA has integrated information security into its wider risk management framework. Information security controls are embedded into the Agency's processes and systems (including the ways staff can send, store and access emails and documents). A range of related information security policies and guidelines are accessible to all staff (such as PM&amp;C's Security Policy Framework and Information Management Policy).</w:t>
            </w:r>
          </w:p>
          <w:p w14:paraId="536FF4A4" w14:textId="6EEC4980" w:rsidR="00A026FA"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Privacy risks are proactive identified and responded to using the PIA threshold assessment (PTA) process, and through annual review of privacy information </w:t>
            </w:r>
            <w:r w:rsidR="00940B0D">
              <w:rPr>
                <w:rFonts w:ascii="Calibri" w:eastAsia="Times New Roman" w:hAnsi="Calibri" w:cs="Calibri"/>
                <w:color w:val="000000"/>
                <w:sz w:val="22"/>
                <w:szCs w:val="22"/>
                <w:lang w:eastAsia="en-AU"/>
              </w:rPr>
              <w:t xml:space="preserve">and governance </w:t>
            </w:r>
            <w:r w:rsidRPr="00CE5583">
              <w:rPr>
                <w:rFonts w:ascii="Calibri" w:eastAsia="Times New Roman" w:hAnsi="Calibri" w:cs="Calibri"/>
                <w:color w:val="000000"/>
                <w:sz w:val="22"/>
                <w:szCs w:val="22"/>
                <w:lang w:eastAsia="en-AU"/>
              </w:rPr>
              <w:t>(data breaches, enquiries, complaints and requests for advice).</w:t>
            </w:r>
            <w:bookmarkEnd w:id="9"/>
          </w:p>
          <w:p w14:paraId="7B290128" w14:textId="43F9C1BA" w:rsidR="00A026FA" w:rsidRPr="00CE5583" w:rsidRDefault="00D733B2" w:rsidP="005560CC">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T</w:t>
            </w:r>
            <w:r w:rsidR="00A026FA">
              <w:rPr>
                <w:rFonts w:ascii="Calibri" w:eastAsia="Times New Roman" w:hAnsi="Calibri" w:cs="Calibri"/>
                <w:color w:val="000000"/>
                <w:sz w:val="22"/>
                <w:szCs w:val="22"/>
                <w:lang w:eastAsia="en-AU"/>
              </w:rPr>
              <w:t xml:space="preserve">he </w:t>
            </w:r>
            <w:r>
              <w:rPr>
                <w:rFonts w:ascii="Calibri" w:eastAsia="Times New Roman" w:hAnsi="Calibri" w:cs="Calibri"/>
                <w:color w:val="000000"/>
                <w:sz w:val="22"/>
                <w:szCs w:val="22"/>
                <w:lang w:eastAsia="en-AU"/>
              </w:rPr>
              <w:t xml:space="preserve">NIAA’s </w:t>
            </w:r>
            <w:r w:rsidR="00E553EA">
              <w:rPr>
                <w:rFonts w:ascii="Calibri" w:eastAsia="Times New Roman" w:hAnsi="Calibri" w:cs="Calibri"/>
                <w:color w:val="000000"/>
                <w:sz w:val="22"/>
                <w:szCs w:val="22"/>
                <w:lang w:eastAsia="en-AU"/>
              </w:rPr>
              <w:t xml:space="preserve">Audit and Assurance </w:t>
            </w:r>
            <w:r>
              <w:rPr>
                <w:rFonts w:ascii="Calibri" w:eastAsia="Times New Roman" w:hAnsi="Calibri" w:cs="Calibri"/>
                <w:color w:val="000000"/>
                <w:sz w:val="22"/>
                <w:szCs w:val="22"/>
                <w:lang w:eastAsia="en-AU"/>
              </w:rPr>
              <w:t>team are conducting</w:t>
            </w:r>
            <w:r w:rsidR="00E553EA">
              <w:rPr>
                <w:rFonts w:ascii="Calibri" w:eastAsia="Times New Roman" w:hAnsi="Calibri" w:cs="Calibri"/>
                <w:color w:val="000000"/>
                <w:sz w:val="22"/>
                <w:szCs w:val="22"/>
                <w:lang w:eastAsia="en-AU"/>
              </w:rPr>
              <w:t xml:space="preserve"> a</w:t>
            </w:r>
            <w:r>
              <w:rPr>
                <w:rFonts w:ascii="Calibri" w:eastAsia="Times New Roman" w:hAnsi="Calibri" w:cs="Calibri"/>
                <w:color w:val="000000"/>
                <w:sz w:val="22"/>
                <w:szCs w:val="22"/>
                <w:lang w:eastAsia="en-AU"/>
              </w:rPr>
              <w:t>n</w:t>
            </w:r>
            <w:r w:rsidR="00E553EA">
              <w:rPr>
                <w:rFonts w:ascii="Calibri" w:eastAsia="Times New Roman" w:hAnsi="Calibri" w:cs="Calibri"/>
                <w:color w:val="000000"/>
                <w:sz w:val="22"/>
                <w:szCs w:val="22"/>
                <w:lang w:eastAsia="en-AU"/>
              </w:rPr>
              <w:t xml:space="preserve"> audit</w:t>
            </w:r>
            <w:r>
              <w:rPr>
                <w:rFonts w:ascii="Calibri" w:eastAsia="Times New Roman" w:hAnsi="Calibri" w:cs="Calibri"/>
                <w:color w:val="000000"/>
                <w:sz w:val="22"/>
                <w:szCs w:val="22"/>
                <w:lang w:eastAsia="en-AU"/>
              </w:rPr>
              <w:t xml:space="preserve"> of the Agency’s management of </w:t>
            </w:r>
            <w:r w:rsidR="004B66C3">
              <w:rPr>
                <w:rFonts w:ascii="Calibri" w:eastAsia="Times New Roman" w:hAnsi="Calibri" w:cs="Calibri"/>
                <w:color w:val="000000"/>
                <w:sz w:val="22"/>
                <w:szCs w:val="22"/>
                <w:lang w:eastAsia="en-AU"/>
              </w:rPr>
              <w:t>privac</w:t>
            </w:r>
            <w:r w:rsidR="00231BA3">
              <w:rPr>
                <w:rFonts w:ascii="Calibri" w:eastAsia="Times New Roman" w:hAnsi="Calibri" w:cs="Calibri"/>
                <w:color w:val="000000"/>
                <w:sz w:val="22"/>
                <w:szCs w:val="22"/>
                <w:lang w:eastAsia="en-AU"/>
              </w:rPr>
              <w:t>y</w:t>
            </w:r>
            <w:r w:rsidR="004B66C3">
              <w:rPr>
                <w:rFonts w:ascii="Calibri" w:eastAsia="Times New Roman" w:hAnsi="Calibri" w:cs="Calibri"/>
                <w:color w:val="000000"/>
                <w:sz w:val="22"/>
                <w:szCs w:val="22"/>
                <w:lang w:eastAsia="en-AU"/>
              </w:rPr>
              <w:t xml:space="preserve"> </w:t>
            </w:r>
            <w:r w:rsidR="00231BA3">
              <w:rPr>
                <w:rFonts w:ascii="Calibri" w:eastAsia="Times New Roman" w:hAnsi="Calibri" w:cs="Calibri"/>
                <w:color w:val="000000"/>
                <w:sz w:val="22"/>
                <w:szCs w:val="22"/>
                <w:lang w:eastAsia="en-AU"/>
              </w:rPr>
              <w:t>risks and their impacts on the NIAA’s</w:t>
            </w:r>
            <w:r w:rsidR="00797DE0">
              <w:rPr>
                <w:rFonts w:ascii="Calibri" w:eastAsia="Times New Roman" w:hAnsi="Calibri" w:cs="Calibri"/>
                <w:color w:val="000000"/>
                <w:sz w:val="22"/>
                <w:szCs w:val="22"/>
                <w:lang w:eastAsia="en-AU"/>
              </w:rPr>
              <w:t xml:space="preserve"> relationships and influence, </w:t>
            </w:r>
            <w:r w:rsidR="00CF551C">
              <w:rPr>
                <w:rFonts w:ascii="Calibri" w:eastAsia="Times New Roman" w:hAnsi="Calibri" w:cs="Calibri"/>
                <w:color w:val="000000"/>
                <w:sz w:val="22"/>
                <w:szCs w:val="22"/>
                <w:lang w:eastAsia="en-AU"/>
              </w:rPr>
              <w:t>people and capability</w:t>
            </w:r>
            <w:r w:rsidR="00550444">
              <w:rPr>
                <w:rFonts w:ascii="Calibri" w:eastAsia="Times New Roman" w:hAnsi="Calibri" w:cs="Calibri"/>
                <w:color w:val="000000"/>
                <w:sz w:val="22"/>
                <w:szCs w:val="22"/>
                <w:lang w:eastAsia="en-AU"/>
              </w:rPr>
              <w:t xml:space="preserve"> and information and records management.</w:t>
            </w:r>
          </w:p>
        </w:tc>
      </w:tr>
      <w:tr w:rsidR="00CE5583" w:rsidRPr="00CE5583" w14:paraId="5B585696" w14:textId="77777777" w:rsidTr="0033168B">
        <w:trPr>
          <w:trHeight w:val="649"/>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78C0C37D"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 xml:space="preserve">Reporting &amp; Escalation </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16189038"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476166EC"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036969B7" w14:textId="77777777" w:rsidR="00130F7A" w:rsidRDefault="00CE5583" w:rsidP="00130F7A">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Reporting lines are defined and documented. Privacy risks, issues and incidents are escalated to Executive. Mechanisms for reporting and escalating privacy issues is generally understood across the agency. </w:t>
            </w:r>
          </w:p>
          <w:p w14:paraId="4AE9D9CF" w14:textId="24E51528" w:rsidR="00550444" w:rsidRDefault="00770FB1" w:rsidP="00130F7A">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L</w:t>
            </w:r>
            <w:r w:rsidR="00D733B2">
              <w:rPr>
                <w:rFonts w:ascii="Calibri" w:eastAsia="Times New Roman" w:hAnsi="Calibri" w:cs="Calibri"/>
                <w:color w:val="000000"/>
                <w:sz w:val="22"/>
                <w:szCs w:val="22"/>
                <w:lang w:eastAsia="en-AU"/>
              </w:rPr>
              <w:t xml:space="preserve">egal </w:t>
            </w:r>
            <w:r>
              <w:rPr>
                <w:rFonts w:ascii="Calibri" w:eastAsia="Times New Roman" w:hAnsi="Calibri" w:cs="Calibri"/>
                <w:color w:val="000000"/>
                <w:sz w:val="22"/>
                <w:szCs w:val="22"/>
                <w:lang w:eastAsia="en-AU"/>
              </w:rPr>
              <w:t>S</w:t>
            </w:r>
            <w:r w:rsidR="00D733B2">
              <w:rPr>
                <w:rFonts w:ascii="Calibri" w:eastAsia="Times New Roman" w:hAnsi="Calibri" w:cs="Calibri"/>
                <w:color w:val="000000"/>
                <w:sz w:val="22"/>
                <w:szCs w:val="22"/>
                <w:lang w:eastAsia="en-AU"/>
              </w:rPr>
              <w:t xml:space="preserve">ervices </w:t>
            </w:r>
            <w:r>
              <w:rPr>
                <w:rFonts w:ascii="Calibri" w:eastAsia="Times New Roman" w:hAnsi="Calibri" w:cs="Calibri"/>
                <w:color w:val="000000"/>
                <w:sz w:val="22"/>
                <w:szCs w:val="22"/>
                <w:lang w:eastAsia="en-AU"/>
              </w:rPr>
              <w:t>B</w:t>
            </w:r>
            <w:r w:rsidR="00D733B2">
              <w:rPr>
                <w:rFonts w:ascii="Calibri" w:eastAsia="Times New Roman" w:hAnsi="Calibri" w:cs="Calibri"/>
                <w:color w:val="000000"/>
                <w:sz w:val="22"/>
                <w:szCs w:val="22"/>
                <w:lang w:eastAsia="en-AU"/>
              </w:rPr>
              <w:t>ranch (LSB)</w:t>
            </w:r>
            <w:r w:rsidR="00CE5583" w:rsidRPr="00CE5583">
              <w:rPr>
                <w:rFonts w:ascii="Calibri" w:eastAsia="Times New Roman" w:hAnsi="Calibri" w:cs="Calibri"/>
                <w:color w:val="000000"/>
                <w:sz w:val="22"/>
                <w:szCs w:val="22"/>
                <w:lang w:eastAsia="en-AU"/>
              </w:rPr>
              <w:t xml:space="preserve"> briefs the Privacy Champion annually on privacy. This is to ensure the Privacy Champion is supported to brief the CEO on Privacy annually (including in relation to the </w:t>
            </w:r>
            <w:r w:rsidR="009E49DE">
              <w:rPr>
                <w:rFonts w:ascii="Calibri" w:eastAsia="Times New Roman" w:hAnsi="Calibri" w:cs="Calibri"/>
                <w:color w:val="000000"/>
                <w:sz w:val="22"/>
                <w:szCs w:val="22"/>
                <w:lang w:eastAsia="en-AU"/>
              </w:rPr>
              <w:t>Privacy annual report</w:t>
            </w:r>
            <w:r w:rsidR="00CE5583" w:rsidRPr="00CE5583">
              <w:rPr>
                <w:rFonts w:ascii="Calibri" w:eastAsia="Times New Roman" w:hAnsi="Calibri" w:cs="Calibri"/>
                <w:color w:val="000000"/>
                <w:sz w:val="22"/>
                <w:szCs w:val="22"/>
                <w:lang w:eastAsia="en-AU"/>
              </w:rPr>
              <w:t>, privacy case load trends and PIAs conducted). Privacy Officer</w:t>
            </w:r>
            <w:r w:rsidR="00D733B2">
              <w:rPr>
                <w:rFonts w:ascii="Calibri" w:eastAsia="Times New Roman" w:hAnsi="Calibri" w:cs="Calibri"/>
                <w:color w:val="000000"/>
                <w:sz w:val="22"/>
                <w:szCs w:val="22"/>
                <w:lang w:eastAsia="en-AU"/>
              </w:rPr>
              <w:t>s</w:t>
            </w:r>
            <w:r w:rsidR="00CE5583" w:rsidRPr="00CE5583">
              <w:rPr>
                <w:rFonts w:ascii="Calibri" w:eastAsia="Times New Roman" w:hAnsi="Calibri" w:cs="Calibri"/>
                <w:color w:val="000000"/>
                <w:sz w:val="22"/>
                <w:szCs w:val="22"/>
                <w:lang w:eastAsia="en-AU"/>
              </w:rPr>
              <w:t xml:space="preserve"> and </w:t>
            </w:r>
            <w:r>
              <w:rPr>
                <w:rFonts w:ascii="Calibri" w:eastAsia="Times New Roman" w:hAnsi="Calibri" w:cs="Calibri"/>
                <w:color w:val="000000"/>
                <w:sz w:val="22"/>
                <w:szCs w:val="22"/>
                <w:lang w:eastAsia="en-AU"/>
              </w:rPr>
              <w:t>LSB</w:t>
            </w:r>
            <w:r w:rsidRPr="00CE5583">
              <w:rPr>
                <w:rFonts w:ascii="Calibri" w:eastAsia="Times New Roman" w:hAnsi="Calibri" w:cs="Calibri"/>
                <w:color w:val="000000"/>
                <w:sz w:val="22"/>
                <w:szCs w:val="22"/>
                <w:lang w:eastAsia="en-AU"/>
              </w:rPr>
              <w:t xml:space="preserve"> </w:t>
            </w:r>
            <w:r w:rsidR="00CE5583" w:rsidRPr="00CE5583">
              <w:rPr>
                <w:rFonts w:ascii="Calibri" w:eastAsia="Times New Roman" w:hAnsi="Calibri" w:cs="Calibri"/>
                <w:color w:val="000000"/>
                <w:sz w:val="22"/>
                <w:szCs w:val="22"/>
                <w:lang w:eastAsia="en-AU"/>
              </w:rPr>
              <w:t xml:space="preserve">provide regular updates to the Chief Lawyer on privacy related casework and privacy management priorities. </w:t>
            </w:r>
          </w:p>
          <w:p w14:paraId="373608DE" w14:textId="77777777" w:rsidR="00F9519A" w:rsidRDefault="00550444" w:rsidP="00130F7A">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The </w:t>
            </w:r>
            <w:r w:rsidR="00D733B2">
              <w:rPr>
                <w:rFonts w:ascii="Calibri" w:eastAsia="Times New Roman" w:hAnsi="Calibri" w:cs="Calibri"/>
                <w:color w:val="000000"/>
                <w:sz w:val="22"/>
                <w:szCs w:val="22"/>
                <w:lang w:eastAsia="en-AU"/>
              </w:rPr>
              <w:t xml:space="preserve">documented </w:t>
            </w:r>
            <w:r>
              <w:rPr>
                <w:rFonts w:ascii="Calibri" w:eastAsia="Times New Roman" w:hAnsi="Calibri" w:cs="Calibri"/>
                <w:color w:val="000000"/>
                <w:sz w:val="22"/>
                <w:szCs w:val="22"/>
                <w:lang w:eastAsia="en-AU"/>
              </w:rPr>
              <w:t xml:space="preserve">Privacy Complaints </w:t>
            </w:r>
            <w:r w:rsidR="00D733B2">
              <w:rPr>
                <w:rFonts w:ascii="Calibri" w:eastAsia="Times New Roman" w:hAnsi="Calibri" w:cs="Calibri"/>
                <w:color w:val="000000"/>
                <w:sz w:val="22"/>
                <w:szCs w:val="22"/>
                <w:lang w:eastAsia="en-AU"/>
              </w:rPr>
              <w:t>process</w:t>
            </w:r>
            <w:r>
              <w:rPr>
                <w:rFonts w:ascii="Calibri" w:eastAsia="Times New Roman" w:hAnsi="Calibri" w:cs="Calibri"/>
                <w:color w:val="000000"/>
                <w:sz w:val="22"/>
                <w:szCs w:val="22"/>
                <w:lang w:eastAsia="en-AU"/>
              </w:rPr>
              <w:t xml:space="preserve"> provides</w:t>
            </w:r>
            <w:r w:rsidR="0066475A">
              <w:rPr>
                <w:rFonts w:ascii="Calibri" w:eastAsia="Times New Roman" w:hAnsi="Calibri" w:cs="Calibri"/>
                <w:color w:val="000000"/>
                <w:sz w:val="22"/>
                <w:szCs w:val="22"/>
                <w:lang w:eastAsia="en-AU"/>
              </w:rPr>
              <w:t xml:space="preserve"> guidance on </w:t>
            </w:r>
            <w:r w:rsidR="005C62EC">
              <w:rPr>
                <w:rFonts w:ascii="Calibri" w:eastAsia="Times New Roman" w:hAnsi="Calibri" w:cs="Calibri"/>
                <w:color w:val="000000"/>
                <w:sz w:val="22"/>
                <w:szCs w:val="22"/>
                <w:lang w:eastAsia="en-AU"/>
              </w:rPr>
              <w:t>reporting expectations</w:t>
            </w:r>
            <w:r w:rsidR="004830F6">
              <w:rPr>
                <w:rFonts w:ascii="Calibri" w:eastAsia="Times New Roman" w:hAnsi="Calibri" w:cs="Calibri"/>
                <w:color w:val="000000"/>
                <w:sz w:val="22"/>
                <w:szCs w:val="22"/>
                <w:lang w:eastAsia="en-AU"/>
              </w:rPr>
              <w:t xml:space="preserve"> for privacy complaints</w:t>
            </w:r>
            <w:r w:rsidR="005C62EC">
              <w:rPr>
                <w:rFonts w:ascii="Calibri" w:eastAsia="Times New Roman" w:hAnsi="Calibri" w:cs="Calibri"/>
                <w:color w:val="000000"/>
                <w:sz w:val="22"/>
                <w:szCs w:val="22"/>
                <w:lang w:eastAsia="en-AU"/>
              </w:rPr>
              <w:t>.</w:t>
            </w:r>
          </w:p>
          <w:p w14:paraId="16B29059" w14:textId="4AFBC15E" w:rsidR="00CE5583" w:rsidRPr="00CE5583" w:rsidRDefault="00CE5583" w:rsidP="00130F7A">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Privacy Officers raise awareness with </w:t>
            </w:r>
            <w:r w:rsidR="00D733B2">
              <w:rPr>
                <w:rFonts w:ascii="Calibri" w:eastAsia="Times New Roman" w:hAnsi="Calibri" w:cs="Calibri"/>
                <w:color w:val="000000"/>
                <w:sz w:val="22"/>
                <w:szCs w:val="22"/>
                <w:lang w:eastAsia="en-AU"/>
              </w:rPr>
              <w:t xml:space="preserve">NIAA </w:t>
            </w:r>
            <w:r w:rsidRPr="00CE5583">
              <w:rPr>
                <w:rFonts w:ascii="Calibri" w:eastAsia="Times New Roman" w:hAnsi="Calibri" w:cs="Calibri"/>
                <w:color w:val="000000"/>
                <w:sz w:val="22"/>
                <w:szCs w:val="22"/>
                <w:lang w:eastAsia="en-AU"/>
              </w:rPr>
              <w:t>staff to ensure that they understand the thresholds for escalation of privacy risks, issues, incidents and complaints (including data breaches).</w:t>
            </w:r>
          </w:p>
        </w:tc>
      </w:tr>
      <w:tr w:rsidR="00CE5583" w:rsidRPr="00CE5583" w14:paraId="0EC460B2" w14:textId="77777777" w:rsidTr="0033168B">
        <w:trPr>
          <w:trHeight w:val="3685"/>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66FE916E"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lastRenderedPageBreak/>
              <w:t>Assurance Model</w:t>
            </w:r>
          </w:p>
        </w:tc>
        <w:tc>
          <w:tcPr>
            <w:tcW w:w="2074" w:type="dxa"/>
            <w:tcBorders>
              <w:top w:val="single" w:sz="12" w:space="0" w:color="FFFFFF"/>
              <w:left w:val="single" w:sz="12" w:space="0" w:color="FFFFFF"/>
              <w:bottom w:val="single" w:sz="12" w:space="0" w:color="FFFFFF"/>
              <w:right w:val="single" w:sz="12" w:space="0" w:color="FFFFFF"/>
            </w:tcBorders>
            <w:shd w:val="clear" w:color="auto" w:fill="B7CADC" w:themeFill="accent5" w:themeFillTint="40"/>
            <w:noWrap/>
            <w:hideMark/>
          </w:tcPr>
          <w:p w14:paraId="4F1E1A1A" w14:textId="77777777" w:rsidR="00CE5583" w:rsidRPr="00CE5583" w:rsidRDefault="00CE5583" w:rsidP="00CE5583">
            <w:pPr>
              <w:spacing w:after="0" w:line="240" w:lineRule="auto"/>
              <w:jc w:val="center"/>
              <w:rPr>
                <w:rFonts w:ascii="Calibri" w:eastAsia="Times New Roman" w:hAnsi="Calibri" w:cs="Calibri"/>
                <w:b/>
                <w:bCs/>
                <w:color w:val="000000"/>
                <w:sz w:val="22"/>
                <w:szCs w:val="22"/>
                <w:lang w:eastAsia="en-AU"/>
              </w:rPr>
            </w:pPr>
            <w:r w:rsidRPr="00CE5583">
              <w:rPr>
                <w:rFonts w:ascii="Calibri" w:eastAsia="Times New Roman" w:hAnsi="Calibri" w:cs="Calibri"/>
                <w:b/>
                <w:bCs/>
                <w:color w:val="000000"/>
                <w:sz w:val="22"/>
                <w:szCs w:val="22"/>
                <w:lang w:eastAsia="en-AU"/>
              </w:rPr>
              <w:t>Defined</w:t>
            </w:r>
          </w:p>
        </w:tc>
        <w:tc>
          <w:tcPr>
            <w:tcW w:w="2074" w:type="dxa"/>
            <w:tcBorders>
              <w:top w:val="single" w:sz="12" w:space="0" w:color="FFFFFF"/>
              <w:left w:val="single" w:sz="12" w:space="0" w:color="FFFFFF"/>
              <w:bottom w:val="single" w:sz="12" w:space="0" w:color="FFFFFF"/>
              <w:right w:val="single" w:sz="12" w:space="0" w:color="FFFFFF"/>
            </w:tcBorders>
            <w:shd w:val="clear" w:color="auto" w:fill="336699"/>
            <w:noWrap/>
            <w:hideMark/>
          </w:tcPr>
          <w:p w14:paraId="50DC3BEC"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76525C45" w14:textId="77777777" w:rsidR="005560CC"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Privacy assurance activities occur in the development and review of this privacy management </w:t>
            </w:r>
            <w:r w:rsidR="004E5786" w:rsidRPr="00CE5583">
              <w:rPr>
                <w:rFonts w:ascii="Calibri" w:eastAsia="Times New Roman" w:hAnsi="Calibri" w:cs="Calibri"/>
                <w:color w:val="000000"/>
                <w:sz w:val="22"/>
                <w:szCs w:val="22"/>
                <w:lang w:eastAsia="en-AU"/>
              </w:rPr>
              <w:t>plan and</w:t>
            </w:r>
            <w:r w:rsidRPr="00CE5583">
              <w:rPr>
                <w:rFonts w:ascii="Calibri" w:eastAsia="Times New Roman" w:hAnsi="Calibri" w:cs="Calibri"/>
                <w:color w:val="000000"/>
                <w:sz w:val="22"/>
                <w:szCs w:val="22"/>
                <w:lang w:eastAsia="en-AU"/>
              </w:rPr>
              <w:t xml:space="preserve"> creating governance processes for </w:t>
            </w:r>
            <w:r w:rsidR="004064A6">
              <w:rPr>
                <w:rFonts w:ascii="Calibri" w:eastAsia="Times New Roman" w:hAnsi="Calibri" w:cs="Calibri"/>
                <w:color w:val="000000"/>
                <w:sz w:val="22"/>
                <w:szCs w:val="22"/>
                <w:lang w:eastAsia="en-AU"/>
              </w:rPr>
              <w:t>the Legal Services Branch</w:t>
            </w:r>
            <w:r w:rsidR="004064A6" w:rsidRPr="00CE5583">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to ensure privacy activities and processes are understood and implemented. Privacy risks and identified and managed through delivering privacy advice and when responding to data breach incidents, including through maintaining a data breach register and PTA/PIA register.</w:t>
            </w:r>
          </w:p>
          <w:p w14:paraId="2BF3BCD4" w14:textId="699AE50F" w:rsidR="00CE5583"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Recommendations are documented by the </w:t>
            </w:r>
            <w:r w:rsidR="00770FB1">
              <w:rPr>
                <w:rFonts w:ascii="Calibri" w:eastAsia="Times New Roman" w:hAnsi="Calibri" w:cs="Calibri"/>
                <w:color w:val="000000"/>
                <w:sz w:val="22"/>
                <w:szCs w:val="22"/>
                <w:lang w:eastAsia="en-AU"/>
              </w:rPr>
              <w:t>LSB</w:t>
            </w:r>
            <w:r w:rsidR="00770FB1" w:rsidRPr="00CE5583">
              <w:rPr>
                <w:rFonts w:ascii="Calibri" w:eastAsia="Times New Roman" w:hAnsi="Calibri" w:cs="Calibri"/>
                <w:color w:val="000000"/>
                <w:sz w:val="22"/>
                <w:szCs w:val="22"/>
                <w:lang w:eastAsia="en-AU"/>
              </w:rPr>
              <w:t xml:space="preserve"> </w:t>
            </w:r>
            <w:r w:rsidRPr="00CE5583">
              <w:rPr>
                <w:rFonts w:ascii="Calibri" w:eastAsia="Times New Roman" w:hAnsi="Calibri" w:cs="Calibri"/>
                <w:color w:val="000000"/>
                <w:sz w:val="22"/>
                <w:szCs w:val="22"/>
                <w:lang w:eastAsia="en-AU"/>
              </w:rPr>
              <w:t xml:space="preserve">and communicated to business areas with responsibility to implement controls. </w:t>
            </w:r>
          </w:p>
          <w:p w14:paraId="16482E43" w14:textId="728C9FA9" w:rsidR="004064A6" w:rsidRDefault="00CE5583" w:rsidP="005560CC">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Privacy Officers collaborate with information security, ICT, data governance and risk functions to ensure privacy risks are considered. </w:t>
            </w:r>
          </w:p>
          <w:p w14:paraId="507AB6D1" w14:textId="5976B01A" w:rsidR="00CE5583" w:rsidRPr="00CE5583" w:rsidRDefault="004064A6" w:rsidP="005560CC">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The Privacy Team are currently assisting the </w:t>
            </w:r>
            <w:r w:rsidR="00F9519A">
              <w:rPr>
                <w:rFonts w:ascii="Calibri" w:eastAsia="Times New Roman" w:hAnsi="Calibri" w:cs="Calibri"/>
                <w:color w:val="000000"/>
                <w:sz w:val="22"/>
                <w:szCs w:val="22"/>
                <w:lang w:eastAsia="en-AU"/>
              </w:rPr>
              <w:t>NIAA’s a</w:t>
            </w:r>
            <w:r>
              <w:rPr>
                <w:rFonts w:ascii="Calibri" w:eastAsia="Times New Roman" w:hAnsi="Calibri" w:cs="Calibri"/>
                <w:color w:val="000000"/>
                <w:sz w:val="22"/>
                <w:szCs w:val="22"/>
                <w:lang w:eastAsia="en-AU"/>
              </w:rPr>
              <w:t xml:space="preserve">udit and </w:t>
            </w:r>
            <w:r w:rsidR="00F9519A">
              <w:rPr>
                <w:rFonts w:ascii="Calibri" w:eastAsia="Times New Roman" w:hAnsi="Calibri" w:cs="Calibri"/>
                <w:color w:val="000000"/>
                <w:sz w:val="22"/>
                <w:szCs w:val="22"/>
                <w:lang w:eastAsia="en-AU"/>
              </w:rPr>
              <w:t>a</w:t>
            </w:r>
            <w:r>
              <w:rPr>
                <w:rFonts w:ascii="Calibri" w:eastAsia="Times New Roman" w:hAnsi="Calibri" w:cs="Calibri"/>
                <w:color w:val="000000"/>
                <w:sz w:val="22"/>
                <w:szCs w:val="22"/>
                <w:lang w:eastAsia="en-AU"/>
              </w:rPr>
              <w:t xml:space="preserve">ssurance </w:t>
            </w:r>
            <w:r w:rsidR="00F9519A">
              <w:rPr>
                <w:rFonts w:ascii="Calibri" w:eastAsia="Times New Roman" w:hAnsi="Calibri" w:cs="Calibri"/>
                <w:color w:val="000000"/>
                <w:sz w:val="22"/>
                <w:szCs w:val="22"/>
                <w:lang w:eastAsia="en-AU"/>
              </w:rPr>
              <w:t xml:space="preserve">function in relation to </w:t>
            </w:r>
            <w:r>
              <w:rPr>
                <w:rFonts w:ascii="Calibri" w:eastAsia="Times New Roman" w:hAnsi="Calibri" w:cs="Calibri"/>
                <w:color w:val="000000"/>
                <w:sz w:val="22"/>
                <w:szCs w:val="22"/>
                <w:lang w:eastAsia="en-AU"/>
              </w:rPr>
              <w:t>a privacy audit. The audit will provide further assurance</w:t>
            </w:r>
            <w:r w:rsidR="00B01C53">
              <w:rPr>
                <w:rFonts w:ascii="Calibri" w:eastAsia="Times New Roman" w:hAnsi="Calibri" w:cs="Calibri"/>
                <w:color w:val="000000"/>
                <w:sz w:val="22"/>
                <w:szCs w:val="22"/>
                <w:lang w:eastAsia="en-AU"/>
              </w:rPr>
              <w:t xml:space="preserve"> of privacy governance and risk management</w:t>
            </w:r>
            <w:r>
              <w:rPr>
                <w:rFonts w:ascii="Calibri" w:eastAsia="Times New Roman" w:hAnsi="Calibri" w:cs="Calibri"/>
                <w:color w:val="000000"/>
                <w:sz w:val="22"/>
                <w:szCs w:val="22"/>
                <w:lang w:eastAsia="en-AU"/>
              </w:rPr>
              <w:t>.</w:t>
            </w:r>
          </w:p>
        </w:tc>
      </w:tr>
      <w:tr w:rsidR="00CE5583" w:rsidRPr="00CE5583" w14:paraId="6767AA79" w14:textId="77777777" w:rsidTr="0033168B">
        <w:trPr>
          <w:trHeight w:val="330"/>
        </w:trPr>
        <w:tc>
          <w:tcPr>
            <w:tcW w:w="6222" w:type="dxa"/>
            <w:gridSpan w:val="3"/>
            <w:tcBorders>
              <w:top w:val="single" w:sz="12" w:space="0" w:color="FFFFFF"/>
              <w:left w:val="single" w:sz="12" w:space="0" w:color="FFFFFF"/>
              <w:bottom w:val="single" w:sz="12" w:space="0" w:color="FFFFFF"/>
              <w:right w:val="single" w:sz="12" w:space="0" w:color="FFFFFF"/>
            </w:tcBorders>
            <w:shd w:val="clear" w:color="000000" w:fill="757171"/>
            <w:noWrap/>
            <w:hideMark/>
          </w:tcPr>
          <w:p w14:paraId="1EBE4E4E"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Element score (average of attribute scores)</w:t>
            </w:r>
          </w:p>
        </w:tc>
        <w:tc>
          <w:tcPr>
            <w:tcW w:w="7371" w:type="dxa"/>
            <w:tcBorders>
              <w:top w:val="single" w:sz="12" w:space="0" w:color="FFFFFF"/>
              <w:left w:val="nil"/>
              <w:bottom w:val="single" w:sz="12" w:space="0" w:color="FFFFFF"/>
              <w:right w:val="single" w:sz="12" w:space="0" w:color="FFFFFF"/>
            </w:tcBorders>
            <w:shd w:val="clear" w:color="000000" w:fill="757171"/>
            <w:noWrap/>
            <w:hideMark/>
          </w:tcPr>
          <w:p w14:paraId="05CEBE50"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3.3 / 4 (Defined)</w:t>
            </w:r>
          </w:p>
        </w:tc>
      </w:tr>
    </w:tbl>
    <w:p w14:paraId="3DEA1B09" w14:textId="77777777" w:rsidR="00453427" w:rsidRDefault="00453427" w:rsidP="00453427">
      <w:pPr>
        <w:pStyle w:val="BodyText"/>
        <w:rPr>
          <w:rFonts w:asciiTheme="majorHAnsi" w:eastAsiaTheme="majorEastAsia" w:hAnsiTheme="majorHAnsi" w:cstheme="majorBidi"/>
          <w:color w:val="2A4055" w:themeColor="accent1"/>
          <w:sz w:val="36"/>
          <w:szCs w:val="36"/>
        </w:rPr>
      </w:pPr>
    </w:p>
    <w:p w14:paraId="210B6F0C" w14:textId="77777777" w:rsidR="00453427" w:rsidRDefault="00453427">
      <w:pPr>
        <w:rPr>
          <w:rFonts w:asciiTheme="majorHAnsi" w:eastAsiaTheme="majorEastAsia" w:hAnsiTheme="majorHAnsi" w:cstheme="majorBidi"/>
          <w:color w:val="2A4055" w:themeColor="accent1"/>
          <w:sz w:val="36"/>
          <w:szCs w:val="36"/>
        </w:rPr>
      </w:pPr>
      <w:r>
        <w:rPr>
          <w:rFonts w:asciiTheme="majorHAnsi" w:eastAsiaTheme="majorEastAsia" w:hAnsiTheme="majorHAnsi" w:cstheme="majorBidi"/>
          <w:color w:val="2A4055" w:themeColor="accent1"/>
          <w:sz w:val="36"/>
          <w:szCs w:val="36"/>
        </w:rPr>
        <w:br w:type="page"/>
      </w:r>
    </w:p>
    <w:p w14:paraId="31C475AE" w14:textId="591BF824" w:rsidR="00453427" w:rsidRPr="001F5D76" w:rsidRDefault="00453427" w:rsidP="00453427">
      <w:pPr>
        <w:pStyle w:val="BodyText"/>
        <w:rPr>
          <w:rFonts w:asciiTheme="majorHAnsi" w:eastAsiaTheme="majorEastAsia" w:hAnsiTheme="majorHAnsi" w:cstheme="majorBidi"/>
          <w:color w:val="2A4055" w:themeColor="accent1"/>
          <w:sz w:val="36"/>
          <w:szCs w:val="36"/>
        </w:rPr>
      </w:pPr>
      <w:r>
        <w:rPr>
          <w:rFonts w:asciiTheme="majorHAnsi" w:eastAsiaTheme="majorEastAsia" w:hAnsiTheme="majorHAnsi" w:cstheme="majorBidi"/>
          <w:color w:val="2A4055" w:themeColor="accent1"/>
          <w:sz w:val="36"/>
          <w:szCs w:val="36"/>
        </w:rPr>
        <w:lastRenderedPageBreak/>
        <w:t>Data Breach Response</w:t>
      </w:r>
    </w:p>
    <w:tbl>
      <w:tblPr>
        <w:tblW w:w="13593" w:type="dxa"/>
        <w:tblLayout w:type="fixed"/>
        <w:tblLook w:val="04A0" w:firstRow="1" w:lastRow="0" w:firstColumn="1" w:lastColumn="0" w:noHBand="0" w:noVBand="1"/>
      </w:tblPr>
      <w:tblGrid>
        <w:gridCol w:w="2074"/>
        <w:gridCol w:w="2074"/>
        <w:gridCol w:w="2074"/>
        <w:gridCol w:w="7371"/>
      </w:tblGrid>
      <w:tr w:rsidR="00CE5583" w:rsidRPr="00CE5583" w14:paraId="6EE922DA" w14:textId="77777777" w:rsidTr="0033168B">
        <w:trPr>
          <w:trHeight w:val="345"/>
          <w:tblHeader/>
        </w:trPr>
        <w:tc>
          <w:tcPr>
            <w:tcW w:w="13593" w:type="dxa"/>
            <w:gridSpan w:val="4"/>
            <w:tcBorders>
              <w:top w:val="single" w:sz="12" w:space="0" w:color="FFFFFF"/>
              <w:left w:val="single" w:sz="12" w:space="0" w:color="FFFFFF"/>
              <w:bottom w:val="single" w:sz="12" w:space="0" w:color="FFFFFF"/>
              <w:right w:val="single" w:sz="12" w:space="0" w:color="FFFFFF"/>
            </w:tcBorders>
            <w:shd w:val="clear" w:color="000000" w:fill="757171"/>
            <w:noWrap/>
            <w:hideMark/>
          </w:tcPr>
          <w:p w14:paraId="55E936D3" w14:textId="77777777" w:rsidR="00CE5583" w:rsidRPr="00CE5583" w:rsidRDefault="00CE5583" w:rsidP="00CE5583">
            <w:pPr>
              <w:spacing w:after="0" w:line="240" w:lineRule="auto"/>
              <w:jc w:val="center"/>
              <w:rPr>
                <w:rFonts w:ascii="Calibri" w:eastAsia="Times New Roman" w:hAnsi="Calibri" w:cs="Calibri"/>
                <w:b/>
                <w:bCs/>
                <w:color w:val="FFFFFF"/>
                <w:sz w:val="24"/>
                <w:szCs w:val="24"/>
                <w:lang w:eastAsia="en-AU"/>
              </w:rPr>
            </w:pPr>
            <w:r w:rsidRPr="00CE5583">
              <w:rPr>
                <w:rFonts w:ascii="Calibri" w:eastAsia="Times New Roman" w:hAnsi="Calibri" w:cs="Calibri"/>
                <w:b/>
                <w:bCs/>
                <w:color w:val="FFFFFF"/>
                <w:sz w:val="24"/>
                <w:szCs w:val="24"/>
                <w:lang w:eastAsia="en-AU"/>
              </w:rPr>
              <w:t>Data Breach Response</w:t>
            </w:r>
          </w:p>
        </w:tc>
      </w:tr>
      <w:tr w:rsidR="00CE5583" w:rsidRPr="00CE5583" w14:paraId="2E3B8BA2" w14:textId="77777777" w:rsidTr="0033168B">
        <w:trPr>
          <w:trHeight w:val="330"/>
          <w:tblHeader/>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00EAFC1C"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Attribute</w:t>
            </w:r>
          </w:p>
        </w:tc>
        <w:tc>
          <w:tcPr>
            <w:tcW w:w="2074" w:type="dxa"/>
            <w:tcBorders>
              <w:top w:val="single" w:sz="12" w:space="0" w:color="FFFFFF"/>
              <w:left w:val="nil"/>
              <w:bottom w:val="single" w:sz="12" w:space="0" w:color="FFFFFF"/>
              <w:right w:val="single" w:sz="12" w:space="0" w:color="FFFFFF"/>
            </w:tcBorders>
            <w:shd w:val="clear" w:color="000000" w:fill="757171"/>
            <w:noWrap/>
            <w:hideMark/>
          </w:tcPr>
          <w:p w14:paraId="51D67BD6"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Current Level</w:t>
            </w:r>
          </w:p>
        </w:tc>
        <w:tc>
          <w:tcPr>
            <w:tcW w:w="2074" w:type="dxa"/>
            <w:tcBorders>
              <w:top w:val="single" w:sz="12" w:space="0" w:color="FFFFFF"/>
              <w:left w:val="nil"/>
              <w:bottom w:val="single" w:sz="12" w:space="0" w:color="FFFFFF"/>
              <w:right w:val="single" w:sz="12" w:space="0" w:color="FFFFFF"/>
            </w:tcBorders>
            <w:shd w:val="clear" w:color="000000" w:fill="757171"/>
            <w:noWrap/>
            <w:hideMark/>
          </w:tcPr>
          <w:p w14:paraId="2C59AD64"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Target Level</w:t>
            </w:r>
          </w:p>
        </w:tc>
        <w:tc>
          <w:tcPr>
            <w:tcW w:w="7371" w:type="dxa"/>
            <w:tcBorders>
              <w:top w:val="single" w:sz="12" w:space="0" w:color="FFFFFF"/>
              <w:left w:val="nil"/>
              <w:bottom w:val="single" w:sz="12" w:space="0" w:color="FFFFFF"/>
              <w:right w:val="single" w:sz="12" w:space="0" w:color="FFFFFF"/>
            </w:tcBorders>
            <w:shd w:val="clear" w:color="000000" w:fill="757171"/>
            <w:noWrap/>
            <w:hideMark/>
          </w:tcPr>
          <w:p w14:paraId="075DA2CF"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Rationale/Commentary</w:t>
            </w:r>
          </w:p>
        </w:tc>
      </w:tr>
      <w:tr w:rsidR="00CE5583" w:rsidRPr="00CE5583" w14:paraId="096DBA4F" w14:textId="77777777" w:rsidTr="0033168B">
        <w:trPr>
          <w:trHeight w:val="4423"/>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3D6894AD"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Data Breach Response Plan</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701C8DFB"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127FCDEC"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4A0B4F5C" w14:textId="0723F80F" w:rsidR="00713F5F" w:rsidRDefault="00CE5583" w:rsidP="00130F7A">
            <w:pPr>
              <w:spacing w:line="240" w:lineRule="auto"/>
              <w:rPr>
                <w:rFonts w:ascii="Calibri" w:eastAsia="Times New Roman" w:hAnsi="Calibri" w:cs="Calibri"/>
                <w:color w:val="000000"/>
                <w:sz w:val="22"/>
                <w:szCs w:val="22"/>
                <w:lang w:eastAsia="en-AU"/>
              </w:rPr>
            </w:pPr>
            <w:bookmarkStart w:id="10" w:name="RANGE!K74:Q75"/>
            <w:r w:rsidRPr="00CE5583">
              <w:rPr>
                <w:rFonts w:ascii="Calibri" w:eastAsia="Times New Roman" w:hAnsi="Calibri" w:cs="Calibri"/>
                <w:color w:val="000000"/>
                <w:sz w:val="22"/>
                <w:szCs w:val="22"/>
                <w:lang w:eastAsia="en-AU"/>
              </w:rPr>
              <w:t>The NIAA has a well-defined data breach response plan that empowers staff to identify and respond to data breaches. It clearly defines response personnel, processes and escalation pathways to contain, assess, notify (if required) and review a data breach. A quick reference guide and data breach assessment templates support staff to recognise and respond to data breaches when they occur, and to identify the factors that may indicate a notifiable data breach.</w:t>
            </w:r>
          </w:p>
          <w:p w14:paraId="1BC7085A" w14:textId="77777777" w:rsidR="00130F7A" w:rsidRDefault="00713F5F" w:rsidP="00130F7A">
            <w:pPr>
              <w:spacing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The Privacy Team has a data breach response advice </w:t>
            </w:r>
            <w:r w:rsidR="00612BAC">
              <w:rPr>
                <w:rFonts w:ascii="Calibri" w:eastAsia="Times New Roman" w:hAnsi="Calibri" w:cs="Calibri"/>
                <w:color w:val="000000"/>
                <w:sz w:val="22"/>
                <w:szCs w:val="22"/>
                <w:lang w:eastAsia="en-AU"/>
              </w:rPr>
              <w:t xml:space="preserve">template </w:t>
            </w:r>
            <w:r w:rsidR="00CE4AAD">
              <w:rPr>
                <w:rFonts w:ascii="Calibri" w:eastAsia="Times New Roman" w:hAnsi="Calibri" w:cs="Calibri"/>
                <w:color w:val="000000"/>
                <w:sz w:val="22"/>
                <w:szCs w:val="22"/>
                <w:lang w:eastAsia="en-AU"/>
              </w:rPr>
              <w:t>which</w:t>
            </w:r>
            <w:r>
              <w:rPr>
                <w:rFonts w:ascii="Calibri" w:eastAsia="Times New Roman" w:hAnsi="Calibri" w:cs="Calibri"/>
                <w:color w:val="000000"/>
                <w:sz w:val="22"/>
                <w:szCs w:val="22"/>
                <w:lang w:eastAsia="en-AU"/>
              </w:rPr>
              <w:t xml:space="preserve"> promote</w:t>
            </w:r>
            <w:r w:rsidR="00CE4AAD">
              <w:rPr>
                <w:rFonts w:ascii="Calibri" w:eastAsia="Times New Roman" w:hAnsi="Calibri" w:cs="Calibri"/>
                <w:color w:val="000000"/>
                <w:sz w:val="22"/>
                <w:szCs w:val="22"/>
                <w:lang w:eastAsia="en-AU"/>
              </w:rPr>
              <w:t>s</w:t>
            </w:r>
            <w:r>
              <w:rPr>
                <w:rFonts w:ascii="Calibri" w:eastAsia="Times New Roman" w:hAnsi="Calibri" w:cs="Calibri"/>
                <w:color w:val="000000"/>
                <w:sz w:val="22"/>
                <w:szCs w:val="22"/>
                <w:lang w:eastAsia="en-AU"/>
              </w:rPr>
              <w:t xml:space="preserve"> consistency in advice</w:t>
            </w:r>
            <w:r w:rsidR="00F25534">
              <w:rPr>
                <w:rFonts w:ascii="Calibri" w:eastAsia="Times New Roman" w:hAnsi="Calibri" w:cs="Calibri"/>
                <w:color w:val="000000"/>
                <w:sz w:val="22"/>
                <w:szCs w:val="22"/>
                <w:lang w:eastAsia="en-AU"/>
              </w:rPr>
              <w:t xml:space="preserve"> and</w:t>
            </w:r>
            <w:r>
              <w:rPr>
                <w:rFonts w:ascii="Calibri" w:eastAsia="Times New Roman" w:hAnsi="Calibri" w:cs="Calibri"/>
                <w:color w:val="000000"/>
                <w:sz w:val="22"/>
                <w:szCs w:val="22"/>
                <w:lang w:eastAsia="en-AU"/>
              </w:rPr>
              <w:t xml:space="preserve"> streamline</w:t>
            </w:r>
            <w:r w:rsidR="00CB15EE">
              <w:rPr>
                <w:rFonts w:ascii="Calibri" w:eastAsia="Times New Roman" w:hAnsi="Calibri" w:cs="Calibri"/>
                <w:color w:val="000000"/>
                <w:sz w:val="22"/>
                <w:szCs w:val="22"/>
                <w:lang w:eastAsia="en-AU"/>
              </w:rPr>
              <w:t>s</w:t>
            </w:r>
            <w:r>
              <w:rPr>
                <w:rFonts w:ascii="Calibri" w:eastAsia="Times New Roman" w:hAnsi="Calibri" w:cs="Calibri"/>
                <w:color w:val="000000"/>
                <w:sz w:val="22"/>
                <w:szCs w:val="22"/>
                <w:lang w:eastAsia="en-AU"/>
              </w:rPr>
              <w:t xml:space="preserve"> assessments</w:t>
            </w:r>
            <w:r w:rsidR="0056393F">
              <w:rPr>
                <w:rFonts w:ascii="Calibri" w:eastAsia="Times New Roman" w:hAnsi="Calibri" w:cs="Calibri"/>
                <w:color w:val="000000"/>
                <w:sz w:val="22"/>
                <w:szCs w:val="22"/>
                <w:lang w:eastAsia="en-AU"/>
              </w:rPr>
              <w:t xml:space="preserve">. It </w:t>
            </w:r>
            <w:r w:rsidR="00F25534">
              <w:rPr>
                <w:rFonts w:ascii="Calibri" w:eastAsia="Times New Roman" w:hAnsi="Calibri" w:cs="Calibri"/>
                <w:color w:val="000000"/>
                <w:sz w:val="22"/>
                <w:szCs w:val="22"/>
                <w:lang w:eastAsia="en-AU"/>
              </w:rPr>
              <w:t>enhance</w:t>
            </w:r>
            <w:r w:rsidR="0056393F">
              <w:rPr>
                <w:rFonts w:ascii="Calibri" w:eastAsia="Times New Roman" w:hAnsi="Calibri" w:cs="Calibri"/>
                <w:color w:val="000000"/>
                <w:sz w:val="22"/>
                <w:szCs w:val="22"/>
                <w:lang w:eastAsia="en-AU"/>
              </w:rPr>
              <w:t>s</w:t>
            </w:r>
            <w:r w:rsidR="00F25534">
              <w:rPr>
                <w:rFonts w:ascii="Calibri" w:eastAsia="Times New Roman" w:hAnsi="Calibri" w:cs="Calibri"/>
                <w:color w:val="000000"/>
                <w:sz w:val="22"/>
                <w:szCs w:val="22"/>
                <w:lang w:eastAsia="en-AU"/>
              </w:rPr>
              <w:t xml:space="preserve"> compliance with statutory timeframes.</w:t>
            </w:r>
            <w:r w:rsidR="00CE5583" w:rsidRPr="00CE5583">
              <w:rPr>
                <w:rFonts w:ascii="Calibri" w:eastAsia="Times New Roman" w:hAnsi="Calibri" w:cs="Calibri"/>
                <w:color w:val="000000"/>
                <w:sz w:val="22"/>
                <w:szCs w:val="22"/>
                <w:lang w:eastAsia="en-AU"/>
              </w:rPr>
              <w:br/>
              <w:t>The Privacy Officers have proactively reviewed the data breach response plan to incorporate lessons learned and changes in business functions, including in response to data breaches that occurred in the previous PMP year.</w:t>
            </w:r>
            <w:r w:rsidR="00DA65D2">
              <w:rPr>
                <w:rFonts w:ascii="Calibri" w:eastAsia="Times New Roman" w:hAnsi="Calibri" w:cs="Calibri"/>
                <w:color w:val="000000"/>
                <w:sz w:val="22"/>
                <w:szCs w:val="22"/>
                <w:lang w:eastAsia="en-AU"/>
              </w:rPr>
              <w:t xml:space="preserve"> It is currently being updated to streamline reporting</w:t>
            </w:r>
            <w:r w:rsidR="001A3959">
              <w:rPr>
                <w:rFonts w:ascii="Calibri" w:eastAsia="Times New Roman" w:hAnsi="Calibri" w:cs="Calibri"/>
                <w:color w:val="000000"/>
                <w:sz w:val="22"/>
                <w:szCs w:val="22"/>
                <w:lang w:eastAsia="en-AU"/>
              </w:rPr>
              <w:t xml:space="preserve"> and remove duplication in the Data Breach </w:t>
            </w:r>
            <w:r w:rsidR="008240DE">
              <w:rPr>
                <w:rFonts w:ascii="Calibri" w:eastAsia="Times New Roman" w:hAnsi="Calibri" w:cs="Calibri"/>
                <w:color w:val="000000"/>
                <w:sz w:val="22"/>
                <w:szCs w:val="22"/>
                <w:lang w:eastAsia="en-AU"/>
              </w:rPr>
              <w:t>Response Report.</w:t>
            </w:r>
          </w:p>
          <w:p w14:paraId="51A03067" w14:textId="413B5209" w:rsidR="00CE5583" w:rsidRPr="00CE5583" w:rsidRDefault="00CE5583" w:rsidP="00130F7A">
            <w:pPr>
              <w:spacing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The Privacy Officers will continue work to strengthen data breach response across the agency, by promoting awareness and considering opportunities to test the data breach response plan with business areas and key stakeholders.</w:t>
            </w:r>
            <w:bookmarkEnd w:id="10"/>
            <w:r w:rsidR="00CE4AAD">
              <w:rPr>
                <w:rFonts w:ascii="Calibri" w:eastAsia="Times New Roman" w:hAnsi="Calibri" w:cs="Calibri"/>
                <w:color w:val="000000"/>
                <w:sz w:val="22"/>
                <w:szCs w:val="22"/>
                <w:lang w:eastAsia="en-AU"/>
              </w:rPr>
              <w:t xml:space="preserve"> </w:t>
            </w:r>
          </w:p>
        </w:tc>
      </w:tr>
      <w:tr w:rsidR="00CE5583" w:rsidRPr="00CE5583" w14:paraId="4E7097CC" w14:textId="77777777" w:rsidTr="0033168B">
        <w:trPr>
          <w:trHeight w:val="2451"/>
        </w:trPr>
        <w:tc>
          <w:tcPr>
            <w:tcW w:w="2074" w:type="dxa"/>
            <w:tcBorders>
              <w:top w:val="single" w:sz="12" w:space="0" w:color="FFFFFF"/>
              <w:left w:val="single" w:sz="12" w:space="0" w:color="FFFFFF"/>
              <w:bottom w:val="single" w:sz="12" w:space="0" w:color="FFFFFF"/>
              <w:right w:val="single" w:sz="12" w:space="0" w:color="FFFFFF"/>
            </w:tcBorders>
            <w:shd w:val="clear" w:color="000000" w:fill="757171"/>
            <w:noWrap/>
            <w:hideMark/>
          </w:tcPr>
          <w:p w14:paraId="519128D6" w14:textId="77777777" w:rsidR="00CE5583" w:rsidRPr="00CE5583" w:rsidRDefault="00CE5583" w:rsidP="00CE5583">
            <w:pPr>
              <w:spacing w:after="0" w:line="240" w:lineRule="auto"/>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Data Breach Notification*</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48D8862A"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2074" w:type="dxa"/>
            <w:tcBorders>
              <w:top w:val="single" w:sz="12" w:space="0" w:color="FFFFFF"/>
              <w:left w:val="single" w:sz="12" w:space="0" w:color="FFFFFF"/>
              <w:bottom w:val="single" w:sz="12" w:space="0" w:color="FFFFFF"/>
              <w:right w:val="single" w:sz="12" w:space="0" w:color="FFFFFF"/>
            </w:tcBorders>
            <w:shd w:val="clear" w:color="000000" w:fill="336699"/>
            <w:noWrap/>
            <w:hideMark/>
          </w:tcPr>
          <w:p w14:paraId="359FCCBB"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Leader</w:t>
            </w:r>
          </w:p>
        </w:tc>
        <w:tc>
          <w:tcPr>
            <w:tcW w:w="7371" w:type="dxa"/>
            <w:tcBorders>
              <w:top w:val="single" w:sz="12" w:space="0" w:color="FFFFFF"/>
              <w:left w:val="nil"/>
              <w:bottom w:val="single" w:sz="12" w:space="0" w:color="FFFFFF"/>
              <w:right w:val="single" w:sz="12" w:space="0" w:color="FFFFFF"/>
            </w:tcBorders>
            <w:shd w:val="clear" w:color="000000" w:fill="D9D9D9"/>
            <w:hideMark/>
          </w:tcPr>
          <w:p w14:paraId="4E7DE2BF" w14:textId="1A27120D" w:rsidR="00CE5583" w:rsidRPr="00CE5583" w:rsidRDefault="00CE5583" w:rsidP="00CE5583">
            <w:pPr>
              <w:spacing w:after="0" w:line="240" w:lineRule="auto"/>
              <w:rPr>
                <w:rFonts w:ascii="Calibri" w:eastAsia="Times New Roman" w:hAnsi="Calibri" w:cs="Calibri"/>
                <w:color w:val="000000"/>
                <w:sz w:val="22"/>
                <w:szCs w:val="22"/>
                <w:lang w:eastAsia="en-AU"/>
              </w:rPr>
            </w:pPr>
            <w:r w:rsidRPr="00CE5583">
              <w:rPr>
                <w:rFonts w:ascii="Calibri" w:eastAsia="Times New Roman" w:hAnsi="Calibri" w:cs="Calibri"/>
                <w:color w:val="000000"/>
                <w:sz w:val="22"/>
                <w:szCs w:val="22"/>
                <w:lang w:eastAsia="en-AU"/>
              </w:rPr>
              <w:t xml:space="preserve">The NIAA has a data breach response plan that includes a notification process that aligns with OAIC notifiable data breach guidance, and to ensure incidents are assessed against relevant tests for an eligible data breach. The data breach response plan acknowledges the obligations and benefits of notification. It outlines notification options such as individual </w:t>
            </w:r>
            <w:r w:rsidR="001F5D76">
              <w:rPr>
                <w:rFonts w:ascii="Calibri" w:eastAsia="Times New Roman" w:hAnsi="Calibri" w:cs="Calibri"/>
                <w:color w:val="000000"/>
                <w:sz w:val="22"/>
                <w:szCs w:val="22"/>
                <w:lang w:eastAsia="en-AU"/>
              </w:rPr>
              <w:t>notifications or</w:t>
            </w:r>
            <w:r>
              <w:rPr>
                <w:rFonts w:ascii="Calibri" w:eastAsia="Times New Roman" w:hAnsi="Calibri" w:cs="Calibri"/>
                <w:color w:val="000000"/>
                <w:sz w:val="22"/>
                <w:szCs w:val="22"/>
                <w:lang w:eastAsia="en-AU"/>
              </w:rPr>
              <w:t xml:space="preserve"> establishing </w:t>
            </w:r>
            <w:r w:rsidRPr="00CE5583">
              <w:rPr>
                <w:rFonts w:ascii="Calibri" w:eastAsia="Times New Roman" w:hAnsi="Calibri" w:cs="Calibri"/>
                <w:color w:val="000000"/>
                <w:sz w:val="22"/>
                <w:szCs w:val="22"/>
                <w:lang w:eastAsia="en-AU"/>
              </w:rPr>
              <w:t>communication channels for affected individuals to contact the Agency</w:t>
            </w:r>
            <w:r w:rsidR="00F25534">
              <w:rPr>
                <w:rFonts w:ascii="Calibri" w:eastAsia="Times New Roman" w:hAnsi="Calibri" w:cs="Calibri"/>
                <w:color w:val="000000"/>
                <w:sz w:val="22"/>
                <w:szCs w:val="22"/>
                <w:lang w:eastAsia="en-AU"/>
              </w:rPr>
              <w:t>. It</w:t>
            </w:r>
            <w:r w:rsidRPr="00CE5583">
              <w:rPr>
                <w:rFonts w:ascii="Calibri" w:eastAsia="Times New Roman" w:hAnsi="Calibri" w:cs="Calibri"/>
                <w:color w:val="000000"/>
                <w:sz w:val="22"/>
                <w:szCs w:val="22"/>
                <w:lang w:eastAsia="en-AU"/>
              </w:rPr>
              <w:t xml:space="preserve"> includes a drafting and review procedure that supports notifications that are appropriate to the circumstances, transparent and timely.</w:t>
            </w:r>
          </w:p>
        </w:tc>
      </w:tr>
      <w:tr w:rsidR="00CE5583" w:rsidRPr="00CE5583" w14:paraId="2B62881A" w14:textId="77777777" w:rsidTr="0033168B">
        <w:trPr>
          <w:trHeight w:val="330"/>
        </w:trPr>
        <w:tc>
          <w:tcPr>
            <w:tcW w:w="6222" w:type="dxa"/>
            <w:gridSpan w:val="3"/>
            <w:tcBorders>
              <w:top w:val="single" w:sz="12" w:space="0" w:color="FFFFFF"/>
              <w:left w:val="single" w:sz="12" w:space="0" w:color="FFFFFF"/>
              <w:bottom w:val="single" w:sz="12" w:space="0" w:color="FFFFFF"/>
              <w:right w:val="single" w:sz="12" w:space="0" w:color="FFFFFF"/>
            </w:tcBorders>
            <w:shd w:val="clear" w:color="000000" w:fill="757171"/>
            <w:noWrap/>
            <w:hideMark/>
          </w:tcPr>
          <w:p w14:paraId="507C41DA"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Element score (average of attribute scores)</w:t>
            </w:r>
          </w:p>
        </w:tc>
        <w:tc>
          <w:tcPr>
            <w:tcW w:w="7371" w:type="dxa"/>
            <w:tcBorders>
              <w:top w:val="single" w:sz="12" w:space="0" w:color="FFFFFF"/>
              <w:left w:val="nil"/>
              <w:bottom w:val="single" w:sz="12" w:space="0" w:color="FFFFFF"/>
              <w:right w:val="single" w:sz="12" w:space="0" w:color="FFFFFF"/>
            </w:tcBorders>
            <w:shd w:val="clear" w:color="000000" w:fill="757171"/>
            <w:noWrap/>
            <w:hideMark/>
          </w:tcPr>
          <w:p w14:paraId="49F732BE" w14:textId="77777777" w:rsidR="00CE5583" w:rsidRPr="00CE5583" w:rsidRDefault="00CE5583" w:rsidP="00CE5583">
            <w:pPr>
              <w:spacing w:after="0" w:line="240" w:lineRule="auto"/>
              <w:jc w:val="center"/>
              <w:rPr>
                <w:rFonts w:ascii="Calibri" w:eastAsia="Times New Roman" w:hAnsi="Calibri" w:cs="Calibri"/>
                <w:b/>
                <w:bCs/>
                <w:color w:val="FFFFFF"/>
                <w:sz w:val="22"/>
                <w:szCs w:val="22"/>
                <w:lang w:eastAsia="en-AU"/>
              </w:rPr>
            </w:pPr>
            <w:r w:rsidRPr="00CE5583">
              <w:rPr>
                <w:rFonts w:ascii="Calibri" w:eastAsia="Times New Roman" w:hAnsi="Calibri" w:cs="Calibri"/>
                <w:b/>
                <w:bCs/>
                <w:color w:val="FFFFFF"/>
                <w:sz w:val="22"/>
                <w:szCs w:val="22"/>
                <w:lang w:eastAsia="en-AU"/>
              </w:rPr>
              <w:t>4 / 4 (Leader)</w:t>
            </w:r>
          </w:p>
        </w:tc>
      </w:tr>
    </w:tbl>
    <w:p w14:paraId="78895CFC" w14:textId="77777777" w:rsidR="00CE5583" w:rsidRDefault="00CE5583"/>
    <w:p w14:paraId="34C4FC58" w14:textId="77777777" w:rsidR="00CE5583" w:rsidRDefault="00CE5583" w:rsidP="00CE5583">
      <w:pPr>
        <w:pStyle w:val="Heading2"/>
      </w:pPr>
      <w:bookmarkStart w:id="11" w:name="_Toc208302768"/>
      <w:r>
        <w:lastRenderedPageBreak/>
        <w:t>Goals for improvement</w:t>
      </w:r>
      <w:bookmarkEnd w:id="11"/>
    </w:p>
    <w:p w14:paraId="0054BD48" w14:textId="56EF7CCA" w:rsidR="00DE6DFB" w:rsidRDefault="00CE5583" w:rsidP="00A345A9">
      <w:pPr>
        <w:pStyle w:val="BodyText"/>
        <w:spacing w:line="264" w:lineRule="auto"/>
      </w:pPr>
      <w:r w:rsidRPr="00CE5583">
        <w:t xml:space="preserve">The privacy goals and targets in this section are based on the </w:t>
      </w:r>
      <w:r w:rsidR="00E66ADA">
        <w:t>agency’s</w:t>
      </w:r>
      <w:r w:rsidRPr="00CE5583">
        <w:t xml:space="preserve"> privacy maturity assessment outcomes. This section includes </w:t>
      </w:r>
      <w:r>
        <w:t xml:space="preserve">mandatory actions which the </w:t>
      </w:r>
      <w:r w:rsidR="00E66ADA">
        <w:t>agency</w:t>
      </w:r>
      <w:r w:rsidRPr="00CE5583">
        <w:t xml:space="preserve"> must take </w:t>
      </w:r>
      <w:r w:rsidR="00A345A9" w:rsidRPr="00CE5583">
        <w:t>to</w:t>
      </w:r>
      <w:r w:rsidRPr="00CE5583">
        <w:t xml:space="preserve"> meet its compliance obligations under APP 1.2 (Code, s 9(2)(b)).</w:t>
      </w:r>
    </w:p>
    <w:tbl>
      <w:tblPr>
        <w:tblW w:w="13548" w:type="dxa"/>
        <w:tblLook w:val="04A0" w:firstRow="1" w:lastRow="0" w:firstColumn="1" w:lastColumn="0" w:noHBand="0" w:noVBand="1"/>
      </w:tblPr>
      <w:tblGrid>
        <w:gridCol w:w="1637"/>
        <w:gridCol w:w="1892"/>
        <w:gridCol w:w="8455"/>
        <w:gridCol w:w="1564"/>
      </w:tblGrid>
      <w:tr w:rsidR="00A345A9" w:rsidRPr="00DE6DFB" w14:paraId="71767B5F" w14:textId="77777777" w:rsidTr="00A345A9">
        <w:trPr>
          <w:trHeight w:val="706"/>
          <w:tblHeader/>
        </w:trPr>
        <w:tc>
          <w:tcPr>
            <w:tcW w:w="1637" w:type="dxa"/>
            <w:tcBorders>
              <w:top w:val="single" w:sz="12" w:space="0" w:color="FFFFFF"/>
              <w:left w:val="single" w:sz="12" w:space="0" w:color="FFFFFF"/>
              <w:bottom w:val="single" w:sz="12" w:space="0" w:color="FFFFFF"/>
              <w:right w:val="single" w:sz="8" w:space="0" w:color="FFFFFF" w:themeColor="background1"/>
            </w:tcBorders>
            <w:shd w:val="clear" w:color="000000" w:fill="757171"/>
            <w:vAlign w:val="center"/>
            <w:hideMark/>
          </w:tcPr>
          <w:p w14:paraId="4DEE170C" w14:textId="28446DF9" w:rsidR="00A345A9" w:rsidRPr="00DE6DFB" w:rsidRDefault="00A345A9" w:rsidP="00A345A9">
            <w:pPr>
              <w:spacing w:after="0" w:line="240" w:lineRule="auto"/>
              <w:jc w:val="center"/>
              <w:rPr>
                <w:rFonts w:ascii="Calibri" w:eastAsia="Times New Roman" w:hAnsi="Calibri" w:cs="Calibri"/>
                <w:b/>
                <w:bCs/>
                <w:color w:val="FFFFFF"/>
                <w:sz w:val="22"/>
                <w:szCs w:val="22"/>
                <w:lang w:eastAsia="en-AU"/>
              </w:rPr>
            </w:pPr>
            <w:bookmarkStart w:id="12" w:name="_Hlk218767199"/>
            <w:r w:rsidRPr="00DE6DFB">
              <w:rPr>
                <w:rFonts w:ascii="Calibri" w:eastAsia="Times New Roman" w:hAnsi="Calibri" w:cs="Calibri"/>
                <w:b/>
                <w:bCs/>
                <w:color w:val="FFFFFF"/>
                <w:sz w:val="22"/>
                <w:szCs w:val="22"/>
                <w:lang w:eastAsia="en-AU"/>
              </w:rPr>
              <w:t>Element</w:t>
            </w: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vAlign w:val="center"/>
          </w:tcPr>
          <w:p w14:paraId="2DDADE1F" w14:textId="643BA1E0" w:rsidR="00A345A9" w:rsidRPr="00A345A9" w:rsidRDefault="00A345A9" w:rsidP="00A345A9">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Attribute</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757171"/>
            <w:vAlign w:val="center"/>
            <w:hideMark/>
          </w:tcPr>
          <w:p w14:paraId="41F7016D" w14:textId="18417081" w:rsidR="00A345A9" w:rsidRPr="00DE6DFB" w:rsidRDefault="00A345A9" w:rsidP="00A345A9">
            <w:pPr>
              <w:spacing w:after="0" w:line="240" w:lineRule="auto"/>
              <w:jc w:val="center"/>
              <w:rPr>
                <w:rFonts w:ascii="Calibri" w:eastAsia="Times New Roman" w:hAnsi="Calibri" w:cs="Calibri"/>
                <w:b/>
                <w:bCs/>
                <w:color w:val="FFFFFF"/>
                <w:sz w:val="22"/>
                <w:szCs w:val="22"/>
                <w:lang w:eastAsia="en-AU"/>
              </w:rPr>
            </w:pPr>
            <w:r w:rsidRPr="00DE6DFB">
              <w:rPr>
                <w:rFonts w:ascii="Calibri" w:eastAsia="Times New Roman" w:hAnsi="Calibri" w:cs="Calibri"/>
                <w:b/>
                <w:bCs/>
                <w:color w:val="FFFFFF"/>
                <w:sz w:val="22"/>
                <w:szCs w:val="22"/>
                <w:lang w:eastAsia="en-AU"/>
              </w:rPr>
              <w:t>Action</w:t>
            </w:r>
          </w:p>
        </w:tc>
        <w:tc>
          <w:tcPr>
            <w:tcW w:w="1564" w:type="dxa"/>
            <w:tcBorders>
              <w:top w:val="single" w:sz="12" w:space="0" w:color="FFFFFF"/>
              <w:left w:val="nil"/>
              <w:bottom w:val="single" w:sz="12" w:space="0" w:color="FFFFFF"/>
              <w:right w:val="single" w:sz="12" w:space="0" w:color="FFFFFF"/>
            </w:tcBorders>
            <w:shd w:val="clear" w:color="000000" w:fill="757171"/>
            <w:vAlign w:val="center"/>
            <w:hideMark/>
          </w:tcPr>
          <w:p w14:paraId="2DAF49C2" w14:textId="77777777" w:rsidR="00A345A9" w:rsidRPr="00DE6DFB" w:rsidRDefault="00A345A9" w:rsidP="00A345A9">
            <w:pPr>
              <w:spacing w:after="0" w:line="240" w:lineRule="auto"/>
              <w:jc w:val="center"/>
              <w:rPr>
                <w:rFonts w:ascii="Calibri" w:eastAsia="Times New Roman" w:hAnsi="Calibri" w:cs="Calibri"/>
                <w:b/>
                <w:bCs/>
                <w:color w:val="FFFFFF"/>
                <w:sz w:val="22"/>
                <w:szCs w:val="22"/>
                <w:lang w:eastAsia="en-AU"/>
              </w:rPr>
            </w:pPr>
            <w:r w:rsidRPr="00DE6DFB">
              <w:rPr>
                <w:rFonts w:ascii="Calibri" w:eastAsia="Times New Roman" w:hAnsi="Calibri" w:cs="Calibri"/>
                <w:b/>
                <w:bCs/>
                <w:color w:val="FFFFFF"/>
                <w:sz w:val="22"/>
                <w:szCs w:val="22"/>
                <w:lang w:eastAsia="en-AU"/>
              </w:rPr>
              <w:t>Due</w:t>
            </w:r>
          </w:p>
        </w:tc>
      </w:tr>
      <w:bookmarkEnd w:id="12"/>
      <w:tr w:rsidR="00A345A9" w:rsidRPr="00DE6DFB" w14:paraId="1B275A05" w14:textId="77777777" w:rsidTr="00A345A9">
        <w:trPr>
          <w:trHeight w:val="958"/>
        </w:trPr>
        <w:tc>
          <w:tcPr>
            <w:tcW w:w="1637" w:type="dxa"/>
            <w:vMerge w:val="restart"/>
            <w:tcBorders>
              <w:top w:val="single" w:sz="12" w:space="0" w:color="FFFFFF"/>
              <w:left w:val="single" w:sz="12" w:space="0" w:color="FFFFFF"/>
              <w:right w:val="single" w:sz="8" w:space="0" w:color="FFFFFF" w:themeColor="background1"/>
            </w:tcBorders>
            <w:shd w:val="clear" w:color="000000" w:fill="757171"/>
            <w:hideMark/>
          </w:tcPr>
          <w:p w14:paraId="4A2B992B" w14:textId="2EB17AB4" w:rsidR="00A345A9" w:rsidRPr="00DE6DFB" w:rsidRDefault="00A345A9" w:rsidP="00A345A9">
            <w:pPr>
              <w:spacing w:after="0" w:line="240" w:lineRule="auto"/>
              <w:rPr>
                <w:rFonts w:ascii="Calibri" w:eastAsia="Times New Roman" w:hAnsi="Calibri" w:cs="Calibri"/>
                <w:b/>
                <w:bCs/>
                <w:color w:val="FFFFFF"/>
                <w:sz w:val="22"/>
                <w:szCs w:val="22"/>
                <w:lang w:eastAsia="en-AU"/>
              </w:rPr>
            </w:pPr>
            <w:r w:rsidRPr="00DE6DFB">
              <w:rPr>
                <w:rFonts w:ascii="Calibri" w:eastAsia="Times New Roman" w:hAnsi="Calibri" w:cs="Calibri"/>
                <w:b/>
                <w:bCs/>
                <w:color w:val="FFFFFF"/>
                <w:sz w:val="22"/>
                <w:szCs w:val="22"/>
                <w:lang w:eastAsia="en-AU"/>
              </w:rPr>
              <w:t>Governance &amp; Culture</w:t>
            </w: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5011BDD4" w14:textId="2327A17C" w:rsidR="00A345A9" w:rsidRPr="00A345A9" w:rsidRDefault="00A345A9" w:rsidP="00A345A9">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Privacy Champion</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73740149" w14:textId="77777777" w:rsidR="007B7BE4"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Privacy Champion Annual Report is delivered to the Privacy Champion.</w:t>
            </w:r>
          </w:p>
          <w:p w14:paraId="513A74A7" w14:textId="77777777" w:rsidR="007B7BE4" w:rsidRDefault="007B7BE4" w:rsidP="00A345A9">
            <w:pPr>
              <w:spacing w:after="0" w:line="240" w:lineRule="auto"/>
              <w:rPr>
                <w:rFonts w:ascii="Calibri" w:eastAsia="Times New Roman" w:hAnsi="Calibri" w:cs="Calibri"/>
                <w:color w:val="000000"/>
                <w:sz w:val="22"/>
                <w:szCs w:val="22"/>
                <w:lang w:eastAsia="en-AU"/>
              </w:rPr>
            </w:pPr>
          </w:p>
          <w:p w14:paraId="699D3828" w14:textId="77777777" w:rsidR="007B7BE4" w:rsidRDefault="00A345A9" w:rsidP="00A345A9">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Develop a Privacy Champion bi-annual message to all staff</w:t>
            </w:r>
            <w:r>
              <w:rPr>
                <w:rFonts w:ascii="Calibri" w:eastAsia="Times New Roman" w:hAnsi="Calibri" w:cs="Calibri"/>
                <w:color w:val="000000"/>
                <w:sz w:val="22"/>
                <w:szCs w:val="22"/>
                <w:lang w:eastAsia="en-AU"/>
              </w:rPr>
              <w:t xml:space="preserve"> and staff engagement KPI</w:t>
            </w:r>
            <w:r w:rsidRPr="00DE6DFB">
              <w:rPr>
                <w:rFonts w:ascii="Calibri" w:eastAsia="Times New Roman" w:hAnsi="Calibri" w:cs="Calibri"/>
                <w:color w:val="000000"/>
                <w:sz w:val="22"/>
                <w:szCs w:val="22"/>
                <w:lang w:eastAsia="en-AU"/>
              </w:rPr>
              <w:t xml:space="preserve">. </w:t>
            </w:r>
          </w:p>
          <w:p w14:paraId="0476168F" w14:textId="77777777" w:rsidR="007B7BE4" w:rsidRDefault="007B7BE4" w:rsidP="00A345A9">
            <w:pPr>
              <w:spacing w:after="0" w:line="240" w:lineRule="auto"/>
              <w:rPr>
                <w:rFonts w:ascii="Calibri" w:eastAsia="Times New Roman" w:hAnsi="Calibri" w:cs="Calibri"/>
                <w:color w:val="000000"/>
                <w:sz w:val="22"/>
                <w:szCs w:val="22"/>
                <w:lang w:eastAsia="en-AU"/>
              </w:rPr>
            </w:pPr>
          </w:p>
          <w:p w14:paraId="4876B17E" w14:textId="4F8034CA" w:rsidR="00A345A9" w:rsidRDefault="00A345A9" w:rsidP="00A345A9">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Support the Privacy Champion to influence privacy culture</w:t>
            </w:r>
            <w:r>
              <w:rPr>
                <w:rFonts w:ascii="Calibri" w:eastAsia="Times New Roman" w:hAnsi="Calibri" w:cs="Calibri"/>
                <w:color w:val="000000"/>
                <w:sz w:val="22"/>
                <w:szCs w:val="22"/>
                <w:lang w:eastAsia="en-AU"/>
              </w:rPr>
              <w:t>, including engaging with stakeholders.</w:t>
            </w:r>
          </w:p>
          <w:p w14:paraId="5F76176E" w14:textId="77777777" w:rsidR="00A345A9" w:rsidRPr="001F5D76" w:rsidRDefault="00A345A9" w:rsidP="00A345A9">
            <w:pPr>
              <w:rPr>
                <w:rFonts w:ascii="Calibri" w:eastAsia="Times New Roman" w:hAnsi="Calibri" w:cs="Calibri"/>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36BF2834" w14:textId="77777777" w:rsidR="007B7BE4" w:rsidRDefault="007B7BE4" w:rsidP="00A345A9">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01/08/2025</w:t>
            </w:r>
          </w:p>
          <w:p w14:paraId="751DA4EF" w14:textId="77777777" w:rsidR="007B7BE4" w:rsidRDefault="007B7BE4" w:rsidP="00A345A9">
            <w:pPr>
              <w:spacing w:after="0" w:line="240" w:lineRule="auto"/>
              <w:rPr>
                <w:rFonts w:ascii="Calibri" w:eastAsia="Times New Roman" w:hAnsi="Calibri" w:cs="Calibri"/>
                <w:color w:val="000000"/>
                <w:sz w:val="22"/>
                <w:szCs w:val="22"/>
                <w:lang w:eastAsia="en-AU"/>
              </w:rPr>
            </w:pPr>
          </w:p>
          <w:p w14:paraId="506DB0E0" w14:textId="5E7622B0" w:rsidR="00A345A9" w:rsidRPr="00C07660" w:rsidRDefault="00A345A9" w:rsidP="00A345A9">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3</w:t>
            </w:r>
            <w:r>
              <w:rPr>
                <w:rFonts w:ascii="Calibri" w:eastAsia="Times New Roman" w:hAnsi="Calibri" w:cs="Calibri"/>
                <w:color w:val="000000"/>
                <w:sz w:val="22"/>
                <w:szCs w:val="22"/>
                <w:lang w:eastAsia="en-AU"/>
              </w:rPr>
              <w:t>1</w:t>
            </w:r>
            <w:r w:rsidRPr="00DE6DFB">
              <w:rPr>
                <w:rFonts w:ascii="Calibri" w:eastAsia="Times New Roman" w:hAnsi="Calibri" w:cs="Calibri"/>
                <w:color w:val="000000"/>
                <w:sz w:val="22"/>
                <w:szCs w:val="22"/>
                <w:lang w:eastAsia="en-AU"/>
              </w:rPr>
              <w:t>/</w:t>
            </w:r>
            <w:r>
              <w:rPr>
                <w:rFonts w:ascii="Calibri" w:eastAsia="Times New Roman" w:hAnsi="Calibri" w:cs="Calibri"/>
                <w:color w:val="000000"/>
                <w:sz w:val="22"/>
                <w:szCs w:val="22"/>
                <w:lang w:eastAsia="en-AU"/>
              </w:rPr>
              <w:t>12</w:t>
            </w:r>
            <w:r w:rsidRPr="00DE6DFB">
              <w:rPr>
                <w:rFonts w:ascii="Calibri" w:eastAsia="Times New Roman" w:hAnsi="Calibri" w:cs="Calibri"/>
                <w:color w:val="000000"/>
                <w:sz w:val="22"/>
                <w:szCs w:val="22"/>
                <w:lang w:eastAsia="en-AU"/>
              </w:rPr>
              <w:t>/202</w:t>
            </w:r>
            <w:r>
              <w:rPr>
                <w:rFonts w:ascii="Calibri" w:eastAsia="Times New Roman" w:hAnsi="Calibri" w:cs="Calibri"/>
                <w:color w:val="000000"/>
                <w:sz w:val="22"/>
                <w:szCs w:val="22"/>
                <w:lang w:eastAsia="en-AU"/>
              </w:rPr>
              <w:t>5</w:t>
            </w:r>
            <w:r w:rsidRPr="00DE6DFB">
              <w:rPr>
                <w:rFonts w:ascii="Calibri" w:eastAsia="Times New Roman" w:hAnsi="Calibri" w:cs="Calibri"/>
                <w:color w:val="000000"/>
                <w:sz w:val="22"/>
                <w:szCs w:val="22"/>
                <w:lang w:eastAsia="en-AU"/>
              </w:rPr>
              <w:br/>
            </w:r>
            <w:r w:rsidRPr="00DE6DFB">
              <w:rPr>
                <w:rFonts w:ascii="Calibri" w:eastAsia="Times New Roman" w:hAnsi="Calibri" w:cs="Calibri"/>
                <w:color w:val="000000"/>
                <w:sz w:val="22"/>
                <w:szCs w:val="22"/>
                <w:lang w:eastAsia="en-AU"/>
              </w:rPr>
              <w:br/>
              <w:t>Ongoing</w:t>
            </w:r>
          </w:p>
        </w:tc>
      </w:tr>
      <w:tr w:rsidR="00A345A9" w:rsidRPr="00DE6DFB" w14:paraId="57C59C6B" w14:textId="77777777" w:rsidTr="00A345A9">
        <w:trPr>
          <w:trHeight w:val="932"/>
        </w:trPr>
        <w:tc>
          <w:tcPr>
            <w:tcW w:w="1637" w:type="dxa"/>
            <w:vMerge/>
            <w:tcBorders>
              <w:left w:val="single" w:sz="12" w:space="0" w:color="FFFFFF"/>
              <w:right w:val="single" w:sz="8" w:space="0" w:color="FFFFFF" w:themeColor="background1"/>
            </w:tcBorders>
            <w:shd w:val="clear" w:color="000000" w:fill="757171"/>
            <w:hideMark/>
          </w:tcPr>
          <w:p w14:paraId="4FB520B9" w14:textId="44A67236" w:rsidR="00A345A9" w:rsidRPr="00DE6DFB" w:rsidRDefault="00A345A9" w:rsidP="00A345A9">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7B304A3B" w14:textId="426AE105" w:rsidR="00A345A9" w:rsidRPr="00A345A9" w:rsidRDefault="00A345A9" w:rsidP="00A345A9">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Privacy Officer</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72B527CE" w14:textId="6EBE5CEE" w:rsidR="00A345A9" w:rsidRPr="00DE6DFB" w:rsidRDefault="00A345A9" w:rsidP="00A345A9">
            <w:pPr>
              <w:spacing w:after="0" w:line="240" w:lineRule="auto"/>
              <w:rPr>
                <w:rFonts w:ascii="Calibri" w:eastAsia="Times New Roman" w:hAnsi="Calibri" w:cs="Calibri"/>
                <w:color w:val="000000"/>
                <w:sz w:val="22"/>
                <w:szCs w:val="22"/>
                <w:lang w:eastAsia="en-AU"/>
              </w:rPr>
            </w:pPr>
            <w:r w:rsidRPr="0067036D">
              <w:rPr>
                <w:rFonts w:ascii="Calibri" w:eastAsia="Times New Roman" w:hAnsi="Calibri" w:cs="Calibri"/>
                <w:color w:val="000000"/>
                <w:sz w:val="22"/>
                <w:szCs w:val="22"/>
                <w:lang w:eastAsia="en-AU"/>
              </w:rPr>
              <w:t>Regularly review privacy practices to stay aligned with governance, security, and business priorities. Work with teams through forums and collaborate with other agencies to meet privacy goals and prepare for upcoming law changes</w:t>
            </w:r>
          </w:p>
        </w:tc>
        <w:tc>
          <w:tcPr>
            <w:tcW w:w="1564" w:type="dxa"/>
            <w:tcBorders>
              <w:top w:val="single" w:sz="12" w:space="0" w:color="FFFFFF"/>
              <w:left w:val="nil"/>
              <w:bottom w:val="single" w:sz="12" w:space="0" w:color="FFFFFF"/>
              <w:right w:val="single" w:sz="12" w:space="0" w:color="FFFFFF"/>
            </w:tcBorders>
            <w:shd w:val="clear" w:color="000000" w:fill="D9D9D9"/>
            <w:hideMark/>
          </w:tcPr>
          <w:p w14:paraId="2AC4F86F" w14:textId="77777777" w:rsidR="00A345A9" w:rsidRDefault="00A345A9" w:rsidP="00A345A9">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w:t>
            </w:r>
          </w:p>
          <w:p w14:paraId="617B71B2" w14:textId="77777777" w:rsidR="00A345A9" w:rsidRPr="00DE6DFB" w:rsidRDefault="00A345A9" w:rsidP="00A345A9">
            <w:pPr>
              <w:spacing w:after="0" w:line="240" w:lineRule="auto"/>
              <w:rPr>
                <w:rFonts w:ascii="Calibri" w:eastAsia="Times New Roman" w:hAnsi="Calibri" w:cs="Calibri"/>
                <w:color w:val="000000"/>
                <w:sz w:val="22"/>
                <w:szCs w:val="22"/>
                <w:lang w:eastAsia="en-AU"/>
              </w:rPr>
            </w:pPr>
          </w:p>
        </w:tc>
      </w:tr>
      <w:tr w:rsidR="00A345A9" w:rsidRPr="00DE6DFB" w14:paraId="61D2392A" w14:textId="77777777" w:rsidTr="00A345A9">
        <w:trPr>
          <w:trHeight w:val="1063"/>
        </w:trPr>
        <w:tc>
          <w:tcPr>
            <w:tcW w:w="1637" w:type="dxa"/>
            <w:vMerge/>
            <w:tcBorders>
              <w:left w:val="single" w:sz="12" w:space="0" w:color="FFFFFF"/>
              <w:bottom w:val="single" w:sz="12" w:space="0" w:color="FFFFFF"/>
              <w:right w:val="single" w:sz="8" w:space="0" w:color="FFFFFF" w:themeColor="background1"/>
            </w:tcBorders>
            <w:shd w:val="clear" w:color="000000" w:fill="757171"/>
            <w:hideMark/>
          </w:tcPr>
          <w:p w14:paraId="530E9E25" w14:textId="5644F1F4" w:rsidR="00A345A9" w:rsidRPr="00DE6DFB" w:rsidRDefault="00A345A9" w:rsidP="00A345A9">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096FBA89" w14:textId="194767E4" w:rsidR="00A345A9" w:rsidRPr="00A345A9" w:rsidRDefault="00A345A9" w:rsidP="00A345A9">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Awareness</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1E5BE16C" w14:textId="77777777" w:rsidR="007B7BE4" w:rsidRDefault="00A345A9" w:rsidP="00A345A9">
            <w:pPr>
              <w:spacing w:after="0" w:line="240" w:lineRule="auto"/>
              <w:rPr>
                <w:rFonts w:ascii="Calibri" w:eastAsia="Times New Roman" w:hAnsi="Calibri" w:cs="Calibri"/>
                <w:color w:val="000000"/>
                <w:sz w:val="22"/>
                <w:szCs w:val="22"/>
                <w:lang w:eastAsia="en-AU"/>
              </w:rPr>
            </w:pPr>
            <w:r w:rsidRPr="00781E0A">
              <w:rPr>
                <w:rFonts w:ascii="Calibri" w:eastAsia="Times New Roman" w:hAnsi="Calibri" w:cs="Calibri"/>
                <w:color w:val="000000"/>
                <w:sz w:val="22"/>
                <w:szCs w:val="22"/>
                <w:lang w:eastAsia="en-AU"/>
              </w:rPr>
              <w:t xml:space="preserve">Make privacy resources easy to access and understand and find creative ways to engage staff with policies and processes. </w:t>
            </w:r>
          </w:p>
          <w:p w14:paraId="49B1EC6F" w14:textId="77777777" w:rsidR="007B7BE4" w:rsidRDefault="007B7BE4" w:rsidP="00A345A9">
            <w:pPr>
              <w:spacing w:after="0" w:line="240" w:lineRule="auto"/>
              <w:rPr>
                <w:rFonts w:ascii="Calibri" w:eastAsia="Times New Roman" w:hAnsi="Calibri" w:cs="Calibri"/>
                <w:color w:val="000000"/>
                <w:sz w:val="22"/>
                <w:szCs w:val="22"/>
                <w:lang w:eastAsia="en-AU"/>
              </w:rPr>
            </w:pPr>
          </w:p>
          <w:p w14:paraId="72D5D325" w14:textId="45E3A807" w:rsidR="00A345A9" w:rsidRPr="00DE6DFB" w:rsidRDefault="00A345A9" w:rsidP="00A345A9">
            <w:pPr>
              <w:spacing w:after="0" w:line="240" w:lineRule="auto"/>
              <w:rPr>
                <w:rFonts w:ascii="Calibri" w:eastAsia="Times New Roman" w:hAnsi="Calibri" w:cs="Calibri"/>
                <w:color w:val="000000"/>
                <w:sz w:val="22"/>
                <w:szCs w:val="22"/>
                <w:lang w:eastAsia="en-AU"/>
              </w:rPr>
            </w:pPr>
            <w:r w:rsidRPr="00781E0A">
              <w:rPr>
                <w:rFonts w:ascii="Calibri" w:eastAsia="Times New Roman" w:hAnsi="Calibri" w:cs="Calibri"/>
                <w:color w:val="000000"/>
                <w:sz w:val="22"/>
                <w:szCs w:val="22"/>
                <w:lang w:eastAsia="en-AU"/>
              </w:rPr>
              <w:t>Promote awareness through activities like Privacy Awareness Week, tailored training, and feedback opportunities.</w:t>
            </w:r>
          </w:p>
        </w:tc>
        <w:tc>
          <w:tcPr>
            <w:tcW w:w="1564" w:type="dxa"/>
            <w:tcBorders>
              <w:top w:val="single" w:sz="12" w:space="0" w:color="FFFFFF"/>
              <w:left w:val="nil"/>
              <w:bottom w:val="single" w:sz="12" w:space="0" w:color="FFFFFF"/>
              <w:right w:val="single" w:sz="12" w:space="0" w:color="FFFFFF"/>
            </w:tcBorders>
            <w:shd w:val="clear" w:color="000000" w:fill="D9D9D9"/>
            <w:hideMark/>
          </w:tcPr>
          <w:p w14:paraId="217E50AA" w14:textId="77777777" w:rsidR="007B7BE4" w:rsidRDefault="00A345A9" w:rsidP="00A345A9">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w:t>
            </w:r>
            <w:r w:rsidRPr="00DE6DFB">
              <w:rPr>
                <w:rFonts w:ascii="Calibri" w:eastAsia="Times New Roman" w:hAnsi="Calibri" w:cs="Calibri"/>
                <w:color w:val="000000"/>
                <w:sz w:val="22"/>
                <w:szCs w:val="22"/>
                <w:lang w:eastAsia="en-AU"/>
              </w:rPr>
              <w:br/>
            </w:r>
            <w:r w:rsidRPr="00DE6DFB">
              <w:rPr>
                <w:rFonts w:ascii="Calibri" w:eastAsia="Times New Roman" w:hAnsi="Calibri" w:cs="Calibri"/>
                <w:color w:val="000000"/>
                <w:sz w:val="22"/>
                <w:szCs w:val="22"/>
                <w:lang w:eastAsia="en-AU"/>
              </w:rPr>
              <w:br/>
            </w:r>
          </w:p>
          <w:p w14:paraId="10122D41" w14:textId="50439B37" w:rsidR="00A345A9" w:rsidRDefault="00A345A9" w:rsidP="00A345A9">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 xml:space="preserve">PAW </w:t>
            </w:r>
          </w:p>
          <w:p w14:paraId="245EBF00" w14:textId="48C269CE" w:rsidR="00A345A9" w:rsidRPr="00DE6DFB" w:rsidRDefault="00A345A9" w:rsidP="00A345A9">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w:t>
            </w:r>
            <w:r>
              <w:rPr>
                <w:rFonts w:ascii="Calibri" w:eastAsia="Times New Roman" w:hAnsi="Calibri" w:cs="Calibri"/>
                <w:color w:val="000000"/>
                <w:sz w:val="22"/>
                <w:szCs w:val="22"/>
                <w:lang w:eastAsia="en-AU"/>
              </w:rPr>
              <w:t>16</w:t>
            </w:r>
            <w:r w:rsidRPr="00DE6DFB">
              <w:rPr>
                <w:rFonts w:ascii="Calibri" w:eastAsia="Times New Roman" w:hAnsi="Calibri" w:cs="Calibri"/>
                <w:color w:val="000000"/>
                <w:sz w:val="22"/>
                <w:szCs w:val="22"/>
                <w:lang w:eastAsia="en-AU"/>
              </w:rPr>
              <w:t xml:space="preserve"> </w:t>
            </w:r>
            <w:r>
              <w:rPr>
                <w:rFonts w:ascii="Calibri" w:eastAsia="Times New Roman" w:hAnsi="Calibri" w:cs="Calibri"/>
                <w:color w:val="000000"/>
                <w:sz w:val="22"/>
                <w:szCs w:val="22"/>
                <w:lang w:eastAsia="en-AU"/>
              </w:rPr>
              <w:t>–</w:t>
            </w:r>
            <w:r w:rsidRPr="00DE6DFB">
              <w:rPr>
                <w:rFonts w:ascii="Calibri" w:eastAsia="Times New Roman" w:hAnsi="Calibri" w:cs="Calibri"/>
                <w:color w:val="000000"/>
                <w:sz w:val="22"/>
                <w:szCs w:val="22"/>
                <w:lang w:eastAsia="en-AU"/>
              </w:rPr>
              <w:t xml:space="preserve"> </w:t>
            </w:r>
            <w:r>
              <w:rPr>
                <w:rFonts w:ascii="Calibri" w:eastAsia="Times New Roman" w:hAnsi="Calibri" w:cs="Calibri"/>
                <w:color w:val="000000"/>
                <w:sz w:val="22"/>
                <w:szCs w:val="22"/>
                <w:lang w:eastAsia="en-AU"/>
              </w:rPr>
              <w:t>22</w:t>
            </w:r>
            <w:r w:rsidR="008D6ABF">
              <w:rPr>
                <w:rFonts w:ascii="Calibri" w:eastAsia="Times New Roman" w:hAnsi="Calibri" w:cs="Calibri"/>
                <w:color w:val="000000"/>
                <w:sz w:val="22"/>
                <w:szCs w:val="22"/>
                <w:lang w:eastAsia="en-AU"/>
              </w:rPr>
              <w:t>/6/</w:t>
            </w:r>
            <w:r w:rsidRPr="00DE6DFB">
              <w:rPr>
                <w:rFonts w:ascii="Calibri" w:eastAsia="Times New Roman" w:hAnsi="Calibri" w:cs="Calibri"/>
                <w:color w:val="000000"/>
                <w:sz w:val="22"/>
                <w:szCs w:val="22"/>
                <w:lang w:eastAsia="en-AU"/>
              </w:rPr>
              <w:t>25)</w:t>
            </w:r>
          </w:p>
        </w:tc>
      </w:tr>
      <w:tr w:rsidR="007B7BE4" w:rsidRPr="00DE6DFB" w14:paraId="524CFCDA" w14:textId="77777777" w:rsidTr="007B7BE4">
        <w:trPr>
          <w:trHeight w:val="614"/>
        </w:trPr>
        <w:tc>
          <w:tcPr>
            <w:tcW w:w="1637" w:type="dxa"/>
            <w:vMerge w:val="restart"/>
            <w:tcBorders>
              <w:top w:val="single" w:sz="12" w:space="0" w:color="FFFFFF"/>
              <w:left w:val="single" w:sz="12" w:space="0" w:color="FFFFFF"/>
              <w:right w:val="single" w:sz="8" w:space="0" w:color="FFFFFF" w:themeColor="background1"/>
            </w:tcBorders>
            <w:shd w:val="clear" w:color="000000" w:fill="757171"/>
          </w:tcPr>
          <w:p w14:paraId="7FA02D58" w14:textId="77777777" w:rsidR="007B7BE4" w:rsidRPr="00DE6DFB" w:rsidRDefault="007B7BE4" w:rsidP="007B7BE4">
            <w:pPr>
              <w:spacing w:after="0" w:line="240" w:lineRule="auto"/>
              <w:rPr>
                <w:rFonts w:ascii="Calibri" w:eastAsia="Times New Roman" w:hAnsi="Calibri" w:cs="Calibri"/>
                <w:b/>
                <w:bCs/>
                <w:color w:val="FFFFFF"/>
                <w:sz w:val="22"/>
                <w:szCs w:val="22"/>
                <w:lang w:eastAsia="en-AU"/>
              </w:rPr>
            </w:pPr>
            <w:r w:rsidRPr="00DE6DFB">
              <w:rPr>
                <w:rFonts w:ascii="Calibri" w:eastAsia="Times New Roman" w:hAnsi="Calibri" w:cs="Calibri"/>
                <w:b/>
                <w:bCs/>
                <w:color w:val="FFFFFF"/>
                <w:sz w:val="22"/>
                <w:szCs w:val="22"/>
                <w:lang w:eastAsia="en-AU"/>
              </w:rPr>
              <w:t>Privacy Strategy</w:t>
            </w:r>
          </w:p>
          <w:p w14:paraId="1E4961B5" w14:textId="77777777"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00360DE9" w14:textId="7EB24DB8"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Privacy Management Plan</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tcPr>
          <w:p w14:paraId="34C05D1E" w14:textId="357687F6" w:rsidR="007B7BE4" w:rsidRPr="002C32AB"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Privacy Management Plan review is finalised in Q2 (1 April 2025 - 30 June 2025).</w:t>
            </w:r>
          </w:p>
        </w:tc>
        <w:tc>
          <w:tcPr>
            <w:tcW w:w="1564" w:type="dxa"/>
            <w:tcBorders>
              <w:top w:val="single" w:sz="12" w:space="0" w:color="FFFFFF"/>
              <w:left w:val="nil"/>
              <w:bottom w:val="single" w:sz="12" w:space="0" w:color="FFFFFF"/>
              <w:right w:val="single" w:sz="12" w:space="0" w:color="FFFFFF"/>
            </w:tcBorders>
            <w:shd w:val="clear" w:color="000000" w:fill="D9D9D9"/>
          </w:tcPr>
          <w:p w14:paraId="3D7D12F7" w14:textId="77777777"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30/06/2025</w:t>
            </w:r>
          </w:p>
          <w:p w14:paraId="52C10797"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r>
      <w:tr w:rsidR="007B7BE4" w:rsidRPr="00DE6DFB" w14:paraId="3D784AAF" w14:textId="77777777" w:rsidTr="001356EB">
        <w:trPr>
          <w:trHeight w:val="827"/>
        </w:trPr>
        <w:tc>
          <w:tcPr>
            <w:tcW w:w="1637" w:type="dxa"/>
            <w:vMerge/>
            <w:tcBorders>
              <w:left w:val="single" w:sz="12" w:space="0" w:color="FFFFFF"/>
              <w:right w:val="single" w:sz="8" w:space="0" w:color="FFFFFF" w:themeColor="background1"/>
            </w:tcBorders>
            <w:shd w:val="clear" w:color="000000" w:fill="757171"/>
            <w:hideMark/>
          </w:tcPr>
          <w:p w14:paraId="58E7FC1D" w14:textId="7AA543E5"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634FE33B" w14:textId="098F83A1"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Inventory of Personal Information</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2CB70951" w14:textId="77777777" w:rsidR="007B7BE4" w:rsidRDefault="007B7BE4" w:rsidP="007B7BE4">
            <w:pPr>
              <w:spacing w:after="0" w:line="240" w:lineRule="auto"/>
              <w:rPr>
                <w:rFonts w:ascii="Calibri" w:eastAsia="Times New Roman" w:hAnsi="Calibri" w:cs="Calibri"/>
                <w:color w:val="000000"/>
                <w:sz w:val="22"/>
                <w:szCs w:val="22"/>
                <w:lang w:eastAsia="en-AU"/>
              </w:rPr>
            </w:pPr>
            <w:r w:rsidRPr="002C32AB">
              <w:rPr>
                <w:rFonts w:ascii="Calibri" w:eastAsia="Times New Roman" w:hAnsi="Calibri" w:cs="Calibri"/>
                <w:color w:val="000000"/>
                <w:sz w:val="22"/>
                <w:szCs w:val="22"/>
                <w:lang w:eastAsia="en-AU"/>
              </w:rPr>
              <w:t xml:space="preserve">Complete the </w:t>
            </w:r>
            <w:r>
              <w:rPr>
                <w:rFonts w:ascii="Calibri" w:eastAsia="Times New Roman" w:hAnsi="Calibri" w:cs="Calibri"/>
                <w:color w:val="000000"/>
                <w:sz w:val="22"/>
                <w:szCs w:val="22"/>
                <w:lang w:eastAsia="en-AU"/>
              </w:rPr>
              <w:t xml:space="preserve">personal information holdings </w:t>
            </w:r>
            <w:r w:rsidRPr="002C32AB">
              <w:rPr>
                <w:rFonts w:ascii="Calibri" w:eastAsia="Times New Roman" w:hAnsi="Calibri" w:cs="Calibri"/>
                <w:color w:val="000000"/>
                <w:sz w:val="22"/>
                <w:szCs w:val="22"/>
                <w:lang w:eastAsia="en-AU"/>
              </w:rPr>
              <w:t xml:space="preserve">stocktake and update the personal information register, using findings to review privacy governance and policies. </w:t>
            </w:r>
          </w:p>
          <w:p w14:paraId="2849D5B2"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56BFC80A" w14:textId="4B196523" w:rsidR="007B7BE4" w:rsidRPr="002C32AB" w:rsidRDefault="007B7BE4" w:rsidP="007B7BE4">
            <w:pPr>
              <w:spacing w:after="0" w:line="240" w:lineRule="auto"/>
              <w:rPr>
                <w:rFonts w:ascii="Calibri" w:eastAsia="Times New Roman" w:hAnsi="Calibri" w:cs="Calibri"/>
                <w:color w:val="000000"/>
                <w:sz w:val="22"/>
                <w:szCs w:val="22"/>
                <w:lang w:eastAsia="en-AU"/>
              </w:rPr>
            </w:pPr>
            <w:r w:rsidRPr="002C32AB">
              <w:rPr>
                <w:rFonts w:ascii="Calibri" w:eastAsia="Times New Roman" w:hAnsi="Calibri" w:cs="Calibri"/>
                <w:color w:val="000000"/>
                <w:sz w:val="22"/>
                <w:szCs w:val="22"/>
                <w:lang w:eastAsia="en-AU"/>
              </w:rPr>
              <w:t>Establish an annual review process to monitor changes and update the register as needed.</w:t>
            </w:r>
          </w:p>
          <w:p w14:paraId="166A09DE"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7D094224" w14:textId="77777777" w:rsidR="007B7BE4"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30/09/202</w:t>
            </w:r>
            <w:r>
              <w:rPr>
                <w:rFonts w:ascii="Calibri" w:eastAsia="Times New Roman" w:hAnsi="Calibri" w:cs="Calibri"/>
                <w:color w:val="000000"/>
                <w:sz w:val="22"/>
                <w:szCs w:val="22"/>
                <w:lang w:eastAsia="en-AU"/>
              </w:rPr>
              <w:t>5</w:t>
            </w:r>
          </w:p>
          <w:p w14:paraId="673B5DA1"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6112A5A7"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6B83E1BF" w14:textId="3397C94F" w:rsidR="007B7BE4" w:rsidRPr="00DE6DFB"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w:t>
            </w:r>
          </w:p>
        </w:tc>
      </w:tr>
      <w:tr w:rsidR="007B7BE4" w:rsidRPr="00DE6DFB" w14:paraId="7DE25E13" w14:textId="77777777" w:rsidTr="00C92A38">
        <w:trPr>
          <w:trHeight w:val="840"/>
        </w:trPr>
        <w:tc>
          <w:tcPr>
            <w:tcW w:w="1637" w:type="dxa"/>
            <w:vMerge/>
            <w:tcBorders>
              <w:left w:val="single" w:sz="12" w:space="0" w:color="FFFFFF"/>
              <w:right w:val="single" w:sz="8" w:space="0" w:color="FFFFFF" w:themeColor="background1"/>
            </w:tcBorders>
            <w:shd w:val="clear" w:color="000000" w:fill="757171"/>
            <w:hideMark/>
          </w:tcPr>
          <w:p w14:paraId="4AD5DD70" w14:textId="44CE305F"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6D876692" w14:textId="61B97634"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Data Quality Processes</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626B7B1C" w14:textId="77777777" w:rsidR="007B7BE4" w:rsidRDefault="007B7BE4" w:rsidP="007B7BE4">
            <w:pPr>
              <w:spacing w:after="0" w:line="240" w:lineRule="auto"/>
              <w:rPr>
                <w:rFonts w:ascii="Calibri" w:eastAsia="Times New Roman" w:hAnsi="Calibri" w:cs="Calibri"/>
                <w:color w:val="000000"/>
                <w:sz w:val="22"/>
                <w:szCs w:val="22"/>
                <w:lang w:eastAsia="en-AU"/>
              </w:rPr>
            </w:pPr>
            <w:r w:rsidRPr="00923CFA">
              <w:rPr>
                <w:rFonts w:ascii="Calibri" w:eastAsia="Times New Roman" w:hAnsi="Calibri" w:cs="Calibri"/>
                <w:color w:val="000000"/>
                <w:sz w:val="22"/>
                <w:szCs w:val="22"/>
                <w:lang w:eastAsia="en-AU"/>
              </w:rPr>
              <w:t xml:space="preserve">Use existing data quality practices to create guidance for staff. </w:t>
            </w:r>
          </w:p>
          <w:p w14:paraId="60B16BCC"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099CDE91" w14:textId="505ED22A" w:rsidR="007B7BE4" w:rsidRPr="00923CFA" w:rsidRDefault="007B7BE4" w:rsidP="007B7BE4">
            <w:pPr>
              <w:spacing w:after="0" w:line="240" w:lineRule="auto"/>
              <w:rPr>
                <w:rFonts w:ascii="Calibri" w:eastAsia="Times New Roman" w:hAnsi="Calibri" w:cs="Calibri"/>
                <w:color w:val="000000"/>
                <w:sz w:val="22"/>
                <w:szCs w:val="22"/>
                <w:lang w:eastAsia="en-AU"/>
              </w:rPr>
            </w:pPr>
            <w:r w:rsidRPr="00923CFA">
              <w:rPr>
                <w:rFonts w:ascii="Calibri" w:eastAsia="Times New Roman" w:hAnsi="Calibri" w:cs="Calibri"/>
                <w:color w:val="000000"/>
                <w:sz w:val="22"/>
                <w:szCs w:val="22"/>
                <w:lang w:eastAsia="en-AU"/>
              </w:rPr>
              <w:t>Promote data quality as a key goal through awareness activities, training, and privacy communications.</w:t>
            </w:r>
          </w:p>
          <w:p w14:paraId="62132216"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130F95CA" w14:textId="77777777"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w:t>
            </w:r>
            <w:r w:rsidRPr="00DE6DFB">
              <w:rPr>
                <w:rFonts w:ascii="Calibri" w:eastAsia="Times New Roman" w:hAnsi="Calibri" w:cs="Calibri"/>
                <w:color w:val="000000"/>
                <w:sz w:val="22"/>
                <w:szCs w:val="22"/>
                <w:lang w:eastAsia="en-AU"/>
              </w:rPr>
              <w:br/>
            </w:r>
            <w:r w:rsidRPr="00DE6DFB">
              <w:rPr>
                <w:rFonts w:ascii="Calibri" w:eastAsia="Times New Roman" w:hAnsi="Calibri" w:cs="Calibri"/>
                <w:color w:val="000000"/>
                <w:sz w:val="22"/>
                <w:szCs w:val="22"/>
                <w:lang w:eastAsia="en-AU"/>
              </w:rPr>
              <w:br/>
              <w:t xml:space="preserve">During PAW </w:t>
            </w:r>
          </w:p>
          <w:p w14:paraId="57F21A28" w14:textId="279143EE" w:rsidR="007B7BE4" w:rsidRPr="00DE6DFB"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(16 – 22</w:t>
            </w:r>
            <w:r w:rsidR="008D6ABF">
              <w:rPr>
                <w:rFonts w:ascii="Calibri" w:eastAsia="Times New Roman" w:hAnsi="Calibri" w:cs="Calibri"/>
                <w:color w:val="000000"/>
                <w:sz w:val="22"/>
                <w:szCs w:val="22"/>
                <w:lang w:eastAsia="en-AU"/>
              </w:rPr>
              <w:t>/6/25</w:t>
            </w:r>
            <w:r w:rsidRPr="00DE6DFB">
              <w:rPr>
                <w:rFonts w:ascii="Calibri" w:eastAsia="Times New Roman" w:hAnsi="Calibri" w:cs="Calibri"/>
                <w:color w:val="000000"/>
                <w:sz w:val="22"/>
                <w:szCs w:val="22"/>
                <w:lang w:eastAsia="en-AU"/>
              </w:rPr>
              <w:t>)</w:t>
            </w:r>
          </w:p>
        </w:tc>
      </w:tr>
      <w:tr w:rsidR="007B7BE4" w:rsidRPr="00DE6DFB" w14:paraId="55155940" w14:textId="77777777" w:rsidTr="00C92A38">
        <w:trPr>
          <w:trHeight w:val="1015"/>
        </w:trPr>
        <w:tc>
          <w:tcPr>
            <w:tcW w:w="1637" w:type="dxa"/>
            <w:vMerge/>
            <w:tcBorders>
              <w:left w:val="single" w:sz="12" w:space="0" w:color="FFFFFF"/>
              <w:bottom w:val="single" w:sz="12" w:space="0" w:color="FFFFFF"/>
              <w:right w:val="single" w:sz="8" w:space="0" w:color="FFFFFF" w:themeColor="background1"/>
            </w:tcBorders>
            <w:shd w:val="clear" w:color="000000" w:fill="757171"/>
            <w:hideMark/>
          </w:tcPr>
          <w:p w14:paraId="703FEE2B" w14:textId="3CDC6BBE"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301DEBDA" w14:textId="22F88401"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Information Security Processes</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5FA0DDC8" w14:textId="3C8AA6B5" w:rsidR="007B7BE4" w:rsidRPr="00DE6DFB" w:rsidRDefault="007B7BE4" w:rsidP="007B7BE4">
            <w:pPr>
              <w:spacing w:after="0" w:line="240" w:lineRule="auto"/>
              <w:rPr>
                <w:rFonts w:ascii="Calibri" w:eastAsia="Times New Roman" w:hAnsi="Calibri" w:cs="Calibri"/>
                <w:color w:val="000000"/>
                <w:sz w:val="22"/>
                <w:szCs w:val="22"/>
                <w:lang w:eastAsia="en-AU"/>
              </w:rPr>
            </w:pPr>
            <w:r w:rsidRPr="00493DB8">
              <w:rPr>
                <w:rFonts w:ascii="Calibri" w:eastAsia="Times New Roman" w:hAnsi="Calibri" w:cs="Calibri"/>
                <w:color w:val="000000"/>
                <w:sz w:val="22"/>
                <w:szCs w:val="22"/>
                <w:lang w:eastAsia="en-AU"/>
              </w:rPr>
              <w:t xml:space="preserve">Engage with operational areas and Shared Services to manage shared risks and strengthen collaboration on privacy and security. Work with PM&amp;C, IT, and relevant teams to implement recommendations from the Information Commissioner’s Messaging Apps </w:t>
            </w:r>
            <w:r w:rsidR="007525DA">
              <w:rPr>
                <w:rFonts w:ascii="Calibri" w:eastAsia="Times New Roman" w:hAnsi="Calibri" w:cs="Calibri"/>
                <w:color w:val="000000"/>
                <w:sz w:val="22"/>
                <w:szCs w:val="22"/>
                <w:lang w:eastAsia="en-AU"/>
              </w:rPr>
              <w:t>R</w:t>
            </w:r>
            <w:r w:rsidRPr="00493DB8">
              <w:rPr>
                <w:rFonts w:ascii="Calibri" w:eastAsia="Times New Roman" w:hAnsi="Calibri" w:cs="Calibri"/>
                <w:color w:val="000000"/>
                <w:sz w:val="22"/>
                <w:szCs w:val="22"/>
                <w:lang w:eastAsia="en-AU"/>
              </w:rPr>
              <w:t>eport.</w:t>
            </w:r>
          </w:p>
        </w:tc>
        <w:tc>
          <w:tcPr>
            <w:tcW w:w="1564" w:type="dxa"/>
            <w:tcBorders>
              <w:top w:val="single" w:sz="12" w:space="0" w:color="FFFFFF"/>
              <w:left w:val="nil"/>
              <w:bottom w:val="single" w:sz="12" w:space="0" w:color="FFFFFF"/>
              <w:right w:val="single" w:sz="12" w:space="0" w:color="FFFFFF"/>
            </w:tcBorders>
            <w:shd w:val="clear" w:color="000000" w:fill="D9D9D9"/>
            <w:hideMark/>
          </w:tcPr>
          <w:p w14:paraId="39692CBB" w14:textId="77777777"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w:t>
            </w:r>
          </w:p>
          <w:p w14:paraId="12E5CB11"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14AC0972"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26F30BB8"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r>
      <w:tr w:rsidR="007B7BE4" w:rsidRPr="00DE6DFB" w14:paraId="02631658" w14:textId="77777777" w:rsidTr="00DA2F97">
        <w:trPr>
          <w:trHeight w:val="1045"/>
        </w:trPr>
        <w:tc>
          <w:tcPr>
            <w:tcW w:w="1637" w:type="dxa"/>
            <w:vMerge w:val="restart"/>
            <w:tcBorders>
              <w:top w:val="single" w:sz="12" w:space="0" w:color="FFFFFF"/>
              <w:left w:val="single" w:sz="12" w:space="0" w:color="FFFFFF"/>
              <w:right w:val="single" w:sz="8" w:space="0" w:color="FFFFFF" w:themeColor="background1"/>
            </w:tcBorders>
            <w:shd w:val="clear" w:color="000000" w:fill="757171"/>
            <w:hideMark/>
          </w:tcPr>
          <w:p w14:paraId="2F0DCA10" w14:textId="4A43F482" w:rsidR="007B7BE4" w:rsidRPr="00DE6DFB" w:rsidRDefault="007B7BE4" w:rsidP="007B7BE4">
            <w:pPr>
              <w:spacing w:after="0" w:line="240" w:lineRule="auto"/>
              <w:rPr>
                <w:rFonts w:ascii="Calibri" w:eastAsia="Times New Roman" w:hAnsi="Calibri" w:cs="Calibri"/>
                <w:b/>
                <w:bCs/>
                <w:color w:val="FFFFFF"/>
                <w:sz w:val="22"/>
                <w:szCs w:val="22"/>
                <w:lang w:eastAsia="en-AU"/>
              </w:rPr>
            </w:pPr>
            <w:r w:rsidRPr="00DE6DFB">
              <w:rPr>
                <w:rFonts w:ascii="Calibri" w:eastAsia="Times New Roman" w:hAnsi="Calibri" w:cs="Calibri"/>
                <w:b/>
                <w:bCs/>
                <w:color w:val="FFFFFF"/>
                <w:sz w:val="22"/>
                <w:szCs w:val="22"/>
                <w:lang w:eastAsia="en-AU"/>
              </w:rPr>
              <w:t>Privacy Processes</w:t>
            </w: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2BF7501C" w14:textId="0B84E01E"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External Privacy Policy &amp; Notices</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2740016F" w14:textId="77777777" w:rsidR="007525DA"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 xml:space="preserve">Explore innovate ways to deliver privacy messages, including through using infographics and images to improve user experience. </w:t>
            </w:r>
          </w:p>
          <w:p w14:paraId="3F0D8B2C" w14:textId="2E2A4905" w:rsidR="007B7BE4" w:rsidRPr="00DE6DFB"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Proactively engage with the expertise in the Communications branch to develop these resources.</w:t>
            </w:r>
          </w:p>
        </w:tc>
        <w:tc>
          <w:tcPr>
            <w:tcW w:w="1564" w:type="dxa"/>
            <w:tcBorders>
              <w:top w:val="single" w:sz="12" w:space="0" w:color="FFFFFF"/>
              <w:left w:val="nil"/>
              <w:bottom w:val="single" w:sz="12" w:space="0" w:color="FFFFFF"/>
              <w:right w:val="single" w:sz="12" w:space="0" w:color="FFFFFF"/>
            </w:tcBorders>
            <w:shd w:val="clear" w:color="000000" w:fill="D9D9D9"/>
            <w:hideMark/>
          </w:tcPr>
          <w:p w14:paraId="05A0FC24" w14:textId="77777777" w:rsidR="007B7BE4"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31/</w:t>
            </w:r>
            <w:r>
              <w:rPr>
                <w:rFonts w:ascii="Calibri" w:eastAsia="Times New Roman" w:hAnsi="Calibri" w:cs="Calibri"/>
                <w:color w:val="000000"/>
                <w:sz w:val="22"/>
                <w:szCs w:val="22"/>
                <w:lang w:eastAsia="en-AU"/>
              </w:rPr>
              <w:t>09</w:t>
            </w:r>
            <w:r w:rsidRPr="00DE6DFB">
              <w:rPr>
                <w:rFonts w:ascii="Calibri" w:eastAsia="Times New Roman" w:hAnsi="Calibri" w:cs="Calibri"/>
                <w:color w:val="000000"/>
                <w:sz w:val="22"/>
                <w:szCs w:val="22"/>
                <w:lang w:eastAsia="en-AU"/>
              </w:rPr>
              <w:t>/202</w:t>
            </w:r>
            <w:r>
              <w:rPr>
                <w:rFonts w:ascii="Calibri" w:eastAsia="Times New Roman" w:hAnsi="Calibri" w:cs="Calibri"/>
                <w:color w:val="000000"/>
                <w:sz w:val="22"/>
                <w:szCs w:val="22"/>
                <w:lang w:eastAsia="en-AU"/>
              </w:rPr>
              <w:t>5</w:t>
            </w:r>
          </w:p>
          <w:p w14:paraId="0BF5ACCD"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6AF2DF08"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 for new privacy notices</w:t>
            </w:r>
          </w:p>
        </w:tc>
      </w:tr>
      <w:tr w:rsidR="007B7BE4" w:rsidRPr="00DE6DFB" w14:paraId="2DACA066" w14:textId="77777777" w:rsidTr="00DA2F97">
        <w:trPr>
          <w:trHeight w:val="792"/>
        </w:trPr>
        <w:tc>
          <w:tcPr>
            <w:tcW w:w="1637" w:type="dxa"/>
            <w:vMerge/>
            <w:tcBorders>
              <w:left w:val="single" w:sz="12" w:space="0" w:color="FFFFFF"/>
              <w:right w:val="single" w:sz="8" w:space="0" w:color="FFFFFF" w:themeColor="background1"/>
            </w:tcBorders>
            <w:shd w:val="clear" w:color="000000" w:fill="757171"/>
            <w:hideMark/>
          </w:tcPr>
          <w:p w14:paraId="2E5CD8C1" w14:textId="60C0287C"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58F31B95" w14:textId="0396911B"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Internal Policies &amp; Procedures</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3AF43317" w14:textId="3AD965E4" w:rsidR="007B7BE4" w:rsidRPr="00CA429F" w:rsidRDefault="007B7BE4" w:rsidP="007B7BE4">
            <w:pPr>
              <w:spacing w:after="0" w:line="240" w:lineRule="auto"/>
              <w:rPr>
                <w:rFonts w:ascii="Calibri" w:eastAsia="Times New Roman" w:hAnsi="Calibri" w:cs="Calibri"/>
                <w:color w:val="000000"/>
                <w:sz w:val="22"/>
                <w:szCs w:val="22"/>
                <w:lang w:eastAsia="en-AU"/>
              </w:rPr>
            </w:pPr>
            <w:r w:rsidRPr="00CA429F">
              <w:rPr>
                <w:rFonts w:ascii="Calibri" w:eastAsia="Times New Roman" w:hAnsi="Calibri" w:cs="Calibri"/>
                <w:color w:val="000000"/>
                <w:sz w:val="22"/>
                <w:szCs w:val="22"/>
                <w:lang w:eastAsia="en-AU"/>
              </w:rPr>
              <w:t>Work with the Communications team to create clear privacy resources and tools. Involve staff and managers in shaping procedures to ensure they are practical and support a strong privacy culture.</w:t>
            </w:r>
          </w:p>
          <w:p w14:paraId="4558D511"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7BF2D399"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31/12/202</w:t>
            </w:r>
            <w:r>
              <w:rPr>
                <w:rFonts w:ascii="Calibri" w:eastAsia="Times New Roman" w:hAnsi="Calibri" w:cs="Calibri"/>
                <w:color w:val="000000"/>
                <w:sz w:val="22"/>
                <w:szCs w:val="22"/>
                <w:lang w:eastAsia="en-AU"/>
              </w:rPr>
              <w:t>5</w:t>
            </w:r>
          </w:p>
        </w:tc>
      </w:tr>
      <w:tr w:rsidR="007B7BE4" w:rsidRPr="00DE6DFB" w14:paraId="59299C6F" w14:textId="77777777" w:rsidTr="007B7BE4">
        <w:trPr>
          <w:trHeight w:val="874"/>
        </w:trPr>
        <w:tc>
          <w:tcPr>
            <w:tcW w:w="1637" w:type="dxa"/>
            <w:vMerge/>
            <w:tcBorders>
              <w:left w:val="single" w:sz="12" w:space="0" w:color="FFFFFF"/>
              <w:right w:val="single" w:sz="8" w:space="0" w:color="FFFFFF" w:themeColor="background1"/>
            </w:tcBorders>
            <w:shd w:val="clear" w:color="000000" w:fill="757171"/>
            <w:hideMark/>
          </w:tcPr>
          <w:p w14:paraId="529240CB" w14:textId="6F6098BC"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6C8492C4" w14:textId="424960BF"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Dealing with Suppliers</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78358EBC" w14:textId="1EB0914A" w:rsidR="007B7BE4" w:rsidRPr="00C07660" w:rsidRDefault="007B7BE4" w:rsidP="007B7BE4">
            <w:pPr>
              <w:spacing w:after="0" w:line="240" w:lineRule="auto"/>
              <w:rPr>
                <w:rFonts w:ascii="Calibri" w:eastAsia="Times New Roman" w:hAnsi="Calibri" w:cs="Calibri"/>
                <w:color w:val="000000"/>
                <w:sz w:val="22"/>
                <w:szCs w:val="22"/>
                <w:lang w:eastAsia="en-AU"/>
              </w:rPr>
            </w:pPr>
            <w:r w:rsidRPr="00B33914">
              <w:rPr>
                <w:rFonts w:ascii="Calibri" w:eastAsia="Times New Roman" w:hAnsi="Calibri" w:cs="Calibri"/>
                <w:color w:val="000000"/>
                <w:sz w:val="22"/>
                <w:szCs w:val="22"/>
                <w:lang w:eastAsia="en-AU"/>
              </w:rPr>
              <w:t>Work with procurement and grants teams to embed privacy considerations in third-party assessments. Review related procedures and templates to ensure consistent processes for managing privacy risks.</w:t>
            </w:r>
          </w:p>
        </w:tc>
        <w:tc>
          <w:tcPr>
            <w:tcW w:w="1564" w:type="dxa"/>
            <w:tcBorders>
              <w:top w:val="single" w:sz="12" w:space="0" w:color="FFFFFF"/>
              <w:left w:val="nil"/>
              <w:bottom w:val="single" w:sz="12" w:space="0" w:color="FFFFFF"/>
              <w:right w:val="single" w:sz="12" w:space="0" w:color="FFFFFF"/>
            </w:tcBorders>
            <w:shd w:val="clear" w:color="000000" w:fill="D9D9D9"/>
            <w:hideMark/>
          </w:tcPr>
          <w:p w14:paraId="39B1AC65" w14:textId="77777777"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w:t>
            </w:r>
          </w:p>
          <w:p w14:paraId="702F8052"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695ABDA0"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r>
      <w:tr w:rsidR="007B7BE4" w:rsidRPr="00DE6DFB" w14:paraId="44CA0D1C" w14:textId="77777777" w:rsidTr="00DD1C03">
        <w:trPr>
          <w:trHeight w:val="616"/>
        </w:trPr>
        <w:tc>
          <w:tcPr>
            <w:tcW w:w="1637" w:type="dxa"/>
            <w:vMerge/>
            <w:tcBorders>
              <w:left w:val="single" w:sz="12" w:space="0" w:color="FFFFFF"/>
              <w:right w:val="single" w:sz="8" w:space="0" w:color="FFFFFF" w:themeColor="background1"/>
            </w:tcBorders>
            <w:shd w:val="clear" w:color="000000" w:fill="757171"/>
            <w:hideMark/>
          </w:tcPr>
          <w:p w14:paraId="2C632B16" w14:textId="3535B531"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77DB0E75" w14:textId="1411521C"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Complaints &amp; Enquiries</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7378BFE2" w14:textId="3B62CEF6"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Review the Privacy Complaints SOP and update as needed. </w:t>
            </w:r>
          </w:p>
          <w:p w14:paraId="7A663995"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3EBC0C54" w14:textId="77777777"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w:t>
            </w:r>
          </w:p>
          <w:p w14:paraId="4F31CE74"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r>
      <w:tr w:rsidR="007B7BE4" w:rsidRPr="00DE6DFB" w14:paraId="44986A3C" w14:textId="77777777" w:rsidTr="007525DA">
        <w:trPr>
          <w:trHeight w:val="624"/>
        </w:trPr>
        <w:tc>
          <w:tcPr>
            <w:tcW w:w="1637" w:type="dxa"/>
            <w:vMerge/>
            <w:tcBorders>
              <w:left w:val="single" w:sz="12" w:space="0" w:color="FFFFFF"/>
              <w:right w:val="single" w:sz="8" w:space="0" w:color="FFFFFF" w:themeColor="background1"/>
            </w:tcBorders>
            <w:shd w:val="clear" w:color="000000" w:fill="757171"/>
            <w:hideMark/>
          </w:tcPr>
          <w:p w14:paraId="316065B6" w14:textId="3BB69201"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5F8278AB" w14:textId="5F85E191"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Privacy Impact Assessments</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5A2AB59B" w14:textId="713874B6" w:rsidR="007B7BE4"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PTA and PIA register is kept up to date. PIA register is published to the NIAA website.</w:t>
            </w:r>
          </w:p>
          <w:p w14:paraId="3385E7E1"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331D8425" w14:textId="77777777"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Quarterly update</w:t>
            </w:r>
          </w:p>
          <w:p w14:paraId="0E635E61"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r>
      <w:tr w:rsidR="007B7BE4" w:rsidRPr="00DE6DFB" w14:paraId="27908E6A" w14:textId="77777777" w:rsidTr="007525DA">
        <w:trPr>
          <w:trHeight w:val="318"/>
        </w:trPr>
        <w:tc>
          <w:tcPr>
            <w:tcW w:w="1637" w:type="dxa"/>
            <w:vMerge/>
            <w:tcBorders>
              <w:left w:val="single" w:sz="12" w:space="0" w:color="FFFFFF"/>
              <w:right w:val="single" w:sz="8" w:space="0" w:color="FFFFFF" w:themeColor="background1"/>
            </w:tcBorders>
            <w:shd w:val="clear" w:color="000000" w:fill="757171"/>
            <w:hideMark/>
          </w:tcPr>
          <w:p w14:paraId="4A2BEEF8" w14:textId="3D255957"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7F54CE4E" w14:textId="2E2B5EEE"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Privacy Training</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127B87CC" w14:textId="3C6A2C9E" w:rsidR="007B7BE4"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Engagement with Workforce Capability Team on updating privacy training eLearning.</w:t>
            </w:r>
          </w:p>
          <w:p w14:paraId="28155F93"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5700424C"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N/A</w:t>
            </w:r>
          </w:p>
        </w:tc>
      </w:tr>
      <w:tr w:rsidR="007B7BE4" w:rsidRPr="00DE6DFB" w14:paraId="265A9C6A" w14:textId="77777777" w:rsidTr="007B7BE4">
        <w:trPr>
          <w:trHeight w:val="610"/>
        </w:trPr>
        <w:tc>
          <w:tcPr>
            <w:tcW w:w="1637" w:type="dxa"/>
            <w:vMerge/>
            <w:tcBorders>
              <w:left w:val="single" w:sz="12" w:space="0" w:color="FFFFFF"/>
              <w:bottom w:val="single" w:sz="12" w:space="0" w:color="FFFFFF"/>
              <w:right w:val="single" w:sz="8" w:space="0" w:color="FFFFFF" w:themeColor="background1"/>
            </w:tcBorders>
            <w:shd w:val="clear" w:color="000000" w:fill="757171"/>
            <w:hideMark/>
          </w:tcPr>
          <w:p w14:paraId="2DB4CAEB" w14:textId="46A1B557" w:rsidR="007B7BE4" w:rsidRPr="00DE6DFB" w:rsidRDefault="007B7BE4" w:rsidP="007B7BE4">
            <w:pPr>
              <w:spacing w:after="0" w:line="240" w:lineRule="auto"/>
              <w:rPr>
                <w:rFonts w:ascii="Calibri" w:eastAsia="Times New Roman" w:hAnsi="Calibri" w:cs="Calibri"/>
                <w:b/>
                <w:bCs/>
                <w:color w:val="FFFFFF"/>
                <w:sz w:val="22"/>
                <w:szCs w:val="22"/>
                <w:lang w:eastAsia="en-AU"/>
              </w:rPr>
            </w:pP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3456E99A" w14:textId="3499BFAC"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Access &amp; Correction</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0BD9571E" w14:textId="25984593"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Review</w:t>
            </w:r>
            <w:r w:rsidRPr="00DE6DFB">
              <w:rPr>
                <w:rFonts w:ascii="Calibri" w:eastAsia="Times New Roman" w:hAnsi="Calibri" w:cs="Calibri"/>
                <w:color w:val="000000"/>
                <w:sz w:val="22"/>
                <w:szCs w:val="22"/>
                <w:lang w:eastAsia="en-AU"/>
              </w:rPr>
              <w:t xml:space="preserve"> intranet content to promote staff awareness of access and correction policy and process.</w:t>
            </w:r>
          </w:p>
          <w:p w14:paraId="2BEFC0CA"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27C3C346" w14:textId="77777777" w:rsidR="007B7BE4" w:rsidRDefault="007B7BE4" w:rsidP="007B7BE4">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31/12/202</w:t>
            </w:r>
            <w:r>
              <w:rPr>
                <w:rFonts w:ascii="Calibri" w:eastAsia="Times New Roman" w:hAnsi="Calibri" w:cs="Calibri"/>
                <w:color w:val="000000"/>
                <w:sz w:val="22"/>
                <w:szCs w:val="22"/>
                <w:lang w:eastAsia="en-AU"/>
              </w:rPr>
              <w:t>5</w:t>
            </w:r>
          </w:p>
          <w:p w14:paraId="1C272F9F"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r>
      <w:tr w:rsidR="007B7BE4" w:rsidRPr="00DE6DFB" w14:paraId="00776248" w14:textId="77777777" w:rsidTr="007B7BE4">
        <w:trPr>
          <w:trHeight w:val="907"/>
        </w:trPr>
        <w:tc>
          <w:tcPr>
            <w:tcW w:w="1637" w:type="dxa"/>
            <w:tcBorders>
              <w:top w:val="single" w:sz="12" w:space="0" w:color="FFFFFF"/>
              <w:left w:val="single" w:sz="12" w:space="0" w:color="FFFFFF"/>
              <w:bottom w:val="single" w:sz="12" w:space="0" w:color="FFFFFF"/>
              <w:right w:val="single" w:sz="8" w:space="0" w:color="FFFFFF" w:themeColor="background1"/>
            </w:tcBorders>
            <w:shd w:val="clear" w:color="000000" w:fill="757171"/>
            <w:hideMark/>
          </w:tcPr>
          <w:p w14:paraId="7DCF18DA" w14:textId="1301EFD2" w:rsidR="007B7BE4" w:rsidRPr="00DE6DFB" w:rsidRDefault="007B7BE4" w:rsidP="007B7BE4">
            <w:pPr>
              <w:spacing w:after="0" w:line="240" w:lineRule="auto"/>
              <w:rPr>
                <w:rFonts w:ascii="Calibri" w:eastAsia="Times New Roman" w:hAnsi="Calibri" w:cs="Calibri"/>
                <w:b/>
                <w:bCs/>
                <w:color w:val="FFFFFF"/>
                <w:sz w:val="22"/>
                <w:szCs w:val="22"/>
                <w:lang w:eastAsia="en-AU"/>
              </w:rPr>
            </w:pPr>
            <w:r w:rsidRPr="00DE6DFB">
              <w:rPr>
                <w:rFonts w:ascii="Calibri" w:eastAsia="Times New Roman" w:hAnsi="Calibri" w:cs="Calibri"/>
                <w:b/>
                <w:bCs/>
                <w:color w:val="FFFFFF"/>
                <w:sz w:val="22"/>
                <w:szCs w:val="22"/>
                <w:lang w:eastAsia="en-AU"/>
              </w:rPr>
              <w:t xml:space="preserve">Risk &amp; Assurance </w:t>
            </w: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0CF96473" w14:textId="4C59FD0B" w:rsidR="007B7BE4" w:rsidRPr="00A345A9" w:rsidRDefault="007B7BE4" w:rsidP="007B7BE4">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Assurance Model</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568F4FFD" w14:textId="77777777" w:rsidR="007B7BE4" w:rsidRPr="00752C77" w:rsidRDefault="007B7BE4" w:rsidP="007B7BE4">
            <w:pPr>
              <w:spacing w:after="0" w:line="240" w:lineRule="auto"/>
              <w:rPr>
                <w:rFonts w:ascii="Calibri" w:eastAsia="Times New Roman" w:hAnsi="Calibri" w:cs="Calibri"/>
                <w:color w:val="000000"/>
                <w:sz w:val="22"/>
                <w:szCs w:val="22"/>
                <w:lang w:eastAsia="en-AU"/>
              </w:rPr>
            </w:pPr>
            <w:r w:rsidRPr="00752C77">
              <w:rPr>
                <w:rFonts w:ascii="Calibri" w:eastAsia="Times New Roman" w:hAnsi="Calibri" w:cs="Calibri"/>
                <w:color w:val="000000"/>
                <w:sz w:val="22"/>
                <w:szCs w:val="22"/>
                <w:lang w:eastAsia="en-AU"/>
              </w:rPr>
              <w:t>Continue improving assurance activities by updating registers, using advisory data for best practice, and measuring staff privacy awareness. Work with internal audit to strengthen independent assurance through audits.</w:t>
            </w:r>
          </w:p>
          <w:p w14:paraId="52FC904D"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3E38A952" w14:textId="77777777" w:rsidR="007B7BE4" w:rsidRDefault="007B7BE4" w:rsidP="007B7BE4">
            <w:pPr>
              <w:spacing w:after="0" w:line="240" w:lineRule="auto"/>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Ongoing</w:t>
            </w:r>
          </w:p>
          <w:p w14:paraId="1EC49658" w14:textId="77777777" w:rsidR="007B7BE4" w:rsidRDefault="007B7BE4" w:rsidP="007B7BE4">
            <w:pPr>
              <w:spacing w:after="0" w:line="240" w:lineRule="auto"/>
              <w:rPr>
                <w:rFonts w:ascii="Calibri" w:eastAsia="Times New Roman" w:hAnsi="Calibri" w:cs="Calibri"/>
                <w:color w:val="000000"/>
                <w:sz w:val="22"/>
                <w:szCs w:val="22"/>
                <w:lang w:eastAsia="en-AU"/>
              </w:rPr>
            </w:pPr>
          </w:p>
          <w:p w14:paraId="76C8627E" w14:textId="77777777" w:rsidR="007B7BE4" w:rsidRPr="00DE6DFB" w:rsidRDefault="007B7BE4" w:rsidP="007B7BE4">
            <w:pPr>
              <w:spacing w:after="0" w:line="240" w:lineRule="auto"/>
              <w:rPr>
                <w:rFonts w:ascii="Calibri" w:eastAsia="Times New Roman" w:hAnsi="Calibri" w:cs="Calibri"/>
                <w:color w:val="000000"/>
                <w:sz w:val="22"/>
                <w:szCs w:val="22"/>
                <w:lang w:eastAsia="en-AU"/>
              </w:rPr>
            </w:pPr>
          </w:p>
        </w:tc>
      </w:tr>
      <w:tr w:rsidR="007B7BE4" w:rsidRPr="00DE6DFB" w14:paraId="1057CA8B" w14:textId="77777777" w:rsidTr="007B7BE4">
        <w:trPr>
          <w:trHeight w:val="850"/>
        </w:trPr>
        <w:tc>
          <w:tcPr>
            <w:tcW w:w="1637" w:type="dxa"/>
            <w:tcBorders>
              <w:top w:val="single" w:sz="12" w:space="0" w:color="FFFFFF"/>
              <w:left w:val="single" w:sz="12" w:space="0" w:color="FFFFFF"/>
              <w:bottom w:val="single" w:sz="12" w:space="0" w:color="FFFFFF"/>
              <w:right w:val="single" w:sz="8" w:space="0" w:color="FFFFFF" w:themeColor="background1"/>
            </w:tcBorders>
            <w:shd w:val="clear" w:color="000000" w:fill="757171"/>
            <w:hideMark/>
          </w:tcPr>
          <w:p w14:paraId="6EF8EAC1" w14:textId="32CD1FED" w:rsidR="007B7BE4" w:rsidRPr="00DE6DFB" w:rsidRDefault="007B7BE4" w:rsidP="00E025B2">
            <w:pPr>
              <w:spacing w:after="0" w:line="240" w:lineRule="auto"/>
              <w:rPr>
                <w:rFonts w:ascii="Calibri" w:eastAsia="Times New Roman" w:hAnsi="Calibri" w:cs="Calibri"/>
                <w:b/>
                <w:bCs/>
                <w:color w:val="FFFFFF"/>
                <w:sz w:val="22"/>
                <w:szCs w:val="22"/>
                <w:lang w:eastAsia="en-AU"/>
              </w:rPr>
            </w:pPr>
            <w:r w:rsidRPr="00DE6DFB">
              <w:rPr>
                <w:rFonts w:ascii="Calibri" w:eastAsia="Times New Roman" w:hAnsi="Calibri" w:cs="Calibri"/>
                <w:b/>
                <w:bCs/>
                <w:color w:val="FFFFFF"/>
                <w:sz w:val="22"/>
                <w:szCs w:val="22"/>
                <w:lang w:eastAsia="en-AU"/>
              </w:rPr>
              <w:t>Data Breach Response</w:t>
            </w:r>
          </w:p>
        </w:tc>
        <w:tc>
          <w:tcPr>
            <w:tcW w:w="18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57171"/>
          </w:tcPr>
          <w:p w14:paraId="5E52E4CC" w14:textId="05993E42" w:rsidR="007B7BE4" w:rsidRPr="00A345A9" w:rsidRDefault="007B7BE4" w:rsidP="00E025B2">
            <w:pPr>
              <w:spacing w:after="0" w:line="240" w:lineRule="auto"/>
              <w:jc w:val="center"/>
              <w:rPr>
                <w:rFonts w:ascii="Calibri" w:eastAsia="Times New Roman" w:hAnsi="Calibri" w:cs="Calibri"/>
                <w:b/>
                <w:bCs/>
                <w:color w:val="FFFFFF" w:themeColor="background1"/>
                <w:sz w:val="22"/>
                <w:szCs w:val="22"/>
                <w:lang w:eastAsia="en-AU"/>
              </w:rPr>
            </w:pPr>
            <w:r w:rsidRPr="00A345A9">
              <w:rPr>
                <w:rFonts w:ascii="Calibri" w:eastAsia="Times New Roman" w:hAnsi="Calibri" w:cs="Calibri"/>
                <w:b/>
                <w:bCs/>
                <w:color w:val="FFFFFF" w:themeColor="background1"/>
                <w:sz w:val="22"/>
                <w:szCs w:val="22"/>
                <w:lang w:eastAsia="en-AU"/>
              </w:rPr>
              <w:t>Data Breach Response Plan</w:t>
            </w:r>
          </w:p>
        </w:tc>
        <w:tc>
          <w:tcPr>
            <w:tcW w:w="8455" w:type="dxa"/>
            <w:tcBorders>
              <w:top w:val="single" w:sz="12" w:space="0" w:color="FFFFFF"/>
              <w:left w:val="single" w:sz="8" w:space="0" w:color="FFFFFF" w:themeColor="background1"/>
              <w:bottom w:val="single" w:sz="12" w:space="0" w:color="FFFFFF"/>
              <w:right w:val="single" w:sz="12" w:space="0" w:color="FFFFFF"/>
            </w:tcBorders>
            <w:shd w:val="clear" w:color="000000" w:fill="AEAAAA"/>
            <w:hideMark/>
          </w:tcPr>
          <w:p w14:paraId="2D205B86" w14:textId="77777777" w:rsidR="007B7BE4" w:rsidRDefault="007B7BE4" w:rsidP="00E025B2">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Promote awareness of data breach response plan, including by testing the data breach response plan with business areas and key stakeholders (e.g. PM&amp;C Shared Services).</w:t>
            </w:r>
          </w:p>
          <w:p w14:paraId="4D63EF5B" w14:textId="77777777" w:rsidR="007B7BE4" w:rsidRPr="00DE6DFB" w:rsidRDefault="007B7BE4" w:rsidP="00E025B2">
            <w:pPr>
              <w:spacing w:after="0" w:line="240" w:lineRule="auto"/>
              <w:rPr>
                <w:rFonts w:ascii="Calibri" w:eastAsia="Times New Roman" w:hAnsi="Calibri" w:cs="Calibri"/>
                <w:color w:val="000000"/>
                <w:sz w:val="22"/>
                <w:szCs w:val="22"/>
                <w:lang w:eastAsia="en-AU"/>
              </w:rPr>
            </w:pPr>
          </w:p>
        </w:tc>
        <w:tc>
          <w:tcPr>
            <w:tcW w:w="1564" w:type="dxa"/>
            <w:tcBorders>
              <w:top w:val="single" w:sz="12" w:space="0" w:color="FFFFFF"/>
              <w:left w:val="nil"/>
              <w:bottom w:val="single" w:sz="12" w:space="0" w:color="FFFFFF"/>
              <w:right w:val="single" w:sz="12" w:space="0" w:color="FFFFFF"/>
            </w:tcBorders>
            <w:shd w:val="clear" w:color="000000" w:fill="D9D9D9"/>
            <w:hideMark/>
          </w:tcPr>
          <w:p w14:paraId="0DE2616F" w14:textId="77777777" w:rsidR="007B7BE4" w:rsidRDefault="007B7BE4" w:rsidP="00E025B2">
            <w:pPr>
              <w:spacing w:after="0" w:line="240" w:lineRule="auto"/>
              <w:rPr>
                <w:rFonts w:ascii="Calibri" w:eastAsia="Times New Roman" w:hAnsi="Calibri" w:cs="Calibri"/>
                <w:color w:val="000000"/>
                <w:sz w:val="22"/>
                <w:szCs w:val="22"/>
                <w:lang w:eastAsia="en-AU"/>
              </w:rPr>
            </w:pPr>
            <w:r w:rsidRPr="00DE6DFB">
              <w:rPr>
                <w:rFonts w:ascii="Calibri" w:eastAsia="Times New Roman" w:hAnsi="Calibri" w:cs="Calibri"/>
                <w:color w:val="000000"/>
                <w:sz w:val="22"/>
                <w:szCs w:val="22"/>
                <w:lang w:eastAsia="en-AU"/>
              </w:rPr>
              <w:t>31/12/202</w:t>
            </w:r>
            <w:r>
              <w:rPr>
                <w:rFonts w:ascii="Calibri" w:eastAsia="Times New Roman" w:hAnsi="Calibri" w:cs="Calibri"/>
                <w:color w:val="000000"/>
                <w:sz w:val="22"/>
                <w:szCs w:val="22"/>
                <w:lang w:eastAsia="en-AU"/>
              </w:rPr>
              <w:t>5</w:t>
            </w:r>
          </w:p>
          <w:p w14:paraId="40C09DF7" w14:textId="77777777" w:rsidR="007B7BE4" w:rsidRDefault="007B7BE4" w:rsidP="00E025B2">
            <w:pPr>
              <w:spacing w:after="0" w:line="240" w:lineRule="auto"/>
              <w:rPr>
                <w:rFonts w:ascii="Calibri" w:eastAsia="Times New Roman" w:hAnsi="Calibri" w:cs="Calibri"/>
                <w:color w:val="000000"/>
                <w:sz w:val="22"/>
                <w:szCs w:val="22"/>
                <w:lang w:eastAsia="en-AU"/>
              </w:rPr>
            </w:pPr>
          </w:p>
          <w:p w14:paraId="3878E0E0" w14:textId="77777777" w:rsidR="007B7BE4" w:rsidRPr="00DE6DFB" w:rsidRDefault="007B7BE4" w:rsidP="00E025B2">
            <w:pPr>
              <w:spacing w:after="0" w:line="240" w:lineRule="auto"/>
              <w:rPr>
                <w:rFonts w:ascii="Calibri" w:eastAsia="Times New Roman" w:hAnsi="Calibri" w:cs="Calibri"/>
                <w:color w:val="000000"/>
                <w:sz w:val="22"/>
                <w:szCs w:val="22"/>
                <w:lang w:eastAsia="en-AU"/>
              </w:rPr>
            </w:pPr>
          </w:p>
        </w:tc>
      </w:tr>
    </w:tbl>
    <w:p w14:paraId="7D6AB6E2" w14:textId="55CB80E5" w:rsidR="00785F63" w:rsidRPr="00E13516" w:rsidRDefault="00785F63" w:rsidP="007525DA">
      <w:pPr>
        <w:pStyle w:val="BodyText"/>
      </w:pPr>
    </w:p>
    <w:sectPr w:rsidR="00785F63" w:rsidRPr="00E13516" w:rsidSect="000743A2">
      <w:pgSz w:w="16838" w:h="11906" w:orient="landscape"/>
      <w:pgMar w:top="851" w:right="1559" w:bottom="851" w:left="1701" w:header="567"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11F9" w14:textId="77777777" w:rsidR="009006C2" w:rsidRDefault="009006C2" w:rsidP="00B95533">
      <w:pPr>
        <w:spacing w:after="0" w:line="240" w:lineRule="auto"/>
      </w:pPr>
      <w:r>
        <w:separator/>
      </w:r>
    </w:p>
  </w:endnote>
  <w:endnote w:type="continuationSeparator" w:id="0">
    <w:p w14:paraId="488E45A0" w14:textId="77777777" w:rsidR="009006C2" w:rsidRDefault="009006C2"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17B" w14:textId="017CE453" w:rsidR="00715CC2" w:rsidRDefault="00715CC2">
    <w:pPr>
      <w:pStyle w:val="Footer"/>
    </w:pPr>
    <w:r>
      <w:rPr>
        <w:noProof/>
      </w:rPr>
      <mc:AlternateContent>
        <mc:Choice Requires="wps">
          <w:drawing>
            <wp:anchor distT="0" distB="0" distL="0" distR="0" simplePos="0" relativeHeight="251743231" behindDoc="0" locked="0" layoutInCell="1" allowOverlap="1" wp14:anchorId="2F4FF994" wp14:editId="295153C9">
              <wp:simplePos x="635" y="635"/>
              <wp:positionH relativeFrom="page">
                <wp:align>center</wp:align>
              </wp:positionH>
              <wp:positionV relativeFrom="page">
                <wp:align>bottom</wp:align>
              </wp:positionV>
              <wp:extent cx="552450" cy="390525"/>
              <wp:effectExtent l="0" t="0" r="0" b="0"/>
              <wp:wrapNone/>
              <wp:docPr id="203747068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395F3B2A" w14:textId="156D9DF4"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FF994" id="_x0000_t202" coordsize="21600,21600" o:spt="202" path="m,l,21600r21600,l21600,xe">
              <v:stroke joinstyle="miter"/>
              <v:path gradientshapeok="t" o:connecttype="rect"/>
            </v:shapetype>
            <v:shape id="Text Box 11" o:spid="_x0000_s1029" type="#_x0000_t202" alt="OFFICIAL" style="position:absolute;margin-left:0;margin-top:0;width:43.5pt;height:30.75pt;z-index:2517432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" filled="f" stroked="f">
              <v:textbox style="mso-fit-shape-to-text:t" inset="0,0,0,15pt">
                <w:txbxContent>
                  <w:p w14:paraId="395F3B2A" w14:textId="156D9DF4"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824912"/>
      <w:docPartObj>
        <w:docPartGallery w:val="Page Numbers (Bottom of Page)"/>
        <w:docPartUnique/>
      </w:docPartObj>
    </w:sdtPr>
    <w:sdtEndPr>
      <w:rPr>
        <w:rFonts w:asciiTheme="minorHAnsi" w:hAnsiTheme="minorHAnsi" w:cstheme="minorHAnsi"/>
        <w:noProof/>
        <w:sz w:val="20"/>
        <w:szCs w:val="20"/>
      </w:rPr>
    </w:sdtEndPr>
    <w:sdtContent>
      <w:p w14:paraId="18B46B76" w14:textId="1D6B8BFC" w:rsidR="0033168B" w:rsidRPr="0033168B" w:rsidRDefault="0033168B">
        <w:pPr>
          <w:pStyle w:val="Footer"/>
          <w:jc w:val="right"/>
          <w:rPr>
            <w:rFonts w:asciiTheme="minorHAnsi" w:hAnsiTheme="minorHAnsi" w:cstheme="minorHAnsi"/>
            <w:sz w:val="20"/>
            <w:szCs w:val="20"/>
          </w:rPr>
        </w:pPr>
        <w:r w:rsidRPr="0033168B">
          <w:rPr>
            <w:rFonts w:asciiTheme="minorHAnsi" w:hAnsiTheme="minorHAnsi" w:cstheme="minorHAnsi"/>
            <w:sz w:val="20"/>
            <w:szCs w:val="20"/>
          </w:rPr>
          <w:fldChar w:fldCharType="begin"/>
        </w:r>
        <w:r w:rsidRPr="0033168B">
          <w:rPr>
            <w:rFonts w:asciiTheme="minorHAnsi" w:hAnsiTheme="minorHAnsi" w:cstheme="minorHAnsi"/>
            <w:sz w:val="20"/>
            <w:szCs w:val="20"/>
          </w:rPr>
          <w:instrText xml:space="preserve"> PAGE   \* MERGEFORMAT </w:instrText>
        </w:r>
        <w:r w:rsidRPr="0033168B">
          <w:rPr>
            <w:rFonts w:asciiTheme="minorHAnsi" w:hAnsiTheme="minorHAnsi" w:cstheme="minorHAnsi"/>
            <w:sz w:val="20"/>
            <w:szCs w:val="20"/>
          </w:rPr>
          <w:fldChar w:fldCharType="separate"/>
        </w:r>
        <w:r w:rsidRPr="0033168B">
          <w:rPr>
            <w:rFonts w:asciiTheme="minorHAnsi" w:hAnsiTheme="minorHAnsi" w:cstheme="minorHAnsi"/>
            <w:noProof/>
            <w:sz w:val="20"/>
            <w:szCs w:val="20"/>
          </w:rPr>
          <w:t>2</w:t>
        </w:r>
        <w:r w:rsidRPr="0033168B">
          <w:rPr>
            <w:rFonts w:asciiTheme="minorHAnsi" w:hAnsiTheme="minorHAnsi" w:cstheme="minorHAnsi"/>
            <w:noProof/>
            <w:sz w:val="20"/>
            <w:szCs w:val="20"/>
          </w:rPr>
          <w:fldChar w:fldCharType="end"/>
        </w:r>
      </w:p>
    </w:sdtContent>
  </w:sdt>
  <w:p w14:paraId="42760FB3" w14:textId="61D7390C" w:rsidR="00715CC2" w:rsidRDefault="00715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297923"/>
      <w:docPartObj>
        <w:docPartGallery w:val="Page Numbers (Bottom of Page)"/>
        <w:docPartUnique/>
      </w:docPartObj>
    </w:sdtPr>
    <w:sdtEndPr>
      <w:rPr>
        <w:rFonts w:asciiTheme="minorHAnsi" w:hAnsiTheme="minorHAnsi" w:cstheme="minorHAnsi"/>
        <w:noProof/>
        <w:sz w:val="20"/>
        <w:szCs w:val="20"/>
      </w:rPr>
    </w:sdtEndPr>
    <w:sdtContent>
      <w:p w14:paraId="1604C6C6" w14:textId="77777777" w:rsidR="0033168B" w:rsidRPr="0033168B" w:rsidRDefault="0033168B" w:rsidP="0033168B">
        <w:pPr>
          <w:pStyle w:val="Footer"/>
          <w:jc w:val="right"/>
          <w:rPr>
            <w:rFonts w:asciiTheme="minorHAnsi" w:hAnsiTheme="minorHAnsi" w:cstheme="minorHAnsi"/>
            <w:sz w:val="20"/>
            <w:szCs w:val="20"/>
          </w:rPr>
        </w:pPr>
        <w:r w:rsidRPr="0033168B">
          <w:rPr>
            <w:rFonts w:asciiTheme="minorHAnsi" w:hAnsiTheme="minorHAnsi" w:cstheme="minorHAnsi"/>
            <w:sz w:val="20"/>
            <w:szCs w:val="20"/>
          </w:rPr>
          <w:fldChar w:fldCharType="begin"/>
        </w:r>
        <w:r w:rsidRPr="0033168B">
          <w:rPr>
            <w:rFonts w:asciiTheme="minorHAnsi" w:hAnsiTheme="minorHAnsi" w:cstheme="minorHAnsi"/>
            <w:sz w:val="20"/>
            <w:szCs w:val="20"/>
          </w:rPr>
          <w:instrText xml:space="preserve"> PAGE   \* MERGEFORMAT </w:instrText>
        </w:r>
        <w:r w:rsidRPr="0033168B">
          <w:rPr>
            <w:rFonts w:asciiTheme="minorHAnsi" w:hAnsiTheme="minorHAnsi" w:cstheme="minorHAnsi"/>
            <w:sz w:val="20"/>
            <w:szCs w:val="20"/>
          </w:rPr>
          <w:fldChar w:fldCharType="separate"/>
        </w:r>
        <w:r>
          <w:rPr>
            <w:rFonts w:asciiTheme="minorHAnsi" w:hAnsiTheme="minorHAnsi" w:cstheme="minorHAnsi"/>
            <w:sz w:val="20"/>
            <w:szCs w:val="20"/>
          </w:rPr>
          <w:t>5</w:t>
        </w:r>
        <w:r w:rsidRPr="0033168B">
          <w:rPr>
            <w:rFonts w:asciiTheme="minorHAnsi" w:hAnsiTheme="minorHAnsi" w:cstheme="minorHAnsi"/>
            <w:noProof/>
            <w:sz w:val="20"/>
            <w:szCs w:val="20"/>
          </w:rPr>
          <w:fldChar w:fldCharType="end"/>
        </w:r>
      </w:p>
    </w:sdtContent>
  </w:sdt>
  <w:p w14:paraId="587526CF" w14:textId="37D45037" w:rsidR="004A07B3" w:rsidRPr="00F651C4" w:rsidRDefault="00715CC2" w:rsidP="004B5DFD">
    <w:pPr>
      <w:pStyle w:val="Footerline"/>
      <w:tabs>
        <w:tab w:val="left" w:pos="1058"/>
      </w:tabs>
      <w:jc w:val="center"/>
    </w:pPr>
    <w:r>
      <w:rPr>
        <w:color w:val="FF0000"/>
      </w:rPr>
      <mc:AlternateContent>
        <mc:Choice Requires="wps">
          <w:drawing>
            <wp:anchor distT="0" distB="0" distL="0" distR="0" simplePos="0" relativeHeight="251742207" behindDoc="0" locked="0" layoutInCell="1" allowOverlap="1" wp14:anchorId="66E55152" wp14:editId="3DE3D065">
              <wp:simplePos x="635" y="635"/>
              <wp:positionH relativeFrom="page">
                <wp:align>center</wp:align>
              </wp:positionH>
              <wp:positionV relativeFrom="page">
                <wp:align>bottom</wp:align>
              </wp:positionV>
              <wp:extent cx="552450" cy="390525"/>
              <wp:effectExtent l="0" t="0" r="0" b="0"/>
              <wp:wrapNone/>
              <wp:docPr id="138221389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5469A222" w14:textId="737DD867"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55152" id="_x0000_t202" coordsize="21600,21600" o:spt="202" path="m,l,21600r21600,l21600,xe">
              <v:stroke joinstyle="miter"/>
              <v:path gradientshapeok="t" o:connecttype="rect"/>
            </v:shapetype>
            <v:shape id="Text Box 10" o:spid="_x0000_s1031" type="#_x0000_t202" alt="OFFICIAL" style="position:absolute;left:0;text-align:left;margin-left:0;margin-top:0;width:43.5pt;height:30.75pt;z-index:2517422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" filled="f" stroked="f">
              <v:textbox style="mso-fit-shape-to-text:t" inset="0,0,0,15pt">
                <w:txbxContent>
                  <w:p w14:paraId="5469A222" w14:textId="737DD867"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DE39" w14:textId="77777777" w:rsidR="009006C2" w:rsidRPr="007A6FC6" w:rsidRDefault="009006C2" w:rsidP="00B95533">
      <w:pPr>
        <w:spacing w:after="0" w:line="240" w:lineRule="auto"/>
        <w:rPr>
          <w:color w:val="00948D" w:themeColor="accent2"/>
        </w:rPr>
      </w:pPr>
      <w:r w:rsidRPr="007A6FC6">
        <w:rPr>
          <w:color w:val="00948D" w:themeColor="accent2"/>
        </w:rPr>
        <w:separator/>
      </w:r>
    </w:p>
  </w:footnote>
  <w:footnote w:type="continuationSeparator" w:id="0">
    <w:p w14:paraId="484C8348" w14:textId="77777777" w:rsidR="009006C2" w:rsidRPr="007A6FC6" w:rsidRDefault="009006C2"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F810" w14:textId="21E696B0" w:rsidR="00715CC2" w:rsidRDefault="00715CC2">
    <w:pPr>
      <w:pStyle w:val="Header"/>
    </w:pPr>
    <w:r>
      <w:rPr>
        <w:noProof/>
      </w:rPr>
      <mc:AlternateContent>
        <mc:Choice Requires="wps">
          <w:drawing>
            <wp:anchor distT="0" distB="0" distL="0" distR="0" simplePos="0" relativeHeight="251737087" behindDoc="0" locked="0" layoutInCell="1" allowOverlap="1" wp14:anchorId="262FA8B8" wp14:editId="5A7993E9">
              <wp:simplePos x="635" y="635"/>
              <wp:positionH relativeFrom="page">
                <wp:align>center</wp:align>
              </wp:positionH>
              <wp:positionV relativeFrom="page">
                <wp:align>top</wp:align>
              </wp:positionV>
              <wp:extent cx="552450" cy="390525"/>
              <wp:effectExtent l="0" t="0" r="0" b="9525"/>
              <wp:wrapNone/>
              <wp:docPr id="195182646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12C951BC" w14:textId="50515012"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FA8B8" id="_x0000_t202" coordsize="21600,21600" o:spt="202" path="m,l,21600r21600,l21600,xe">
              <v:stroke joinstyle="miter"/>
              <v:path gradientshapeok="t" o:connecttype="rect"/>
            </v:shapetype>
            <v:shape id="Text Box 5" o:spid="_x0000_s1027" type="#_x0000_t202" alt="OFFICIAL" style="position:absolute;margin-left:0;margin-top:0;width:43.5pt;height:30.75pt;z-index:251737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" filled="f" stroked="f">
              <v:textbox style="mso-fit-shape-to-text:t" inset="0,15pt,0,0">
                <w:txbxContent>
                  <w:p w14:paraId="12C951BC" w14:textId="50515012"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3464" w14:textId="5328F031" w:rsidR="00715CC2" w:rsidRDefault="00715CC2">
    <w:pPr>
      <w:pStyle w:val="Header"/>
    </w:pPr>
    <w:r>
      <w:rPr>
        <w:noProof/>
      </w:rPr>
      <mc:AlternateContent>
        <mc:Choice Requires="wps">
          <w:drawing>
            <wp:anchor distT="0" distB="0" distL="0" distR="0" simplePos="0" relativeHeight="251738111" behindDoc="0" locked="0" layoutInCell="1" allowOverlap="1" wp14:anchorId="64936E60" wp14:editId="4AE237ED">
              <wp:simplePos x="635" y="635"/>
              <wp:positionH relativeFrom="page">
                <wp:align>center</wp:align>
              </wp:positionH>
              <wp:positionV relativeFrom="page">
                <wp:align>top</wp:align>
              </wp:positionV>
              <wp:extent cx="552450" cy="390525"/>
              <wp:effectExtent l="0" t="0" r="0" b="9525"/>
              <wp:wrapNone/>
              <wp:docPr id="147347920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4C2F8646" w14:textId="563F0651"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36E60" id="_x0000_t202" coordsize="21600,21600" o:spt="202" path="m,l,21600r21600,l21600,xe">
              <v:stroke joinstyle="miter"/>
              <v:path gradientshapeok="t" o:connecttype="rect"/>
            </v:shapetype>
            <v:shape id="Text Box 6" o:spid="_x0000_s1028" type="#_x0000_t202" alt="OFFICIAL" style="position:absolute;margin-left:0;margin-top:0;width:43.5pt;height:30.75pt;z-index:251738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" filled="f" stroked="f">
              <v:textbox style="mso-fit-shape-to-text:t" inset="0,15pt,0,0">
                <w:txbxContent>
                  <w:p w14:paraId="4C2F8646" w14:textId="563F0651"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1648" w14:textId="17DBA16A" w:rsidR="00715CC2" w:rsidRDefault="00715CC2">
    <w:pPr>
      <w:pStyle w:val="Header"/>
    </w:pPr>
    <w:r>
      <w:rPr>
        <w:noProof/>
      </w:rPr>
      <mc:AlternateContent>
        <mc:Choice Requires="wps">
          <w:drawing>
            <wp:anchor distT="0" distB="0" distL="0" distR="0" simplePos="0" relativeHeight="251736063" behindDoc="0" locked="0" layoutInCell="1" allowOverlap="1" wp14:anchorId="5FCC29AF" wp14:editId="7F8BC8F3">
              <wp:simplePos x="635" y="635"/>
              <wp:positionH relativeFrom="page">
                <wp:align>center</wp:align>
              </wp:positionH>
              <wp:positionV relativeFrom="page">
                <wp:align>top</wp:align>
              </wp:positionV>
              <wp:extent cx="552450" cy="390525"/>
              <wp:effectExtent l="0" t="0" r="0" b="9525"/>
              <wp:wrapNone/>
              <wp:docPr id="53959020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010567F7" w14:textId="47721B3D"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C29AF" id="_x0000_t202" coordsize="21600,21600" o:spt="202" path="m,l,21600r21600,l21600,xe">
              <v:stroke joinstyle="miter"/>
              <v:path gradientshapeok="t" o:connecttype="rect"/>
            </v:shapetype>
            <v:shape id="Text Box 4" o:spid="_x0000_s1030" type="#_x0000_t202" alt="OFFICIAL" style="position:absolute;margin-left:0;margin-top:0;width:43.5pt;height:30.75pt;z-index:251736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" filled="f" stroked="f">
              <v:textbox style="mso-fit-shape-to-text:t" inset="0,15pt,0,0">
                <w:txbxContent>
                  <w:p w14:paraId="010567F7" w14:textId="47721B3D" w:rsidR="00715CC2" w:rsidRPr="00715CC2" w:rsidRDefault="00715CC2" w:rsidP="00715CC2">
                    <w:pPr>
                      <w:spacing w:after="0"/>
                      <w:rPr>
                        <w:rFonts w:ascii="Calibri" w:eastAsia="Calibri" w:hAnsi="Calibri" w:cs="Calibri"/>
                        <w:noProof/>
                        <w:color w:val="FF0000"/>
                        <w:sz w:val="24"/>
                        <w:szCs w:val="24"/>
                      </w:rPr>
                    </w:pPr>
                    <w:r w:rsidRPr="00715CC2">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66B73E8"/>
    <w:multiLevelType w:val="hybridMultilevel"/>
    <w:tmpl w:val="BB789A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095848"/>
    <w:multiLevelType w:val="multilevel"/>
    <w:tmpl w:val="0642602E"/>
    <w:lvl w:ilvl="0">
      <w:start w:val="1"/>
      <w:numFmt w:val="decimal"/>
      <w:pStyle w:val="Heading2numbered"/>
      <w:lvlText w:val="%1."/>
      <w:lvlJc w:val="left"/>
      <w:pPr>
        <w:ind w:left="1268" w:hanging="360"/>
      </w:pPr>
    </w:lvl>
    <w:lvl w:ilvl="1">
      <w:start w:val="1"/>
      <w:numFmt w:val="decimal"/>
      <w:pStyle w:val="Bodytext-Numberedparagraph"/>
      <w:lvlText w:val="%1.%2."/>
      <w:lvlJc w:val="left"/>
      <w:pPr>
        <w:ind w:left="990" w:hanging="432"/>
      </w:pPr>
    </w:lvl>
    <w:lvl w:ilvl="2">
      <w:start w:val="1"/>
      <w:numFmt w:val="decimal"/>
      <w:lvlText w:val="%1.%2.%3."/>
      <w:lvlJc w:val="left"/>
      <w:pPr>
        <w:ind w:left="1422" w:hanging="504"/>
      </w:pPr>
    </w:lvl>
    <w:lvl w:ilvl="3">
      <w:start w:val="1"/>
      <w:numFmt w:val="decimal"/>
      <w:lvlText w:val="%1.%2.%3.%4."/>
      <w:lvlJc w:val="left"/>
      <w:pPr>
        <w:ind w:left="1926" w:hanging="648"/>
      </w:pPr>
    </w:lvl>
    <w:lvl w:ilvl="4">
      <w:start w:val="1"/>
      <w:numFmt w:val="decimal"/>
      <w:lvlText w:val="%1.%2.%3.%4.%5."/>
      <w:lvlJc w:val="left"/>
      <w:pPr>
        <w:ind w:left="2430" w:hanging="792"/>
      </w:pPr>
    </w:lvl>
    <w:lvl w:ilvl="5">
      <w:start w:val="1"/>
      <w:numFmt w:val="decimal"/>
      <w:lvlText w:val="%1.%2.%3.%4.%5.%6."/>
      <w:lvlJc w:val="left"/>
      <w:pPr>
        <w:ind w:left="2934" w:hanging="936"/>
      </w:pPr>
    </w:lvl>
    <w:lvl w:ilvl="6">
      <w:start w:val="1"/>
      <w:numFmt w:val="decimal"/>
      <w:lvlText w:val="%1.%2.%3.%4.%5.%6.%7."/>
      <w:lvlJc w:val="left"/>
      <w:pPr>
        <w:ind w:left="3438" w:hanging="1080"/>
      </w:pPr>
    </w:lvl>
    <w:lvl w:ilvl="7">
      <w:start w:val="1"/>
      <w:numFmt w:val="decimal"/>
      <w:lvlText w:val="%1.%2.%3.%4.%5.%6.%7.%8."/>
      <w:lvlJc w:val="left"/>
      <w:pPr>
        <w:ind w:left="3942" w:hanging="1224"/>
      </w:pPr>
    </w:lvl>
    <w:lvl w:ilvl="8">
      <w:start w:val="1"/>
      <w:numFmt w:val="decimal"/>
      <w:lvlText w:val="%1.%2.%3.%4.%5.%6.%7.%8.%9."/>
      <w:lvlJc w:val="left"/>
      <w:pPr>
        <w:ind w:left="4518" w:hanging="1440"/>
      </w:pPr>
    </w:lvl>
  </w:abstractNum>
  <w:abstractNum w:abstractNumId="3"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4" w15:restartNumberingAfterBreak="0">
    <w:nsid w:val="1B135C62"/>
    <w:multiLevelType w:val="hybridMultilevel"/>
    <w:tmpl w:val="D8E465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276BF"/>
    <w:multiLevelType w:val="hybridMultilevel"/>
    <w:tmpl w:val="B628C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D82812"/>
    <w:multiLevelType w:val="hybridMultilevel"/>
    <w:tmpl w:val="538CA684"/>
    <w:lvl w:ilvl="0" w:tplc="B58E8066">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EB0539"/>
    <w:multiLevelType w:val="hybridMultilevel"/>
    <w:tmpl w:val="1EB0A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386B308C"/>
    <w:multiLevelType w:val="hybridMultilevel"/>
    <w:tmpl w:val="B0065470"/>
    <w:lvl w:ilvl="0" w:tplc="F7AE85D4">
      <w:start w:val="1"/>
      <w:numFmt w:val="decimal"/>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AF33E9"/>
    <w:multiLevelType w:val="hybridMultilevel"/>
    <w:tmpl w:val="2ACAFEEC"/>
    <w:lvl w:ilvl="0" w:tplc="EFBED99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3" w15:restartNumberingAfterBreak="0">
    <w:nsid w:val="55DE79C6"/>
    <w:multiLevelType w:val="hybridMultilevel"/>
    <w:tmpl w:val="DAD49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807C12"/>
    <w:multiLevelType w:val="hybridMultilevel"/>
    <w:tmpl w:val="2A541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60707551"/>
    <w:multiLevelType w:val="hybridMultilevel"/>
    <w:tmpl w:val="D5A6F09C"/>
    <w:lvl w:ilvl="0" w:tplc="F7AE85D4">
      <w:start w:val="1"/>
      <w:numFmt w:val="decimal"/>
      <w:lvlText w:val="%1."/>
      <w:lvlJc w:val="left"/>
      <w:pPr>
        <w:ind w:left="0" w:firstLine="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08F21F8"/>
    <w:multiLevelType w:val="multilevel"/>
    <w:tmpl w:val="D92E6BEA"/>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eve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8" w15:restartNumberingAfterBreak="0">
    <w:nsid w:val="624826B4"/>
    <w:multiLevelType w:val="hybridMultilevel"/>
    <w:tmpl w:val="FAAC1A78"/>
    <w:lvl w:ilvl="0" w:tplc="EFBED99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EF1E09"/>
    <w:multiLevelType w:val="multilevel"/>
    <w:tmpl w:val="8B5E139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0"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6A6B07"/>
    <w:multiLevelType w:val="multilevel"/>
    <w:tmpl w:val="C3BECF7C"/>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1092434303">
    <w:abstractNumId w:val="6"/>
  </w:num>
  <w:num w:numId="2" w16cid:durableId="735736773">
    <w:abstractNumId w:val="15"/>
  </w:num>
  <w:num w:numId="3" w16cid:durableId="1176116870">
    <w:abstractNumId w:val="9"/>
  </w:num>
  <w:num w:numId="4" w16cid:durableId="614560286">
    <w:abstractNumId w:val="20"/>
  </w:num>
  <w:num w:numId="5" w16cid:durableId="976568979">
    <w:abstractNumId w:val="17"/>
  </w:num>
  <w:num w:numId="6" w16cid:durableId="1249197559">
    <w:abstractNumId w:val="1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549149892">
    <w:abstractNumId w:val="9"/>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864320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565735">
    <w:abstractNumId w:val="9"/>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139226541">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074621992">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71707638">
    <w:abstractNumId w:val="9"/>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653603782">
    <w:abstractNumId w:val="17"/>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eve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171652150">
    <w:abstractNumId w:val="17"/>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eve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27482377">
    <w:abstractNumId w:val="9"/>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8211389">
    <w:abstractNumId w:val="9"/>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377581277">
    <w:abstractNumId w:val="3"/>
  </w:num>
  <w:num w:numId="18" w16cid:durableId="868490265">
    <w:abstractNumId w:val="3"/>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556941239">
    <w:abstractNumId w:val="12"/>
  </w:num>
  <w:num w:numId="20" w16cid:durableId="2030831573">
    <w:abstractNumId w:val="21"/>
  </w:num>
  <w:num w:numId="21" w16cid:durableId="421070744">
    <w:abstractNumId w:val="0"/>
  </w:num>
  <w:num w:numId="22" w16cid:durableId="1448936356">
    <w:abstractNumId w:val="19"/>
  </w:num>
  <w:num w:numId="23" w16cid:durableId="867640572">
    <w:abstractNumId w:val="19"/>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821119579">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307053110">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483424180">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975256495">
    <w:abstractNumId w:val="4"/>
  </w:num>
  <w:num w:numId="28" w16cid:durableId="646401113">
    <w:abstractNumId w:val="2"/>
  </w:num>
  <w:num w:numId="29" w16cid:durableId="1665158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7667440">
    <w:abstractNumId w:val="8"/>
  </w:num>
  <w:num w:numId="31" w16cid:durableId="102114287">
    <w:abstractNumId w:val="11"/>
  </w:num>
  <w:num w:numId="32" w16cid:durableId="916982408">
    <w:abstractNumId w:val="18"/>
  </w:num>
  <w:num w:numId="33" w16cid:durableId="1636912871">
    <w:abstractNumId w:val="1"/>
  </w:num>
  <w:num w:numId="34" w16cid:durableId="159004458">
    <w:abstractNumId w:val="10"/>
  </w:num>
  <w:num w:numId="35" w16cid:durableId="782265231">
    <w:abstractNumId w:val="16"/>
  </w:num>
  <w:num w:numId="36" w16cid:durableId="2099054936">
    <w:abstractNumId w:val="7"/>
  </w:num>
  <w:num w:numId="37" w16cid:durableId="196546441">
    <w:abstractNumId w:val="14"/>
  </w:num>
  <w:num w:numId="38" w16cid:durableId="390467991">
    <w:abstractNumId w:val="5"/>
  </w:num>
  <w:num w:numId="39" w16cid:durableId="198471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F3"/>
    <w:rsid w:val="00002F73"/>
    <w:rsid w:val="00007B0A"/>
    <w:rsid w:val="00007EB1"/>
    <w:rsid w:val="00010691"/>
    <w:rsid w:val="00010FC5"/>
    <w:rsid w:val="00014206"/>
    <w:rsid w:val="00016F02"/>
    <w:rsid w:val="00020388"/>
    <w:rsid w:val="000230F3"/>
    <w:rsid w:val="000235B4"/>
    <w:rsid w:val="0002360D"/>
    <w:rsid w:val="00023AC4"/>
    <w:rsid w:val="000304B2"/>
    <w:rsid w:val="00031B5C"/>
    <w:rsid w:val="0003341B"/>
    <w:rsid w:val="00034193"/>
    <w:rsid w:val="00034FEC"/>
    <w:rsid w:val="0003580B"/>
    <w:rsid w:val="0003771A"/>
    <w:rsid w:val="0004082F"/>
    <w:rsid w:val="00042E89"/>
    <w:rsid w:val="00044BF9"/>
    <w:rsid w:val="000503A6"/>
    <w:rsid w:val="00053CD9"/>
    <w:rsid w:val="00055EC3"/>
    <w:rsid w:val="0005744E"/>
    <w:rsid w:val="00057B46"/>
    <w:rsid w:val="00061C20"/>
    <w:rsid w:val="00063034"/>
    <w:rsid w:val="00067A23"/>
    <w:rsid w:val="000711E6"/>
    <w:rsid w:val="00073D52"/>
    <w:rsid w:val="000743A2"/>
    <w:rsid w:val="00076AD1"/>
    <w:rsid w:val="000803CA"/>
    <w:rsid w:val="000835A1"/>
    <w:rsid w:val="000843BB"/>
    <w:rsid w:val="00090D01"/>
    <w:rsid w:val="00091BCD"/>
    <w:rsid w:val="00091D1C"/>
    <w:rsid w:val="0009265A"/>
    <w:rsid w:val="00093EEF"/>
    <w:rsid w:val="0009427C"/>
    <w:rsid w:val="00094B02"/>
    <w:rsid w:val="0009590F"/>
    <w:rsid w:val="00095BF3"/>
    <w:rsid w:val="000A041E"/>
    <w:rsid w:val="000A0825"/>
    <w:rsid w:val="000A08CA"/>
    <w:rsid w:val="000A0E4C"/>
    <w:rsid w:val="000A4054"/>
    <w:rsid w:val="000A4D4F"/>
    <w:rsid w:val="000A625B"/>
    <w:rsid w:val="000A654F"/>
    <w:rsid w:val="000A6A4C"/>
    <w:rsid w:val="000B3CB9"/>
    <w:rsid w:val="000B3E1E"/>
    <w:rsid w:val="000B51E3"/>
    <w:rsid w:val="000B6153"/>
    <w:rsid w:val="000C0327"/>
    <w:rsid w:val="000C29C5"/>
    <w:rsid w:val="000D106A"/>
    <w:rsid w:val="000D113F"/>
    <w:rsid w:val="000D1E03"/>
    <w:rsid w:val="000D2E56"/>
    <w:rsid w:val="000D6E96"/>
    <w:rsid w:val="000E351D"/>
    <w:rsid w:val="000E60F7"/>
    <w:rsid w:val="000E61BE"/>
    <w:rsid w:val="000F0161"/>
    <w:rsid w:val="000F089A"/>
    <w:rsid w:val="000F1B86"/>
    <w:rsid w:val="000F23B0"/>
    <w:rsid w:val="000F4D62"/>
    <w:rsid w:val="000F5917"/>
    <w:rsid w:val="001005C6"/>
    <w:rsid w:val="001007B9"/>
    <w:rsid w:val="00102D6B"/>
    <w:rsid w:val="00105ECB"/>
    <w:rsid w:val="0012245F"/>
    <w:rsid w:val="00123E8F"/>
    <w:rsid w:val="0012450C"/>
    <w:rsid w:val="001249EF"/>
    <w:rsid w:val="00130F7A"/>
    <w:rsid w:val="00131315"/>
    <w:rsid w:val="00132268"/>
    <w:rsid w:val="001336CF"/>
    <w:rsid w:val="0013576C"/>
    <w:rsid w:val="00137246"/>
    <w:rsid w:val="00137959"/>
    <w:rsid w:val="00141540"/>
    <w:rsid w:val="00143288"/>
    <w:rsid w:val="001432C8"/>
    <w:rsid w:val="00145162"/>
    <w:rsid w:val="0015537B"/>
    <w:rsid w:val="00155886"/>
    <w:rsid w:val="00166C8B"/>
    <w:rsid w:val="0016781C"/>
    <w:rsid w:val="001727AF"/>
    <w:rsid w:val="00174C8E"/>
    <w:rsid w:val="001768BB"/>
    <w:rsid w:val="00176EA5"/>
    <w:rsid w:val="00177611"/>
    <w:rsid w:val="0017798C"/>
    <w:rsid w:val="00177CEF"/>
    <w:rsid w:val="001809C6"/>
    <w:rsid w:val="00180C0E"/>
    <w:rsid w:val="00181138"/>
    <w:rsid w:val="00181C56"/>
    <w:rsid w:val="00183F00"/>
    <w:rsid w:val="00183FA2"/>
    <w:rsid w:val="001850CB"/>
    <w:rsid w:val="001867AF"/>
    <w:rsid w:val="001912A0"/>
    <w:rsid w:val="00193036"/>
    <w:rsid w:val="00194E96"/>
    <w:rsid w:val="001953CF"/>
    <w:rsid w:val="00195BA8"/>
    <w:rsid w:val="00196330"/>
    <w:rsid w:val="001A1957"/>
    <w:rsid w:val="001A2BC3"/>
    <w:rsid w:val="001A2F86"/>
    <w:rsid w:val="001A3959"/>
    <w:rsid w:val="001A4634"/>
    <w:rsid w:val="001B0144"/>
    <w:rsid w:val="001B10ED"/>
    <w:rsid w:val="001B4FA6"/>
    <w:rsid w:val="001B6661"/>
    <w:rsid w:val="001C22AB"/>
    <w:rsid w:val="001C2552"/>
    <w:rsid w:val="001C2FC8"/>
    <w:rsid w:val="001C63DF"/>
    <w:rsid w:val="001D283B"/>
    <w:rsid w:val="001D3555"/>
    <w:rsid w:val="001E4245"/>
    <w:rsid w:val="001F0654"/>
    <w:rsid w:val="001F165E"/>
    <w:rsid w:val="001F1E26"/>
    <w:rsid w:val="001F2413"/>
    <w:rsid w:val="001F2CF3"/>
    <w:rsid w:val="001F3722"/>
    <w:rsid w:val="001F3F23"/>
    <w:rsid w:val="001F539F"/>
    <w:rsid w:val="001F5D76"/>
    <w:rsid w:val="001F738E"/>
    <w:rsid w:val="0020007C"/>
    <w:rsid w:val="00211D63"/>
    <w:rsid w:val="0021247A"/>
    <w:rsid w:val="00221BC2"/>
    <w:rsid w:val="002229A5"/>
    <w:rsid w:val="002263C8"/>
    <w:rsid w:val="002317BD"/>
    <w:rsid w:val="00231B22"/>
    <w:rsid w:val="00231BA3"/>
    <w:rsid w:val="002323D2"/>
    <w:rsid w:val="00234705"/>
    <w:rsid w:val="00237365"/>
    <w:rsid w:val="00237E75"/>
    <w:rsid w:val="0024460E"/>
    <w:rsid w:val="00250BE6"/>
    <w:rsid w:val="00252EC9"/>
    <w:rsid w:val="00252F38"/>
    <w:rsid w:val="00253ADE"/>
    <w:rsid w:val="0025482D"/>
    <w:rsid w:val="00256B83"/>
    <w:rsid w:val="00260C56"/>
    <w:rsid w:val="00264A5E"/>
    <w:rsid w:val="00266433"/>
    <w:rsid w:val="00271572"/>
    <w:rsid w:val="0027249D"/>
    <w:rsid w:val="0027695E"/>
    <w:rsid w:val="00277016"/>
    <w:rsid w:val="0027769C"/>
    <w:rsid w:val="00281E3E"/>
    <w:rsid w:val="002835D7"/>
    <w:rsid w:val="00284710"/>
    <w:rsid w:val="00290E31"/>
    <w:rsid w:val="00293129"/>
    <w:rsid w:val="00294D1D"/>
    <w:rsid w:val="002952F9"/>
    <w:rsid w:val="002955DD"/>
    <w:rsid w:val="00296996"/>
    <w:rsid w:val="002974A0"/>
    <w:rsid w:val="002A0289"/>
    <w:rsid w:val="002A02CA"/>
    <w:rsid w:val="002A068A"/>
    <w:rsid w:val="002A371E"/>
    <w:rsid w:val="002A6889"/>
    <w:rsid w:val="002B0952"/>
    <w:rsid w:val="002B4B0A"/>
    <w:rsid w:val="002C0866"/>
    <w:rsid w:val="002C0B0E"/>
    <w:rsid w:val="002C3389"/>
    <w:rsid w:val="002C5434"/>
    <w:rsid w:val="002C5F5B"/>
    <w:rsid w:val="002C6034"/>
    <w:rsid w:val="002C63EB"/>
    <w:rsid w:val="002C777D"/>
    <w:rsid w:val="002D40B1"/>
    <w:rsid w:val="002D45CD"/>
    <w:rsid w:val="002D75F9"/>
    <w:rsid w:val="002E07AC"/>
    <w:rsid w:val="002E0A8E"/>
    <w:rsid w:val="002E3918"/>
    <w:rsid w:val="002E5230"/>
    <w:rsid w:val="002E6AA1"/>
    <w:rsid w:val="002F0D91"/>
    <w:rsid w:val="002F1EC7"/>
    <w:rsid w:val="002F57C6"/>
    <w:rsid w:val="002F5AF2"/>
    <w:rsid w:val="003005DF"/>
    <w:rsid w:val="003011D8"/>
    <w:rsid w:val="00307A69"/>
    <w:rsid w:val="00312E4A"/>
    <w:rsid w:val="00312E68"/>
    <w:rsid w:val="0031546F"/>
    <w:rsid w:val="00316B0D"/>
    <w:rsid w:val="003171B9"/>
    <w:rsid w:val="00317427"/>
    <w:rsid w:val="00317F64"/>
    <w:rsid w:val="003300DB"/>
    <w:rsid w:val="0033088D"/>
    <w:rsid w:val="00330C8D"/>
    <w:rsid w:val="0033168B"/>
    <w:rsid w:val="00334A68"/>
    <w:rsid w:val="00335425"/>
    <w:rsid w:val="003371F0"/>
    <w:rsid w:val="00337DA9"/>
    <w:rsid w:val="0034329A"/>
    <w:rsid w:val="00345B55"/>
    <w:rsid w:val="003462D5"/>
    <w:rsid w:val="003500C6"/>
    <w:rsid w:val="003562E5"/>
    <w:rsid w:val="0035686B"/>
    <w:rsid w:val="00357154"/>
    <w:rsid w:val="0035784A"/>
    <w:rsid w:val="0036008A"/>
    <w:rsid w:val="00363478"/>
    <w:rsid w:val="00363AE5"/>
    <w:rsid w:val="003670B8"/>
    <w:rsid w:val="0037702A"/>
    <w:rsid w:val="00381B1E"/>
    <w:rsid w:val="003848EF"/>
    <w:rsid w:val="00385B65"/>
    <w:rsid w:val="00391929"/>
    <w:rsid w:val="00391CEF"/>
    <w:rsid w:val="00391D04"/>
    <w:rsid w:val="00391D63"/>
    <w:rsid w:val="00394E93"/>
    <w:rsid w:val="0039627F"/>
    <w:rsid w:val="003A3E57"/>
    <w:rsid w:val="003A42F7"/>
    <w:rsid w:val="003A4729"/>
    <w:rsid w:val="003A7B5E"/>
    <w:rsid w:val="003B0951"/>
    <w:rsid w:val="003B5A93"/>
    <w:rsid w:val="003B6C20"/>
    <w:rsid w:val="003C06F0"/>
    <w:rsid w:val="003C6961"/>
    <w:rsid w:val="003D21A3"/>
    <w:rsid w:val="003D33F7"/>
    <w:rsid w:val="003D3732"/>
    <w:rsid w:val="003D6996"/>
    <w:rsid w:val="003E0BD1"/>
    <w:rsid w:val="003E4D63"/>
    <w:rsid w:val="003E5D4E"/>
    <w:rsid w:val="003E68A7"/>
    <w:rsid w:val="003E6B8B"/>
    <w:rsid w:val="003F017E"/>
    <w:rsid w:val="003F146C"/>
    <w:rsid w:val="003F17BC"/>
    <w:rsid w:val="003F1A1E"/>
    <w:rsid w:val="003F5F4B"/>
    <w:rsid w:val="003F6083"/>
    <w:rsid w:val="003F7E70"/>
    <w:rsid w:val="0040259D"/>
    <w:rsid w:val="0040648D"/>
    <w:rsid w:val="004064A6"/>
    <w:rsid w:val="00406711"/>
    <w:rsid w:val="00407CD8"/>
    <w:rsid w:val="0041398A"/>
    <w:rsid w:val="00413EA0"/>
    <w:rsid w:val="00414CEB"/>
    <w:rsid w:val="00415FD4"/>
    <w:rsid w:val="004163FA"/>
    <w:rsid w:val="00422988"/>
    <w:rsid w:val="00423D73"/>
    <w:rsid w:val="00423E92"/>
    <w:rsid w:val="004257F1"/>
    <w:rsid w:val="004260D2"/>
    <w:rsid w:val="00430C36"/>
    <w:rsid w:val="00431B00"/>
    <w:rsid w:val="0043208A"/>
    <w:rsid w:val="00432A3A"/>
    <w:rsid w:val="00432FBB"/>
    <w:rsid w:val="004366AE"/>
    <w:rsid w:val="00437572"/>
    <w:rsid w:val="00440388"/>
    <w:rsid w:val="0044371A"/>
    <w:rsid w:val="0044581E"/>
    <w:rsid w:val="00451804"/>
    <w:rsid w:val="00451EE1"/>
    <w:rsid w:val="00452FE9"/>
    <w:rsid w:val="00453427"/>
    <w:rsid w:val="00454696"/>
    <w:rsid w:val="004616FF"/>
    <w:rsid w:val="00465C67"/>
    <w:rsid w:val="004759ED"/>
    <w:rsid w:val="00476EEB"/>
    <w:rsid w:val="00477727"/>
    <w:rsid w:val="004778C5"/>
    <w:rsid w:val="00480D3A"/>
    <w:rsid w:val="00480FEE"/>
    <w:rsid w:val="004830F6"/>
    <w:rsid w:val="00484338"/>
    <w:rsid w:val="0048607A"/>
    <w:rsid w:val="00490AAA"/>
    <w:rsid w:val="004945F7"/>
    <w:rsid w:val="004957BB"/>
    <w:rsid w:val="00497F14"/>
    <w:rsid w:val="004A07B3"/>
    <w:rsid w:val="004A48E2"/>
    <w:rsid w:val="004A5658"/>
    <w:rsid w:val="004A5F21"/>
    <w:rsid w:val="004B01EF"/>
    <w:rsid w:val="004B09A0"/>
    <w:rsid w:val="004B199A"/>
    <w:rsid w:val="004B2CB0"/>
    <w:rsid w:val="004B3E2D"/>
    <w:rsid w:val="004B5DFD"/>
    <w:rsid w:val="004B66C3"/>
    <w:rsid w:val="004B7B8B"/>
    <w:rsid w:val="004C18F6"/>
    <w:rsid w:val="004C1B33"/>
    <w:rsid w:val="004C5F31"/>
    <w:rsid w:val="004C6518"/>
    <w:rsid w:val="004D0304"/>
    <w:rsid w:val="004D0B40"/>
    <w:rsid w:val="004D1065"/>
    <w:rsid w:val="004D24EB"/>
    <w:rsid w:val="004D2779"/>
    <w:rsid w:val="004D688C"/>
    <w:rsid w:val="004E02D6"/>
    <w:rsid w:val="004E192B"/>
    <w:rsid w:val="004E5786"/>
    <w:rsid w:val="004E58AE"/>
    <w:rsid w:val="004F0BD7"/>
    <w:rsid w:val="004F20A9"/>
    <w:rsid w:val="004F2E1B"/>
    <w:rsid w:val="004F73E8"/>
    <w:rsid w:val="0051035F"/>
    <w:rsid w:val="0051316F"/>
    <w:rsid w:val="00515613"/>
    <w:rsid w:val="005202DF"/>
    <w:rsid w:val="00523958"/>
    <w:rsid w:val="00530180"/>
    <w:rsid w:val="0053301E"/>
    <w:rsid w:val="00534373"/>
    <w:rsid w:val="00534BCC"/>
    <w:rsid w:val="005350C9"/>
    <w:rsid w:val="005370B2"/>
    <w:rsid w:val="005400C8"/>
    <w:rsid w:val="00540BDA"/>
    <w:rsid w:val="00543E44"/>
    <w:rsid w:val="00543FDE"/>
    <w:rsid w:val="0054712F"/>
    <w:rsid w:val="00550444"/>
    <w:rsid w:val="00550C1A"/>
    <w:rsid w:val="00552F1C"/>
    <w:rsid w:val="0055467E"/>
    <w:rsid w:val="005560CC"/>
    <w:rsid w:val="00560402"/>
    <w:rsid w:val="005611C2"/>
    <w:rsid w:val="00561B18"/>
    <w:rsid w:val="00562166"/>
    <w:rsid w:val="0056393F"/>
    <w:rsid w:val="0057315D"/>
    <w:rsid w:val="00574F28"/>
    <w:rsid w:val="00576C8D"/>
    <w:rsid w:val="00577F93"/>
    <w:rsid w:val="005862AB"/>
    <w:rsid w:val="005867B3"/>
    <w:rsid w:val="0058793B"/>
    <w:rsid w:val="00587CEC"/>
    <w:rsid w:val="005917FA"/>
    <w:rsid w:val="00595A8C"/>
    <w:rsid w:val="00596D03"/>
    <w:rsid w:val="005A0614"/>
    <w:rsid w:val="005A0DE7"/>
    <w:rsid w:val="005A1F63"/>
    <w:rsid w:val="005A355D"/>
    <w:rsid w:val="005A4E73"/>
    <w:rsid w:val="005B210C"/>
    <w:rsid w:val="005B241C"/>
    <w:rsid w:val="005B27D0"/>
    <w:rsid w:val="005B2AD4"/>
    <w:rsid w:val="005B2AF4"/>
    <w:rsid w:val="005B4715"/>
    <w:rsid w:val="005B4FED"/>
    <w:rsid w:val="005B5DE5"/>
    <w:rsid w:val="005B7B4A"/>
    <w:rsid w:val="005C1BEF"/>
    <w:rsid w:val="005C62EC"/>
    <w:rsid w:val="005C7655"/>
    <w:rsid w:val="005C7C79"/>
    <w:rsid w:val="005D1BC5"/>
    <w:rsid w:val="005D1F28"/>
    <w:rsid w:val="005D2D7A"/>
    <w:rsid w:val="005D2DB4"/>
    <w:rsid w:val="005D498A"/>
    <w:rsid w:val="005D7026"/>
    <w:rsid w:val="005E0776"/>
    <w:rsid w:val="005E12FB"/>
    <w:rsid w:val="005E2463"/>
    <w:rsid w:val="005E4C74"/>
    <w:rsid w:val="005F3D48"/>
    <w:rsid w:val="005F4173"/>
    <w:rsid w:val="005F4862"/>
    <w:rsid w:val="005F7501"/>
    <w:rsid w:val="005F79CC"/>
    <w:rsid w:val="00602577"/>
    <w:rsid w:val="00603EA6"/>
    <w:rsid w:val="00603FC1"/>
    <w:rsid w:val="0060501B"/>
    <w:rsid w:val="00607805"/>
    <w:rsid w:val="00610363"/>
    <w:rsid w:val="00612BAC"/>
    <w:rsid w:val="0061381E"/>
    <w:rsid w:val="0061545C"/>
    <w:rsid w:val="006159CC"/>
    <w:rsid w:val="006163DB"/>
    <w:rsid w:val="006173D0"/>
    <w:rsid w:val="006201D7"/>
    <w:rsid w:val="006208C6"/>
    <w:rsid w:val="00626659"/>
    <w:rsid w:val="006267BF"/>
    <w:rsid w:val="00626CA4"/>
    <w:rsid w:val="0062796C"/>
    <w:rsid w:val="0063451F"/>
    <w:rsid w:val="0064175A"/>
    <w:rsid w:val="00641E1F"/>
    <w:rsid w:val="006427AA"/>
    <w:rsid w:val="006429D7"/>
    <w:rsid w:val="00644D97"/>
    <w:rsid w:val="006454DC"/>
    <w:rsid w:val="006564EA"/>
    <w:rsid w:val="006567B8"/>
    <w:rsid w:val="00657D2D"/>
    <w:rsid w:val="006609B4"/>
    <w:rsid w:val="00661E36"/>
    <w:rsid w:val="00663EAD"/>
    <w:rsid w:val="0066475A"/>
    <w:rsid w:val="00665B82"/>
    <w:rsid w:val="006674FC"/>
    <w:rsid w:val="006719C9"/>
    <w:rsid w:val="006757AA"/>
    <w:rsid w:val="00675B34"/>
    <w:rsid w:val="00675EDF"/>
    <w:rsid w:val="00676E99"/>
    <w:rsid w:val="00681CB9"/>
    <w:rsid w:val="00682080"/>
    <w:rsid w:val="00684ABF"/>
    <w:rsid w:val="006855AF"/>
    <w:rsid w:val="0068575D"/>
    <w:rsid w:val="00685BF1"/>
    <w:rsid w:val="00692AE7"/>
    <w:rsid w:val="00696567"/>
    <w:rsid w:val="00696E9D"/>
    <w:rsid w:val="00697A16"/>
    <w:rsid w:val="00697F67"/>
    <w:rsid w:val="006A131D"/>
    <w:rsid w:val="006A1D5F"/>
    <w:rsid w:val="006A2795"/>
    <w:rsid w:val="006A39D8"/>
    <w:rsid w:val="006A60B1"/>
    <w:rsid w:val="006A72D0"/>
    <w:rsid w:val="006B0488"/>
    <w:rsid w:val="006B089B"/>
    <w:rsid w:val="006B3301"/>
    <w:rsid w:val="006B42F6"/>
    <w:rsid w:val="006B56FC"/>
    <w:rsid w:val="006B596E"/>
    <w:rsid w:val="006C0869"/>
    <w:rsid w:val="006C7B63"/>
    <w:rsid w:val="006D08FB"/>
    <w:rsid w:val="006D11F3"/>
    <w:rsid w:val="006D232F"/>
    <w:rsid w:val="006D2C88"/>
    <w:rsid w:val="006D42E1"/>
    <w:rsid w:val="006D63A6"/>
    <w:rsid w:val="006E086B"/>
    <w:rsid w:val="006E1F7F"/>
    <w:rsid w:val="006E2EA3"/>
    <w:rsid w:val="006E350F"/>
    <w:rsid w:val="006E54D4"/>
    <w:rsid w:val="006E553A"/>
    <w:rsid w:val="006E55ED"/>
    <w:rsid w:val="006E5CB8"/>
    <w:rsid w:val="006E612C"/>
    <w:rsid w:val="006E70FF"/>
    <w:rsid w:val="006F170B"/>
    <w:rsid w:val="006F173B"/>
    <w:rsid w:val="006F2739"/>
    <w:rsid w:val="00700379"/>
    <w:rsid w:val="0070040A"/>
    <w:rsid w:val="00701482"/>
    <w:rsid w:val="00705692"/>
    <w:rsid w:val="00710423"/>
    <w:rsid w:val="0071074E"/>
    <w:rsid w:val="00710CB1"/>
    <w:rsid w:val="00711110"/>
    <w:rsid w:val="007111D5"/>
    <w:rsid w:val="00711A05"/>
    <w:rsid w:val="00711D4A"/>
    <w:rsid w:val="00713309"/>
    <w:rsid w:val="00713F5F"/>
    <w:rsid w:val="00714E79"/>
    <w:rsid w:val="007159D9"/>
    <w:rsid w:val="00715CC2"/>
    <w:rsid w:val="0071726A"/>
    <w:rsid w:val="0072110C"/>
    <w:rsid w:val="007232EA"/>
    <w:rsid w:val="0072345B"/>
    <w:rsid w:val="007239F8"/>
    <w:rsid w:val="00725330"/>
    <w:rsid w:val="00733BDA"/>
    <w:rsid w:val="00737C98"/>
    <w:rsid w:val="00742BED"/>
    <w:rsid w:val="00745A54"/>
    <w:rsid w:val="0074783A"/>
    <w:rsid w:val="00751017"/>
    <w:rsid w:val="00751479"/>
    <w:rsid w:val="007525DA"/>
    <w:rsid w:val="00753B4D"/>
    <w:rsid w:val="00754949"/>
    <w:rsid w:val="007550E9"/>
    <w:rsid w:val="0075689F"/>
    <w:rsid w:val="00760E91"/>
    <w:rsid w:val="007660B9"/>
    <w:rsid w:val="00767865"/>
    <w:rsid w:val="00770FB1"/>
    <w:rsid w:val="00777629"/>
    <w:rsid w:val="00780AC4"/>
    <w:rsid w:val="00781479"/>
    <w:rsid w:val="00781797"/>
    <w:rsid w:val="00782969"/>
    <w:rsid w:val="007836C4"/>
    <w:rsid w:val="00785F63"/>
    <w:rsid w:val="0078689C"/>
    <w:rsid w:val="00793516"/>
    <w:rsid w:val="0079361C"/>
    <w:rsid w:val="0079379B"/>
    <w:rsid w:val="00795581"/>
    <w:rsid w:val="007956C4"/>
    <w:rsid w:val="00797301"/>
    <w:rsid w:val="00797DE0"/>
    <w:rsid w:val="007A08F2"/>
    <w:rsid w:val="007A27C5"/>
    <w:rsid w:val="007A4A63"/>
    <w:rsid w:val="007A4E47"/>
    <w:rsid w:val="007A52E1"/>
    <w:rsid w:val="007A6297"/>
    <w:rsid w:val="007A6FC6"/>
    <w:rsid w:val="007B5873"/>
    <w:rsid w:val="007B6617"/>
    <w:rsid w:val="007B7BE4"/>
    <w:rsid w:val="007C3BA1"/>
    <w:rsid w:val="007C3F60"/>
    <w:rsid w:val="007C4227"/>
    <w:rsid w:val="007D2EC6"/>
    <w:rsid w:val="007D5374"/>
    <w:rsid w:val="007D680C"/>
    <w:rsid w:val="007D78DE"/>
    <w:rsid w:val="007E0C71"/>
    <w:rsid w:val="007E1222"/>
    <w:rsid w:val="007E24B7"/>
    <w:rsid w:val="007E32D4"/>
    <w:rsid w:val="007E7B77"/>
    <w:rsid w:val="007F1B77"/>
    <w:rsid w:val="007F214D"/>
    <w:rsid w:val="007F2157"/>
    <w:rsid w:val="007F285C"/>
    <w:rsid w:val="007F522A"/>
    <w:rsid w:val="007F6D07"/>
    <w:rsid w:val="007F6ED7"/>
    <w:rsid w:val="007F7FED"/>
    <w:rsid w:val="0080350B"/>
    <w:rsid w:val="0080402F"/>
    <w:rsid w:val="008051C4"/>
    <w:rsid w:val="00805B42"/>
    <w:rsid w:val="00805D17"/>
    <w:rsid w:val="00806393"/>
    <w:rsid w:val="0080660C"/>
    <w:rsid w:val="0080697E"/>
    <w:rsid w:val="00807A83"/>
    <w:rsid w:val="00811CB0"/>
    <w:rsid w:val="0081498E"/>
    <w:rsid w:val="0081512D"/>
    <w:rsid w:val="00816FA9"/>
    <w:rsid w:val="00817399"/>
    <w:rsid w:val="00817B50"/>
    <w:rsid w:val="00820DDF"/>
    <w:rsid w:val="00820E0F"/>
    <w:rsid w:val="00822B75"/>
    <w:rsid w:val="008240DE"/>
    <w:rsid w:val="00825410"/>
    <w:rsid w:val="00825715"/>
    <w:rsid w:val="00827095"/>
    <w:rsid w:val="008275B9"/>
    <w:rsid w:val="00827924"/>
    <w:rsid w:val="00830949"/>
    <w:rsid w:val="00831A43"/>
    <w:rsid w:val="0083261D"/>
    <w:rsid w:val="00832D89"/>
    <w:rsid w:val="0083503B"/>
    <w:rsid w:val="00837724"/>
    <w:rsid w:val="00840865"/>
    <w:rsid w:val="00841D41"/>
    <w:rsid w:val="00841F93"/>
    <w:rsid w:val="008436AB"/>
    <w:rsid w:val="00844739"/>
    <w:rsid w:val="0084486B"/>
    <w:rsid w:val="0084521D"/>
    <w:rsid w:val="0084553D"/>
    <w:rsid w:val="00851880"/>
    <w:rsid w:val="00853CDF"/>
    <w:rsid w:val="0086151D"/>
    <w:rsid w:val="0086505A"/>
    <w:rsid w:val="0086672B"/>
    <w:rsid w:val="008668C0"/>
    <w:rsid w:val="008678C1"/>
    <w:rsid w:val="00872DC6"/>
    <w:rsid w:val="00872EE7"/>
    <w:rsid w:val="00873DED"/>
    <w:rsid w:val="00874FF1"/>
    <w:rsid w:val="00877425"/>
    <w:rsid w:val="008777F4"/>
    <w:rsid w:val="00880786"/>
    <w:rsid w:val="00880A3A"/>
    <w:rsid w:val="00881EE7"/>
    <w:rsid w:val="0088572B"/>
    <w:rsid w:val="00894AA6"/>
    <w:rsid w:val="008973D9"/>
    <w:rsid w:val="008A2626"/>
    <w:rsid w:val="008A4C3E"/>
    <w:rsid w:val="008A6759"/>
    <w:rsid w:val="008B13B1"/>
    <w:rsid w:val="008B1AC6"/>
    <w:rsid w:val="008B1E4F"/>
    <w:rsid w:val="008B493F"/>
    <w:rsid w:val="008C115E"/>
    <w:rsid w:val="008C5A07"/>
    <w:rsid w:val="008C5D4E"/>
    <w:rsid w:val="008C5EC0"/>
    <w:rsid w:val="008C6453"/>
    <w:rsid w:val="008D0504"/>
    <w:rsid w:val="008D1256"/>
    <w:rsid w:val="008D275A"/>
    <w:rsid w:val="008D56BD"/>
    <w:rsid w:val="008D5CC9"/>
    <w:rsid w:val="008D6ABF"/>
    <w:rsid w:val="008D6B28"/>
    <w:rsid w:val="008E0BAD"/>
    <w:rsid w:val="008E0F63"/>
    <w:rsid w:val="008E109E"/>
    <w:rsid w:val="008E219D"/>
    <w:rsid w:val="008E66E6"/>
    <w:rsid w:val="008F112A"/>
    <w:rsid w:val="008F5AB9"/>
    <w:rsid w:val="009006C2"/>
    <w:rsid w:val="00900B23"/>
    <w:rsid w:val="00900D4B"/>
    <w:rsid w:val="009014BC"/>
    <w:rsid w:val="00902CAC"/>
    <w:rsid w:val="009036CA"/>
    <w:rsid w:val="009059F2"/>
    <w:rsid w:val="00906C0F"/>
    <w:rsid w:val="00914856"/>
    <w:rsid w:val="00917C02"/>
    <w:rsid w:val="00917F95"/>
    <w:rsid w:val="0092001E"/>
    <w:rsid w:val="00921B9D"/>
    <w:rsid w:val="00923EDF"/>
    <w:rsid w:val="00927842"/>
    <w:rsid w:val="009341E4"/>
    <w:rsid w:val="00935AD4"/>
    <w:rsid w:val="00937CE1"/>
    <w:rsid w:val="00940B0D"/>
    <w:rsid w:val="00942895"/>
    <w:rsid w:val="0094513B"/>
    <w:rsid w:val="00946643"/>
    <w:rsid w:val="0094688C"/>
    <w:rsid w:val="00955BC4"/>
    <w:rsid w:val="00955F02"/>
    <w:rsid w:val="00963FB3"/>
    <w:rsid w:val="00964820"/>
    <w:rsid w:val="00967283"/>
    <w:rsid w:val="009672EB"/>
    <w:rsid w:val="009673CF"/>
    <w:rsid w:val="009701E0"/>
    <w:rsid w:val="00973090"/>
    <w:rsid w:val="00973973"/>
    <w:rsid w:val="00976FDF"/>
    <w:rsid w:val="0097764B"/>
    <w:rsid w:val="009824F4"/>
    <w:rsid w:val="0098543C"/>
    <w:rsid w:val="00986C4D"/>
    <w:rsid w:val="00987F3F"/>
    <w:rsid w:val="0099343A"/>
    <w:rsid w:val="00993ADB"/>
    <w:rsid w:val="0099436F"/>
    <w:rsid w:val="009943F7"/>
    <w:rsid w:val="009956DE"/>
    <w:rsid w:val="009959E0"/>
    <w:rsid w:val="009968EF"/>
    <w:rsid w:val="00996BEA"/>
    <w:rsid w:val="009A0B23"/>
    <w:rsid w:val="009A0C0C"/>
    <w:rsid w:val="009A1145"/>
    <w:rsid w:val="009A33FB"/>
    <w:rsid w:val="009A5056"/>
    <w:rsid w:val="009A5397"/>
    <w:rsid w:val="009B1A44"/>
    <w:rsid w:val="009B300F"/>
    <w:rsid w:val="009B4379"/>
    <w:rsid w:val="009B738D"/>
    <w:rsid w:val="009C47C9"/>
    <w:rsid w:val="009C4D8A"/>
    <w:rsid w:val="009C580F"/>
    <w:rsid w:val="009C5FDD"/>
    <w:rsid w:val="009D161E"/>
    <w:rsid w:val="009D5321"/>
    <w:rsid w:val="009E02A1"/>
    <w:rsid w:val="009E1B26"/>
    <w:rsid w:val="009E402C"/>
    <w:rsid w:val="009E49DE"/>
    <w:rsid w:val="009F026F"/>
    <w:rsid w:val="009F0E92"/>
    <w:rsid w:val="009F53B9"/>
    <w:rsid w:val="009F751D"/>
    <w:rsid w:val="00A00EF2"/>
    <w:rsid w:val="00A011B6"/>
    <w:rsid w:val="00A018DD"/>
    <w:rsid w:val="00A026FA"/>
    <w:rsid w:val="00A037D6"/>
    <w:rsid w:val="00A047E8"/>
    <w:rsid w:val="00A069F9"/>
    <w:rsid w:val="00A07F0E"/>
    <w:rsid w:val="00A10AC2"/>
    <w:rsid w:val="00A157CB"/>
    <w:rsid w:val="00A158F8"/>
    <w:rsid w:val="00A1737A"/>
    <w:rsid w:val="00A173EC"/>
    <w:rsid w:val="00A17F9A"/>
    <w:rsid w:val="00A275A1"/>
    <w:rsid w:val="00A3076D"/>
    <w:rsid w:val="00A316E1"/>
    <w:rsid w:val="00A32253"/>
    <w:rsid w:val="00A345A9"/>
    <w:rsid w:val="00A346CA"/>
    <w:rsid w:val="00A415C8"/>
    <w:rsid w:val="00A477A0"/>
    <w:rsid w:val="00A47C07"/>
    <w:rsid w:val="00A50BDE"/>
    <w:rsid w:val="00A52420"/>
    <w:rsid w:val="00A5297F"/>
    <w:rsid w:val="00A5377E"/>
    <w:rsid w:val="00A5524F"/>
    <w:rsid w:val="00A61711"/>
    <w:rsid w:val="00A62C59"/>
    <w:rsid w:val="00A62F19"/>
    <w:rsid w:val="00A63A3E"/>
    <w:rsid w:val="00A664CF"/>
    <w:rsid w:val="00A66C34"/>
    <w:rsid w:val="00A72688"/>
    <w:rsid w:val="00A73CFD"/>
    <w:rsid w:val="00A74543"/>
    <w:rsid w:val="00A74622"/>
    <w:rsid w:val="00A753F4"/>
    <w:rsid w:val="00A765E9"/>
    <w:rsid w:val="00A77E87"/>
    <w:rsid w:val="00A80863"/>
    <w:rsid w:val="00A81616"/>
    <w:rsid w:val="00A821C2"/>
    <w:rsid w:val="00A8365E"/>
    <w:rsid w:val="00A91712"/>
    <w:rsid w:val="00A9488D"/>
    <w:rsid w:val="00A94E35"/>
    <w:rsid w:val="00A95355"/>
    <w:rsid w:val="00AA2679"/>
    <w:rsid w:val="00AA4D84"/>
    <w:rsid w:val="00AA683D"/>
    <w:rsid w:val="00AB1055"/>
    <w:rsid w:val="00AB15B4"/>
    <w:rsid w:val="00AB350C"/>
    <w:rsid w:val="00AB3C78"/>
    <w:rsid w:val="00AB5DE2"/>
    <w:rsid w:val="00AC0D85"/>
    <w:rsid w:val="00AC1AA3"/>
    <w:rsid w:val="00AC2F55"/>
    <w:rsid w:val="00AC4EB2"/>
    <w:rsid w:val="00AC7F21"/>
    <w:rsid w:val="00AD0F94"/>
    <w:rsid w:val="00AD21AD"/>
    <w:rsid w:val="00AD2AD5"/>
    <w:rsid w:val="00AD64A5"/>
    <w:rsid w:val="00AE0035"/>
    <w:rsid w:val="00AE0E38"/>
    <w:rsid w:val="00AE11C4"/>
    <w:rsid w:val="00AE1640"/>
    <w:rsid w:val="00AE297B"/>
    <w:rsid w:val="00AE2A8C"/>
    <w:rsid w:val="00AE5596"/>
    <w:rsid w:val="00AE58D5"/>
    <w:rsid w:val="00AE6686"/>
    <w:rsid w:val="00AF7794"/>
    <w:rsid w:val="00B01C53"/>
    <w:rsid w:val="00B0259B"/>
    <w:rsid w:val="00B02A2A"/>
    <w:rsid w:val="00B04DFE"/>
    <w:rsid w:val="00B06546"/>
    <w:rsid w:val="00B10865"/>
    <w:rsid w:val="00B11A79"/>
    <w:rsid w:val="00B13055"/>
    <w:rsid w:val="00B151CC"/>
    <w:rsid w:val="00B1791E"/>
    <w:rsid w:val="00B22DC7"/>
    <w:rsid w:val="00B24D0A"/>
    <w:rsid w:val="00B3317D"/>
    <w:rsid w:val="00B333DE"/>
    <w:rsid w:val="00B36583"/>
    <w:rsid w:val="00B37705"/>
    <w:rsid w:val="00B40F61"/>
    <w:rsid w:val="00B43478"/>
    <w:rsid w:val="00B44A2F"/>
    <w:rsid w:val="00B455C1"/>
    <w:rsid w:val="00B45D3D"/>
    <w:rsid w:val="00B509E6"/>
    <w:rsid w:val="00B50F02"/>
    <w:rsid w:val="00B53058"/>
    <w:rsid w:val="00B5375E"/>
    <w:rsid w:val="00B54DEF"/>
    <w:rsid w:val="00B56C58"/>
    <w:rsid w:val="00B64D52"/>
    <w:rsid w:val="00B651F8"/>
    <w:rsid w:val="00B653C1"/>
    <w:rsid w:val="00B6561B"/>
    <w:rsid w:val="00B65DCB"/>
    <w:rsid w:val="00B81054"/>
    <w:rsid w:val="00B83B2F"/>
    <w:rsid w:val="00B83E46"/>
    <w:rsid w:val="00B847A9"/>
    <w:rsid w:val="00B86F49"/>
    <w:rsid w:val="00B87E45"/>
    <w:rsid w:val="00B91041"/>
    <w:rsid w:val="00B93B70"/>
    <w:rsid w:val="00B94582"/>
    <w:rsid w:val="00B95533"/>
    <w:rsid w:val="00B97222"/>
    <w:rsid w:val="00BA651A"/>
    <w:rsid w:val="00BB0F68"/>
    <w:rsid w:val="00BB10DB"/>
    <w:rsid w:val="00BB1FFF"/>
    <w:rsid w:val="00BB2567"/>
    <w:rsid w:val="00BB2E21"/>
    <w:rsid w:val="00BB2E5F"/>
    <w:rsid w:val="00BB662C"/>
    <w:rsid w:val="00BB750C"/>
    <w:rsid w:val="00BC0CE3"/>
    <w:rsid w:val="00BC24CA"/>
    <w:rsid w:val="00BC43AE"/>
    <w:rsid w:val="00BC7806"/>
    <w:rsid w:val="00BD113A"/>
    <w:rsid w:val="00BD2B9F"/>
    <w:rsid w:val="00BD2D27"/>
    <w:rsid w:val="00BD34C2"/>
    <w:rsid w:val="00BD35B3"/>
    <w:rsid w:val="00BD37C4"/>
    <w:rsid w:val="00BD3DA8"/>
    <w:rsid w:val="00BD45D5"/>
    <w:rsid w:val="00BE0C0A"/>
    <w:rsid w:val="00BE446D"/>
    <w:rsid w:val="00BE568E"/>
    <w:rsid w:val="00BE64F3"/>
    <w:rsid w:val="00BF5183"/>
    <w:rsid w:val="00BF5878"/>
    <w:rsid w:val="00C00697"/>
    <w:rsid w:val="00C0095A"/>
    <w:rsid w:val="00C03EB1"/>
    <w:rsid w:val="00C07660"/>
    <w:rsid w:val="00C1027F"/>
    <w:rsid w:val="00C109FF"/>
    <w:rsid w:val="00C10C00"/>
    <w:rsid w:val="00C117FC"/>
    <w:rsid w:val="00C124E3"/>
    <w:rsid w:val="00C15089"/>
    <w:rsid w:val="00C17CE9"/>
    <w:rsid w:val="00C17E23"/>
    <w:rsid w:val="00C30F1A"/>
    <w:rsid w:val="00C36A9E"/>
    <w:rsid w:val="00C4133A"/>
    <w:rsid w:val="00C41D23"/>
    <w:rsid w:val="00C42478"/>
    <w:rsid w:val="00C464A7"/>
    <w:rsid w:val="00C46A68"/>
    <w:rsid w:val="00C50355"/>
    <w:rsid w:val="00C511C3"/>
    <w:rsid w:val="00C515D1"/>
    <w:rsid w:val="00C51C42"/>
    <w:rsid w:val="00C52329"/>
    <w:rsid w:val="00C56BBF"/>
    <w:rsid w:val="00C57A1F"/>
    <w:rsid w:val="00C57F4E"/>
    <w:rsid w:val="00C608B8"/>
    <w:rsid w:val="00C635DE"/>
    <w:rsid w:val="00C6397C"/>
    <w:rsid w:val="00C66165"/>
    <w:rsid w:val="00C66A73"/>
    <w:rsid w:val="00C6737A"/>
    <w:rsid w:val="00C67AA6"/>
    <w:rsid w:val="00C71ABB"/>
    <w:rsid w:val="00C72427"/>
    <w:rsid w:val="00C7519B"/>
    <w:rsid w:val="00C76497"/>
    <w:rsid w:val="00C80CAE"/>
    <w:rsid w:val="00C83111"/>
    <w:rsid w:val="00C856C9"/>
    <w:rsid w:val="00C86AD9"/>
    <w:rsid w:val="00C86F22"/>
    <w:rsid w:val="00C91A83"/>
    <w:rsid w:val="00C93554"/>
    <w:rsid w:val="00C952EC"/>
    <w:rsid w:val="00C9533E"/>
    <w:rsid w:val="00C9650F"/>
    <w:rsid w:val="00C9741E"/>
    <w:rsid w:val="00C9790D"/>
    <w:rsid w:val="00CA185C"/>
    <w:rsid w:val="00CA33C7"/>
    <w:rsid w:val="00CB15EE"/>
    <w:rsid w:val="00CB2C58"/>
    <w:rsid w:val="00CB38A3"/>
    <w:rsid w:val="00CB3B70"/>
    <w:rsid w:val="00CC1475"/>
    <w:rsid w:val="00CC1CCB"/>
    <w:rsid w:val="00CC6B7E"/>
    <w:rsid w:val="00CD2C51"/>
    <w:rsid w:val="00CD4AF1"/>
    <w:rsid w:val="00CD6086"/>
    <w:rsid w:val="00CD730D"/>
    <w:rsid w:val="00CE1635"/>
    <w:rsid w:val="00CE208C"/>
    <w:rsid w:val="00CE4AAD"/>
    <w:rsid w:val="00CE5583"/>
    <w:rsid w:val="00CE78B3"/>
    <w:rsid w:val="00CF0D33"/>
    <w:rsid w:val="00CF551C"/>
    <w:rsid w:val="00CF68E9"/>
    <w:rsid w:val="00CF7512"/>
    <w:rsid w:val="00CF7819"/>
    <w:rsid w:val="00D171A8"/>
    <w:rsid w:val="00D20989"/>
    <w:rsid w:val="00D21FEC"/>
    <w:rsid w:val="00D26516"/>
    <w:rsid w:val="00D303B7"/>
    <w:rsid w:val="00D43BB6"/>
    <w:rsid w:val="00D440FE"/>
    <w:rsid w:val="00D444C9"/>
    <w:rsid w:val="00D459AF"/>
    <w:rsid w:val="00D4602A"/>
    <w:rsid w:val="00D4643A"/>
    <w:rsid w:val="00D46770"/>
    <w:rsid w:val="00D46EB7"/>
    <w:rsid w:val="00D475BD"/>
    <w:rsid w:val="00D52159"/>
    <w:rsid w:val="00D52C7F"/>
    <w:rsid w:val="00D5403F"/>
    <w:rsid w:val="00D54C52"/>
    <w:rsid w:val="00D54CE5"/>
    <w:rsid w:val="00D55299"/>
    <w:rsid w:val="00D55E22"/>
    <w:rsid w:val="00D5776B"/>
    <w:rsid w:val="00D611A9"/>
    <w:rsid w:val="00D620F7"/>
    <w:rsid w:val="00D621F3"/>
    <w:rsid w:val="00D733B2"/>
    <w:rsid w:val="00D76E8B"/>
    <w:rsid w:val="00D816F1"/>
    <w:rsid w:val="00D850D1"/>
    <w:rsid w:val="00D9012E"/>
    <w:rsid w:val="00D90897"/>
    <w:rsid w:val="00D93BE5"/>
    <w:rsid w:val="00DA0568"/>
    <w:rsid w:val="00DA0AFA"/>
    <w:rsid w:val="00DA3036"/>
    <w:rsid w:val="00DA5195"/>
    <w:rsid w:val="00DA65D2"/>
    <w:rsid w:val="00DA6816"/>
    <w:rsid w:val="00DA7C1C"/>
    <w:rsid w:val="00DB015B"/>
    <w:rsid w:val="00DB20CE"/>
    <w:rsid w:val="00DB2201"/>
    <w:rsid w:val="00DB24D3"/>
    <w:rsid w:val="00DB35E7"/>
    <w:rsid w:val="00DB4000"/>
    <w:rsid w:val="00DB4020"/>
    <w:rsid w:val="00DB5E67"/>
    <w:rsid w:val="00DB6F16"/>
    <w:rsid w:val="00DB7AA3"/>
    <w:rsid w:val="00DC3380"/>
    <w:rsid w:val="00DC6216"/>
    <w:rsid w:val="00DC70BB"/>
    <w:rsid w:val="00DD5641"/>
    <w:rsid w:val="00DD648B"/>
    <w:rsid w:val="00DD6C35"/>
    <w:rsid w:val="00DE193D"/>
    <w:rsid w:val="00DE351C"/>
    <w:rsid w:val="00DE5089"/>
    <w:rsid w:val="00DE578E"/>
    <w:rsid w:val="00DE6DFB"/>
    <w:rsid w:val="00DE710F"/>
    <w:rsid w:val="00DE7EED"/>
    <w:rsid w:val="00DF4110"/>
    <w:rsid w:val="00DF627B"/>
    <w:rsid w:val="00E028EB"/>
    <w:rsid w:val="00E02C6A"/>
    <w:rsid w:val="00E02E5D"/>
    <w:rsid w:val="00E05E36"/>
    <w:rsid w:val="00E0650E"/>
    <w:rsid w:val="00E06ED9"/>
    <w:rsid w:val="00E14B90"/>
    <w:rsid w:val="00E158B2"/>
    <w:rsid w:val="00E210A1"/>
    <w:rsid w:val="00E22E31"/>
    <w:rsid w:val="00E23B18"/>
    <w:rsid w:val="00E26D54"/>
    <w:rsid w:val="00E32217"/>
    <w:rsid w:val="00E35FAC"/>
    <w:rsid w:val="00E36C6B"/>
    <w:rsid w:val="00E36FAE"/>
    <w:rsid w:val="00E401B3"/>
    <w:rsid w:val="00E46F31"/>
    <w:rsid w:val="00E50185"/>
    <w:rsid w:val="00E52DC9"/>
    <w:rsid w:val="00E553EA"/>
    <w:rsid w:val="00E56F9B"/>
    <w:rsid w:val="00E578B7"/>
    <w:rsid w:val="00E6044B"/>
    <w:rsid w:val="00E63231"/>
    <w:rsid w:val="00E664C8"/>
    <w:rsid w:val="00E66ADA"/>
    <w:rsid w:val="00E7329A"/>
    <w:rsid w:val="00E73F85"/>
    <w:rsid w:val="00E76451"/>
    <w:rsid w:val="00E8016F"/>
    <w:rsid w:val="00E80E52"/>
    <w:rsid w:val="00E816A6"/>
    <w:rsid w:val="00E816CE"/>
    <w:rsid w:val="00E85106"/>
    <w:rsid w:val="00E85A53"/>
    <w:rsid w:val="00E90908"/>
    <w:rsid w:val="00E90FB5"/>
    <w:rsid w:val="00E92DC4"/>
    <w:rsid w:val="00EA0688"/>
    <w:rsid w:val="00EA19B4"/>
    <w:rsid w:val="00EA3C33"/>
    <w:rsid w:val="00EA4F81"/>
    <w:rsid w:val="00EA5BB7"/>
    <w:rsid w:val="00EB0AE7"/>
    <w:rsid w:val="00EB25EA"/>
    <w:rsid w:val="00EB2929"/>
    <w:rsid w:val="00EC0059"/>
    <w:rsid w:val="00EC12C1"/>
    <w:rsid w:val="00EC1E46"/>
    <w:rsid w:val="00EC30D9"/>
    <w:rsid w:val="00EC68DB"/>
    <w:rsid w:val="00ED0CB2"/>
    <w:rsid w:val="00ED334F"/>
    <w:rsid w:val="00ED4D08"/>
    <w:rsid w:val="00ED521F"/>
    <w:rsid w:val="00EE055A"/>
    <w:rsid w:val="00EE08F2"/>
    <w:rsid w:val="00EE1DD7"/>
    <w:rsid w:val="00EE4958"/>
    <w:rsid w:val="00EE50F4"/>
    <w:rsid w:val="00EE69A2"/>
    <w:rsid w:val="00EE7433"/>
    <w:rsid w:val="00EE76B9"/>
    <w:rsid w:val="00EF0F2C"/>
    <w:rsid w:val="00EF125F"/>
    <w:rsid w:val="00EF2497"/>
    <w:rsid w:val="00EF38A6"/>
    <w:rsid w:val="00EF53E7"/>
    <w:rsid w:val="00EF6226"/>
    <w:rsid w:val="00EF6BBD"/>
    <w:rsid w:val="00F017E0"/>
    <w:rsid w:val="00F01B39"/>
    <w:rsid w:val="00F03B20"/>
    <w:rsid w:val="00F041A1"/>
    <w:rsid w:val="00F05332"/>
    <w:rsid w:val="00F065A0"/>
    <w:rsid w:val="00F07FF2"/>
    <w:rsid w:val="00F10606"/>
    <w:rsid w:val="00F1260B"/>
    <w:rsid w:val="00F171D2"/>
    <w:rsid w:val="00F21C70"/>
    <w:rsid w:val="00F25534"/>
    <w:rsid w:val="00F26D11"/>
    <w:rsid w:val="00F2749A"/>
    <w:rsid w:val="00F27CBE"/>
    <w:rsid w:val="00F30FDE"/>
    <w:rsid w:val="00F370B3"/>
    <w:rsid w:val="00F37B35"/>
    <w:rsid w:val="00F4121E"/>
    <w:rsid w:val="00F4212B"/>
    <w:rsid w:val="00F424E6"/>
    <w:rsid w:val="00F4566D"/>
    <w:rsid w:val="00F468E5"/>
    <w:rsid w:val="00F46D66"/>
    <w:rsid w:val="00F4704F"/>
    <w:rsid w:val="00F471B7"/>
    <w:rsid w:val="00F50427"/>
    <w:rsid w:val="00F5078F"/>
    <w:rsid w:val="00F50EE3"/>
    <w:rsid w:val="00F5596D"/>
    <w:rsid w:val="00F61F25"/>
    <w:rsid w:val="00F651C4"/>
    <w:rsid w:val="00F65A3A"/>
    <w:rsid w:val="00F66F91"/>
    <w:rsid w:val="00F703A5"/>
    <w:rsid w:val="00F7682E"/>
    <w:rsid w:val="00F83C3D"/>
    <w:rsid w:val="00F87A60"/>
    <w:rsid w:val="00F92C57"/>
    <w:rsid w:val="00F92C75"/>
    <w:rsid w:val="00F9344F"/>
    <w:rsid w:val="00F9519A"/>
    <w:rsid w:val="00F95215"/>
    <w:rsid w:val="00F97B14"/>
    <w:rsid w:val="00FB05AC"/>
    <w:rsid w:val="00FB1975"/>
    <w:rsid w:val="00FB20C4"/>
    <w:rsid w:val="00FB3C96"/>
    <w:rsid w:val="00FB4BCE"/>
    <w:rsid w:val="00FB55EF"/>
    <w:rsid w:val="00FB5A41"/>
    <w:rsid w:val="00FB60EF"/>
    <w:rsid w:val="00FC3D4F"/>
    <w:rsid w:val="00FC49FB"/>
    <w:rsid w:val="00FC5756"/>
    <w:rsid w:val="00FC7E25"/>
    <w:rsid w:val="00FD228D"/>
    <w:rsid w:val="00FD659E"/>
    <w:rsid w:val="00FE46B9"/>
    <w:rsid w:val="00FE4BC8"/>
    <w:rsid w:val="00FE6A0D"/>
    <w:rsid w:val="00FE7253"/>
    <w:rsid w:val="00FE7878"/>
    <w:rsid w:val="00FE7FB4"/>
    <w:rsid w:val="00FF2D86"/>
    <w:rsid w:val="00FF5459"/>
    <w:rsid w:val="00FF6000"/>
    <w:rsid w:val="00FF6161"/>
    <w:rsid w:val="00FF6446"/>
    <w:rsid w:val="00FF6E9E"/>
    <w:rsid w:val="00FF723C"/>
    <w:rsid w:val="11F47AB7"/>
    <w:rsid w:val="71FD7A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B53C"/>
  <w14:discardImageEditingData/>
  <w15:chartTrackingRefBased/>
  <w15:docId w15:val="{D174B266-E805-4F0A-802D-71B6E325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80660C"/>
    <w:pPr>
      <w:keepNext/>
      <w:keepLines/>
      <w:pageBreakBefore/>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825715"/>
    <w:pPr>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80660C"/>
    <w:rPr>
      <w:rFonts w:asciiTheme="majorHAnsi" w:hAnsiTheme="majorHAnsi"/>
      <w:b/>
      <w:color w:val="2A4055" w:themeColor="accent1"/>
      <w:sz w:val="44"/>
      <w:szCs w:val="44"/>
    </w:rPr>
  </w:style>
  <w:style w:type="table" w:customStyle="1" w:styleId="NIAATable-simple">
    <w:name w:val="NIAA Table - simple"/>
    <w:basedOn w:val="TableNormal"/>
    <w:uiPriority w:val="99"/>
    <w:rsid w:val="0057315D"/>
    <w:pPr>
      <w:spacing w:before="60" w:after="60"/>
    </w:pPr>
    <w:tblPr>
      <w:tblStyleRow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7A4A63"/>
    <w:pPr>
      <w:numPr>
        <w:numId w:val="22"/>
      </w:numPr>
      <w:spacing w:before="120" w:after="0"/>
      <w:ind w:left="568" w:hanging="284"/>
    </w:pPr>
    <w:rPr>
      <w:sz w:val="22"/>
    </w:rPr>
  </w:style>
  <w:style w:type="paragraph" w:customStyle="1" w:styleId="BulletedListlvl1">
    <w:name w:val="Bulleted List lvl1"/>
    <w:uiPriority w:val="10"/>
    <w:qFormat/>
    <w:rsid w:val="007A4A63"/>
    <w:pPr>
      <w:numPr>
        <w:numId w:val="5"/>
      </w:numPr>
      <w:spacing w:before="120" w:after="0"/>
      <w:ind w:left="568" w:hanging="284"/>
      <w:contextualSpacing/>
    </w:pPr>
    <w:rPr>
      <w:sz w:val="22"/>
    </w:rPr>
  </w:style>
  <w:style w:type="paragraph" w:customStyle="1" w:styleId="NumberedListlevel2">
    <w:name w:val="Numbered List level 2"/>
    <w:basedOn w:val="NumberedListlevel1"/>
    <w:uiPriority w:val="9"/>
    <w:qFormat/>
    <w:rsid w:val="00E35FAC"/>
    <w:pPr>
      <w:numPr>
        <w:ilvl w:val="1"/>
      </w:numPr>
      <w:spacing w:before="0"/>
      <w:ind w:left="851" w:hanging="284"/>
    </w:pPr>
  </w:style>
  <w:style w:type="paragraph" w:styleId="BodyText">
    <w:name w:val="Body Text"/>
    <w:basedOn w:val="Normal"/>
    <w:link w:val="BodyTextChar"/>
    <w:qFormat/>
    <w:rsid w:val="007A4A63"/>
    <w:pPr>
      <w:spacing w:before="120" w:line="288" w:lineRule="auto"/>
    </w:pPr>
    <w:rPr>
      <w:sz w:val="22"/>
    </w:rPr>
  </w:style>
  <w:style w:type="character" w:customStyle="1" w:styleId="BodyTextChar">
    <w:name w:val="Body Text Char"/>
    <w:basedOn w:val="DefaultParagraphFont"/>
    <w:link w:val="BodyText"/>
    <w:rsid w:val="007A4A63"/>
    <w:rPr>
      <w:sz w:val="22"/>
    </w:rPr>
  </w:style>
  <w:style w:type="paragraph" w:customStyle="1" w:styleId="BulletedListlevel2">
    <w:name w:val="Bulleted List level 2"/>
    <w:basedOn w:val="BulletedListlvl1"/>
    <w:uiPriority w:val="10"/>
    <w:qFormat/>
    <w:rsid w:val="00E35FAC"/>
    <w:pPr>
      <w:numPr>
        <w:ilvl w:val="1"/>
        <w:numId w:val="14"/>
      </w:numPr>
      <w:spacing w:before="0"/>
      <w:ind w:left="851" w:hanging="284"/>
    </w:p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825715"/>
    <w:rPr>
      <w:rFonts w:asciiTheme="majorHAnsi" w:hAnsiTheme="majorHAnsi"/>
      <w:b/>
      <w:color w:val="2A4055" w:themeColor="accent1"/>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D303B7"/>
    <w:pPr>
      <w:spacing w:before="60" w:after="60"/>
    </w:pPr>
    <w:rPr>
      <w:rFonts w:ascii="Calibri" w:hAnsi="Calibri"/>
    </w:rPr>
    <w:tblPr>
      <w:tblStyleRow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A5524F"/>
    <w:pPr>
      <w:ind w:left="567" w:right="567"/>
    </w:pPr>
    <w:rPr>
      <w:rFonts w:asciiTheme="majorHAnsi" w:hAnsiTheme="majorHAnsi"/>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rsid w:val="00805D17"/>
    <w:pPr>
      <w:spacing w:before="40" w:after="560" w:line="216" w:lineRule="auto"/>
    </w:pPr>
    <w:rPr>
      <w:rFonts w:ascii="Century Gothic" w:hAnsi="Century Gothic"/>
      <w:b/>
      <w:color w:val="2A4055" w:themeColor="accent1"/>
      <w:sz w:val="120"/>
      <w:szCs w:val="72"/>
    </w:rPr>
  </w:style>
  <w:style w:type="paragraph" w:customStyle="1" w:styleId="CoverByline">
    <w:name w:val="Cover Byline"/>
    <w:basedOn w:val="NoSpacing"/>
    <w:uiPriority w:val="11"/>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7A4A6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825715"/>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7A4A63"/>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7A4A63"/>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A5524F"/>
    <w:rPr>
      <w:rFonts w:asciiTheme="majorHAnsi" w:hAnsiTheme="majorHAnsi"/>
      <w:color w:val="DD761C" w:themeColor="accent3"/>
      <w:sz w:val="24"/>
      <w:szCs w:val="24"/>
    </w:rPr>
  </w:style>
  <w:style w:type="paragraph" w:customStyle="1" w:styleId="BulletedListlvl3">
    <w:name w:val="Bulleted List lvl3"/>
    <w:basedOn w:val="BulletedListleve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CoverTitle"/>
    <w:next w:val="Normal"/>
    <w:link w:val="TitleChar"/>
    <w:qFormat/>
    <w:rsid w:val="00973973"/>
    <w:pPr>
      <w:spacing w:before="1560"/>
    </w:pPr>
    <w:rPr>
      <w:sz w:val="100"/>
    </w:rPr>
  </w:style>
  <w:style w:type="character" w:customStyle="1" w:styleId="TitleChar">
    <w:name w:val="Title Char"/>
    <w:basedOn w:val="DefaultParagraphFont"/>
    <w:link w:val="Title"/>
    <w:rsid w:val="00973973"/>
    <w:rPr>
      <w:rFonts w:ascii="Century Gothic" w:hAnsi="Century Gothic"/>
      <w:b/>
      <w:color w:val="2A4055" w:themeColor="accent1"/>
      <w:sz w:val="100"/>
      <w:szCs w:val="72"/>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F5596D"/>
    <w:pPr>
      <w:ind w:left="567"/>
    </w:pPr>
  </w:style>
  <w:style w:type="character" w:customStyle="1" w:styleId="BlockquoteChar">
    <w:name w:val="Blockquote Char"/>
    <w:basedOn w:val="BodyTextChar"/>
    <w:link w:val="Blockquote"/>
    <w:uiPriority w:val="11"/>
    <w:rsid w:val="00F5596D"/>
    <w:rPr>
      <w:sz w:val="22"/>
    </w:rPr>
  </w:style>
  <w:style w:type="paragraph" w:styleId="TOCHeading">
    <w:name w:val="TOC Heading"/>
    <w:basedOn w:val="Heading1"/>
    <w:next w:val="Normal"/>
    <w:uiPriority w:val="39"/>
    <w:unhideWhenUsed/>
    <w:qFormat/>
    <w:rsid w:val="002C5434"/>
    <w:pPr>
      <w:spacing w:before="240" w:after="240" w:line="259" w:lineRule="auto"/>
      <w:outlineLvl w:val="9"/>
    </w:pPr>
    <w:rPr>
      <w:rFonts w:eastAsiaTheme="majorEastAsia" w:cstheme="majorBidi"/>
      <w:lang w:val="en-US"/>
    </w:rPr>
  </w:style>
  <w:style w:type="paragraph" w:styleId="TOC1">
    <w:name w:val="toc 1"/>
    <w:basedOn w:val="Normal"/>
    <w:next w:val="Normal"/>
    <w:autoRedefine/>
    <w:uiPriority w:val="39"/>
    <w:unhideWhenUsed/>
    <w:rsid w:val="002C5434"/>
    <w:pPr>
      <w:spacing w:after="100"/>
    </w:pPr>
  </w:style>
  <w:style w:type="paragraph" w:styleId="TOC2">
    <w:name w:val="toc 2"/>
    <w:basedOn w:val="Normal"/>
    <w:next w:val="Normal"/>
    <w:autoRedefine/>
    <w:uiPriority w:val="39"/>
    <w:unhideWhenUsed/>
    <w:rsid w:val="002C5434"/>
    <w:pPr>
      <w:spacing w:after="100"/>
      <w:ind w:left="200"/>
    </w:pPr>
  </w:style>
  <w:style w:type="paragraph" w:styleId="TOC3">
    <w:name w:val="toc 3"/>
    <w:basedOn w:val="Normal"/>
    <w:next w:val="Normal"/>
    <w:autoRedefine/>
    <w:uiPriority w:val="39"/>
    <w:unhideWhenUsed/>
    <w:rsid w:val="002C5434"/>
    <w:pPr>
      <w:spacing w:after="100"/>
      <w:ind w:left="400"/>
    </w:pPr>
  </w:style>
  <w:style w:type="character" w:styleId="Hyperlink">
    <w:name w:val="Hyperlink"/>
    <w:basedOn w:val="DefaultParagraphFont"/>
    <w:uiPriority w:val="99"/>
    <w:unhideWhenUsed/>
    <w:rsid w:val="002C5434"/>
    <w:rPr>
      <w:color w:val="0289C8" w:themeColor="hyperlink"/>
      <w:u w:val="single"/>
    </w:rPr>
  </w:style>
  <w:style w:type="paragraph" w:customStyle="1" w:styleId="Heading2numbered">
    <w:name w:val="Heading 2 numbered"/>
    <w:basedOn w:val="Heading2"/>
    <w:link w:val="Heading2numberedChar"/>
    <w:uiPriority w:val="11"/>
    <w:qFormat/>
    <w:rsid w:val="00B04DFE"/>
    <w:pPr>
      <w:numPr>
        <w:numId w:val="28"/>
      </w:numPr>
      <w:ind w:left="567" w:hanging="567"/>
    </w:pPr>
    <w:rPr>
      <w:rFonts w:eastAsia="Times New Roman"/>
    </w:rPr>
  </w:style>
  <w:style w:type="paragraph" w:customStyle="1" w:styleId="Bodytext-Numberedparagraph">
    <w:name w:val="Body text - Numbered paragraph"/>
    <w:basedOn w:val="Heading2numbered"/>
    <w:uiPriority w:val="11"/>
    <w:qFormat/>
    <w:rsid w:val="001A2BC3"/>
    <w:pPr>
      <w:keepNext w:val="0"/>
      <w:keepLines w:val="0"/>
      <w:numPr>
        <w:ilvl w:val="1"/>
      </w:numPr>
      <w:tabs>
        <w:tab w:val="num" w:pos="567"/>
      </w:tabs>
      <w:spacing w:before="120"/>
      <w:ind w:left="567" w:hanging="567"/>
      <w:outlineLvl w:val="9"/>
    </w:pPr>
    <w:rPr>
      <w:rFonts w:asciiTheme="minorHAnsi" w:eastAsia="Calibri" w:hAnsiTheme="minorHAnsi" w:cstheme="minorHAnsi"/>
      <w:color w:val="auto"/>
      <w:sz w:val="22"/>
      <w:szCs w:val="20"/>
    </w:rPr>
  </w:style>
  <w:style w:type="character" w:customStyle="1" w:styleId="Heading2numberedChar">
    <w:name w:val="Heading 2 numbered Char"/>
    <w:basedOn w:val="Heading2Char"/>
    <w:link w:val="Heading2numbered"/>
    <w:uiPriority w:val="11"/>
    <w:rsid w:val="00B04DFE"/>
    <w:rPr>
      <w:rFonts w:asciiTheme="majorHAnsi" w:eastAsia="Times New Roman" w:hAnsiTheme="majorHAnsi" w:cstheme="majorBidi"/>
      <w:color w:val="2A4055" w:themeColor="accent1"/>
      <w:sz w:val="36"/>
      <w:szCs w:val="36"/>
    </w:rPr>
  </w:style>
  <w:style w:type="character" w:styleId="CommentReference">
    <w:name w:val="annotation reference"/>
    <w:basedOn w:val="DefaultParagraphFont"/>
    <w:uiPriority w:val="99"/>
    <w:semiHidden/>
    <w:unhideWhenUsed/>
    <w:rsid w:val="003670B8"/>
    <w:rPr>
      <w:sz w:val="16"/>
      <w:szCs w:val="16"/>
    </w:rPr>
  </w:style>
  <w:style w:type="paragraph" w:styleId="CommentText">
    <w:name w:val="annotation text"/>
    <w:basedOn w:val="Normal"/>
    <w:link w:val="CommentTextChar"/>
    <w:uiPriority w:val="99"/>
    <w:unhideWhenUsed/>
    <w:rsid w:val="003670B8"/>
    <w:pPr>
      <w:spacing w:line="240" w:lineRule="auto"/>
    </w:pPr>
  </w:style>
  <w:style w:type="character" w:customStyle="1" w:styleId="CommentTextChar">
    <w:name w:val="Comment Text Char"/>
    <w:basedOn w:val="DefaultParagraphFont"/>
    <w:link w:val="CommentText"/>
    <w:uiPriority w:val="99"/>
    <w:rsid w:val="003670B8"/>
  </w:style>
  <w:style w:type="paragraph" w:styleId="CommentSubject">
    <w:name w:val="annotation subject"/>
    <w:basedOn w:val="CommentText"/>
    <w:next w:val="CommentText"/>
    <w:link w:val="CommentSubjectChar"/>
    <w:uiPriority w:val="99"/>
    <w:semiHidden/>
    <w:unhideWhenUsed/>
    <w:rsid w:val="003670B8"/>
    <w:rPr>
      <w:b/>
      <w:bCs/>
    </w:rPr>
  </w:style>
  <w:style w:type="character" w:customStyle="1" w:styleId="CommentSubjectChar">
    <w:name w:val="Comment Subject Char"/>
    <w:basedOn w:val="CommentTextChar"/>
    <w:link w:val="CommentSubject"/>
    <w:uiPriority w:val="99"/>
    <w:semiHidden/>
    <w:rsid w:val="003670B8"/>
    <w:rPr>
      <w:b/>
      <w:bCs/>
    </w:rPr>
  </w:style>
  <w:style w:type="table" w:styleId="PlainTable1">
    <w:name w:val="Plain Table 1"/>
    <w:basedOn w:val="TableNormal"/>
    <w:uiPriority w:val="41"/>
    <w:rsid w:val="000743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8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5EC3"/>
    <w:rPr>
      <w:color w:val="0289C8" w:themeColor="followedHyperlink"/>
      <w:u w:val="single"/>
    </w:rPr>
  </w:style>
  <w:style w:type="character" w:styleId="UnresolvedMention">
    <w:name w:val="Unresolved Mention"/>
    <w:basedOn w:val="DefaultParagraphFont"/>
    <w:uiPriority w:val="99"/>
    <w:semiHidden/>
    <w:unhideWhenUsed/>
    <w:rsid w:val="00E816A6"/>
    <w:rPr>
      <w:color w:val="605E5C"/>
      <w:shd w:val="clear" w:color="auto" w:fill="E1DFDD"/>
    </w:rPr>
  </w:style>
  <w:style w:type="paragraph" w:styleId="Revision">
    <w:name w:val="Revision"/>
    <w:hidden/>
    <w:uiPriority w:val="99"/>
    <w:semiHidden/>
    <w:rsid w:val="00BC0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2228">
      <w:bodyDiv w:val="1"/>
      <w:marLeft w:val="0"/>
      <w:marRight w:val="0"/>
      <w:marTop w:val="0"/>
      <w:marBottom w:val="0"/>
      <w:divBdr>
        <w:top w:val="none" w:sz="0" w:space="0" w:color="auto"/>
        <w:left w:val="none" w:sz="0" w:space="0" w:color="auto"/>
        <w:bottom w:val="none" w:sz="0" w:space="0" w:color="auto"/>
        <w:right w:val="none" w:sz="0" w:space="0" w:color="auto"/>
      </w:divBdr>
    </w:div>
    <w:div w:id="158468035">
      <w:bodyDiv w:val="1"/>
      <w:marLeft w:val="0"/>
      <w:marRight w:val="0"/>
      <w:marTop w:val="0"/>
      <w:marBottom w:val="0"/>
      <w:divBdr>
        <w:top w:val="none" w:sz="0" w:space="0" w:color="auto"/>
        <w:left w:val="none" w:sz="0" w:space="0" w:color="auto"/>
        <w:bottom w:val="none" w:sz="0" w:space="0" w:color="auto"/>
        <w:right w:val="none" w:sz="0" w:space="0" w:color="auto"/>
      </w:divBdr>
    </w:div>
    <w:div w:id="230240967">
      <w:bodyDiv w:val="1"/>
      <w:marLeft w:val="0"/>
      <w:marRight w:val="0"/>
      <w:marTop w:val="0"/>
      <w:marBottom w:val="0"/>
      <w:divBdr>
        <w:top w:val="none" w:sz="0" w:space="0" w:color="auto"/>
        <w:left w:val="none" w:sz="0" w:space="0" w:color="auto"/>
        <w:bottom w:val="none" w:sz="0" w:space="0" w:color="auto"/>
        <w:right w:val="none" w:sz="0" w:space="0" w:color="auto"/>
      </w:divBdr>
    </w:div>
    <w:div w:id="240139641">
      <w:bodyDiv w:val="1"/>
      <w:marLeft w:val="0"/>
      <w:marRight w:val="0"/>
      <w:marTop w:val="0"/>
      <w:marBottom w:val="0"/>
      <w:divBdr>
        <w:top w:val="none" w:sz="0" w:space="0" w:color="auto"/>
        <w:left w:val="none" w:sz="0" w:space="0" w:color="auto"/>
        <w:bottom w:val="none" w:sz="0" w:space="0" w:color="auto"/>
        <w:right w:val="none" w:sz="0" w:space="0" w:color="auto"/>
      </w:divBdr>
    </w:div>
    <w:div w:id="645352014">
      <w:bodyDiv w:val="1"/>
      <w:marLeft w:val="0"/>
      <w:marRight w:val="0"/>
      <w:marTop w:val="0"/>
      <w:marBottom w:val="0"/>
      <w:divBdr>
        <w:top w:val="none" w:sz="0" w:space="0" w:color="auto"/>
        <w:left w:val="none" w:sz="0" w:space="0" w:color="auto"/>
        <w:bottom w:val="none" w:sz="0" w:space="0" w:color="auto"/>
        <w:right w:val="none" w:sz="0" w:space="0" w:color="auto"/>
      </w:divBdr>
    </w:div>
    <w:div w:id="851383917">
      <w:bodyDiv w:val="1"/>
      <w:marLeft w:val="0"/>
      <w:marRight w:val="0"/>
      <w:marTop w:val="0"/>
      <w:marBottom w:val="0"/>
      <w:divBdr>
        <w:top w:val="none" w:sz="0" w:space="0" w:color="auto"/>
        <w:left w:val="none" w:sz="0" w:space="0" w:color="auto"/>
        <w:bottom w:val="none" w:sz="0" w:space="0" w:color="auto"/>
        <w:right w:val="none" w:sz="0" w:space="0" w:color="auto"/>
      </w:divBdr>
      <w:divsChild>
        <w:div w:id="1680504385">
          <w:marLeft w:val="0"/>
          <w:marRight w:val="0"/>
          <w:marTop w:val="0"/>
          <w:marBottom w:val="0"/>
          <w:divBdr>
            <w:top w:val="none" w:sz="0" w:space="0" w:color="auto"/>
            <w:left w:val="none" w:sz="0" w:space="0" w:color="auto"/>
            <w:bottom w:val="none" w:sz="0" w:space="0" w:color="auto"/>
            <w:right w:val="none" w:sz="0" w:space="0" w:color="auto"/>
          </w:divBdr>
          <w:divsChild>
            <w:div w:id="1138571581">
              <w:marLeft w:val="0"/>
              <w:marRight w:val="0"/>
              <w:marTop w:val="0"/>
              <w:marBottom w:val="0"/>
              <w:divBdr>
                <w:top w:val="none" w:sz="0" w:space="0" w:color="auto"/>
                <w:left w:val="none" w:sz="0" w:space="0" w:color="auto"/>
                <w:bottom w:val="none" w:sz="0" w:space="0" w:color="auto"/>
                <w:right w:val="none" w:sz="0" w:space="0" w:color="auto"/>
              </w:divBdr>
            </w:div>
          </w:divsChild>
        </w:div>
        <w:div w:id="305285233">
          <w:marLeft w:val="0"/>
          <w:marRight w:val="0"/>
          <w:marTop w:val="0"/>
          <w:marBottom w:val="0"/>
          <w:divBdr>
            <w:top w:val="none" w:sz="0" w:space="0" w:color="auto"/>
            <w:left w:val="none" w:sz="0" w:space="0" w:color="auto"/>
            <w:bottom w:val="none" w:sz="0" w:space="0" w:color="auto"/>
            <w:right w:val="none" w:sz="0" w:space="0" w:color="auto"/>
          </w:divBdr>
          <w:divsChild>
            <w:div w:id="1273979094">
              <w:marLeft w:val="0"/>
              <w:marRight w:val="0"/>
              <w:marTop w:val="0"/>
              <w:marBottom w:val="0"/>
              <w:divBdr>
                <w:top w:val="none" w:sz="0" w:space="0" w:color="auto"/>
                <w:left w:val="none" w:sz="0" w:space="0" w:color="auto"/>
                <w:bottom w:val="none" w:sz="0" w:space="0" w:color="auto"/>
                <w:right w:val="none" w:sz="0" w:space="0" w:color="auto"/>
              </w:divBdr>
            </w:div>
          </w:divsChild>
        </w:div>
        <w:div w:id="453792845">
          <w:marLeft w:val="0"/>
          <w:marRight w:val="0"/>
          <w:marTop w:val="0"/>
          <w:marBottom w:val="0"/>
          <w:divBdr>
            <w:top w:val="none" w:sz="0" w:space="0" w:color="auto"/>
            <w:left w:val="none" w:sz="0" w:space="0" w:color="auto"/>
            <w:bottom w:val="none" w:sz="0" w:space="0" w:color="auto"/>
            <w:right w:val="none" w:sz="0" w:space="0" w:color="auto"/>
          </w:divBdr>
          <w:divsChild>
            <w:div w:id="847912366">
              <w:marLeft w:val="0"/>
              <w:marRight w:val="0"/>
              <w:marTop w:val="0"/>
              <w:marBottom w:val="0"/>
              <w:divBdr>
                <w:top w:val="none" w:sz="0" w:space="0" w:color="auto"/>
                <w:left w:val="none" w:sz="0" w:space="0" w:color="auto"/>
                <w:bottom w:val="none" w:sz="0" w:space="0" w:color="auto"/>
                <w:right w:val="none" w:sz="0" w:space="0" w:color="auto"/>
              </w:divBdr>
            </w:div>
          </w:divsChild>
        </w:div>
        <w:div w:id="1783528402">
          <w:marLeft w:val="0"/>
          <w:marRight w:val="0"/>
          <w:marTop w:val="0"/>
          <w:marBottom w:val="0"/>
          <w:divBdr>
            <w:top w:val="none" w:sz="0" w:space="0" w:color="auto"/>
            <w:left w:val="none" w:sz="0" w:space="0" w:color="auto"/>
            <w:bottom w:val="none" w:sz="0" w:space="0" w:color="auto"/>
            <w:right w:val="none" w:sz="0" w:space="0" w:color="auto"/>
          </w:divBdr>
          <w:divsChild>
            <w:div w:id="532035080">
              <w:marLeft w:val="0"/>
              <w:marRight w:val="0"/>
              <w:marTop w:val="0"/>
              <w:marBottom w:val="0"/>
              <w:divBdr>
                <w:top w:val="none" w:sz="0" w:space="0" w:color="auto"/>
                <w:left w:val="none" w:sz="0" w:space="0" w:color="auto"/>
                <w:bottom w:val="none" w:sz="0" w:space="0" w:color="auto"/>
                <w:right w:val="none" w:sz="0" w:space="0" w:color="auto"/>
              </w:divBdr>
            </w:div>
          </w:divsChild>
        </w:div>
        <w:div w:id="142549900">
          <w:marLeft w:val="0"/>
          <w:marRight w:val="0"/>
          <w:marTop w:val="0"/>
          <w:marBottom w:val="0"/>
          <w:divBdr>
            <w:top w:val="none" w:sz="0" w:space="0" w:color="auto"/>
            <w:left w:val="none" w:sz="0" w:space="0" w:color="auto"/>
            <w:bottom w:val="none" w:sz="0" w:space="0" w:color="auto"/>
            <w:right w:val="none" w:sz="0" w:space="0" w:color="auto"/>
          </w:divBdr>
          <w:divsChild>
            <w:div w:id="1592205077">
              <w:marLeft w:val="0"/>
              <w:marRight w:val="0"/>
              <w:marTop w:val="0"/>
              <w:marBottom w:val="0"/>
              <w:divBdr>
                <w:top w:val="none" w:sz="0" w:space="0" w:color="auto"/>
                <w:left w:val="none" w:sz="0" w:space="0" w:color="auto"/>
                <w:bottom w:val="none" w:sz="0" w:space="0" w:color="auto"/>
                <w:right w:val="none" w:sz="0" w:space="0" w:color="auto"/>
              </w:divBdr>
            </w:div>
          </w:divsChild>
        </w:div>
        <w:div w:id="283967548">
          <w:marLeft w:val="0"/>
          <w:marRight w:val="0"/>
          <w:marTop w:val="0"/>
          <w:marBottom w:val="0"/>
          <w:divBdr>
            <w:top w:val="none" w:sz="0" w:space="0" w:color="auto"/>
            <w:left w:val="none" w:sz="0" w:space="0" w:color="auto"/>
            <w:bottom w:val="none" w:sz="0" w:space="0" w:color="auto"/>
            <w:right w:val="none" w:sz="0" w:space="0" w:color="auto"/>
          </w:divBdr>
          <w:divsChild>
            <w:div w:id="1283654103">
              <w:marLeft w:val="0"/>
              <w:marRight w:val="0"/>
              <w:marTop w:val="0"/>
              <w:marBottom w:val="0"/>
              <w:divBdr>
                <w:top w:val="none" w:sz="0" w:space="0" w:color="auto"/>
                <w:left w:val="none" w:sz="0" w:space="0" w:color="auto"/>
                <w:bottom w:val="none" w:sz="0" w:space="0" w:color="auto"/>
                <w:right w:val="none" w:sz="0" w:space="0" w:color="auto"/>
              </w:divBdr>
            </w:div>
          </w:divsChild>
        </w:div>
        <w:div w:id="9138488">
          <w:marLeft w:val="0"/>
          <w:marRight w:val="0"/>
          <w:marTop w:val="0"/>
          <w:marBottom w:val="0"/>
          <w:divBdr>
            <w:top w:val="none" w:sz="0" w:space="0" w:color="auto"/>
            <w:left w:val="none" w:sz="0" w:space="0" w:color="auto"/>
            <w:bottom w:val="none" w:sz="0" w:space="0" w:color="auto"/>
            <w:right w:val="none" w:sz="0" w:space="0" w:color="auto"/>
          </w:divBdr>
          <w:divsChild>
            <w:div w:id="2114936822">
              <w:marLeft w:val="0"/>
              <w:marRight w:val="0"/>
              <w:marTop w:val="0"/>
              <w:marBottom w:val="0"/>
              <w:divBdr>
                <w:top w:val="none" w:sz="0" w:space="0" w:color="auto"/>
                <w:left w:val="none" w:sz="0" w:space="0" w:color="auto"/>
                <w:bottom w:val="none" w:sz="0" w:space="0" w:color="auto"/>
                <w:right w:val="none" w:sz="0" w:space="0" w:color="auto"/>
              </w:divBdr>
            </w:div>
          </w:divsChild>
        </w:div>
        <w:div w:id="154420775">
          <w:marLeft w:val="0"/>
          <w:marRight w:val="0"/>
          <w:marTop w:val="0"/>
          <w:marBottom w:val="0"/>
          <w:divBdr>
            <w:top w:val="none" w:sz="0" w:space="0" w:color="auto"/>
            <w:left w:val="none" w:sz="0" w:space="0" w:color="auto"/>
            <w:bottom w:val="none" w:sz="0" w:space="0" w:color="auto"/>
            <w:right w:val="none" w:sz="0" w:space="0" w:color="auto"/>
          </w:divBdr>
          <w:divsChild>
            <w:div w:id="389303171">
              <w:marLeft w:val="0"/>
              <w:marRight w:val="0"/>
              <w:marTop w:val="0"/>
              <w:marBottom w:val="0"/>
              <w:divBdr>
                <w:top w:val="none" w:sz="0" w:space="0" w:color="auto"/>
                <w:left w:val="none" w:sz="0" w:space="0" w:color="auto"/>
                <w:bottom w:val="none" w:sz="0" w:space="0" w:color="auto"/>
                <w:right w:val="none" w:sz="0" w:space="0" w:color="auto"/>
              </w:divBdr>
            </w:div>
          </w:divsChild>
        </w:div>
        <w:div w:id="1653366939">
          <w:marLeft w:val="0"/>
          <w:marRight w:val="0"/>
          <w:marTop w:val="0"/>
          <w:marBottom w:val="0"/>
          <w:divBdr>
            <w:top w:val="none" w:sz="0" w:space="0" w:color="auto"/>
            <w:left w:val="none" w:sz="0" w:space="0" w:color="auto"/>
            <w:bottom w:val="none" w:sz="0" w:space="0" w:color="auto"/>
            <w:right w:val="none" w:sz="0" w:space="0" w:color="auto"/>
          </w:divBdr>
          <w:divsChild>
            <w:div w:id="1378699775">
              <w:marLeft w:val="0"/>
              <w:marRight w:val="0"/>
              <w:marTop w:val="0"/>
              <w:marBottom w:val="0"/>
              <w:divBdr>
                <w:top w:val="none" w:sz="0" w:space="0" w:color="auto"/>
                <w:left w:val="none" w:sz="0" w:space="0" w:color="auto"/>
                <w:bottom w:val="none" w:sz="0" w:space="0" w:color="auto"/>
                <w:right w:val="none" w:sz="0" w:space="0" w:color="auto"/>
              </w:divBdr>
            </w:div>
          </w:divsChild>
        </w:div>
        <w:div w:id="1187524314">
          <w:marLeft w:val="0"/>
          <w:marRight w:val="0"/>
          <w:marTop w:val="0"/>
          <w:marBottom w:val="0"/>
          <w:divBdr>
            <w:top w:val="none" w:sz="0" w:space="0" w:color="auto"/>
            <w:left w:val="none" w:sz="0" w:space="0" w:color="auto"/>
            <w:bottom w:val="none" w:sz="0" w:space="0" w:color="auto"/>
            <w:right w:val="none" w:sz="0" w:space="0" w:color="auto"/>
          </w:divBdr>
          <w:divsChild>
            <w:div w:id="1329745023">
              <w:marLeft w:val="0"/>
              <w:marRight w:val="0"/>
              <w:marTop w:val="0"/>
              <w:marBottom w:val="0"/>
              <w:divBdr>
                <w:top w:val="none" w:sz="0" w:space="0" w:color="auto"/>
                <w:left w:val="none" w:sz="0" w:space="0" w:color="auto"/>
                <w:bottom w:val="none" w:sz="0" w:space="0" w:color="auto"/>
                <w:right w:val="none" w:sz="0" w:space="0" w:color="auto"/>
              </w:divBdr>
            </w:div>
          </w:divsChild>
        </w:div>
        <w:div w:id="770203789">
          <w:marLeft w:val="0"/>
          <w:marRight w:val="0"/>
          <w:marTop w:val="0"/>
          <w:marBottom w:val="0"/>
          <w:divBdr>
            <w:top w:val="none" w:sz="0" w:space="0" w:color="auto"/>
            <w:left w:val="none" w:sz="0" w:space="0" w:color="auto"/>
            <w:bottom w:val="none" w:sz="0" w:space="0" w:color="auto"/>
            <w:right w:val="none" w:sz="0" w:space="0" w:color="auto"/>
          </w:divBdr>
          <w:divsChild>
            <w:div w:id="15498150">
              <w:marLeft w:val="0"/>
              <w:marRight w:val="0"/>
              <w:marTop w:val="0"/>
              <w:marBottom w:val="0"/>
              <w:divBdr>
                <w:top w:val="none" w:sz="0" w:space="0" w:color="auto"/>
                <w:left w:val="none" w:sz="0" w:space="0" w:color="auto"/>
                <w:bottom w:val="none" w:sz="0" w:space="0" w:color="auto"/>
                <w:right w:val="none" w:sz="0" w:space="0" w:color="auto"/>
              </w:divBdr>
            </w:div>
          </w:divsChild>
        </w:div>
        <w:div w:id="1787771850">
          <w:marLeft w:val="0"/>
          <w:marRight w:val="0"/>
          <w:marTop w:val="0"/>
          <w:marBottom w:val="0"/>
          <w:divBdr>
            <w:top w:val="none" w:sz="0" w:space="0" w:color="auto"/>
            <w:left w:val="none" w:sz="0" w:space="0" w:color="auto"/>
            <w:bottom w:val="none" w:sz="0" w:space="0" w:color="auto"/>
            <w:right w:val="none" w:sz="0" w:space="0" w:color="auto"/>
          </w:divBdr>
          <w:divsChild>
            <w:div w:id="663357358">
              <w:marLeft w:val="0"/>
              <w:marRight w:val="0"/>
              <w:marTop w:val="0"/>
              <w:marBottom w:val="0"/>
              <w:divBdr>
                <w:top w:val="none" w:sz="0" w:space="0" w:color="auto"/>
                <w:left w:val="none" w:sz="0" w:space="0" w:color="auto"/>
                <w:bottom w:val="none" w:sz="0" w:space="0" w:color="auto"/>
                <w:right w:val="none" w:sz="0" w:space="0" w:color="auto"/>
              </w:divBdr>
            </w:div>
            <w:div w:id="857885570">
              <w:marLeft w:val="0"/>
              <w:marRight w:val="0"/>
              <w:marTop w:val="0"/>
              <w:marBottom w:val="0"/>
              <w:divBdr>
                <w:top w:val="none" w:sz="0" w:space="0" w:color="auto"/>
                <w:left w:val="none" w:sz="0" w:space="0" w:color="auto"/>
                <w:bottom w:val="none" w:sz="0" w:space="0" w:color="auto"/>
                <w:right w:val="none" w:sz="0" w:space="0" w:color="auto"/>
              </w:divBdr>
            </w:div>
          </w:divsChild>
        </w:div>
        <w:div w:id="1287006386">
          <w:marLeft w:val="0"/>
          <w:marRight w:val="0"/>
          <w:marTop w:val="0"/>
          <w:marBottom w:val="0"/>
          <w:divBdr>
            <w:top w:val="none" w:sz="0" w:space="0" w:color="auto"/>
            <w:left w:val="none" w:sz="0" w:space="0" w:color="auto"/>
            <w:bottom w:val="none" w:sz="0" w:space="0" w:color="auto"/>
            <w:right w:val="none" w:sz="0" w:space="0" w:color="auto"/>
          </w:divBdr>
          <w:divsChild>
            <w:div w:id="1056127058">
              <w:marLeft w:val="0"/>
              <w:marRight w:val="0"/>
              <w:marTop w:val="0"/>
              <w:marBottom w:val="0"/>
              <w:divBdr>
                <w:top w:val="none" w:sz="0" w:space="0" w:color="auto"/>
                <w:left w:val="none" w:sz="0" w:space="0" w:color="auto"/>
                <w:bottom w:val="none" w:sz="0" w:space="0" w:color="auto"/>
                <w:right w:val="none" w:sz="0" w:space="0" w:color="auto"/>
              </w:divBdr>
            </w:div>
          </w:divsChild>
        </w:div>
        <w:div w:id="631403533">
          <w:marLeft w:val="0"/>
          <w:marRight w:val="0"/>
          <w:marTop w:val="0"/>
          <w:marBottom w:val="0"/>
          <w:divBdr>
            <w:top w:val="none" w:sz="0" w:space="0" w:color="auto"/>
            <w:left w:val="none" w:sz="0" w:space="0" w:color="auto"/>
            <w:bottom w:val="none" w:sz="0" w:space="0" w:color="auto"/>
            <w:right w:val="none" w:sz="0" w:space="0" w:color="auto"/>
          </w:divBdr>
          <w:divsChild>
            <w:div w:id="1215432065">
              <w:marLeft w:val="0"/>
              <w:marRight w:val="0"/>
              <w:marTop w:val="0"/>
              <w:marBottom w:val="0"/>
              <w:divBdr>
                <w:top w:val="none" w:sz="0" w:space="0" w:color="auto"/>
                <w:left w:val="none" w:sz="0" w:space="0" w:color="auto"/>
                <w:bottom w:val="none" w:sz="0" w:space="0" w:color="auto"/>
                <w:right w:val="none" w:sz="0" w:space="0" w:color="auto"/>
              </w:divBdr>
            </w:div>
          </w:divsChild>
        </w:div>
        <w:div w:id="1565874375">
          <w:marLeft w:val="0"/>
          <w:marRight w:val="0"/>
          <w:marTop w:val="0"/>
          <w:marBottom w:val="0"/>
          <w:divBdr>
            <w:top w:val="none" w:sz="0" w:space="0" w:color="auto"/>
            <w:left w:val="none" w:sz="0" w:space="0" w:color="auto"/>
            <w:bottom w:val="none" w:sz="0" w:space="0" w:color="auto"/>
            <w:right w:val="none" w:sz="0" w:space="0" w:color="auto"/>
          </w:divBdr>
          <w:divsChild>
            <w:div w:id="1380588718">
              <w:marLeft w:val="0"/>
              <w:marRight w:val="0"/>
              <w:marTop w:val="0"/>
              <w:marBottom w:val="0"/>
              <w:divBdr>
                <w:top w:val="none" w:sz="0" w:space="0" w:color="auto"/>
                <w:left w:val="none" w:sz="0" w:space="0" w:color="auto"/>
                <w:bottom w:val="none" w:sz="0" w:space="0" w:color="auto"/>
                <w:right w:val="none" w:sz="0" w:space="0" w:color="auto"/>
              </w:divBdr>
            </w:div>
          </w:divsChild>
        </w:div>
        <w:div w:id="1777166177">
          <w:marLeft w:val="0"/>
          <w:marRight w:val="0"/>
          <w:marTop w:val="0"/>
          <w:marBottom w:val="0"/>
          <w:divBdr>
            <w:top w:val="none" w:sz="0" w:space="0" w:color="auto"/>
            <w:left w:val="none" w:sz="0" w:space="0" w:color="auto"/>
            <w:bottom w:val="none" w:sz="0" w:space="0" w:color="auto"/>
            <w:right w:val="none" w:sz="0" w:space="0" w:color="auto"/>
          </w:divBdr>
          <w:divsChild>
            <w:div w:id="1759985708">
              <w:marLeft w:val="0"/>
              <w:marRight w:val="0"/>
              <w:marTop w:val="0"/>
              <w:marBottom w:val="0"/>
              <w:divBdr>
                <w:top w:val="none" w:sz="0" w:space="0" w:color="auto"/>
                <w:left w:val="none" w:sz="0" w:space="0" w:color="auto"/>
                <w:bottom w:val="none" w:sz="0" w:space="0" w:color="auto"/>
                <w:right w:val="none" w:sz="0" w:space="0" w:color="auto"/>
              </w:divBdr>
            </w:div>
          </w:divsChild>
        </w:div>
        <w:div w:id="260721357">
          <w:marLeft w:val="0"/>
          <w:marRight w:val="0"/>
          <w:marTop w:val="0"/>
          <w:marBottom w:val="0"/>
          <w:divBdr>
            <w:top w:val="none" w:sz="0" w:space="0" w:color="auto"/>
            <w:left w:val="none" w:sz="0" w:space="0" w:color="auto"/>
            <w:bottom w:val="none" w:sz="0" w:space="0" w:color="auto"/>
            <w:right w:val="none" w:sz="0" w:space="0" w:color="auto"/>
          </w:divBdr>
          <w:divsChild>
            <w:div w:id="368382507">
              <w:marLeft w:val="0"/>
              <w:marRight w:val="0"/>
              <w:marTop w:val="0"/>
              <w:marBottom w:val="0"/>
              <w:divBdr>
                <w:top w:val="none" w:sz="0" w:space="0" w:color="auto"/>
                <w:left w:val="none" w:sz="0" w:space="0" w:color="auto"/>
                <w:bottom w:val="none" w:sz="0" w:space="0" w:color="auto"/>
                <w:right w:val="none" w:sz="0" w:space="0" w:color="auto"/>
              </w:divBdr>
            </w:div>
          </w:divsChild>
        </w:div>
        <w:div w:id="1482774272">
          <w:marLeft w:val="0"/>
          <w:marRight w:val="0"/>
          <w:marTop w:val="0"/>
          <w:marBottom w:val="0"/>
          <w:divBdr>
            <w:top w:val="none" w:sz="0" w:space="0" w:color="auto"/>
            <w:left w:val="none" w:sz="0" w:space="0" w:color="auto"/>
            <w:bottom w:val="none" w:sz="0" w:space="0" w:color="auto"/>
            <w:right w:val="none" w:sz="0" w:space="0" w:color="auto"/>
          </w:divBdr>
          <w:divsChild>
            <w:div w:id="1057320510">
              <w:marLeft w:val="0"/>
              <w:marRight w:val="0"/>
              <w:marTop w:val="0"/>
              <w:marBottom w:val="0"/>
              <w:divBdr>
                <w:top w:val="none" w:sz="0" w:space="0" w:color="auto"/>
                <w:left w:val="none" w:sz="0" w:space="0" w:color="auto"/>
                <w:bottom w:val="none" w:sz="0" w:space="0" w:color="auto"/>
                <w:right w:val="none" w:sz="0" w:space="0" w:color="auto"/>
              </w:divBdr>
            </w:div>
          </w:divsChild>
        </w:div>
        <w:div w:id="732655306">
          <w:marLeft w:val="0"/>
          <w:marRight w:val="0"/>
          <w:marTop w:val="0"/>
          <w:marBottom w:val="0"/>
          <w:divBdr>
            <w:top w:val="none" w:sz="0" w:space="0" w:color="auto"/>
            <w:left w:val="none" w:sz="0" w:space="0" w:color="auto"/>
            <w:bottom w:val="none" w:sz="0" w:space="0" w:color="auto"/>
            <w:right w:val="none" w:sz="0" w:space="0" w:color="auto"/>
          </w:divBdr>
          <w:divsChild>
            <w:div w:id="881791545">
              <w:marLeft w:val="0"/>
              <w:marRight w:val="0"/>
              <w:marTop w:val="0"/>
              <w:marBottom w:val="0"/>
              <w:divBdr>
                <w:top w:val="none" w:sz="0" w:space="0" w:color="auto"/>
                <w:left w:val="none" w:sz="0" w:space="0" w:color="auto"/>
                <w:bottom w:val="none" w:sz="0" w:space="0" w:color="auto"/>
                <w:right w:val="none" w:sz="0" w:space="0" w:color="auto"/>
              </w:divBdr>
            </w:div>
          </w:divsChild>
        </w:div>
        <w:div w:id="887258514">
          <w:marLeft w:val="0"/>
          <w:marRight w:val="0"/>
          <w:marTop w:val="0"/>
          <w:marBottom w:val="0"/>
          <w:divBdr>
            <w:top w:val="none" w:sz="0" w:space="0" w:color="auto"/>
            <w:left w:val="none" w:sz="0" w:space="0" w:color="auto"/>
            <w:bottom w:val="none" w:sz="0" w:space="0" w:color="auto"/>
            <w:right w:val="none" w:sz="0" w:space="0" w:color="auto"/>
          </w:divBdr>
          <w:divsChild>
            <w:div w:id="15642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2117">
      <w:bodyDiv w:val="1"/>
      <w:marLeft w:val="0"/>
      <w:marRight w:val="0"/>
      <w:marTop w:val="0"/>
      <w:marBottom w:val="0"/>
      <w:divBdr>
        <w:top w:val="none" w:sz="0" w:space="0" w:color="auto"/>
        <w:left w:val="none" w:sz="0" w:space="0" w:color="auto"/>
        <w:bottom w:val="none" w:sz="0" w:space="0" w:color="auto"/>
        <w:right w:val="none" w:sz="0" w:space="0" w:color="auto"/>
      </w:divBdr>
    </w:div>
    <w:div w:id="1176529913">
      <w:bodyDiv w:val="1"/>
      <w:marLeft w:val="0"/>
      <w:marRight w:val="0"/>
      <w:marTop w:val="0"/>
      <w:marBottom w:val="0"/>
      <w:divBdr>
        <w:top w:val="none" w:sz="0" w:space="0" w:color="auto"/>
        <w:left w:val="none" w:sz="0" w:space="0" w:color="auto"/>
        <w:bottom w:val="none" w:sz="0" w:space="0" w:color="auto"/>
        <w:right w:val="none" w:sz="0" w:space="0" w:color="auto"/>
      </w:divBdr>
    </w:div>
    <w:div w:id="1418751348">
      <w:bodyDiv w:val="1"/>
      <w:marLeft w:val="0"/>
      <w:marRight w:val="0"/>
      <w:marTop w:val="0"/>
      <w:marBottom w:val="0"/>
      <w:divBdr>
        <w:top w:val="none" w:sz="0" w:space="0" w:color="auto"/>
        <w:left w:val="none" w:sz="0" w:space="0" w:color="auto"/>
        <w:bottom w:val="none" w:sz="0" w:space="0" w:color="auto"/>
        <w:right w:val="none" w:sz="0" w:space="0" w:color="auto"/>
      </w:divBdr>
      <w:divsChild>
        <w:div w:id="1838841423">
          <w:marLeft w:val="0"/>
          <w:marRight w:val="0"/>
          <w:marTop w:val="0"/>
          <w:marBottom w:val="0"/>
          <w:divBdr>
            <w:top w:val="none" w:sz="0" w:space="0" w:color="auto"/>
            <w:left w:val="none" w:sz="0" w:space="0" w:color="auto"/>
            <w:bottom w:val="none" w:sz="0" w:space="0" w:color="auto"/>
            <w:right w:val="none" w:sz="0" w:space="0" w:color="auto"/>
          </w:divBdr>
          <w:divsChild>
            <w:div w:id="1546484240">
              <w:marLeft w:val="0"/>
              <w:marRight w:val="0"/>
              <w:marTop w:val="0"/>
              <w:marBottom w:val="0"/>
              <w:divBdr>
                <w:top w:val="none" w:sz="0" w:space="0" w:color="auto"/>
                <w:left w:val="none" w:sz="0" w:space="0" w:color="auto"/>
                <w:bottom w:val="none" w:sz="0" w:space="0" w:color="auto"/>
                <w:right w:val="none" w:sz="0" w:space="0" w:color="auto"/>
              </w:divBdr>
            </w:div>
          </w:divsChild>
        </w:div>
        <w:div w:id="1804999859">
          <w:marLeft w:val="0"/>
          <w:marRight w:val="0"/>
          <w:marTop w:val="0"/>
          <w:marBottom w:val="0"/>
          <w:divBdr>
            <w:top w:val="none" w:sz="0" w:space="0" w:color="auto"/>
            <w:left w:val="none" w:sz="0" w:space="0" w:color="auto"/>
            <w:bottom w:val="none" w:sz="0" w:space="0" w:color="auto"/>
            <w:right w:val="none" w:sz="0" w:space="0" w:color="auto"/>
          </w:divBdr>
          <w:divsChild>
            <w:div w:id="1406076180">
              <w:marLeft w:val="0"/>
              <w:marRight w:val="0"/>
              <w:marTop w:val="0"/>
              <w:marBottom w:val="0"/>
              <w:divBdr>
                <w:top w:val="none" w:sz="0" w:space="0" w:color="auto"/>
                <w:left w:val="none" w:sz="0" w:space="0" w:color="auto"/>
                <w:bottom w:val="none" w:sz="0" w:space="0" w:color="auto"/>
                <w:right w:val="none" w:sz="0" w:space="0" w:color="auto"/>
              </w:divBdr>
            </w:div>
          </w:divsChild>
        </w:div>
        <w:div w:id="640185376">
          <w:marLeft w:val="0"/>
          <w:marRight w:val="0"/>
          <w:marTop w:val="0"/>
          <w:marBottom w:val="0"/>
          <w:divBdr>
            <w:top w:val="none" w:sz="0" w:space="0" w:color="auto"/>
            <w:left w:val="none" w:sz="0" w:space="0" w:color="auto"/>
            <w:bottom w:val="none" w:sz="0" w:space="0" w:color="auto"/>
            <w:right w:val="none" w:sz="0" w:space="0" w:color="auto"/>
          </w:divBdr>
          <w:divsChild>
            <w:div w:id="332923775">
              <w:marLeft w:val="0"/>
              <w:marRight w:val="0"/>
              <w:marTop w:val="0"/>
              <w:marBottom w:val="0"/>
              <w:divBdr>
                <w:top w:val="none" w:sz="0" w:space="0" w:color="auto"/>
                <w:left w:val="none" w:sz="0" w:space="0" w:color="auto"/>
                <w:bottom w:val="none" w:sz="0" w:space="0" w:color="auto"/>
                <w:right w:val="none" w:sz="0" w:space="0" w:color="auto"/>
              </w:divBdr>
            </w:div>
          </w:divsChild>
        </w:div>
        <w:div w:id="29306105">
          <w:marLeft w:val="0"/>
          <w:marRight w:val="0"/>
          <w:marTop w:val="0"/>
          <w:marBottom w:val="0"/>
          <w:divBdr>
            <w:top w:val="none" w:sz="0" w:space="0" w:color="auto"/>
            <w:left w:val="none" w:sz="0" w:space="0" w:color="auto"/>
            <w:bottom w:val="none" w:sz="0" w:space="0" w:color="auto"/>
            <w:right w:val="none" w:sz="0" w:space="0" w:color="auto"/>
          </w:divBdr>
          <w:divsChild>
            <w:div w:id="470292508">
              <w:marLeft w:val="0"/>
              <w:marRight w:val="0"/>
              <w:marTop w:val="0"/>
              <w:marBottom w:val="0"/>
              <w:divBdr>
                <w:top w:val="none" w:sz="0" w:space="0" w:color="auto"/>
                <w:left w:val="none" w:sz="0" w:space="0" w:color="auto"/>
                <w:bottom w:val="none" w:sz="0" w:space="0" w:color="auto"/>
                <w:right w:val="none" w:sz="0" w:space="0" w:color="auto"/>
              </w:divBdr>
            </w:div>
          </w:divsChild>
        </w:div>
        <w:div w:id="2072003399">
          <w:marLeft w:val="0"/>
          <w:marRight w:val="0"/>
          <w:marTop w:val="0"/>
          <w:marBottom w:val="0"/>
          <w:divBdr>
            <w:top w:val="none" w:sz="0" w:space="0" w:color="auto"/>
            <w:left w:val="none" w:sz="0" w:space="0" w:color="auto"/>
            <w:bottom w:val="none" w:sz="0" w:space="0" w:color="auto"/>
            <w:right w:val="none" w:sz="0" w:space="0" w:color="auto"/>
          </w:divBdr>
          <w:divsChild>
            <w:div w:id="1836145176">
              <w:marLeft w:val="0"/>
              <w:marRight w:val="0"/>
              <w:marTop w:val="0"/>
              <w:marBottom w:val="0"/>
              <w:divBdr>
                <w:top w:val="none" w:sz="0" w:space="0" w:color="auto"/>
                <w:left w:val="none" w:sz="0" w:space="0" w:color="auto"/>
                <w:bottom w:val="none" w:sz="0" w:space="0" w:color="auto"/>
                <w:right w:val="none" w:sz="0" w:space="0" w:color="auto"/>
              </w:divBdr>
            </w:div>
          </w:divsChild>
        </w:div>
        <w:div w:id="986514815">
          <w:marLeft w:val="0"/>
          <w:marRight w:val="0"/>
          <w:marTop w:val="0"/>
          <w:marBottom w:val="0"/>
          <w:divBdr>
            <w:top w:val="none" w:sz="0" w:space="0" w:color="auto"/>
            <w:left w:val="none" w:sz="0" w:space="0" w:color="auto"/>
            <w:bottom w:val="none" w:sz="0" w:space="0" w:color="auto"/>
            <w:right w:val="none" w:sz="0" w:space="0" w:color="auto"/>
          </w:divBdr>
          <w:divsChild>
            <w:div w:id="69741085">
              <w:marLeft w:val="0"/>
              <w:marRight w:val="0"/>
              <w:marTop w:val="0"/>
              <w:marBottom w:val="0"/>
              <w:divBdr>
                <w:top w:val="none" w:sz="0" w:space="0" w:color="auto"/>
                <w:left w:val="none" w:sz="0" w:space="0" w:color="auto"/>
                <w:bottom w:val="none" w:sz="0" w:space="0" w:color="auto"/>
                <w:right w:val="none" w:sz="0" w:space="0" w:color="auto"/>
              </w:divBdr>
            </w:div>
          </w:divsChild>
        </w:div>
        <w:div w:id="1286423374">
          <w:marLeft w:val="0"/>
          <w:marRight w:val="0"/>
          <w:marTop w:val="0"/>
          <w:marBottom w:val="0"/>
          <w:divBdr>
            <w:top w:val="none" w:sz="0" w:space="0" w:color="auto"/>
            <w:left w:val="none" w:sz="0" w:space="0" w:color="auto"/>
            <w:bottom w:val="none" w:sz="0" w:space="0" w:color="auto"/>
            <w:right w:val="none" w:sz="0" w:space="0" w:color="auto"/>
          </w:divBdr>
          <w:divsChild>
            <w:div w:id="1447701459">
              <w:marLeft w:val="0"/>
              <w:marRight w:val="0"/>
              <w:marTop w:val="0"/>
              <w:marBottom w:val="0"/>
              <w:divBdr>
                <w:top w:val="none" w:sz="0" w:space="0" w:color="auto"/>
                <w:left w:val="none" w:sz="0" w:space="0" w:color="auto"/>
                <w:bottom w:val="none" w:sz="0" w:space="0" w:color="auto"/>
                <w:right w:val="none" w:sz="0" w:space="0" w:color="auto"/>
              </w:divBdr>
            </w:div>
          </w:divsChild>
        </w:div>
        <w:div w:id="548299811">
          <w:marLeft w:val="0"/>
          <w:marRight w:val="0"/>
          <w:marTop w:val="0"/>
          <w:marBottom w:val="0"/>
          <w:divBdr>
            <w:top w:val="none" w:sz="0" w:space="0" w:color="auto"/>
            <w:left w:val="none" w:sz="0" w:space="0" w:color="auto"/>
            <w:bottom w:val="none" w:sz="0" w:space="0" w:color="auto"/>
            <w:right w:val="none" w:sz="0" w:space="0" w:color="auto"/>
          </w:divBdr>
          <w:divsChild>
            <w:div w:id="763183643">
              <w:marLeft w:val="0"/>
              <w:marRight w:val="0"/>
              <w:marTop w:val="0"/>
              <w:marBottom w:val="0"/>
              <w:divBdr>
                <w:top w:val="none" w:sz="0" w:space="0" w:color="auto"/>
                <w:left w:val="none" w:sz="0" w:space="0" w:color="auto"/>
                <w:bottom w:val="none" w:sz="0" w:space="0" w:color="auto"/>
                <w:right w:val="none" w:sz="0" w:space="0" w:color="auto"/>
              </w:divBdr>
            </w:div>
          </w:divsChild>
        </w:div>
        <w:div w:id="456027491">
          <w:marLeft w:val="0"/>
          <w:marRight w:val="0"/>
          <w:marTop w:val="0"/>
          <w:marBottom w:val="0"/>
          <w:divBdr>
            <w:top w:val="none" w:sz="0" w:space="0" w:color="auto"/>
            <w:left w:val="none" w:sz="0" w:space="0" w:color="auto"/>
            <w:bottom w:val="none" w:sz="0" w:space="0" w:color="auto"/>
            <w:right w:val="none" w:sz="0" w:space="0" w:color="auto"/>
          </w:divBdr>
          <w:divsChild>
            <w:div w:id="944455985">
              <w:marLeft w:val="0"/>
              <w:marRight w:val="0"/>
              <w:marTop w:val="0"/>
              <w:marBottom w:val="0"/>
              <w:divBdr>
                <w:top w:val="none" w:sz="0" w:space="0" w:color="auto"/>
                <w:left w:val="none" w:sz="0" w:space="0" w:color="auto"/>
                <w:bottom w:val="none" w:sz="0" w:space="0" w:color="auto"/>
                <w:right w:val="none" w:sz="0" w:space="0" w:color="auto"/>
              </w:divBdr>
            </w:div>
          </w:divsChild>
        </w:div>
        <w:div w:id="1626159804">
          <w:marLeft w:val="0"/>
          <w:marRight w:val="0"/>
          <w:marTop w:val="0"/>
          <w:marBottom w:val="0"/>
          <w:divBdr>
            <w:top w:val="none" w:sz="0" w:space="0" w:color="auto"/>
            <w:left w:val="none" w:sz="0" w:space="0" w:color="auto"/>
            <w:bottom w:val="none" w:sz="0" w:space="0" w:color="auto"/>
            <w:right w:val="none" w:sz="0" w:space="0" w:color="auto"/>
          </w:divBdr>
          <w:divsChild>
            <w:div w:id="553203632">
              <w:marLeft w:val="0"/>
              <w:marRight w:val="0"/>
              <w:marTop w:val="0"/>
              <w:marBottom w:val="0"/>
              <w:divBdr>
                <w:top w:val="none" w:sz="0" w:space="0" w:color="auto"/>
                <w:left w:val="none" w:sz="0" w:space="0" w:color="auto"/>
                <w:bottom w:val="none" w:sz="0" w:space="0" w:color="auto"/>
                <w:right w:val="none" w:sz="0" w:space="0" w:color="auto"/>
              </w:divBdr>
            </w:div>
          </w:divsChild>
        </w:div>
        <w:div w:id="1645574276">
          <w:marLeft w:val="0"/>
          <w:marRight w:val="0"/>
          <w:marTop w:val="0"/>
          <w:marBottom w:val="0"/>
          <w:divBdr>
            <w:top w:val="none" w:sz="0" w:space="0" w:color="auto"/>
            <w:left w:val="none" w:sz="0" w:space="0" w:color="auto"/>
            <w:bottom w:val="none" w:sz="0" w:space="0" w:color="auto"/>
            <w:right w:val="none" w:sz="0" w:space="0" w:color="auto"/>
          </w:divBdr>
          <w:divsChild>
            <w:div w:id="1578662169">
              <w:marLeft w:val="0"/>
              <w:marRight w:val="0"/>
              <w:marTop w:val="0"/>
              <w:marBottom w:val="0"/>
              <w:divBdr>
                <w:top w:val="none" w:sz="0" w:space="0" w:color="auto"/>
                <w:left w:val="none" w:sz="0" w:space="0" w:color="auto"/>
                <w:bottom w:val="none" w:sz="0" w:space="0" w:color="auto"/>
                <w:right w:val="none" w:sz="0" w:space="0" w:color="auto"/>
              </w:divBdr>
            </w:div>
          </w:divsChild>
        </w:div>
        <w:div w:id="1720320844">
          <w:marLeft w:val="0"/>
          <w:marRight w:val="0"/>
          <w:marTop w:val="0"/>
          <w:marBottom w:val="0"/>
          <w:divBdr>
            <w:top w:val="none" w:sz="0" w:space="0" w:color="auto"/>
            <w:left w:val="none" w:sz="0" w:space="0" w:color="auto"/>
            <w:bottom w:val="none" w:sz="0" w:space="0" w:color="auto"/>
            <w:right w:val="none" w:sz="0" w:space="0" w:color="auto"/>
          </w:divBdr>
          <w:divsChild>
            <w:div w:id="297685468">
              <w:marLeft w:val="0"/>
              <w:marRight w:val="0"/>
              <w:marTop w:val="0"/>
              <w:marBottom w:val="0"/>
              <w:divBdr>
                <w:top w:val="none" w:sz="0" w:space="0" w:color="auto"/>
                <w:left w:val="none" w:sz="0" w:space="0" w:color="auto"/>
                <w:bottom w:val="none" w:sz="0" w:space="0" w:color="auto"/>
                <w:right w:val="none" w:sz="0" w:space="0" w:color="auto"/>
              </w:divBdr>
            </w:div>
            <w:div w:id="298461349">
              <w:marLeft w:val="0"/>
              <w:marRight w:val="0"/>
              <w:marTop w:val="0"/>
              <w:marBottom w:val="0"/>
              <w:divBdr>
                <w:top w:val="none" w:sz="0" w:space="0" w:color="auto"/>
                <w:left w:val="none" w:sz="0" w:space="0" w:color="auto"/>
                <w:bottom w:val="none" w:sz="0" w:space="0" w:color="auto"/>
                <w:right w:val="none" w:sz="0" w:space="0" w:color="auto"/>
              </w:divBdr>
            </w:div>
          </w:divsChild>
        </w:div>
        <w:div w:id="1622686148">
          <w:marLeft w:val="0"/>
          <w:marRight w:val="0"/>
          <w:marTop w:val="0"/>
          <w:marBottom w:val="0"/>
          <w:divBdr>
            <w:top w:val="none" w:sz="0" w:space="0" w:color="auto"/>
            <w:left w:val="none" w:sz="0" w:space="0" w:color="auto"/>
            <w:bottom w:val="none" w:sz="0" w:space="0" w:color="auto"/>
            <w:right w:val="none" w:sz="0" w:space="0" w:color="auto"/>
          </w:divBdr>
          <w:divsChild>
            <w:div w:id="1977102188">
              <w:marLeft w:val="0"/>
              <w:marRight w:val="0"/>
              <w:marTop w:val="0"/>
              <w:marBottom w:val="0"/>
              <w:divBdr>
                <w:top w:val="none" w:sz="0" w:space="0" w:color="auto"/>
                <w:left w:val="none" w:sz="0" w:space="0" w:color="auto"/>
                <w:bottom w:val="none" w:sz="0" w:space="0" w:color="auto"/>
                <w:right w:val="none" w:sz="0" w:space="0" w:color="auto"/>
              </w:divBdr>
            </w:div>
          </w:divsChild>
        </w:div>
        <w:div w:id="497231674">
          <w:marLeft w:val="0"/>
          <w:marRight w:val="0"/>
          <w:marTop w:val="0"/>
          <w:marBottom w:val="0"/>
          <w:divBdr>
            <w:top w:val="none" w:sz="0" w:space="0" w:color="auto"/>
            <w:left w:val="none" w:sz="0" w:space="0" w:color="auto"/>
            <w:bottom w:val="none" w:sz="0" w:space="0" w:color="auto"/>
            <w:right w:val="none" w:sz="0" w:space="0" w:color="auto"/>
          </w:divBdr>
          <w:divsChild>
            <w:div w:id="464080722">
              <w:marLeft w:val="0"/>
              <w:marRight w:val="0"/>
              <w:marTop w:val="0"/>
              <w:marBottom w:val="0"/>
              <w:divBdr>
                <w:top w:val="none" w:sz="0" w:space="0" w:color="auto"/>
                <w:left w:val="none" w:sz="0" w:space="0" w:color="auto"/>
                <w:bottom w:val="none" w:sz="0" w:space="0" w:color="auto"/>
                <w:right w:val="none" w:sz="0" w:space="0" w:color="auto"/>
              </w:divBdr>
            </w:div>
          </w:divsChild>
        </w:div>
        <w:div w:id="1652824847">
          <w:marLeft w:val="0"/>
          <w:marRight w:val="0"/>
          <w:marTop w:val="0"/>
          <w:marBottom w:val="0"/>
          <w:divBdr>
            <w:top w:val="none" w:sz="0" w:space="0" w:color="auto"/>
            <w:left w:val="none" w:sz="0" w:space="0" w:color="auto"/>
            <w:bottom w:val="none" w:sz="0" w:space="0" w:color="auto"/>
            <w:right w:val="none" w:sz="0" w:space="0" w:color="auto"/>
          </w:divBdr>
          <w:divsChild>
            <w:div w:id="1836147081">
              <w:marLeft w:val="0"/>
              <w:marRight w:val="0"/>
              <w:marTop w:val="0"/>
              <w:marBottom w:val="0"/>
              <w:divBdr>
                <w:top w:val="none" w:sz="0" w:space="0" w:color="auto"/>
                <w:left w:val="none" w:sz="0" w:space="0" w:color="auto"/>
                <w:bottom w:val="none" w:sz="0" w:space="0" w:color="auto"/>
                <w:right w:val="none" w:sz="0" w:space="0" w:color="auto"/>
              </w:divBdr>
            </w:div>
          </w:divsChild>
        </w:div>
        <w:div w:id="761222975">
          <w:marLeft w:val="0"/>
          <w:marRight w:val="0"/>
          <w:marTop w:val="0"/>
          <w:marBottom w:val="0"/>
          <w:divBdr>
            <w:top w:val="none" w:sz="0" w:space="0" w:color="auto"/>
            <w:left w:val="none" w:sz="0" w:space="0" w:color="auto"/>
            <w:bottom w:val="none" w:sz="0" w:space="0" w:color="auto"/>
            <w:right w:val="none" w:sz="0" w:space="0" w:color="auto"/>
          </w:divBdr>
          <w:divsChild>
            <w:div w:id="261185437">
              <w:marLeft w:val="0"/>
              <w:marRight w:val="0"/>
              <w:marTop w:val="0"/>
              <w:marBottom w:val="0"/>
              <w:divBdr>
                <w:top w:val="none" w:sz="0" w:space="0" w:color="auto"/>
                <w:left w:val="none" w:sz="0" w:space="0" w:color="auto"/>
                <w:bottom w:val="none" w:sz="0" w:space="0" w:color="auto"/>
                <w:right w:val="none" w:sz="0" w:space="0" w:color="auto"/>
              </w:divBdr>
            </w:div>
          </w:divsChild>
        </w:div>
        <w:div w:id="1040134265">
          <w:marLeft w:val="0"/>
          <w:marRight w:val="0"/>
          <w:marTop w:val="0"/>
          <w:marBottom w:val="0"/>
          <w:divBdr>
            <w:top w:val="none" w:sz="0" w:space="0" w:color="auto"/>
            <w:left w:val="none" w:sz="0" w:space="0" w:color="auto"/>
            <w:bottom w:val="none" w:sz="0" w:space="0" w:color="auto"/>
            <w:right w:val="none" w:sz="0" w:space="0" w:color="auto"/>
          </w:divBdr>
          <w:divsChild>
            <w:div w:id="998389352">
              <w:marLeft w:val="0"/>
              <w:marRight w:val="0"/>
              <w:marTop w:val="0"/>
              <w:marBottom w:val="0"/>
              <w:divBdr>
                <w:top w:val="none" w:sz="0" w:space="0" w:color="auto"/>
                <w:left w:val="none" w:sz="0" w:space="0" w:color="auto"/>
                <w:bottom w:val="none" w:sz="0" w:space="0" w:color="auto"/>
                <w:right w:val="none" w:sz="0" w:space="0" w:color="auto"/>
              </w:divBdr>
            </w:div>
          </w:divsChild>
        </w:div>
        <w:div w:id="208228516">
          <w:marLeft w:val="0"/>
          <w:marRight w:val="0"/>
          <w:marTop w:val="0"/>
          <w:marBottom w:val="0"/>
          <w:divBdr>
            <w:top w:val="none" w:sz="0" w:space="0" w:color="auto"/>
            <w:left w:val="none" w:sz="0" w:space="0" w:color="auto"/>
            <w:bottom w:val="none" w:sz="0" w:space="0" w:color="auto"/>
            <w:right w:val="none" w:sz="0" w:space="0" w:color="auto"/>
          </w:divBdr>
          <w:divsChild>
            <w:div w:id="904948353">
              <w:marLeft w:val="0"/>
              <w:marRight w:val="0"/>
              <w:marTop w:val="0"/>
              <w:marBottom w:val="0"/>
              <w:divBdr>
                <w:top w:val="none" w:sz="0" w:space="0" w:color="auto"/>
                <w:left w:val="none" w:sz="0" w:space="0" w:color="auto"/>
                <w:bottom w:val="none" w:sz="0" w:space="0" w:color="auto"/>
                <w:right w:val="none" w:sz="0" w:space="0" w:color="auto"/>
              </w:divBdr>
            </w:div>
          </w:divsChild>
        </w:div>
        <w:div w:id="364253660">
          <w:marLeft w:val="0"/>
          <w:marRight w:val="0"/>
          <w:marTop w:val="0"/>
          <w:marBottom w:val="0"/>
          <w:divBdr>
            <w:top w:val="none" w:sz="0" w:space="0" w:color="auto"/>
            <w:left w:val="none" w:sz="0" w:space="0" w:color="auto"/>
            <w:bottom w:val="none" w:sz="0" w:space="0" w:color="auto"/>
            <w:right w:val="none" w:sz="0" w:space="0" w:color="auto"/>
          </w:divBdr>
          <w:divsChild>
            <w:div w:id="1283540937">
              <w:marLeft w:val="0"/>
              <w:marRight w:val="0"/>
              <w:marTop w:val="0"/>
              <w:marBottom w:val="0"/>
              <w:divBdr>
                <w:top w:val="none" w:sz="0" w:space="0" w:color="auto"/>
                <w:left w:val="none" w:sz="0" w:space="0" w:color="auto"/>
                <w:bottom w:val="none" w:sz="0" w:space="0" w:color="auto"/>
                <w:right w:val="none" w:sz="0" w:space="0" w:color="auto"/>
              </w:divBdr>
            </w:div>
          </w:divsChild>
        </w:div>
        <w:div w:id="535511012">
          <w:marLeft w:val="0"/>
          <w:marRight w:val="0"/>
          <w:marTop w:val="0"/>
          <w:marBottom w:val="0"/>
          <w:divBdr>
            <w:top w:val="none" w:sz="0" w:space="0" w:color="auto"/>
            <w:left w:val="none" w:sz="0" w:space="0" w:color="auto"/>
            <w:bottom w:val="none" w:sz="0" w:space="0" w:color="auto"/>
            <w:right w:val="none" w:sz="0" w:space="0" w:color="auto"/>
          </w:divBdr>
          <w:divsChild>
            <w:div w:id="5371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4241">
      <w:bodyDiv w:val="1"/>
      <w:marLeft w:val="0"/>
      <w:marRight w:val="0"/>
      <w:marTop w:val="0"/>
      <w:marBottom w:val="0"/>
      <w:divBdr>
        <w:top w:val="none" w:sz="0" w:space="0" w:color="auto"/>
        <w:left w:val="none" w:sz="0" w:space="0" w:color="auto"/>
        <w:bottom w:val="none" w:sz="0" w:space="0" w:color="auto"/>
        <w:right w:val="none" w:sz="0" w:space="0" w:color="auto"/>
      </w:divBdr>
    </w:div>
    <w:div w:id="1927879199">
      <w:bodyDiv w:val="1"/>
      <w:marLeft w:val="0"/>
      <w:marRight w:val="0"/>
      <w:marTop w:val="0"/>
      <w:marBottom w:val="0"/>
      <w:divBdr>
        <w:top w:val="none" w:sz="0" w:space="0" w:color="auto"/>
        <w:left w:val="none" w:sz="0" w:space="0" w:color="auto"/>
        <w:bottom w:val="none" w:sz="0" w:space="0" w:color="auto"/>
        <w:right w:val="none" w:sz="0" w:space="0" w:color="auto"/>
      </w:divBdr>
    </w:div>
    <w:div w:id="2032221324">
      <w:bodyDiv w:val="1"/>
      <w:marLeft w:val="0"/>
      <w:marRight w:val="0"/>
      <w:marTop w:val="0"/>
      <w:marBottom w:val="0"/>
      <w:divBdr>
        <w:top w:val="none" w:sz="0" w:space="0" w:color="auto"/>
        <w:left w:val="none" w:sz="0" w:space="0" w:color="auto"/>
        <w:bottom w:val="none" w:sz="0" w:space="0" w:color="auto"/>
        <w:right w:val="none" w:sz="0" w:space="0" w:color="auto"/>
      </w:divBdr>
    </w:div>
    <w:div w:id="2034333074">
      <w:bodyDiv w:val="1"/>
      <w:marLeft w:val="0"/>
      <w:marRight w:val="0"/>
      <w:marTop w:val="0"/>
      <w:marBottom w:val="0"/>
      <w:divBdr>
        <w:top w:val="none" w:sz="0" w:space="0" w:color="auto"/>
        <w:left w:val="none" w:sz="0" w:space="0" w:color="auto"/>
        <w:bottom w:val="none" w:sz="0" w:space="0" w:color="auto"/>
        <w:right w:val="none" w:sz="0" w:space="0" w:color="auto"/>
      </w:divBdr>
    </w:div>
    <w:div w:id="204880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aic.gov.au/privacy/privacy-guidance-for-organisations-and-government-agencies/government-agencies/australian-government-agencies-privacy-code/privacy-australian-government-agencies-governance-app-code-2017" TargetMode="External"/><Relationship Id="rId18" Type="http://schemas.openxmlformats.org/officeDocument/2006/relationships/diagramColors" Target="diagrams/colors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aic.gov.au/__data/assets/pdf_file/0005/1301/interactive-pmp-explained.pdf" TargetMode="Externa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11F7F5-BD27-4391-BD35-0CC2AE41BDF2}" type="doc">
      <dgm:prSet loTypeId="urn:microsoft.com/office/officeart/2005/8/layout/hList1" loCatId="list" qsTypeId="urn:microsoft.com/office/officeart/2005/8/quickstyle/simple1" qsCatId="simple" csTypeId="urn:microsoft.com/office/officeart/2005/8/colors/accent1_2" csCatId="accent1" phldr="1"/>
      <dgm:spPr/>
    </dgm:pt>
    <dgm:pt modelId="{A1A0A921-D06C-4754-BBD3-F9CDA38F204C}">
      <dgm:prSet phldrT="[Text]" custT="1"/>
      <dgm:spPr>
        <a:solidFill>
          <a:srgbClr val="A9D08E"/>
        </a:solidFill>
        <a:ln>
          <a:solidFill>
            <a:srgbClr val="A9D08E"/>
          </a:solidFill>
        </a:ln>
      </dgm:spPr>
      <dgm:t>
        <a:bodyPr/>
        <a:lstStyle/>
        <a:p>
          <a:r>
            <a:rPr lang="en-US" sz="1100" b="1">
              <a:solidFill>
                <a:sysClr val="windowText" lastClr="000000"/>
              </a:solidFill>
            </a:rPr>
            <a:t>Low risk	</a:t>
          </a:r>
        </a:p>
      </dgm:t>
    </dgm:pt>
    <dgm:pt modelId="{0F76B1A0-4F50-4AEF-AD71-8387BB2DA594}" type="parTrans" cxnId="{D484A45A-AE9C-4E4F-93A8-D13B70D0714D}">
      <dgm:prSet/>
      <dgm:spPr/>
      <dgm:t>
        <a:bodyPr/>
        <a:lstStyle/>
        <a:p>
          <a:endParaRPr lang="en-US" sz="1100">
            <a:solidFill>
              <a:sysClr val="windowText" lastClr="000000"/>
            </a:solidFill>
          </a:endParaRPr>
        </a:p>
      </dgm:t>
    </dgm:pt>
    <dgm:pt modelId="{267C304C-5DB8-40A2-BF30-A52A91868429}" type="sibTrans" cxnId="{D484A45A-AE9C-4E4F-93A8-D13B70D0714D}">
      <dgm:prSet/>
      <dgm:spPr/>
      <dgm:t>
        <a:bodyPr/>
        <a:lstStyle/>
        <a:p>
          <a:endParaRPr lang="en-US" sz="1100">
            <a:solidFill>
              <a:sysClr val="windowText" lastClr="000000"/>
            </a:solidFill>
          </a:endParaRPr>
        </a:p>
      </dgm:t>
    </dgm:pt>
    <dgm:pt modelId="{92051EBC-15DC-4C5D-965A-B9FA69734E0F}">
      <dgm:prSet phldrT="[Text]" custT="1"/>
      <dgm:spPr>
        <a:solidFill>
          <a:srgbClr val="FFFF8F"/>
        </a:solidFill>
        <a:ln>
          <a:solidFill>
            <a:srgbClr val="FFFF8F"/>
          </a:solidFill>
        </a:ln>
      </dgm:spPr>
      <dgm:t>
        <a:bodyPr/>
        <a:lstStyle/>
        <a:p>
          <a:r>
            <a:rPr lang="en-US" sz="1100" b="1">
              <a:solidFill>
                <a:sysClr val="windowText" lastClr="000000"/>
              </a:solidFill>
            </a:rPr>
            <a:t>Medium risk</a:t>
          </a:r>
        </a:p>
      </dgm:t>
    </dgm:pt>
    <dgm:pt modelId="{E5C7EB87-1EE7-4EAC-B1F4-7FD0F4CCBAE0}" type="parTrans" cxnId="{B2E1C3C9-1BD8-445A-A354-A23C9E1DBE7F}">
      <dgm:prSet/>
      <dgm:spPr/>
      <dgm:t>
        <a:bodyPr/>
        <a:lstStyle/>
        <a:p>
          <a:endParaRPr lang="en-US" sz="1100">
            <a:solidFill>
              <a:sysClr val="windowText" lastClr="000000"/>
            </a:solidFill>
          </a:endParaRPr>
        </a:p>
      </dgm:t>
    </dgm:pt>
    <dgm:pt modelId="{7D5F13C0-B692-4EC3-A2A1-8A4DDE3FE269}" type="sibTrans" cxnId="{B2E1C3C9-1BD8-445A-A354-A23C9E1DBE7F}">
      <dgm:prSet/>
      <dgm:spPr/>
      <dgm:t>
        <a:bodyPr/>
        <a:lstStyle/>
        <a:p>
          <a:endParaRPr lang="en-US" sz="1100">
            <a:solidFill>
              <a:sysClr val="windowText" lastClr="000000"/>
            </a:solidFill>
          </a:endParaRPr>
        </a:p>
      </dgm:t>
    </dgm:pt>
    <dgm:pt modelId="{E231A6A9-6EC5-4215-A059-BF1B06C55A6F}">
      <dgm:prSet phldrT="[Text]" custT="1"/>
      <dgm:spPr>
        <a:solidFill>
          <a:srgbClr val="FF5B5B"/>
        </a:solidFill>
        <a:ln>
          <a:solidFill>
            <a:srgbClr val="FF5B5B"/>
          </a:solidFill>
        </a:ln>
      </dgm:spPr>
      <dgm:t>
        <a:bodyPr/>
        <a:lstStyle/>
        <a:p>
          <a:r>
            <a:rPr lang="en-US" sz="1100" b="1">
              <a:solidFill>
                <a:sysClr val="windowText" lastClr="000000"/>
              </a:solidFill>
            </a:rPr>
            <a:t>High risk</a:t>
          </a:r>
        </a:p>
      </dgm:t>
    </dgm:pt>
    <dgm:pt modelId="{DA6D4042-9FF0-4D8E-8FD2-58BD58AA8134}" type="parTrans" cxnId="{203F7475-02AA-4076-80DB-04563D78123F}">
      <dgm:prSet/>
      <dgm:spPr/>
      <dgm:t>
        <a:bodyPr/>
        <a:lstStyle/>
        <a:p>
          <a:endParaRPr lang="en-US" sz="1100">
            <a:solidFill>
              <a:sysClr val="windowText" lastClr="000000"/>
            </a:solidFill>
          </a:endParaRPr>
        </a:p>
      </dgm:t>
    </dgm:pt>
    <dgm:pt modelId="{B83F72FE-D952-4847-BF26-649942A90883}" type="sibTrans" cxnId="{203F7475-02AA-4076-80DB-04563D78123F}">
      <dgm:prSet/>
      <dgm:spPr/>
      <dgm:t>
        <a:bodyPr/>
        <a:lstStyle/>
        <a:p>
          <a:endParaRPr lang="en-US" sz="1100">
            <a:solidFill>
              <a:sysClr val="windowText" lastClr="000000"/>
            </a:solidFill>
          </a:endParaRPr>
        </a:p>
      </dgm:t>
    </dgm:pt>
    <dgm:pt modelId="{8339B4D7-6B6A-41A5-88DA-0E38ADB3A4C8}">
      <dgm:prSet custT="1">
        <dgm:style>
          <a:lnRef idx="2">
            <a:schemeClr val="dk1"/>
          </a:lnRef>
          <a:fillRef idx="1">
            <a:schemeClr val="lt1"/>
          </a:fillRef>
          <a:effectRef idx="0">
            <a:schemeClr val="dk1"/>
          </a:effectRef>
          <a:fontRef idx="minor">
            <a:schemeClr val="dk1"/>
          </a:fontRef>
        </dgm:style>
      </dgm:prSet>
      <dgm:spPr>
        <a:ln>
          <a:solidFill>
            <a:srgbClr val="FF5B5B"/>
          </a:solidFill>
        </a:ln>
      </dgm:spPr>
      <dgm:t>
        <a:bodyPr/>
        <a:lstStyle/>
        <a:p>
          <a:r>
            <a:rPr lang="en-US" sz="1100">
              <a:solidFill>
                <a:sysClr val="windowText" lastClr="000000"/>
              </a:solidFill>
            </a:rPr>
            <a:t> Agencies which provide complex public services to individuals and handle a significant amount of personal information</a:t>
          </a:r>
        </a:p>
      </dgm:t>
      <dgm:extLst>
        <a:ext uri="{E40237B7-FDA0-4F09-8148-C483321AD2D9}">
          <dgm14:cNvPr xmlns:dgm14="http://schemas.microsoft.com/office/drawing/2010/diagram" id="0" name="" descr="The third box is red and is high risk. Agencies which provide complex public services to individuals and handle a significant amount of personal information" title="High privacy risk description"/>
        </a:ext>
      </dgm:extLst>
    </dgm:pt>
    <dgm:pt modelId="{B6AA2DEE-6387-4175-B445-3D274809FF6F}" type="parTrans" cxnId="{C6BED6A5-168C-4C02-A16D-3C9257558AEA}">
      <dgm:prSet/>
      <dgm:spPr/>
      <dgm:t>
        <a:bodyPr/>
        <a:lstStyle/>
        <a:p>
          <a:endParaRPr lang="en-US" sz="1100">
            <a:solidFill>
              <a:sysClr val="windowText" lastClr="000000"/>
            </a:solidFill>
          </a:endParaRPr>
        </a:p>
      </dgm:t>
    </dgm:pt>
    <dgm:pt modelId="{761FB0EA-1C73-4241-96F7-5EEDB36263ED}" type="sibTrans" cxnId="{C6BED6A5-168C-4C02-A16D-3C9257558AEA}">
      <dgm:prSet/>
      <dgm:spPr/>
      <dgm:t>
        <a:bodyPr/>
        <a:lstStyle/>
        <a:p>
          <a:endParaRPr lang="en-US" sz="1100">
            <a:solidFill>
              <a:sysClr val="windowText" lastClr="000000"/>
            </a:solidFill>
          </a:endParaRPr>
        </a:p>
      </dgm:t>
    </dgm:pt>
    <dgm:pt modelId="{5B00401A-5A6A-4A7B-8FB3-CB8DA051534B}">
      <dgm:prSet custT="1"/>
      <dgm:spPr>
        <a:noFill/>
        <a:ln>
          <a:solidFill>
            <a:srgbClr val="FFFF8F">
              <a:alpha val="90000"/>
            </a:srgbClr>
          </a:solidFill>
        </a:ln>
      </dgm:spPr>
      <dgm:t>
        <a:bodyPr/>
        <a:lstStyle/>
        <a:p>
          <a:r>
            <a:rPr lang="en-US" sz="1100">
              <a:solidFill>
                <a:sysClr val="windowText" lastClr="000000"/>
              </a:solidFill>
            </a:rPr>
            <a:t> Agencies which provide some public services but handle less personal information, or which influence the privacy practices of other agencies</a:t>
          </a:r>
        </a:p>
      </dgm:t>
      <dgm:extLst>
        <a:ext uri="{E40237B7-FDA0-4F09-8148-C483321AD2D9}">
          <dgm14:cNvPr xmlns:dgm14="http://schemas.microsoft.com/office/drawing/2010/diagram" id="0" name="" descr="The second box is light yellow and is medium risk. Agencies which provide some public services but handle less personal information, or which influence the privacy practices of other agencies" title="Medium privacy risk description"/>
        </a:ext>
      </dgm:extLst>
    </dgm:pt>
    <dgm:pt modelId="{69EBE6B0-8984-4D47-8D36-CDBD5D3FCC10}" type="parTrans" cxnId="{E596087C-DED3-4787-B8AA-2FB55C890C8C}">
      <dgm:prSet/>
      <dgm:spPr/>
      <dgm:t>
        <a:bodyPr/>
        <a:lstStyle/>
        <a:p>
          <a:endParaRPr lang="en-US" sz="1100">
            <a:solidFill>
              <a:sysClr val="windowText" lastClr="000000"/>
            </a:solidFill>
          </a:endParaRPr>
        </a:p>
      </dgm:t>
    </dgm:pt>
    <dgm:pt modelId="{30910640-B0C5-4FA2-901E-8F6E5DBA1F20}" type="sibTrans" cxnId="{E596087C-DED3-4787-B8AA-2FB55C890C8C}">
      <dgm:prSet/>
      <dgm:spPr/>
      <dgm:t>
        <a:bodyPr/>
        <a:lstStyle/>
        <a:p>
          <a:endParaRPr lang="en-US" sz="1100">
            <a:solidFill>
              <a:sysClr val="windowText" lastClr="000000"/>
            </a:solidFill>
          </a:endParaRPr>
        </a:p>
      </dgm:t>
    </dgm:pt>
    <dgm:pt modelId="{F60D88FA-57D7-438E-AD3F-E149D42EB26B}">
      <dgm:prSet custT="1"/>
      <dgm:spPr>
        <a:noFill/>
        <a:ln>
          <a:solidFill>
            <a:srgbClr val="A9D08E">
              <a:alpha val="90000"/>
            </a:srgbClr>
          </a:solidFill>
        </a:ln>
      </dgm:spPr>
      <dgm:t>
        <a:bodyPr/>
        <a:lstStyle/>
        <a:p>
          <a:r>
            <a:rPr lang="en-US" sz="1100">
              <a:solidFill>
                <a:sysClr val="windowText" lastClr="000000"/>
              </a:solidFill>
            </a:rPr>
            <a:t> Agencies which provide no public services, are largely policy focused, and handle little to no personal information</a:t>
          </a:r>
        </a:p>
      </dgm:t>
      <dgm:extLst>
        <a:ext uri="{E40237B7-FDA0-4F09-8148-C483321AD2D9}">
          <dgm14:cNvPr xmlns:dgm14="http://schemas.microsoft.com/office/drawing/2010/diagram" id="0" name="" descr="The first box is light green and is low risk. Agencies which provide no public services, are largely policy focused, and handle little to no personal information." title="Low privacy risk description"/>
        </a:ext>
      </dgm:extLst>
    </dgm:pt>
    <dgm:pt modelId="{DFA952F5-8CE3-4209-9E41-70C5451EC531}" type="parTrans" cxnId="{99F625F2-FFC8-412D-9359-57EF4BAC9647}">
      <dgm:prSet/>
      <dgm:spPr/>
      <dgm:t>
        <a:bodyPr/>
        <a:lstStyle/>
        <a:p>
          <a:endParaRPr lang="en-US" sz="1100">
            <a:solidFill>
              <a:sysClr val="windowText" lastClr="000000"/>
            </a:solidFill>
          </a:endParaRPr>
        </a:p>
      </dgm:t>
    </dgm:pt>
    <dgm:pt modelId="{9DAF8C6C-835D-480E-AED0-51412CAB9A4F}" type="sibTrans" cxnId="{99F625F2-FFC8-412D-9359-57EF4BAC9647}">
      <dgm:prSet/>
      <dgm:spPr/>
      <dgm:t>
        <a:bodyPr/>
        <a:lstStyle/>
        <a:p>
          <a:endParaRPr lang="en-US" sz="1100">
            <a:solidFill>
              <a:sysClr val="windowText" lastClr="000000"/>
            </a:solidFill>
          </a:endParaRPr>
        </a:p>
      </dgm:t>
    </dgm:pt>
    <dgm:pt modelId="{7CFA7E9D-F1DA-4C0A-9112-59E6C71A2A68}" type="pres">
      <dgm:prSet presAssocID="{AC11F7F5-BD27-4391-BD35-0CC2AE41BDF2}" presName="Name0" presStyleCnt="0">
        <dgm:presLayoutVars>
          <dgm:dir/>
          <dgm:animLvl val="lvl"/>
          <dgm:resizeHandles val="exact"/>
        </dgm:presLayoutVars>
      </dgm:prSet>
      <dgm:spPr/>
    </dgm:pt>
    <dgm:pt modelId="{8C579D97-DAA0-4A3A-A2D6-6E1D6B4F30B7}" type="pres">
      <dgm:prSet presAssocID="{A1A0A921-D06C-4754-BBD3-F9CDA38F204C}" presName="composite" presStyleCnt="0"/>
      <dgm:spPr/>
    </dgm:pt>
    <dgm:pt modelId="{7C733256-0DCD-47CA-B957-21AD7CA340CC}" type="pres">
      <dgm:prSet presAssocID="{A1A0A921-D06C-4754-BBD3-F9CDA38F204C}" presName="parTx" presStyleLbl="alignNode1" presStyleIdx="0" presStyleCnt="3">
        <dgm:presLayoutVars>
          <dgm:chMax val="0"/>
          <dgm:chPref val="0"/>
          <dgm:bulletEnabled val="1"/>
        </dgm:presLayoutVars>
      </dgm:prSet>
      <dgm:spPr/>
    </dgm:pt>
    <dgm:pt modelId="{209341C3-87A5-4582-9656-0335AAAA326D}" type="pres">
      <dgm:prSet presAssocID="{A1A0A921-D06C-4754-BBD3-F9CDA38F204C}" presName="desTx" presStyleLbl="alignAccFollowNode1" presStyleIdx="0" presStyleCnt="3">
        <dgm:presLayoutVars>
          <dgm:bulletEnabled val="1"/>
        </dgm:presLayoutVars>
      </dgm:prSet>
      <dgm:spPr/>
    </dgm:pt>
    <dgm:pt modelId="{1B07AAFC-ED01-4D16-8DBB-EB9CBDAC6413}" type="pres">
      <dgm:prSet presAssocID="{267C304C-5DB8-40A2-BF30-A52A91868429}" presName="space" presStyleCnt="0"/>
      <dgm:spPr/>
    </dgm:pt>
    <dgm:pt modelId="{726882F9-08D8-42A6-B7D5-737DAD3CBC52}" type="pres">
      <dgm:prSet presAssocID="{92051EBC-15DC-4C5D-965A-B9FA69734E0F}" presName="composite" presStyleCnt="0"/>
      <dgm:spPr/>
    </dgm:pt>
    <dgm:pt modelId="{A4CF4821-AA9A-4C18-ADD7-CB0A83406ECF}" type="pres">
      <dgm:prSet presAssocID="{92051EBC-15DC-4C5D-965A-B9FA69734E0F}" presName="parTx" presStyleLbl="alignNode1" presStyleIdx="1" presStyleCnt="3">
        <dgm:presLayoutVars>
          <dgm:chMax val="0"/>
          <dgm:chPref val="0"/>
          <dgm:bulletEnabled val="1"/>
        </dgm:presLayoutVars>
      </dgm:prSet>
      <dgm:spPr/>
    </dgm:pt>
    <dgm:pt modelId="{985260E8-F772-4116-9983-62A7B5707C2D}" type="pres">
      <dgm:prSet presAssocID="{92051EBC-15DC-4C5D-965A-B9FA69734E0F}" presName="desTx" presStyleLbl="alignAccFollowNode1" presStyleIdx="1" presStyleCnt="3">
        <dgm:presLayoutVars>
          <dgm:bulletEnabled val="1"/>
        </dgm:presLayoutVars>
      </dgm:prSet>
      <dgm:spPr/>
    </dgm:pt>
    <dgm:pt modelId="{6D606015-F343-44F9-8269-9DFE55A6BBDE}" type="pres">
      <dgm:prSet presAssocID="{7D5F13C0-B692-4EC3-A2A1-8A4DDE3FE269}" presName="space" presStyleCnt="0"/>
      <dgm:spPr/>
    </dgm:pt>
    <dgm:pt modelId="{B59C48C5-795A-46E9-8C30-D1E856616512}" type="pres">
      <dgm:prSet presAssocID="{E231A6A9-6EC5-4215-A059-BF1B06C55A6F}" presName="composite" presStyleCnt="0"/>
      <dgm:spPr/>
    </dgm:pt>
    <dgm:pt modelId="{9A7B3993-8690-4052-B59D-A55172055768}" type="pres">
      <dgm:prSet presAssocID="{E231A6A9-6EC5-4215-A059-BF1B06C55A6F}" presName="parTx" presStyleLbl="alignNode1" presStyleIdx="2" presStyleCnt="3">
        <dgm:presLayoutVars>
          <dgm:chMax val="0"/>
          <dgm:chPref val="0"/>
          <dgm:bulletEnabled val="1"/>
        </dgm:presLayoutVars>
      </dgm:prSet>
      <dgm:spPr/>
    </dgm:pt>
    <dgm:pt modelId="{6A4BDC73-4C64-4439-AEF8-2FA50011092D}" type="pres">
      <dgm:prSet presAssocID="{E231A6A9-6EC5-4215-A059-BF1B06C55A6F}" presName="desTx" presStyleLbl="alignAccFollowNode1" presStyleIdx="2" presStyleCnt="3">
        <dgm:presLayoutVars>
          <dgm:bulletEnabled val="1"/>
        </dgm:presLayoutVars>
      </dgm:prSet>
      <dgm:spPr/>
    </dgm:pt>
  </dgm:ptLst>
  <dgm:cxnLst>
    <dgm:cxn modelId="{3873EB41-BDA5-43A0-ACC4-9FB68F564192}" type="presOf" srcId="{A1A0A921-D06C-4754-BBD3-F9CDA38F204C}" destId="{7C733256-0DCD-47CA-B957-21AD7CA340CC}" srcOrd="0" destOrd="0" presId="urn:microsoft.com/office/officeart/2005/8/layout/hList1"/>
    <dgm:cxn modelId="{F7B5F769-F44D-45DF-9560-F1A9FA1F36F7}" type="presOf" srcId="{92051EBC-15DC-4C5D-965A-B9FA69734E0F}" destId="{A4CF4821-AA9A-4C18-ADD7-CB0A83406ECF}" srcOrd="0" destOrd="0" presId="urn:microsoft.com/office/officeart/2005/8/layout/hList1"/>
    <dgm:cxn modelId="{3856F252-D9CA-473D-A513-6619884A54E8}" type="presOf" srcId="{F60D88FA-57D7-438E-AD3F-E149D42EB26B}" destId="{209341C3-87A5-4582-9656-0335AAAA326D}" srcOrd="0" destOrd="0" presId="urn:microsoft.com/office/officeart/2005/8/layout/hList1"/>
    <dgm:cxn modelId="{203F7475-02AA-4076-80DB-04563D78123F}" srcId="{AC11F7F5-BD27-4391-BD35-0CC2AE41BDF2}" destId="{E231A6A9-6EC5-4215-A059-BF1B06C55A6F}" srcOrd="2" destOrd="0" parTransId="{DA6D4042-9FF0-4D8E-8FD2-58BD58AA8134}" sibTransId="{B83F72FE-D952-4847-BF26-649942A90883}"/>
    <dgm:cxn modelId="{D484A45A-AE9C-4E4F-93A8-D13B70D0714D}" srcId="{AC11F7F5-BD27-4391-BD35-0CC2AE41BDF2}" destId="{A1A0A921-D06C-4754-BBD3-F9CDA38F204C}" srcOrd="0" destOrd="0" parTransId="{0F76B1A0-4F50-4AEF-AD71-8387BB2DA594}" sibTransId="{267C304C-5DB8-40A2-BF30-A52A91868429}"/>
    <dgm:cxn modelId="{E596087C-DED3-4787-B8AA-2FB55C890C8C}" srcId="{92051EBC-15DC-4C5D-965A-B9FA69734E0F}" destId="{5B00401A-5A6A-4A7B-8FB3-CB8DA051534B}" srcOrd="0" destOrd="0" parTransId="{69EBE6B0-8984-4D47-8D36-CDBD5D3FCC10}" sibTransId="{30910640-B0C5-4FA2-901E-8F6E5DBA1F20}"/>
    <dgm:cxn modelId="{6D320692-50A8-4981-A5C9-A699EAF0EEDB}" type="presOf" srcId="{5B00401A-5A6A-4A7B-8FB3-CB8DA051534B}" destId="{985260E8-F772-4116-9983-62A7B5707C2D}" srcOrd="0" destOrd="0" presId="urn:microsoft.com/office/officeart/2005/8/layout/hList1"/>
    <dgm:cxn modelId="{FF00D39C-7A3C-4B74-A9A2-BA1B9298689A}" type="presOf" srcId="{8339B4D7-6B6A-41A5-88DA-0E38ADB3A4C8}" destId="{6A4BDC73-4C64-4439-AEF8-2FA50011092D}" srcOrd="0" destOrd="0" presId="urn:microsoft.com/office/officeart/2005/8/layout/hList1"/>
    <dgm:cxn modelId="{C6BED6A5-168C-4C02-A16D-3C9257558AEA}" srcId="{E231A6A9-6EC5-4215-A059-BF1B06C55A6F}" destId="{8339B4D7-6B6A-41A5-88DA-0E38ADB3A4C8}" srcOrd="0" destOrd="0" parTransId="{B6AA2DEE-6387-4175-B445-3D274809FF6F}" sibTransId="{761FB0EA-1C73-4241-96F7-5EEDB36263ED}"/>
    <dgm:cxn modelId="{F16CBFC0-080F-425E-BA40-90D8A2D64804}" type="presOf" srcId="{E231A6A9-6EC5-4215-A059-BF1B06C55A6F}" destId="{9A7B3993-8690-4052-B59D-A55172055768}" srcOrd="0" destOrd="0" presId="urn:microsoft.com/office/officeart/2005/8/layout/hList1"/>
    <dgm:cxn modelId="{B2E1C3C9-1BD8-445A-A354-A23C9E1DBE7F}" srcId="{AC11F7F5-BD27-4391-BD35-0CC2AE41BDF2}" destId="{92051EBC-15DC-4C5D-965A-B9FA69734E0F}" srcOrd="1" destOrd="0" parTransId="{E5C7EB87-1EE7-4EAC-B1F4-7FD0F4CCBAE0}" sibTransId="{7D5F13C0-B692-4EC3-A2A1-8A4DDE3FE269}"/>
    <dgm:cxn modelId="{99F625F2-FFC8-412D-9359-57EF4BAC9647}" srcId="{A1A0A921-D06C-4754-BBD3-F9CDA38F204C}" destId="{F60D88FA-57D7-438E-AD3F-E149D42EB26B}" srcOrd="0" destOrd="0" parTransId="{DFA952F5-8CE3-4209-9E41-70C5451EC531}" sibTransId="{9DAF8C6C-835D-480E-AED0-51412CAB9A4F}"/>
    <dgm:cxn modelId="{272BD3F9-1C46-4BE7-B02F-C0D8B052666E}" type="presOf" srcId="{AC11F7F5-BD27-4391-BD35-0CC2AE41BDF2}" destId="{7CFA7E9D-F1DA-4C0A-9112-59E6C71A2A68}" srcOrd="0" destOrd="0" presId="urn:microsoft.com/office/officeart/2005/8/layout/hList1"/>
    <dgm:cxn modelId="{37E6FC71-07A0-4BB5-ACC1-E46A5636135B}" type="presParOf" srcId="{7CFA7E9D-F1DA-4C0A-9112-59E6C71A2A68}" destId="{8C579D97-DAA0-4A3A-A2D6-6E1D6B4F30B7}" srcOrd="0" destOrd="0" presId="urn:microsoft.com/office/officeart/2005/8/layout/hList1"/>
    <dgm:cxn modelId="{F215441D-0DE0-487F-B570-F550F35215DD}" type="presParOf" srcId="{8C579D97-DAA0-4A3A-A2D6-6E1D6B4F30B7}" destId="{7C733256-0DCD-47CA-B957-21AD7CA340CC}" srcOrd="0" destOrd="0" presId="urn:microsoft.com/office/officeart/2005/8/layout/hList1"/>
    <dgm:cxn modelId="{EEA75E2C-DFB4-4E08-8449-E493B9E94EDE}" type="presParOf" srcId="{8C579D97-DAA0-4A3A-A2D6-6E1D6B4F30B7}" destId="{209341C3-87A5-4582-9656-0335AAAA326D}" srcOrd="1" destOrd="0" presId="urn:microsoft.com/office/officeart/2005/8/layout/hList1"/>
    <dgm:cxn modelId="{2A4DEB9E-015C-4FEA-B129-D912612E7C34}" type="presParOf" srcId="{7CFA7E9D-F1DA-4C0A-9112-59E6C71A2A68}" destId="{1B07AAFC-ED01-4D16-8DBB-EB9CBDAC6413}" srcOrd="1" destOrd="0" presId="urn:microsoft.com/office/officeart/2005/8/layout/hList1"/>
    <dgm:cxn modelId="{55C0961B-659F-4E5F-B787-C9E0FAC807E6}" type="presParOf" srcId="{7CFA7E9D-F1DA-4C0A-9112-59E6C71A2A68}" destId="{726882F9-08D8-42A6-B7D5-737DAD3CBC52}" srcOrd="2" destOrd="0" presId="urn:microsoft.com/office/officeart/2005/8/layout/hList1"/>
    <dgm:cxn modelId="{C9DD0F75-1552-4E20-8CE0-30DD0109A5D3}" type="presParOf" srcId="{726882F9-08D8-42A6-B7D5-737DAD3CBC52}" destId="{A4CF4821-AA9A-4C18-ADD7-CB0A83406ECF}" srcOrd="0" destOrd="0" presId="urn:microsoft.com/office/officeart/2005/8/layout/hList1"/>
    <dgm:cxn modelId="{7F3D8D4F-C4B8-4F93-A456-B86AE23B6451}" type="presParOf" srcId="{726882F9-08D8-42A6-B7D5-737DAD3CBC52}" destId="{985260E8-F772-4116-9983-62A7B5707C2D}" srcOrd="1" destOrd="0" presId="urn:microsoft.com/office/officeart/2005/8/layout/hList1"/>
    <dgm:cxn modelId="{51A4DDFD-9A37-4452-A6A6-FC85EFEF5301}" type="presParOf" srcId="{7CFA7E9D-F1DA-4C0A-9112-59E6C71A2A68}" destId="{6D606015-F343-44F9-8269-9DFE55A6BBDE}" srcOrd="3" destOrd="0" presId="urn:microsoft.com/office/officeart/2005/8/layout/hList1"/>
    <dgm:cxn modelId="{81D5CD4D-10F3-4EBB-B3AC-BFE2DAEF8276}" type="presParOf" srcId="{7CFA7E9D-F1DA-4C0A-9112-59E6C71A2A68}" destId="{B59C48C5-795A-46E9-8C30-D1E856616512}" srcOrd="4" destOrd="0" presId="urn:microsoft.com/office/officeart/2005/8/layout/hList1"/>
    <dgm:cxn modelId="{B546C297-0E80-405C-8B94-B53DAA2B06B0}" type="presParOf" srcId="{B59C48C5-795A-46E9-8C30-D1E856616512}" destId="{9A7B3993-8690-4052-B59D-A55172055768}" srcOrd="0" destOrd="0" presId="urn:microsoft.com/office/officeart/2005/8/layout/hList1"/>
    <dgm:cxn modelId="{25F8288C-5E48-4BBD-BEB5-366E62EA3C18}" type="presParOf" srcId="{B59C48C5-795A-46E9-8C30-D1E856616512}" destId="{6A4BDC73-4C64-4439-AEF8-2FA50011092D}" srcOrd="1" destOrd="0" presId="urn:microsoft.com/office/officeart/2005/8/layout/hList1"/>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733256-0DCD-47CA-B957-21AD7CA340CC}">
      <dsp:nvSpPr>
        <dsp:cNvPr id="0" name=""/>
        <dsp:cNvSpPr/>
      </dsp:nvSpPr>
      <dsp:spPr>
        <a:xfrm>
          <a:off x="2032" y="3989"/>
          <a:ext cx="1982167" cy="403200"/>
        </a:xfrm>
        <a:prstGeom prst="rect">
          <a:avLst/>
        </a:prstGeom>
        <a:solidFill>
          <a:srgbClr val="A9D08E"/>
        </a:solidFill>
        <a:ln w="12700" cap="flat" cmpd="sng" algn="ctr">
          <a:solidFill>
            <a:srgbClr val="A9D08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Low risk	</a:t>
          </a:r>
        </a:p>
      </dsp:txBody>
      <dsp:txXfrm>
        <a:off x="2032" y="3989"/>
        <a:ext cx="1982167" cy="403200"/>
      </dsp:txXfrm>
    </dsp:sp>
    <dsp:sp modelId="{209341C3-87A5-4582-9656-0335AAAA326D}">
      <dsp:nvSpPr>
        <dsp:cNvPr id="0" name=""/>
        <dsp:cNvSpPr/>
      </dsp:nvSpPr>
      <dsp:spPr>
        <a:xfrm>
          <a:off x="2032" y="407190"/>
          <a:ext cx="1982167" cy="922320"/>
        </a:xfrm>
        <a:prstGeom prst="rect">
          <a:avLst/>
        </a:prstGeom>
        <a:noFill/>
        <a:ln w="12700" cap="flat" cmpd="sng" algn="ctr">
          <a:solidFill>
            <a:srgbClr val="A9D08E">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solidFill>
            </a:rPr>
            <a:t> Agencies which provide no public services, are largely policy focused, and handle little to no personal information</a:t>
          </a:r>
        </a:p>
      </dsp:txBody>
      <dsp:txXfrm>
        <a:off x="2032" y="407190"/>
        <a:ext cx="1982167" cy="922320"/>
      </dsp:txXfrm>
    </dsp:sp>
    <dsp:sp modelId="{A4CF4821-AA9A-4C18-ADD7-CB0A83406ECF}">
      <dsp:nvSpPr>
        <dsp:cNvPr id="0" name=""/>
        <dsp:cNvSpPr/>
      </dsp:nvSpPr>
      <dsp:spPr>
        <a:xfrm>
          <a:off x="2261703" y="3989"/>
          <a:ext cx="1982167" cy="403200"/>
        </a:xfrm>
        <a:prstGeom prst="rect">
          <a:avLst/>
        </a:prstGeom>
        <a:solidFill>
          <a:srgbClr val="FFFF8F"/>
        </a:solidFill>
        <a:ln w="12700" cap="flat" cmpd="sng" algn="ctr">
          <a:solidFill>
            <a:srgbClr val="FFFF8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Medium risk</a:t>
          </a:r>
        </a:p>
      </dsp:txBody>
      <dsp:txXfrm>
        <a:off x="2261703" y="3989"/>
        <a:ext cx="1982167" cy="403200"/>
      </dsp:txXfrm>
    </dsp:sp>
    <dsp:sp modelId="{985260E8-F772-4116-9983-62A7B5707C2D}">
      <dsp:nvSpPr>
        <dsp:cNvPr id="0" name=""/>
        <dsp:cNvSpPr/>
      </dsp:nvSpPr>
      <dsp:spPr>
        <a:xfrm>
          <a:off x="2261703" y="407190"/>
          <a:ext cx="1982167" cy="922320"/>
        </a:xfrm>
        <a:prstGeom prst="rect">
          <a:avLst/>
        </a:prstGeom>
        <a:noFill/>
        <a:ln w="12700" cap="flat" cmpd="sng" algn="ctr">
          <a:solidFill>
            <a:srgbClr val="FFFF8F">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solidFill>
            </a:rPr>
            <a:t> Agencies which provide some public services but handle less personal information, or which influence the privacy practices of other agencies</a:t>
          </a:r>
        </a:p>
      </dsp:txBody>
      <dsp:txXfrm>
        <a:off x="2261703" y="407190"/>
        <a:ext cx="1982167" cy="922320"/>
      </dsp:txXfrm>
    </dsp:sp>
    <dsp:sp modelId="{9A7B3993-8690-4052-B59D-A55172055768}">
      <dsp:nvSpPr>
        <dsp:cNvPr id="0" name=""/>
        <dsp:cNvSpPr/>
      </dsp:nvSpPr>
      <dsp:spPr>
        <a:xfrm>
          <a:off x="4521374" y="3989"/>
          <a:ext cx="1982167" cy="403200"/>
        </a:xfrm>
        <a:prstGeom prst="rect">
          <a:avLst/>
        </a:prstGeom>
        <a:solidFill>
          <a:srgbClr val="FF5B5B"/>
        </a:solidFill>
        <a:ln w="12700" cap="flat" cmpd="sng" algn="ctr">
          <a:solidFill>
            <a:srgbClr val="FF5B5B"/>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High risk</a:t>
          </a:r>
        </a:p>
      </dsp:txBody>
      <dsp:txXfrm>
        <a:off x="4521374" y="3989"/>
        <a:ext cx="1982167" cy="403200"/>
      </dsp:txXfrm>
    </dsp:sp>
    <dsp:sp modelId="{6A4BDC73-4C64-4439-AEF8-2FA50011092D}">
      <dsp:nvSpPr>
        <dsp:cNvPr id="0" name=""/>
        <dsp:cNvSpPr/>
      </dsp:nvSpPr>
      <dsp:spPr>
        <a:xfrm>
          <a:off x="4521374" y="407190"/>
          <a:ext cx="1982167" cy="922320"/>
        </a:xfrm>
        <a:prstGeom prst="rect">
          <a:avLst/>
        </a:prstGeom>
        <a:solidFill>
          <a:schemeClr val="lt1"/>
        </a:solidFill>
        <a:ln w="12700" cap="flat" cmpd="sng" algn="ctr">
          <a:solidFill>
            <a:srgbClr val="FF5B5B"/>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solidFill>
            </a:rPr>
            <a:t> Agencies which provide complex public services to individuals and handle a significant amount of personal information</a:t>
          </a:r>
        </a:p>
      </dsp:txBody>
      <dsp:txXfrm>
        <a:off x="4521374" y="407190"/>
        <a:ext cx="1982167" cy="92232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468213B5FF4E04AA2ADDD5C920D617"/>
        <w:category>
          <w:name w:val="General"/>
          <w:gallery w:val="placeholder"/>
        </w:category>
        <w:types>
          <w:type w:val="bbPlcHdr"/>
        </w:types>
        <w:behaviors>
          <w:behavior w:val="content"/>
        </w:behaviors>
        <w:guid w:val="{6BF918AF-F30A-4761-8BD9-7871D19660E3}"/>
      </w:docPartPr>
      <w:docPartBody>
        <w:p w:rsidR="00696567" w:rsidRDefault="00696567">
          <w:pPr>
            <w:pStyle w:val="F8468213B5FF4E04AA2ADDD5C920D617"/>
          </w:pPr>
          <w:r w:rsidRPr="00FF723C">
            <w:rPr>
              <w:sz w:val="120"/>
              <w:szCs w:val="120"/>
            </w:rPr>
            <w:t>[Document heading]</w:t>
          </w:r>
        </w:p>
      </w:docPartBody>
    </w:docPart>
    <w:docPart>
      <w:docPartPr>
        <w:name w:val="9F926E6DDEB24780956E26A2B34F2EF0"/>
        <w:category>
          <w:name w:val="General"/>
          <w:gallery w:val="placeholder"/>
        </w:category>
        <w:types>
          <w:type w:val="bbPlcHdr"/>
        </w:types>
        <w:behaviors>
          <w:behavior w:val="content"/>
        </w:behaviors>
        <w:guid w:val="{6321D0C3-6B0C-47F2-A3A4-C3F2D63A1ECC}"/>
      </w:docPartPr>
      <w:docPartBody>
        <w:p w:rsidR="00696567" w:rsidRDefault="00696567">
          <w:pPr>
            <w:pStyle w:val="9F926E6DDEB24780956E26A2B34F2EF0"/>
          </w:pPr>
          <w:r w:rsidRPr="00FF723C">
            <w:rPr>
              <w:rStyle w:val="SubtitleChar"/>
            </w:rPr>
            <w:t>[Subheading]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67"/>
    <w:rsid w:val="000214DD"/>
    <w:rsid w:val="0003580B"/>
    <w:rsid w:val="0003771A"/>
    <w:rsid w:val="000A0825"/>
    <w:rsid w:val="001079D8"/>
    <w:rsid w:val="00155886"/>
    <w:rsid w:val="00196330"/>
    <w:rsid w:val="00385A5E"/>
    <w:rsid w:val="00407CD8"/>
    <w:rsid w:val="00423D73"/>
    <w:rsid w:val="00487D41"/>
    <w:rsid w:val="005223A4"/>
    <w:rsid w:val="005844BF"/>
    <w:rsid w:val="005C1BEF"/>
    <w:rsid w:val="0060501B"/>
    <w:rsid w:val="00616F42"/>
    <w:rsid w:val="00676E99"/>
    <w:rsid w:val="00696567"/>
    <w:rsid w:val="008B1AC6"/>
    <w:rsid w:val="008D4925"/>
    <w:rsid w:val="008E0F63"/>
    <w:rsid w:val="00914856"/>
    <w:rsid w:val="00AA2679"/>
    <w:rsid w:val="00B10865"/>
    <w:rsid w:val="00B22DC7"/>
    <w:rsid w:val="00B65DCB"/>
    <w:rsid w:val="00BC0E36"/>
    <w:rsid w:val="00C124E3"/>
    <w:rsid w:val="00C635DE"/>
    <w:rsid w:val="00CD4AF1"/>
    <w:rsid w:val="00D964F1"/>
    <w:rsid w:val="00DD5641"/>
    <w:rsid w:val="00DE578E"/>
    <w:rsid w:val="00E54B3F"/>
    <w:rsid w:val="00EB5A98"/>
    <w:rsid w:val="00F028A3"/>
    <w:rsid w:val="00F041A1"/>
    <w:rsid w:val="00F4566D"/>
    <w:rsid w:val="00F646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468213B5FF4E04AA2ADDD5C920D617">
    <w:name w:val="F8468213B5FF4E04AA2ADDD5C920D617"/>
  </w:style>
  <w:style w:type="paragraph" w:styleId="Subtitle">
    <w:name w:val="Subtitle"/>
    <w:basedOn w:val="Normal"/>
    <w:next w:val="BodyText"/>
    <w:link w:val="SubtitleChar"/>
    <w:uiPriority w:val="1"/>
    <w:qFormat/>
    <w:pPr>
      <w:numPr>
        <w:ilvl w:val="1"/>
      </w:numPr>
      <w:spacing w:before="120" w:after="360" w:line="264" w:lineRule="auto"/>
    </w:pPr>
    <w:rPr>
      <w:rFonts w:asciiTheme="majorHAnsi" w:hAnsiTheme="majorHAnsi"/>
      <w:color w:val="156082" w:themeColor="accent1"/>
      <w:spacing w:val="15"/>
      <w:sz w:val="28"/>
      <w:lang w:eastAsia="en-US"/>
    </w:rPr>
  </w:style>
  <w:style w:type="character" w:customStyle="1" w:styleId="SubtitleChar">
    <w:name w:val="Subtitle Char"/>
    <w:basedOn w:val="DefaultParagraphFont"/>
    <w:link w:val="Subtitle"/>
    <w:uiPriority w:val="1"/>
    <w:rPr>
      <w:rFonts w:asciiTheme="majorHAnsi" w:hAnsiTheme="majorHAnsi"/>
      <w:color w:val="156082" w:themeColor="accent1"/>
      <w:spacing w:val="15"/>
      <w:sz w:val="28"/>
      <w:lang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F926E6DDEB24780956E26A2B34F2EF0">
    <w:name w:val="9F926E6DDEB24780956E26A2B34F2EF0"/>
  </w:style>
  <w:style w:type="character" w:styleId="PlaceholderText">
    <w:name w:val="Placeholder Text"/>
    <w:basedOn w:val="DefaultParagraphFont"/>
    <w:uiPriority w:val="99"/>
    <w:semiHidden/>
    <w:rPr>
      <w:color w:val="7F7F7F" w:themeColor="text1" w:themeTint="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4BF8118E275D045A3C247D35B6A008F" ma:contentTypeVersion="" ma:contentTypeDescription="PDMS Document Site Content Type" ma:contentTypeScope="" ma:versionID="4fc784ccf3fe2b7aaa376cc12bce6ec4">
  <xsd:schema xmlns:xsd="http://www.w3.org/2001/XMLSchema" xmlns:xs="http://www.w3.org/2001/XMLSchema" xmlns:p="http://schemas.microsoft.com/office/2006/metadata/properties" xmlns:ns2="6CB32D61-464A-4BA3-BEC3-68A272212276" targetNamespace="http://schemas.microsoft.com/office/2006/metadata/properties" ma:root="true" ma:fieldsID="730e84978c2ef4d81e32d48c5b4cd593" ns2:_="">
    <xsd:import namespace="6CB32D61-464A-4BA3-BEC3-68A27221227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32D61-464A-4BA3-BEC3-68A27221227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CB32D61-464A-4BA3-BEC3-68A272212276">4;#OFFICIAL|9e0ec9cb-4e7f-4d4a-bd32-1ee7525c6d87</SecurityClassifi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Name/>
  <Classification>Official</Classification>
  <DLM/>
  <SectionName/>
  <DH>Privacy Management Plan </DH>
  <Byline>2025-26</Byline>
</root>
</file>

<file path=customXml/itemProps1.xml><?xml version="1.0" encoding="utf-8"?>
<ds:datastoreItem xmlns:ds="http://schemas.openxmlformats.org/officeDocument/2006/customXml" ds:itemID="{7177DDC0-108D-4739-868E-7A10A923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32D61-464A-4BA3-BEC3-68A272212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6FAB5-0DB2-4426-8CDE-E2001EB23D51}">
  <ds:schemaRefs>
    <ds:schemaRef ds:uri="http://schemas.openxmlformats.org/officeDocument/2006/bibliography"/>
  </ds:schemaRefs>
</ds:datastoreItem>
</file>

<file path=customXml/itemProps3.xml><?xml version="1.0" encoding="utf-8"?>
<ds:datastoreItem xmlns:ds="http://schemas.openxmlformats.org/officeDocument/2006/customXml" ds:itemID="{A2512A9F-56A8-492A-BCC8-D064696F9514}">
  <ds:schemaRefs>
    <ds:schemaRef ds:uri="http://schemas.microsoft.com/office/2006/metadata/properties"/>
    <ds:schemaRef ds:uri="http://schemas.microsoft.com/office/infopath/2007/PartnerControls"/>
    <ds:schemaRef ds:uri="6CB32D61-464A-4BA3-BEC3-68A272212276"/>
  </ds:schemaRefs>
</ds:datastoreItem>
</file>

<file path=customXml/itemProps4.xml><?xml version="1.0" encoding="utf-8"?>
<ds:datastoreItem xmlns:ds="http://schemas.openxmlformats.org/officeDocument/2006/customXml" ds:itemID="{C38E5695-B509-4171-B239-7D25E1C307E5}">
  <ds:schemaRefs>
    <ds:schemaRef ds:uri="http://schemas.microsoft.com/sharepoint/v3/contenttype/forms"/>
  </ds:schemaRefs>
</ds:datastoreItem>
</file>

<file path=customXml/itemProps5.xml><?xml version="1.0" encoding="utf-8"?>
<ds:datastoreItem xmlns:ds="http://schemas.openxmlformats.org/officeDocument/2006/customXml" ds:itemID="{F533AE62-A212-4B26-92DA-A3B336E8AE06}">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16</TotalTime>
  <Pages>16</Pages>
  <Words>3732</Words>
  <Characters>22019</Characters>
  <Application>Microsoft Office Word</Application>
  <DocSecurity>0</DocSecurity>
  <Lines>611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Services Branch</dc:creator>
  <cp:keywords/>
  <dc:description/>
  <cp:lastModifiedBy>Jelena MILANJA</cp:lastModifiedBy>
  <cp:revision>5</cp:revision>
  <dcterms:created xsi:type="dcterms:W3CDTF">2026-01-19T23:45:00Z</dcterms:created>
  <dcterms:modified xsi:type="dcterms:W3CDTF">2026-01-19T23:58:00Z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0x010100266966F133664895A6EE3632470D45F50074BF8118E275D045A3C247D35B6A008F</vt:lpwstr>
  </property>
  <property fmtid="{D5CDD505-2E9C-101B-9397-08002B2CF9AE}" pid="3" name="HPRMSecurityLevel">
    <vt:lpwstr>690;#OFFICIAL|11463c70-78df-4e3b-b0ff-f66cd3cb26ec</vt:lpwstr>
  </property>
  <property fmtid="{D5CDD505-2E9C-101B-9397-08002B2CF9AE}" pid="4" name="ESearchTags">
    <vt:lpwstr/>
  </property>
  <property fmtid="{D5CDD505-2E9C-101B-9397-08002B2CF9AE}" pid="5" name="PMC.ESearch.TagGeneratedTime">
    <vt:lpwstr>2020-02-28T18:01:22</vt:lpwstr>
  </property>
  <property fmtid="{D5CDD505-2E9C-101B-9397-08002B2CF9AE}" pid="6" name="HPRMSecurityCaveat">
    <vt:lpwstr/>
  </property>
  <property fmtid="{D5CDD505-2E9C-101B-9397-08002B2CF9AE}" pid="7" name="Order">
    <vt:r8>2500</vt:r8>
  </property>
  <property fmtid="{D5CDD505-2E9C-101B-9397-08002B2CF9AE}" pid="8" name="vti_imgdate">
    <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FunctionalArea_Note">
    <vt:lpwstr/>
  </property>
  <property fmtid="{D5CDD505-2E9C-101B-9397-08002B2CF9AE}" pid="13" name="FunctionalArea">
    <vt:lpwstr/>
  </property>
  <property fmtid="{D5CDD505-2E9C-101B-9397-08002B2CF9AE}" pid="14" name="PublishingContactEmail">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FolderID">
    <vt:lpwstr/>
  </property>
  <property fmtid="{D5CDD505-2E9C-101B-9397-08002B2CF9AE}" pid="19" name="AdvisingsDatabase">
    <vt:lpwstr/>
  </property>
  <property fmtid="{D5CDD505-2E9C-101B-9397-08002B2CF9AE}" pid="20" name="MediaServiceImageTags">
    <vt:lpwstr/>
  </property>
  <property fmtid="{D5CDD505-2E9C-101B-9397-08002B2CF9AE}" pid="21" name="SecurityClassification">
    <vt:lpwstr>4;#OFFICIAL|9e0ec9cb-4e7f-4d4a-bd32-1ee7525c6d87</vt:lpwstr>
  </property>
  <property fmtid="{D5CDD505-2E9C-101B-9397-08002B2CF9AE}" pid="22" name="ComplianceAssetId">
    <vt:lpwstr/>
  </property>
  <property fmtid="{D5CDD505-2E9C-101B-9397-08002B2CF9AE}" pid="23" name="CommonwealthEntity">
    <vt:lpwstr/>
  </property>
  <property fmtid="{D5CDD505-2E9C-101B-9397-08002B2CF9AE}" pid="24" name="_ExtendedDescription">
    <vt:lpwstr/>
  </property>
  <property fmtid="{D5CDD505-2E9C-101B-9397-08002B2CF9AE}" pid="25" name="LegalSubjectMatter">
    <vt:lpwstr/>
  </property>
  <property fmtid="{D5CDD505-2E9C-101B-9397-08002B2CF9AE}" pid="26" name="LEXNumber">
    <vt:lpwstr/>
  </property>
  <property fmtid="{D5CDD505-2E9C-101B-9397-08002B2CF9AE}" pid="27" name="TriggerFlowInfo">
    <vt:lpwstr/>
  </property>
  <property fmtid="{D5CDD505-2E9C-101B-9397-08002B2CF9AE}" pid="28" name="GUID">
    <vt:lpwstr>3bfc6a23-5d06-400a-8872-594359a14a7a</vt:lpwstr>
  </property>
  <property fmtid="{D5CDD505-2E9C-101B-9397-08002B2CF9AE}" pid="29" name="SharedWithUsers">
    <vt:lpwstr/>
  </property>
  <property fmtid="{D5CDD505-2E9C-101B-9397-08002B2CF9AE}" pid="30" name="InformationMarker">
    <vt:lpwstr/>
  </property>
  <property fmtid="{D5CDD505-2E9C-101B-9397-08002B2CF9AE}" pid="31" name="IAGLegalDocumentAuthor">
    <vt:lpwstr/>
  </property>
  <property fmtid="{D5CDD505-2E9C-101B-9397-08002B2CF9AE}" pid="32" name="DocumentType">
    <vt:lpwstr/>
  </property>
  <property fmtid="{D5CDD505-2E9C-101B-9397-08002B2CF9AE}" pid="33" name="LegislationConsidered">
    <vt:lpwstr/>
  </property>
  <property fmtid="{D5CDD505-2E9C-101B-9397-08002B2CF9AE}" pid="34" name="ffe37d11f77144aa8109b2494d6cf1a5">
    <vt:lpwstr/>
  </property>
  <property fmtid="{D5CDD505-2E9C-101B-9397-08002B2CF9AE}" pid="35" name="PMCNotes">
    <vt:lpwstr/>
  </property>
  <property fmtid="{D5CDD505-2E9C-101B-9397-08002B2CF9AE}" pid="36" name="jd1c641577414dfdab1686c9d5d0dbd0">
    <vt:lpwstr/>
  </property>
  <property fmtid="{D5CDD505-2E9C-101B-9397-08002B2CF9AE}" pid="37" name="_dlc_DocIdItemGuid">
    <vt:lpwstr>508a6772-a077-4fe0-83f3-4a09f1d70911</vt:lpwstr>
  </property>
  <property fmtid="{D5CDD505-2E9C-101B-9397-08002B2CF9AE}" pid="38" name="ClassificationContentMarkingHeaderShapeIds">
    <vt:lpwstr>6d229546,43ba170a,4e2b089c,20297e3a,74568220,57d38228</vt:lpwstr>
  </property>
  <property fmtid="{D5CDD505-2E9C-101B-9397-08002B2CF9AE}" pid="39" name="ClassificationContentMarkingHeaderFontProps">
    <vt:lpwstr>#ff0000,12,Calibri</vt:lpwstr>
  </property>
  <property fmtid="{D5CDD505-2E9C-101B-9397-08002B2CF9AE}" pid="40" name="ClassificationContentMarkingHeaderText">
    <vt:lpwstr>OFFICIAL</vt:lpwstr>
  </property>
  <property fmtid="{D5CDD505-2E9C-101B-9397-08002B2CF9AE}" pid="41" name="ClassificationContentMarkingFooterShapeIds">
    <vt:lpwstr>37b92502,5a70ae53,71eb5574,5262e902,797155e1,7e5c8198</vt:lpwstr>
  </property>
  <property fmtid="{D5CDD505-2E9C-101B-9397-08002B2CF9AE}" pid="42" name="ClassificationContentMarkingFooterFontProps">
    <vt:lpwstr>#ff0000,12,Calibri</vt:lpwstr>
  </property>
  <property fmtid="{D5CDD505-2E9C-101B-9397-08002B2CF9AE}" pid="43" name="ClassificationContentMarkingFooterText">
    <vt:lpwstr>OFFICIAL</vt:lpwstr>
  </property>
</Properties>
</file>