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ACD1" w14:textId="0DAF7176" w:rsidR="00E578B7" w:rsidRPr="004D1065" w:rsidRDefault="004B6C9A" w:rsidP="002570B2">
      <w:pPr>
        <w:pStyle w:val="Title"/>
        <w:spacing w:before="1320"/>
      </w:pPr>
      <w:r>
        <w:t>RJED Grant Writing Support</w:t>
      </w:r>
      <w:r w:rsidR="009176BE">
        <w:t xml:space="preserve"> Services</w:t>
      </w:r>
    </w:p>
    <w:p w14:paraId="6D8A6A29" w14:textId="77777777" w:rsidR="00B36573" w:rsidRPr="00B36573" w:rsidRDefault="00B36573" w:rsidP="00B36573">
      <w:pPr>
        <w:spacing w:after="160" w:line="259" w:lineRule="auto"/>
        <w:rPr>
          <w:rFonts w:ascii="Aptos" w:eastAsia="Aptos"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t xml:space="preserve">NIAA has engaged three organisations who are available to support eligible applicants to prepare their RJED application. </w:t>
      </w:r>
    </w:p>
    <w:p w14:paraId="7217A153" w14:textId="77777777" w:rsidR="00B36573" w:rsidRPr="00B36573" w:rsidRDefault="00B36573" w:rsidP="00B36573">
      <w:pPr>
        <w:spacing w:after="160" w:line="259" w:lineRule="auto"/>
        <w:rPr>
          <w:rFonts w:ascii="Aptos" w:eastAsia="Aptos"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t>These organisations are:</w:t>
      </w:r>
    </w:p>
    <w:p w14:paraId="0F94E5DD" w14:textId="77777777" w:rsidR="00B36573" w:rsidRPr="00FC5BCB" w:rsidRDefault="00B36573" w:rsidP="00FC5BCB">
      <w:pPr>
        <w:pStyle w:val="ListParagraph"/>
        <w:numPr>
          <w:ilvl w:val="0"/>
          <w:numId w:val="34"/>
        </w:numPr>
        <w:spacing w:after="160" w:line="259" w:lineRule="auto"/>
        <w:rPr>
          <w:rFonts w:ascii="Aptos" w:eastAsia="Aptos" w:hAnsi="Aptos" w:cs="Times New Roman"/>
          <w:b/>
          <w:bCs/>
          <w:color w:val="auto"/>
          <w:kern w:val="2"/>
          <w:sz w:val="22"/>
          <w:szCs w:val="22"/>
          <w:lang w:val="en-GB"/>
          <w14:ligatures w14:val="standardContextual"/>
        </w:rPr>
      </w:pPr>
      <w:proofErr w:type="spellStart"/>
      <w:r w:rsidRPr="00FC5BCB">
        <w:rPr>
          <w:rFonts w:ascii="Aptos" w:eastAsia="Aptos" w:hAnsi="Aptos" w:cs="Times New Roman"/>
          <w:b/>
          <w:bCs/>
          <w:color w:val="auto"/>
          <w:kern w:val="2"/>
          <w:sz w:val="22"/>
          <w:szCs w:val="22"/>
          <w:lang w:val="en-GB"/>
          <w14:ligatures w14:val="standardContextual"/>
        </w:rPr>
        <w:t>Blax</w:t>
      </w:r>
      <w:proofErr w:type="spellEnd"/>
      <w:r w:rsidRPr="00FC5BCB">
        <w:rPr>
          <w:rFonts w:ascii="Aptos" w:eastAsia="Aptos" w:hAnsi="Aptos" w:cs="Times New Roman"/>
          <w:b/>
          <w:bCs/>
          <w:color w:val="auto"/>
          <w:kern w:val="2"/>
          <w:sz w:val="22"/>
          <w:szCs w:val="22"/>
          <w:lang w:val="en-GB"/>
          <w14:ligatures w14:val="standardContextual"/>
        </w:rPr>
        <w:t xml:space="preserve"> Capital Pty Ltd</w:t>
      </w:r>
    </w:p>
    <w:p w14:paraId="5E431ABD" w14:textId="6051F334" w:rsidR="00B36573" w:rsidRPr="00FC5BCB" w:rsidRDefault="00B36573" w:rsidP="00FC5BCB">
      <w:pPr>
        <w:pStyle w:val="ListParagraph"/>
        <w:spacing w:after="160" w:line="259" w:lineRule="auto"/>
        <w:rPr>
          <w:rFonts w:ascii="Aptos" w:eastAsia="Aptos" w:hAnsi="Aptos" w:cs="Times New Roman"/>
          <w:b/>
          <w:bCs/>
          <w:color w:val="auto"/>
          <w:kern w:val="2"/>
          <w:sz w:val="22"/>
          <w:szCs w:val="22"/>
          <w:lang w:val="en-GB"/>
          <w14:ligatures w14:val="standardContextual"/>
        </w:rPr>
      </w:pPr>
      <w:proofErr w:type="spellStart"/>
      <w:r w:rsidRPr="00FC5BCB">
        <w:rPr>
          <w:rFonts w:ascii="Aptos" w:eastAsia="Aptos" w:hAnsi="Aptos" w:cs="Times New Roman"/>
          <w:color w:val="auto"/>
          <w:kern w:val="2"/>
          <w:sz w:val="22"/>
          <w:szCs w:val="22"/>
          <w:lang w:val="en-GB"/>
          <w14:ligatures w14:val="standardContextual"/>
        </w:rPr>
        <w:t>Blax</w:t>
      </w:r>
      <w:proofErr w:type="spellEnd"/>
      <w:r w:rsidRPr="00FC5BCB">
        <w:rPr>
          <w:rFonts w:ascii="Aptos" w:eastAsia="Aptos" w:hAnsi="Aptos" w:cs="Times New Roman"/>
          <w:color w:val="auto"/>
          <w:kern w:val="2"/>
          <w:sz w:val="22"/>
          <w:szCs w:val="22"/>
          <w:lang w:val="en-GB"/>
          <w14:ligatures w14:val="standardContextual"/>
        </w:rPr>
        <w:t xml:space="preserve"> Capital is an Indigenous organisation based in Sydney NSW, which was established in 2019 to provide culturally safe professional services to Indigenous Businesses, Indigenous/Aboriginal Corporations, Government Organisations, SMEs and Not for Profit organisations across Australia. Its directors have 90+ years combined corporate administration, financial services and business development experience. Click </w:t>
      </w:r>
      <w:hyperlink r:id="rId9" w:history="1">
        <w:r w:rsidRPr="00FC5BCB">
          <w:rPr>
            <w:rFonts w:ascii="Aptos" w:eastAsia="Aptos" w:hAnsi="Aptos" w:cs="Times New Roman"/>
            <w:color w:val="467886"/>
            <w:kern w:val="2"/>
            <w:sz w:val="22"/>
            <w:szCs w:val="22"/>
            <w:u w:val="single"/>
            <w:lang w:val="en-GB"/>
            <w14:ligatures w14:val="standardContextual"/>
          </w:rPr>
          <w:t>here</w:t>
        </w:r>
      </w:hyperlink>
      <w:r w:rsidRPr="00FC5BCB">
        <w:rPr>
          <w:rFonts w:ascii="Aptos" w:eastAsia="Aptos" w:hAnsi="Aptos" w:cs="Times New Roman"/>
          <w:color w:val="auto"/>
          <w:kern w:val="2"/>
          <w:sz w:val="22"/>
          <w:szCs w:val="22"/>
          <w:lang w:val="en-GB"/>
          <w14:ligatures w14:val="standardContextual"/>
        </w:rPr>
        <w:t xml:space="preserve"> to read more about </w:t>
      </w:r>
      <w:proofErr w:type="spellStart"/>
      <w:r w:rsidRPr="00FC5BCB">
        <w:rPr>
          <w:rFonts w:ascii="Aptos" w:eastAsia="Aptos" w:hAnsi="Aptos" w:cs="Times New Roman"/>
          <w:color w:val="auto"/>
          <w:kern w:val="2"/>
          <w:sz w:val="22"/>
          <w:szCs w:val="22"/>
          <w:lang w:val="en-GB"/>
          <w14:ligatures w14:val="standardContextual"/>
        </w:rPr>
        <w:t>Blax</w:t>
      </w:r>
      <w:proofErr w:type="spellEnd"/>
      <w:r w:rsidRPr="00FC5BCB">
        <w:rPr>
          <w:rFonts w:ascii="Aptos" w:eastAsia="Aptos" w:hAnsi="Aptos" w:cs="Times New Roman"/>
          <w:color w:val="auto"/>
          <w:kern w:val="2"/>
          <w:sz w:val="22"/>
          <w:szCs w:val="22"/>
          <w:lang w:val="en-GB"/>
          <w14:ligatures w14:val="standardContextual"/>
        </w:rPr>
        <w:t xml:space="preserve"> Capital. </w:t>
      </w:r>
      <w:r w:rsidR="00FC5BCB">
        <w:rPr>
          <w:rFonts w:ascii="Aptos" w:eastAsia="Aptos" w:hAnsi="Aptos" w:cs="Times New Roman"/>
          <w:color w:val="auto"/>
          <w:kern w:val="2"/>
          <w:sz w:val="22"/>
          <w:szCs w:val="22"/>
          <w:lang w:val="en-GB"/>
          <w14:ligatures w14:val="standardContextual"/>
        </w:rPr>
        <w:br/>
      </w:r>
    </w:p>
    <w:p w14:paraId="4F659B20" w14:textId="77777777" w:rsidR="00B36573" w:rsidRPr="00FC5BCB" w:rsidRDefault="00B36573" w:rsidP="00FC5BCB">
      <w:pPr>
        <w:pStyle w:val="ListParagraph"/>
        <w:numPr>
          <w:ilvl w:val="0"/>
          <w:numId w:val="34"/>
        </w:numPr>
        <w:spacing w:after="160" w:line="259" w:lineRule="auto"/>
        <w:rPr>
          <w:rFonts w:ascii="Aptos" w:eastAsia="Aptos" w:hAnsi="Aptos" w:cs="Times New Roman"/>
          <w:b/>
          <w:bCs/>
          <w:color w:val="auto"/>
          <w:kern w:val="2"/>
          <w:sz w:val="22"/>
          <w:szCs w:val="22"/>
          <w14:ligatures w14:val="standardContextual"/>
        </w:rPr>
      </w:pPr>
      <w:proofErr w:type="spellStart"/>
      <w:r w:rsidRPr="00FC5BCB">
        <w:rPr>
          <w:rFonts w:ascii="Aptos" w:eastAsia="Aptos" w:hAnsi="Aptos" w:cs="Times New Roman"/>
          <w:b/>
          <w:bCs/>
          <w:color w:val="auto"/>
          <w:kern w:val="2"/>
          <w:sz w:val="22"/>
          <w:szCs w:val="22"/>
          <w14:ligatures w14:val="standardContextual"/>
        </w:rPr>
        <w:t>Mahjae</w:t>
      </w:r>
      <w:proofErr w:type="spellEnd"/>
      <w:r w:rsidRPr="00FC5BCB">
        <w:rPr>
          <w:rFonts w:ascii="Aptos" w:eastAsia="Aptos" w:hAnsi="Aptos" w:cs="Times New Roman"/>
          <w:b/>
          <w:bCs/>
          <w:color w:val="auto"/>
          <w:kern w:val="2"/>
          <w:sz w:val="22"/>
          <w:szCs w:val="22"/>
          <w14:ligatures w14:val="standardContextual"/>
        </w:rPr>
        <w:t xml:space="preserve"> Pty Ltd (trading as Whitney Consulting) </w:t>
      </w:r>
    </w:p>
    <w:p w14:paraId="07FD0BFF" w14:textId="42EBF146" w:rsidR="00B36573" w:rsidRPr="00FC5BCB" w:rsidRDefault="00B36573" w:rsidP="00FC5BCB">
      <w:pPr>
        <w:pStyle w:val="ListParagraph"/>
        <w:spacing w:after="160" w:line="259" w:lineRule="auto"/>
        <w:rPr>
          <w:rFonts w:ascii="Aptos" w:eastAsia="Aptos" w:hAnsi="Aptos" w:cs="Times New Roman"/>
          <w:color w:val="auto"/>
          <w:kern w:val="2"/>
          <w:sz w:val="22"/>
          <w:szCs w:val="22"/>
          <w:lang w:val="en-GB"/>
          <w14:ligatures w14:val="standardContextual"/>
        </w:rPr>
      </w:pPr>
      <w:r w:rsidRPr="00FC5BCB">
        <w:rPr>
          <w:rFonts w:ascii="Aptos" w:eastAsia="Aptos" w:hAnsi="Aptos" w:cs="Times New Roman"/>
          <w:color w:val="auto"/>
          <w:kern w:val="2"/>
          <w:sz w:val="22"/>
          <w:szCs w:val="22"/>
          <w:lang w:val="en-GB"/>
          <w14:ligatures w14:val="standardContextual"/>
        </w:rPr>
        <w:t xml:space="preserve">Whitney Consulting was founded in a small regional town in the heart of the </w:t>
      </w:r>
      <w:proofErr w:type="gramStart"/>
      <w:r w:rsidRPr="00FC5BCB">
        <w:rPr>
          <w:rFonts w:ascii="Aptos" w:eastAsia="Aptos" w:hAnsi="Aptos" w:cs="Times New Roman"/>
          <w:color w:val="auto"/>
          <w:kern w:val="2"/>
          <w:sz w:val="22"/>
          <w:szCs w:val="22"/>
          <w:lang w:val="en-GB"/>
          <w14:ligatures w14:val="standardContextual"/>
        </w:rPr>
        <w:t>WA Wheatbelt, and</w:t>
      </w:r>
      <w:proofErr w:type="gramEnd"/>
      <w:r w:rsidRPr="00FC5BCB">
        <w:rPr>
          <w:rFonts w:ascii="Aptos" w:eastAsia="Aptos" w:hAnsi="Aptos" w:cs="Times New Roman"/>
          <w:color w:val="auto"/>
          <w:kern w:val="2"/>
          <w:sz w:val="22"/>
          <w:szCs w:val="22"/>
          <w:lang w:val="en-GB"/>
          <w14:ligatures w14:val="standardContextual"/>
        </w:rPr>
        <w:t xml:space="preserve"> is a leading provider of professional grant writing and support services specialising in working with rural, regional, and remote (RRR) communities. Whitney Consulting has staff located in regional WA, Perth, Adelaide, Sydney and regional QLD, and 90% of their clients </w:t>
      </w:r>
      <w:proofErr w:type="gramStart"/>
      <w:r w:rsidRPr="00FC5BCB">
        <w:rPr>
          <w:rFonts w:ascii="Aptos" w:eastAsia="Aptos" w:hAnsi="Aptos" w:cs="Times New Roman"/>
          <w:color w:val="auto"/>
          <w:kern w:val="2"/>
          <w:sz w:val="22"/>
          <w:szCs w:val="22"/>
          <w:lang w:val="en-GB"/>
          <w14:ligatures w14:val="standardContextual"/>
        </w:rPr>
        <w:t>are located in</w:t>
      </w:r>
      <w:proofErr w:type="gramEnd"/>
      <w:r w:rsidRPr="00FC5BCB">
        <w:rPr>
          <w:rFonts w:ascii="Aptos" w:eastAsia="Aptos" w:hAnsi="Aptos" w:cs="Times New Roman"/>
          <w:color w:val="auto"/>
          <w:kern w:val="2"/>
          <w:sz w:val="22"/>
          <w:szCs w:val="22"/>
          <w:lang w:val="en-GB"/>
          <w14:ligatures w14:val="standardContextual"/>
        </w:rPr>
        <w:t xml:space="preserve"> RRR areas. Click </w:t>
      </w:r>
      <w:hyperlink r:id="rId10" w:history="1">
        <w:r w:rsidRPr="00FC5BCB">
          <w:rPr>
            <w:rFonts w:ascii="Aptos" w:eastAsia="Aptos" w:hAnsi="Aptos" w:cs="Times New Roman"/>
            <w:color w:val="467886"/>
            <w:kern w:val="2"/>
            <w:sz w:val="22"/>
            <w:szCs w:val="22"/>
            <w:u w:val="single"/>
            <w:lang w:val="en-GB"/>
            <w14:ligatures w14:val="standardContextual"/>
          </w:rPr>
          <w:t>here</w:t>
        </w:r>
      </w:hyperlink>
      <w:r w:rsidRPr="00FC5BCB">
        <w:rPr>
          <w:rFonts w:ascii="Aptos" w:eastAsia="Aptos" w:hAnsi="Aptos" w:cs="Times New Roman"/>
          <w:color w:val="auto"/>
          <w:kern w:val="2"/>
          <w:sz w:val="22"/>
          <w:szCs w:val="22"/>
          <w:lang w:val="en-GB"/>
          <w14:ligatures w14:val="standardContextual"/>
        </w:rPr>
        <w:t xml:space="preserve"> to read more about Whitney Consulting. </w:t>
      </w:r>
      <w:r w:rsidR="00FC5BCB">
        <w:rPr>
          <w:rFonts w:ascii="Aptos" w:eastAsia="Aptos" w:hAnsi="Aptos" w:cs="Times New Roman"/>
          <w:color w:val="auto"/>
          <w:kern w:val="2"/>
          <w:sz w:val="22"/>
          <w:szCs w:val="22"/>
          <w:lang w:val="en-GB"/>
          <w14:ligatures w14:val="standardContextual"/>
        </w:rPr>
        <w:br/>
      </w:r>
    </w:p>
    <w:p w14:paraId="11C1E24C" w14:textId="77777777" w:rsidR="00B36573" w:rsidRPr="00FC5BCB" w:rsidRDefault="00B36573" w:rsidP="00FC5BCB">
      <w:pPr>
        <w:pStyle w:val="ListParagraph"/>
        <w:numPr>
          <w:ilvl w:val="0"/>
          <w:numId w:val="34"/>
        </w:numPr>
        <w:spacing w:after="160" w:line="259" w:lineRule="auto"/>
        <w:rPr>
          <w:rFonts w:ascii="Aptos" w:eastAsia="Times New Roman" w:hAnsi="Aptos" w:cs="Times New Roman"/>
          <w:b/>
          <w:bCs/>
          <w:color w:val="auto"/>
          <w:kern w:val="2"/>
          <w:sz w:val="22"/>
          <w:szCs w:val="22"/>
          <w14:ligatures w14:val="standardContextual"/>
        </w:rPr>
      </w:pPr>
      <w:r w:rsidRPr="00FC5BCB">
        <w:rPr>
          <w:rFonts w:ascii="Aptos" w:eastAsia="Times New Roman" w:hAnsi="Aptos" w:cs="Times New Roman"/>
          <w:b/>
          <w:bCs/>
          <w:color w:val="auto"/>
          <w:kern w:val="2"/>
          <w:sz w:val="22"/>
          <w:szCs w:val="22"/>
          <w14:ligatures w14:val="standardContextual"/>
        </w:rPr>
        <w:t>Morris &amp; Piper Advisory Pty Ltd (Morris Piper)</w:t>
      </w:r>
    </w:p>
    <w:p w14:paraId="56133AFA" w14:textId="77777777" w:rsidR="00B36573" w:rsidRPr="00FC5BCB" w:rsidRDefault="00B36573" w:rsidP="00FC5BCB">
      <w:pPr>
        <w:pStyle w:val="ListParagraph"/>
        <w:spacing w:after="160" w:line="259" w:lineRule="auto"/>
        <w:rPr>
          <w:rFonts w:ascii="Aptos" w:eastAsia="Aptos" w:hAnsi="Aptos" w:cs="Times New Roman"/>
          <w:color w:val="auto"/>
          <w:kern w:val="2"/>
          <w:sz w:val="22"/>
          <w:szCs w:val="22"/>
          <w:lang w:val="en-GB"/>
          <w14:ligatures w14:val="standardContextual"/>
        </w:rPr>
      </w:pPr>
      <w:r w:rsidRPr="00FC5BCB">
        <w:rPr>
          <w:rFonts w:ascii="Aptos" w:eastAsia="Aptos" w:hAnsi="Aptos" w:cs="Times New Roman"/>
          <w:color w:val="auto"/>
          <w:kern w:val="2"/>
          <w:sz w:val="22"/>
          <w:szCs w:val="22"/>
          <w:lang w:val="en-GB"/>
          <w14:ligatures w14:val="standardContextual"/>
        </w:rPr>
        <w:t xml:space="preserve">Morris Piper is based in Canberra ACT, but operate primarily in regional and remote areas, having worked successfully with many different organisations across Australia to plan and fund important local projects. Its team has significant government experience including with Commonwealth employment programs. It has previously led or participated on many grant assessment panels for Commonwealth agencies including the NIAA. Click </w:t>
      </w:r>
      <w:hyperlink r:id="rId11" w:history="1">
        <w:r w:rsidRPr="00FC5BCB">
          <w:rPr>
            <w:rFonts w:ascii="Aptos" w:eastAsia="Aptos" w:hAnsi="Aptos" w:cs="Times New Roman"/>
            <w:color w:val="467886"/>
            <w:kern w:val="2"/>
            <w:sz w:val="22"/>
            <w:szCs w:val="22"/>
            <w:u w:val="single"/>
            <w:lang w:val="en-GB"/>
            <w14:ligatures w14:val="standardContextual"/>
          </w:rPr>
          <w:t>here</w:t>
        </w:r>
      </w:hyperlink>
      <w:r w:rsidRPr="00FC5BCB">
        <w:rPr>
          <w:rFonts w:ascii="Aptos" w:eastAsia="Aptos" w:hAnsi="Aptos" w:cs="Times New Roman"/>
          <w:color w:val="auto"/>
          <w:kern w:val="2"/>
          <w:sz w:val="22"/>
          <w:szCs w:val="22"/>
          <w:lang w:val="en-GB"/>
          <w14:ligatures w14:val="standardContextual"/>
        </w:rPr>
        <w:t xml:space="preserve"> to read more about Morris Piper. </w:t>
      </w:r>
    </w:p>
    <w:p w14:paraId="672EDECD" w14:textId="77777777" w:rsidR="00FC5BCB" w:rsidRDefault="00FC5BCB" w:rsidP="00B36573">
      <w:pPr>
        <w:spacing w:after="160" w:line="259" w:lineRule="auto"/>
        <w:rPr>
          <w:rFonts w:ascii="Aptos" w:eastAsia="Aptos" w:hAnsi="Aptos" w:cs="Times New Roman"/>
          <w:color w:val="auto"/>
          <w:kern w:val="2"/>
          <w:sz w:val="22"/>
          <w:szCs w:val="22"/>
          <w14:ligatures w14:val="standardContextual"/>
        </w:rPr>
      </w:pPr>
    </w:p>
    <w:p w14:paraId="3ACA5998" w14:textId="21B99251" w:rsidR="00B36573" w:rsidRPr="00B36573" w:rsidRDefault="00B36573" w:rsidP="00B36573">
      <w:pPr>
        <w:spacing w:after="160" w:line="259" w:lineRule="auto"/>
        <w:rPr>
          <w:rFonts w:ascii="Aptos" w:eastAsia="Aptos"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t xml:space="preserve">These organisations have been selected to support eligible RJED applicants with the grant application process, however they may not prepare the application on an organisation’s behalf. </w:t>
      </w:r>
    </w:p>
    <w:p w14:paraId="7FDBEEB6" w14:textId="77777777" w:rsidR="00B36573" w:rsidRPr="00B36573" w:rsidRDefault="00B36573" w:rsidP="00B36573">
      <w:pPr>
        <w:spacing w:after="160" w:line="259" w:lineRule="auto"/>
        <w:rPr>
          <w:rFonts w:ascii="Aptos" w:eastAsia="Aptos"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t>Eligible applicants are those that meet the following criteria:</w:t>
      </w:r>
    </w:p>
    <w:p w14:paraId="3361BBCC" w14:textId="77777777" w:rsidR="00B36573" w:rsidRPr="00FC5BCB" w:rsidRDefault="00B36573" w:rsidP="00FC5BCB">
      <w:pPr>
        <w:pStyle w:val="ListParagraph"/>
        <w:numPr>
          <w:ilvl w:val="0"/>
          <w:numId w:val="34"/>
        </w:numPr>
        <w:spacing w:after="160" w:line="259" w:lineRule="auto"/>
        <w:rPr>
          <w:rFonts w:ascii="Aptos" w:eastAsia="Aptos" w:hAnsi="Aptos" w:cs="Times New Roman"/>
          <w:color w:val="auto"/>
          <w:kern w:val="2"/>
          <w:sz w:val="22"/>
          <w:szCs w:val="22"/>
          <w14:ligatures w14:val="standardContextual"/>
        </w:rPr>
      </w:pPr>
      <w:r w:rsidRPr="00FC5BCB">
        <w:rPr>
          <w:rFonts w:ascii="Aptos" w:eastAsia="Aptos" w:hAnsi="Aptos" w:cs="Times New Roman"/>
          <w:color w:val="auto"/>
          <w:kern w:val="2"/>
          <w:sz w:val="22"/>
          <w:szCs w:val="22"/>
          <w14:ligatures w14:val="standardContextual"/>
        </w:rPr>
        <w:t xml:space="preserve">eligible to receive funding for RJED as outlined in the Grant Opportunity Guidelines, </w:t>
      </w:r>
    </w:p>
    <w:p w14:paraId="476E485E" w14:textId="77777777" w:rsidR="00B36573" w:rsidRPr="00FC5BCB" w:rsidRDefault="00B36573" w:rsidP="00FC5BCB">
      <w:pPr>
        <w:pStyle w:val="ListParagraph"/>
        <w:numPr>
          <w:ilvl w:val="0"/>
          <w:numId w:val="34"/>
        </w:numPr>
        <w:spacing w:after="160" w:line="259" w:lineRule="auto"/>
        <w:rPr>
          <w:rFonts w:ascii="Aptos" w:eastAsia="Aptos" w:hAnsi="Aptos" w:cs="Times New Roman"/>
          <w:color w:val="auto"/>
          <w:kern w:val="2"/>
          <w:sz w:val="22"/>
          <w:szCs w:val="22"/>
          <w14:ligatures w14:val="standardContextual"/>
        </w:rPr>
      </w:pPr>
      <w:r w:rsidRPr="00FC5BCB">
        <w:rPr>
          <w:rFonts w:ascii="Aptos" w:eastAsia="Aptos" w:hAnsi="Aptos" w:cs="Times New Roman"/>
          <w:color w:val="auto"/>
          <w:kern w:val="2"/>
          <w:sz w:val="22"/>
          <w:szCs w:val="22"/>
          <w14:ligatures w14:val="standardContextual"/>
        </w:rPr>
        <w:t>employ less than 50 employees, and</w:t>
      </w:r>
    </w:p>
    <w:p w14:paraId="6CDB0E05" w14:textId="4C751ECC" w:rsidR="00B36573" w:rsidRPr="00FC5BCB" w:rsidRDefault="00B36573" w:rsidP="00FC5BCB">
      <w:pPr>
        <w:pStyle w:val="ListParagraph"/>
        <w:numPr>
          <w:ilvl w:val="0"/>
          <w:numId w:val="34"/>
        </w:numPr>
        <w:spacing w:after="160" w:line="259" w:lineRule="auto"/>
        <w:rPr>
          <w:rFonts w:ascii="Aptos" w:eastAsia="Aptos" w:hAnsi="Aptos" w:cs="Times New Roman"/>
          <w:color w:val="auto"/>
          <w:kern w:val="2"/>
          <w:sz w:val="22"/>
          <w:szCs w:val="22"/>
          <w14:ligatures w14:val="standardContextual"/>
        </w:rPr>
      </w:pPr>
      <w:r w:rsidRPr="00FC5BCB">
        <w:rPr>
          <w:rFonts w:ascii="Aptos" w:eastAsia="Aptos" w:hAnsi="Aptos" w:cs="Times New Roman"/>
          <w:color w:val="auto"/>
          <w:kern w:val="2"/>
          <w:sz w:val="22"/>
          <w:szCs w:val="22"/>
          <w14:ligatures w14:val="standardContextual"/>
        </w:rPr>
        <w:t>report an aggregated turnover of less than $10 million.</w:t>
      </w:r>
    </w:p>
    <w:p w14:paraId="2AB5C7C9" w14:textId="77777777" w:rsidR="00B36573" w:rsidRPr="00B36573" w:rsidRDefault="00B36573" w:rsidP="00B36573">
      <w:pPr>
        <w:spacing w:after="160" w:line="259" w:lineRule="auto"/>
        <w:rPr>
          <w:rFonts w:ascii="Aptos" w:eastAsia="Aptos"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t>The NIAA does not provide financial or legal advice to applicants or grantees, including as part of these grant writing support services. Applicants or grantees should seek their own independent professional advice on financial and legal matters, including compliance with any legal obligations.</w:t>
      </w:r>
      <w:bookmarkStart w:id="0" w:name="_Toc61527347"/>
      <w:bookmarkEnd w:id="0"/>
    </w:p>
    <w:p w14:paraId="1ABE2823" w14:textId="77777777" w:rsidR="00B36573" w:rsidRPr="00B36573" w:rsidRDefault="00B36573" w:rsidP="00B36573">
      <w:pPr>
        <w:spacing w:after="160" w:line="259" w:lineRule="auto"/>
        <w:rPr>
          <w:rFonts w:ascii="Aptos" w:eastAsia="Aptos"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t xml:space="preserve">Support is capped at 5 hours, unless agreed in writing by NIAA. </w:t>
      </w:r>
    </w:p>
    <w:p w14:paraId="0C169073" w14:textId="77777777" w:rsidR="00B36573" w:rsidRPr="00B36573" w:rsidRDefault="00B36573" w:rsidP="00B36573">
      <w:pPr>
        <w:spacing w:after="160" w:line="259" w:lineRule="auto"/>
        <w:rPr>
          <w:rFonts w:ascii="Aptos" w:eastAsia="Aptos"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t xml:space="preserve">Applicants will have the opportunity to nominate a preferred </w:t>
      </w:r>
      <w:proofErr w:type="gramStart"/>
      <w:r w:rsidRPr="00B36573">
        <w:rPr>
          <w:rFonts w:ascii="Aptos" w:eastAsia="Aptos" w:hAnsi="Aptos" w:cs="Times New Roman"/>
          <w:color w:val="auto"/>
          <w:kern w:val="2"/>
          <w:sz w:val="22"/>
          <w:szCs w:val="22"/>
          <w14:ligatures w14:val="standardContextual"/>
        </w:rPr>
        <w:t>provider,</w:t>
      </w:r>
      <w:proofErr w:type="gramEnd"/>
      <w:r w:rsidRPr="00B36573">
        <w:rPr>
          <w:rFonts w:ascii="Aptos" w:eastAsia="Aptos" w:hAnsi="Aptos" w:cs="Times New Roman"/>
          <w:color w:val="auto"/>
          <w:kern w:val="2"/>
          <w:sz w:val="22"/>
          <w:szCs w:val="22"/>
          <w14:ligatures w14:val="standardContextual"/>
        </w:rPr>
        <w:t xml:space="preserve"> however NIAA will allocate work </w:t>
      </w:r>
      <w:proofErr w:type="gramStart"/>
      <w:r w:rsidRPr="00B36573">
        <w:rPr>
          <w:rFonts w:ascii="Aptos" w:eastAsia="Aptos" w:hAnsi="Aptos" w:cs="Times New Roman"/>
          <w:color w:val="auto"/>
          <w:kern w:val="2"/>
          <w:sz w:val="22"/>
          <w:szCs w:val="22"/>
          <w14:ligatures w14:val="standardContextual"/>
        </w:rPr>
        <w:t>taking into account</w:t>
      </w:r>
      <w:proofErr w:type="gramEnd"/>
      <w:r w:rsidRPr="00B36573">
        <w:rPr>
          <w:rFonts w:ascii="Aptos" w:eastAsia="Aptos" w:hAnsi="Aptos" w:cs="Times New Roman"/>
          <w:color w:val="auto"/>
          <w:kern w:val="2"/>
          <w:sz w:val="22"/>
          <w:szCs w:val="22"/>
          <w14:ligatures w14:val="standardContextual"/>
        </w:rPr>
        <w:t xml:space="preserve"> a variety of factors, and an applicant’s preference may not always be able to be supported.</w:t>
      </w:r>
    </w:p>
    <w:p w14:paraId="58B03510" w14:textId="77777777" w:rsidR="00B36573" w:rsidRPr="00B36573" w:rsidRDefault="00B36573" w:rsidP="00B36573">
      <w:pPr>
        <w:spacing w:after="160" w:line="259" w:lineRule="auto"/>
        <w:rPr>
          <w:rFonts w:ascii="Aptos" w:eastAsia="Aptos"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lastRenderedPageBreak/>
        <w:t xml:space="preserve">Please note, participation in the grant writing support does not automatically guarantee an approved application. All applications will be assessed on merit against all RJED applications for the same region. </w:t>
      </w:r>
      <w:bookmarkStart w:id="1" w:name="_Toc61527346"/>
      <w:bookmarkEnd w:id="1"/>
    </w:p>
    <w:p w14:paraId="7AF083DF" w14:textId="77777777" w:rsidR="00B36573" w:rsidRPr="00B36573" w:rsidRDefault="00B36573" w:rsidP="00B36573">
      <w:pPr>
        <w:spacing w:after="160" w:line="259" w:lineRule="auto"/>
        <w:rPr>
          <w:rFonts w:ascii="Aptos" w:eastAsia="Times New Roman" w:hAnsi="Aptos" w:cs="Times New Roman"/>
          <w:color w:val="auto"/>
          <w:kern w:val="2"/>
          <w:sz w:val="22"/>
          <w:szCs w:val="22"/>
          <w14:ligatures w14:val="standardContextual"/>
        </w:rPr>
      </w:pPr>
      <w:r w:rsidRPr="00B36573">
        <w:rPr>
          <w:rFonts w:ascii="Aptos" w:eastAsia="Aptos" w:hAnsi="Aptos" w:cs="Times New Roman"/>
          <w:color w:val="auto"/>
          <w:kern w:val="2"/>
          <w:sz w:val="22"/>
          <w:szCs w:val="22"/>
          <w14:ligatures w14:val="standardContextual"/>
        </w:rPr>
        <w:t xml:space="preserve">If you would like to access support with preparing your RJED grant application, please complete </w:t>
      </w:r>
      <w:r w:rsidRPr="00B36573">
        <w:rPr>
          <w:rFonts w:ascii="Aptos" w:eastAsia="Aptos" w:hAnsi="Aptos" w:cs="Times New Roman"/>
          <w:b/>
          <w:bCs/>
          <w:color w:val="auto"/>
          <w:kern w:val="2"/>
          <w:sz w:val="22"/>
          <w:szCs w:val="22"/>
          <w14:ligatures w14:val="standardContextual"/>
        </w:rPr>
        <w:t xml:space="preserve">Attachment A </w:t>
      </w:r>
      <w:r w:rsidRPr="00B36573">
        <w:rPr>
          <w:rFonts w:ascii="Aptos" w:eastAsia="Aptos" w:hAnsi="Aptos" w:cs="Times New Roman"/>
          <w:color w:val="auto"/>
          <w:kern w:val="2"/>
          <w:sz w:val="22"/>
          <w:szCs w:val="22"/>
          <w14:ligatures w14:val="standardContextual"/>
        </w:rPr>
        <w:t xml:space="preserve">to this document and return it to </w:t>
      </w:r>
      <w:hyperlink r:id="rId12">
        <w:r w:rsidRPr="00B36573">
          <w:rPr>
            <w:rFonts w:ascii="Aptos" w:eastAsia="Times New Roman" w:hAnsi="Aptos" w:cs="Times New Roman"/>
            <w:color w:val="3366CC"/>
            <w:kern w:val="2"/>
            <w:u w:val="single"/>
            <w14:ligatures w14:val="standardContextual"/>
          </w:rPr>
          <w:t>RJEDHelpdesk@niaa.gov.au</w:t>
        </w:r>
      </w:hyperlink>
      <w:r w:rsidRPr="00B36573">
        <w:rPr>
          <w:rFonts w:ascii="Aptos" w:eastAsia="Aptos" w:hAnsi="Aptos" w:cs="Times New Roman"/>
          <w:color w:val="auto"/>
          <w:kern w:val="2"/>
          <w:sz w:val="22"/>
          <w:szCs w:val="22"/>
          <w14:ligatures w14:val="standardContextual"/>
        </w:rPr>
        <w:t xml:space="preserve">. </w:t>
      </w:r>
    </w:p>
    <w:p w14:paraId="1A9D542E" w14:textId="77777777" w:rsidR="00B36573" w:rsidRDefault="00B36573" w:rsidP="00CF5A4B">
      <w:pPr>
        <w:pStyle w:val="BodyText"/>
      </w:pPr>
    </w:p>
    <w:p w14:paraId="1383A125" w14:textId="77777777" w:rsidR="00B36573" w:rsidRDefault="00B36573" w:rsidP="00CF5A4B">
      <w:pPr>
        <w:pStyle w:val="BodyText"/>
      </w:pPr>
    </w:p>
    <w:p w14:paraId="47741E70" w14:textId="77777777" w:rsidR="00B36573" w:rsidRDefault="00B36573" w:rsidP="00CF5A4B">
      <w:pPr>
        <w:pStyle w:val="BodyText"/>
      </w:pPr>
    </w:p>
    <w:p w14:paraId="0FA48757" w14:textId="77777777" w:rsidR="00B36573" w:rsidRDefault="00B36573" w:rsidP="00CF5A4B">
      <w:pPr>
        <w:pStyle w:val="BodyText"/>
      </w:pPr>
    </w:p>
    <w:p w14:paraId="40F1410A" w14:textId="77777777" w:rsidR="00B36573" w:rsidRDefault="00B36573" w:rsidP="00CF5A4B">
      <w:pPr>
        <w:pStyle w:val="BodyText"/>
      </w:pPr>
    </w:p>
    <w:p w14:paraId="001876ED" w14:textId="5A8C85A0" w:rsidR="00CF5A4B" w:rsidRDefault="00CF5A4B" w:rsidP="00CF5A4B">
      <w:pPr>
        <w:pStyle w:val="BodyText"/>
      </w:pPr>
    </w:p>
    <w:p w14:paraId="54671D30" w14:textId="77777777" w:rsidR="000C209E" w:rsidRDefault="000C209E" w:rsidP="00CF5A4B">
      <w:pPr>
        <w:pStyle w:val="BodyText"/>
      </w:pPr>
    </w:p>
    <w:p w14:paraId="74856C45" w14:textId="77777777" w:rsidR="000C209E" w:rsidRDefault="000C209E" w:rsidP="00CF5A4B">
      <w:pPr>
        <w:pStyle w:val="BodyText"/>
      </w:pPr>
    </w:p>
    <w:p w14:paraId="7B278DBE" w14:textId="77777777" w:rsidR="000C209E" w:rsidRDefault="000C209E" w:rsidP="00CF5A4B">
      <w:pPr>
        <w:pStyle w:val="BodyText"/>
      </w:pPr>
    </w:p>
    <w:p w14:paraId="361B713C" w14:textId="77777777" w:rsidR="000C209E" w:rsidRDefault="000C209E" w:rsidP="00CF5A4B">
      <w:pPr>
        <w:pStyle w:val="BodyText"/>
      </w:pPr>
    </w:p>
    <w:p w14:paraId="3A4DD18A" w14:textId="77777777" w:rsidR="000C209E" w:rsidRDefault="000C209E" w:rsidP="00CF5A4B">
      <w:pPr>
        <w:pStyle w:val="BodyText"/>
      </w:pPr>
    </w:p>
    <w:p w14:paraId="16A2CABB" w14:textId="77777777" w:rsidR="000C209E" w:rsidRDefault="000C209E" w:rsidP="00CF5A4B">
      <w:pPr>
        <w:pStyle w:val="BodyText"/>
      </w:pPr>
    </w:p>
    <w:p w14:paraId="318C6315" w14:textId="77777777" w:rsidR="000C209E" w:rsidRDefault="000C209E" w:rsidP="00CF5A4B">
      <w:pPr>
        <w:pStyle w:val="BodyText"/>
      </w:pPr>
    </w:p>
    <w:p w14:paraId="36E004DF" w14:textId="77777777" w:rsidR="000C209E" w:rsidRDefault="000C209E" w:rsidP="00CF5A4B">
      <w:pPr>
        <w:pStyle w:val="BodyText"/>
      </w:pPr>
    </w:p>
    <w:p w14:paraId="4F66C3CC" w14:textId="77777777" w:rsidR="000C209E" w:rsidRDefault="000C209E" w:rsidP="00CF5A4B">
      <w:pPr>
        <w:pStyle w:val="BodyText"/>
      </w:pPr>
    </w:p>
    <w:p w14:paraId="1D6582A0" w14:textId="77777777" w:rsidR="000C209E" w:rsidRDefault="000C209E" w:rsidP="00CF5A4B">
      <w:pPr>
        <w:pStyle w:val="BodyText"/>
      </w:pPr>
    </w:p>
    <w:p w14:paraId="6FC8AE79" w14:textId="77777777" w:rsidR="000C209E" w:rsidRDefault="000C209E" w:rsidP="00CF5A4B">
      <w:pPr>
        <w:pStyle w:val="BodyText"/>
      </w:pPr>
    </w:p>
    <w:p w14:paraId="5152C736" w14:textId="77777777" w:rsidR="000C209E" w:rsidRDefault="000C209E" w:rsidP="00CF5A4B">
      <w:pPr>
        <w:pStyle w:val="BodyText"/>
      </w:pPr>
    </w:p>
    <w:p w14:paraId="00BEEB3C" w14:textId="77777777" w:rsidR="000C209E" w:rsidRDefault="000C209E" w:rsidP="00CF5A4B">
      <w:pPr>
        <w:pStyle w:val="BodyText"/>
      </w:pPr>
    </w:p>
    <w:p w14:paraId="07EC2762" w14:textId="77777777" w:rsidR="000C209E" w:rsidRDefault="000C209E" w:rsidP="00CF5A4B">
      <w:pPr>
        <w:pStyle w:val="BodyText"/>
      </w:pPr>
    </w:p>
    <w:p w14:paraId="2FD8FC34" w14:textId="77777777" w:rsidR="000C209E" w:rsidRDefault="000C209E" w:rsidP="00CF5A4B">
      <w:pPr>
        <w:pStyle w:val="BodyText"/>
      </w:pPr>
    </w:p>
    <w:p w14:paraId="49D4A2D2" w14:textId="77777777" w:rsidR="000C209E" w:rsidRDefault="000C209E" w:rsidP="00CF5A4B">
      <w:pPr>
        <w:pStyle w:val="BodyText"/>
      </w:pPr>
    </w:p>
    <w:p w14:paraId="5FF8DEC1" w14:textId="77777777" w:rsidR="000C209E" w:rsidRDefault="000C209E" w:rsidP="00CF5A4B">
      <w:pPr>
        <w:pStyle w:val="BodyText"/>
      </w:pPr>
    </w:p>
    <w:p w14:paraId="6646F188" w14:textId="77777777" w:rsidR="000C209E" w:rsidRDefault="000C209E" w:rsidP="00CF5A4B">
      <w:pPr>
        <w:pStyle w:val="BodyText"/>
      </w:pPr>
    </w:p>
    <w:p w14:paraId="669E301A" w14:textId="77777777" w:rsidR="000C209E" w:rsidRDefault="000C209E" w:rsidP="00CF5A4B">
      <w:pPr>
        <w:pStyle w:val="BodyText"/>
      </w:pPr>
    </w:p>
    <w:p w14:paraId="1AA8F87C" w14:textId="77777777" w:rsidR="000C209E" w:rsidRDefault="000C209E" w:rsidP="00CF5A4B">
      <w:pPr>
        <w:pStyle w:val="BodyText"/>
      </w:pPr>
    </w:p>
    <w:p w14:paraId="50BFBD0A" w14:textId="77777777" w:rsidR="000C209E" w:rsidRDefault="000C209E" w:rsidP="00CF5A4B">
      <w:pPr>
        <w:pStyle w:val="BodyText"/>
      </w:pPr>
    </w:p>
    <w:p w14:paraId="0A155CD2" w14:textId="77777777" w:rsidR="000C209E" w:rsidRDefault="000C209E" w:rsidP="00CF5A4B">
      <w:pPr>
        <w:pStyle w:val="BodyText"/>
      </w:pPr>
    </w:p>
    <w:p w14:paraId="5C6B8A52" w14:textId="77777777" w:rsidR="000C209E" w:rsidRDefault="000C209E" w:rsidP="00CF5A4B">
      <w:pPr>
        <w:pStyle w:val="BodyText"/>
      </w:pPr>
    </w:p>
    <w:p w14:paraId="36D69905" w14:textId="4F16AF65" w:rsidR="0030346D" w:rsidRPr="0030346D" w:rsidRDefault="0030346D" w:rsidP="0030346D">
      <w:pPr>
        <w:spacing w:after="160" w:line="259" w:lineRule="auto"/>
        <w:jc w:val="center"/>
        <w:rPr>
          <w:rFonts w:ascii="Aptos" w:eastAsia="Aptos" w:hAnsi="Aptos" w:cs="Times New Roman"/>
          <w:b/>
          <w:bCs/>
          <w:color w:val="auto"/>
          <w:kern w:val="2"/>
          <w:sz w:val="22"/>
          <w:szCs w:val="22"/>
          <w14:ligatures w14:val="standardContextual"/>
        </w:rPr>
      </w:pPr>
      <w:r w:rsidRPr="0030346D">
        <w:rPr>
          <w:rFonts w:ascii="Aptos" w:eastAsia="Aptos" w:hAnsi="Aptos" w:cs="Times New Roman"/>
          <w:b/>
          <w:bCs/>
          <w:color w:val="auto"/>
          <w:kern w:val="2"/>
          <w:sz w:val="22"/>
          <w:szCs w:val="22"/>
          <w14:ligatures w14:val="standardContextual"/>
        </w:rPr>
        <w:lastRenderedPageBreak/>
        <w:t>Attachment A</w:t>
      </w:r>
    </w:p>
    <w:p w14:paraId="08ECFDED" w14:textId="75A0D9F6"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 xml:space="preserve">I am writing to express interest in receiving additional support with my application for RJED Grant Round 3 via advice and support to be provided by a third-party grant writing expert. </w:t>
      </w:r>
    </w:p>
    <w:p w14:paraId="06D628BF" w14:textId="77777777" w:rsidR="000C209E" w:rsidRPr="000C209E" w:rsidRDefault="000C209E" w:rsidP="000C209E">
      <w:pPr>
        <w:spacing w:after="160" w:line="259" w:lineRule="auto"/>
        <w:rPr>
          <w:rFonts w:ascii="Aptos" w:eastAsia="Aptos" w:hAnsi="Aptos" w:cs="Times New Roman"/>
          <w:b/>
          <w:bCs/>
          <w:color w:val="auto"/>
          <w:kern w:val="2"/>
          <w:sz w:val="22"/>
          <w:szCs w:val="22"/>
          <w14:ligatures w14:val="standardContextual"/>
        </w:rPr>
      </w:pPr>
    </w:p>
    <w:p w14:paraId="60E5CAFA" w14:textId="77777777" w:rsidR="000C209E" w:rsidRPr="000C209E" w:rsidRDefault="000C209E" w:rsidP="000C209E">
      <w:pPr>
        <w:spacing w:after="160" w:line="259" w:lineRule="auto"/>
        <w:rPr>
          <w:rFonts w:ascii="Aptos" w:eastAsia="Aptos" w:hAnsi="Aptos" w:cs="Times New Roman"/>
          <w:b/>
          <w:bCs/>
          <w:color w:val="auto"/>
          <w:kern w:val="2"/>
          <w:sz w:val="22"/>
          <w:szCs w:val="22"/>
          <w14:ligatures w14:val="standardContextual"/>
        </w:rPr>
      </w:pPr>
      <w:r w:rsidRPr="000C209E">
        <w:rPr>
          <w:rFonts w:ascii="Aptos" w:eastAsia="Aptos" w:hAnsi="Aptos" w:cs="Times New Roman"/>
          <w:b/>
          <w:bCs/>
          <w:color w:val="auto"/>
          <w:kern w:val="2"/>
          <w:sz w:val="22"/>
          <w:szCs w:val="22"/>
          <w:u w:val="single"/>
          <w14:ligatures w14:val="standardContextual"/>
        </w:rPr>
        <w:t xml:space="preserve">Contact Details: </w:t>
      </w:r>
    </w:p>
    <w:tbl>
      <w:tblPr>
        <w:tblW w:w="0" w:type="auto"/>
        <w:tblCellMar>
          <w:left w:w="0" w:type="dxa"/>
          <w:right w:w="0" w:type="dxa"/>
        </w:tblCellMar>
        <w:tblLook w:val="04A0" w:firstRow="1" w:lastRow="0" w:firstColumn="1" w:lastColumn="0" w:noHBand="0" w:noVBand="1"/>
        <w:tblCaption w:val=""/>
        <w:tblDescription w:val=""/>
      </w:tblPr>
      <w:tblGrid>
        <w:gridCol w:w="4668"/>
        <w:gridCol w:w="4111"/>
      </w:tblGrid>
      <w:tr w:rsidR="000C209E" w:rsidRPr="000C209E" w14:paraId="529BBEEE" w14:textId="77777777" w:rsidTr="008214DC">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A8BD5F"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 xml:space="preserve">Your name </w:t>
            </w:r>
          </w:p>
        </w:tc>
        <w:tc>
          <w:tcPr>
            <w:tcW w:w="4111"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6675DC92" w14:textId="77777777" w:rsidR="000C209E" w:rsidRPr="000C209E" w:rsidRDefault="000C209E" w:rsidP="000C209E">
            <w:pPr>
              <w:spacing w:after="160" w:line="259" w:lineRule="auto"/>
              <w:rPr>
                <w:rFonts w:ascii="Aptos" w:eastAsia="Aptos" w:hAnsi="Aptos" w:cs="Times New Roman"/>
                <w:b/>
                <w:bCs/>
                <w:color w:val="auto"/>
                <w:kern w:val="2"/>
                <w:sz w:val="22"/>
                <w:szCs w:val="22"/>
                <w14:ligatures w14:val="standardContextual"/>
              </w:rPr>
            </w:pPr>
            <w:r w:rsidRPr="000C209E">
              <w:rPr>
                <w:rFonts w:ascii="Aptos" w:eastAsia="Aptos" w:hAnsi="Aptos" w:cs="Times New Roman"/>
                <w:b/>
                <w:bCs/>
                <w:color w:val="auto"/>
                <w:kern w:val="2"/>
                <w:sz w:val="22"/>
                <w:szCs w:val="22"/>
                <w14:ligatures w14:val="standardContextual"/>
              </w:rPr>
              <w:t> </w:t>
            </w:r>
          </w:p>
        </w:tc>
      </w:tr>
      <w:tr w:rsidR="000C209E" w:rsidRPr="000C209E" w14:paraId="47BAD715" w14:textId="77777777" w:rsidTr="008214DC">
        <w:tc>
          <w:tcPr>
            <w:tcW w:w="4668"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BF88DE6"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Organisation name</w:t>
            </w:r>
          </w:p>
        </w:tc>
        <w:tc>
          <w:tcPr>
            <w:tcW w:w="4111" w:type="dxa"/>
            <w:tcBorders>
              <w:top w:val="nil"/>
              <w:left w:val="nil"/>
              <w:bottom w:val="single" w:sz="8" w:space="0" w:color="A3A3A3"/>
              <w:right w:val="single" w:sz="8" w:space="0" w:color="A3A3A3"/>
            </w:tcBorders>
            <w:tcMar>
              <w:top w:w="80" w:type="dxa"/>
              <w:left w:w="80" w:type="dxa"/>
              <w:bottom w:w="80" w:type="dxa"/>
              <w:right w:w="80" w:type="dxa"/>
            </w:tcMar>
            <w:hideMark/>
          </w:tcPr>
          <w:p w14:paraId="49687770" w14:textId="77777777" w:rsidR="000C209E" w:rsidRPr="000C209E" w:rsidRDefault="000C209E" w:rsidP="000C209E">
            <w:pPr>
              <w:spacing w:after="160" w:line="259" w:lineRule="auto"/>
              <w:rPr>
                <w:rFonts w:ascii="Aptos" w:eastAsia="Aptos" w:hAnsi="Aptos" w:cs="Times New Roman"/>
                <w:b/>
                <w:bCs/>
                <w:color w:val="auto"/>
                <w:kern w:val="2"/>
                <w:sz w:val="22"/>
                <w:szCs w:val="22"/>
                <w14:ligatures w14:val="standardContextual"/>
              </w:rPr>
            </w:pPr>
            <w:r w:rsidRPr="000C209E">
              <w:rPr>
                <w:rFonts w:ascii="Aptos" w:eastAsia="Aptos" w:hAnsi="Aptos" w:cs="Times New Roman"/>
                <w:b/>
                <w:bCs/>
                <w:color w:val="auto"/>
                <w:kern w:val="2"/>
                <w:sz w:val="22"/>
                <w:szCs w:val="22"/>
                <w14:ligatures w14:val="standardContextual"/>
              </w:rPr>
              <w:t> </w:t>
            </w:r>
          </w:p>
        </w:tc>
      </w:tr>
      <w:tr w:rsidR="000C209E" w:rsidRPr="000C209E" w14:paraId="088715CD" w14:textId="77777777" w:rsidTr="008214DC">
        <w:tc>
          <w:tcPr>
            <w:tcW w:w="4668"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5DA20D6"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Preferred contact details (email or phone)</w:t>
            </w:r>
          </w:p>
        </w:tc>
        <w:tc>
          <w:tcPr>
            <w:tcW w:w="4111" w:type="dxa"/>
            <w:tcBorders>
              <w:top w:val="nil"/>
              <w:left w:val="nil"/>
              <w:bottom w:val="single" w:sz="8" w:space="0" w:color="A3A3A3"/>
              <w:right w:val="single" w:sz="8" w:space="0" w:color="A3A3A3"/>
            </w:tcBorders>
            <w:tcMar>
              <w:top w:w="80" w:type="dxa"/>
              <w:left w:w="80" w:type="dxa"/>
              <w:bottom w:w="80" w:type="dxa"/>
              <w:right w:w="80" w:type="dxa"/>
            </w:tcMar>
            <w:hideMark/>
          </w:tcPr>
          <w:p w14:paraId="7C2A9445" w14:textId="77777777" w:rsidR="000C209E" w:rsidRPr="000C209E" w:rsidRDefault="000C209E" w:rsidP="000C209E">
            <w:pPr>
              <w:spacing w:after="160" w:line="259" w:lineRule="auto"/>
              <w:rPr>
                <w:rFonts w:ascii="Aptos" w:eastAsia="Aptos" w:hAnsi="Aptos" w:cs="Times New Roman"/>
                <w:b/>
                <w:bCs/>
                <w:color w:val="auto"/>
                <w:kern w:val="2"/>
                <w:sz w:val="22"/>
                <w:szCs w:val="22"/>
                <w14:ligatures w14:val="standardContextual"/>
              </w:rPr>
            </w:pPr>
            <w:r w:rsidRPr="000C209E">
              <w:rPr>
                <w:rFonts w:ascii="Aptos" w:eastAsia="Aptos" w:hAnsi="Aptos" w:cs="Times New Roman"/>
                <w:b/>
                <w:bCs/>
                <w:color w:val="auto"/>
                <w:kern w:val="2"/>
                <w:sz w:val="22"/>
                <w:szCs w:val="22"/>
                <w14:ligatures w14:val="standardContextual"/>
              </w:rPr>
              <w:t> </w:t>
            </w:r>
          </w:p>
        </w:tc>
      </w:tr>
      <w:tr w:rsidR="000C209E" w:rsidRPr="000C209E" w14:paraId="2FC7A0EE" w14:textId="77777777" w:rsidTr="008214DC">
        <w:tc>
          <w:tcPr>
            <w:tcW w:w="4668"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15C2154"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Alternate contact details (email or phone)</w:t>
            </w:r>
          </w:p>
        </w:tc>
        <w:tc>
          <w:tcPr>
            <w:tcW w:w="4111" w:type="dxa"/>
            <w:tcBorders>
              <w:top w:val="nil"/>
              <w:left w:val="nil"/>
              <w:bottom w:val="single" w:sz="8" w:space="0" w:color="A3A3A3"/>
              <w:right w:val="single" w:sz="8" w:space="0" w:color="A3A3A3"/>
            </w:tcBorders>
            <w:tcMar>
              <w:top w:w="80" w:type="dxa"/>
              <w:left w:w="80" w:type="dxa"/>
              <w:bottom w:w="80" w:type="dxa"/>
              <w:right w:w="80" w:type="dxa"/>
            </w:tcMar>
            <w:hideMark/>
          </w:tcPr>
          <w:p w14:paraId="067774C7" w14:textId="77777777" w:rsidR="000C209E" w:rsidRPr="000C209E" w:rsidRDefault="000C209E" w:rsidP="000C209E">
            <w:pPr>
              <w:spacing w:after="160" w:line="259" w:lineRule="auto"/>
              <w:rPr>
                <w:rFonts w:ascii="Aptos" w:eastAsia="Aptos" w:hAnsi="Aptos" w:cs="Times New Roman"/>
                <w:b/>
                <w:bCs/>
                <w:color w:val="auto"/>
                <w:kern w:val="2"/>
                <w:sz w:val="22"/>
                <w:szCs w:val="22"/>
                <w14:ligatures w14:val="standardContextual"/>
              </w:rPr>
            </w:pPr>
            <w:r w:rsidRPr="000C209E">
              <w:rPr>
                <w:rFonts w:ascii="Aptos" w:eastAsia="Aptos" w:hAnsi="Aptos" w:cs="Times New Roman"/>
                <w:b/>
                <w:bCs/>
                <w:color w:val="auto"/>
                <w:kern w:val="2"/>
                <w:sz w:val="22"/>
                <w:szCs w:val="22"/>
                <w14:ligatures w14:val="standardContextual"/>
              </w:rPr>
              <w:t> </w:t>
            </w:r>
          </w:p>
        </w:tc>
      </w:tr>
    </w:tbl>
    <w:p w14:paraId="18758B80" w14:textId="77777777" w:rsidR="000C209E" w:rsidRPr="000C209E" w:rsidRDefault="000C209E" w:rsidP="000C209E">
      <w:pPr>
        <w:spacing w:after="160" w:line="259" w:lineRule="auto"/>
        <w:rPr>
          <w:rFonts w:ascii="Aptos" w:eastAsia="Aptos" w:hAnsi="Aptos" w:cs="Times New Roman"/>
          <w:b/>
          <w:bCs/>
          <w:color w:val="auto"/>
          <w:kern w:val="2"/>
          <w:sz w:val="22"/>
          <w:szCs w:val="22"/>
          <w14:ligatures w14:val="standardContextual"/>
        </w:rPr>
      </w:pPr>
    </w:p>
    <w:p w14:paraId="70757A73" w14:textId="77777777" w:rsidR="000C209E" w:rsidRPr="000C209E" w:rsidRDefault="000C209E" w:rsidP="000C209E">
      <w:pPr>
        <w:spacing w:after="160" w:line="259" w:lineRule="auto"/>
        <w:rPr>
          <w:rFonts w:ascii="Aptos" w:eastAsia="Aptos" w:hAnsi="Aptos" w:cs="Times New Roman"/>
          <w:b/>
          <w:bCs/>
          <w:color w:val="auto"/>
          <w:kern w:val="2"/>
          <w:sz w:val="22"/>
          <w:szCs w:val="22"/>
          <w14:ligatures w14:val="standardContextual"/>
        </w:rPr>
      </w:pPr>
      <w:r w:rsidRPr="000C209E">
        <w:rPr>
          <w:rFonts w:ascii="Aptos" w:eastAsia="Aptos" w:hAnsi="Aptos" w:cs="Times New Roman"/>
          <w:b/>
          <w:bCs/>
          <w:color w:val="auto"/>
          <w:kern w:val="2"/>
          <w:sz w:val="22"/>
          <w:szCs w:val="22"/>
          <w:u w:val="single"/>
          <w14:ligatures w14:val="standardContextual"/>
        </w:rPr>
        <w:t xml:space="preserve">Declaration and consent: </w:t>
      </w:r>
    </w:p>
    <w:tbl>
      <w:tblPr>
        <w:tblW w:w="0" w:type="auto"/>
        <w:tblCellMar>
          <w:left w:w="0" w:type="dxa"/>
          <w:right w:w="0" w:type="dxa"/>
        </w:tblCellMar>
        <w:tblLook w:val="04A0" w:firstRow="1" w:lastRow="0" w:firstColumn="1" w:lastColumn="0" w:noHBand="0" w:noVBand="1"/>
        <w:tblCaption w:val=""/>
        <w:tblDescription w:val=""/>
      </w:tblPr>
      <w:tblGrid>
        <w:gridCol w:w="5802"/>
        <w:gridCol w:w="2977"/>
      </w:tblGrid>
      <w:tr w:rsidR="000C209E" w:rsidRPr="000C209E" w14:paraId="43A9B52A" w14:textId="77777777" w:rsidTr="00832CC8">
        <w:tc>
          <w:tcPr>
            <w:tcW w:w="58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E77C85"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 xml:space="preserve">I declare that my organisation meets </w:t>
            </w:r>
            <w:proofErr w:type="gramStart"/>
            <w:r w:rsidRPr="000C209E">
              <w:rPr>
                <w:rFonts w:ascii="Aptos" w:eastAsia="Aptos" w:hAnsi="Aptos" w:cs="Times New Roman"/>
                <w:color w:val="auto"/>
                <w:kern w:val="2"/>
                <w:sz w:val="22"/>
                <w:szCs w:val="22"/>
                <w14:ligatures w14:val="standardContextual"/>
              </w:rPr>
              <w:t>all of</w:t>
            </w:r>
            <w:proofErr w:type="gramEnd"/>
            <w:r w:rsidRPr="000C209E">
              <w:rPr>
                <w:rFonts w:ascii="Aptos" w:eastAsia="Aptos" w:hAnsi="Aptos" w:cs="Times New Roman"/>
                <w:color w:val="auto"/>
                <w:kern w:val="2"/>
                <w:sz w:val="22"/>
                <w:szCs w:val="22"/>
                <w14:ligatures w14:val="standardContextual"/>
              </w:rPr>
              <w:t xml:space="preserve"> the criteria to be an eligible organisation for the purposes of the RJED program as outlined in Section 4.1 of the Grant Opportunity Guidelines</w:t>
            </w:r>
          </w:p>
        </w:tc>
        <w:tc>
          <w:tcPr>
            <w:tcW w:w="2977"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7CA0E623"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Yes/No</w:t>
            </w:r>
          </w:p>
        </w:tc>
      </w:tr>
      <w:tr w:rsidR="000C209E" w:rsidRPr="000C209E" w14:paraId="015457B3" w14:textId="77777777" w:rsidTr="00832CC8">
        <w:tc>
          <w:tcPr>
            <w:tcW w:w="5802"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097EE30"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I declare that my organisation employs less than 50 employees</w:t>
            </w:r>
          </w:p>
        </w:tc>
        <w:tc>
          <w:tcPr>
            <w:tcW w:w="2977" w:type="dxa"/>
            <w:tcBorders>
              <w:top w:val="nil"/>
              <w:left w:val="nil"/>
              <w:bottom w:val="single" w:sz="8" w:space="0" w:color="A3A3A3"/>
              <w:right w:val="single" w:sz="8" w:space="0" w:color="A3A3A3"/>
            </w:tcBorders>
            <w:tcMar>
              <w:top w:w="80" w:type="dxa"/>
              <w:left w:w="80" w:type="dxa"/>
              <w:bottom w:w="80" w:type="dxa"/>
              <w:right w:w="80" w:type="dxa"/>
            </w:tcMar>
            <w:hideMark/>
          </w:tcPr>
          <w:p w14:paraId="3F9990C9"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Yes/No</w:t>
            </w:r>
          </w:p>
        </w:tc>
      </w:tr>
      <w:tr w:rsidR="000C209E" w:rsidRPr="000C209E" w14:paraId="20189B8C" w14:textId="77777777" w:rsidTr="00832CC8">
        <w:tc>
          <w:tcPr>
            <w:tcW w:w="5802"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BB517FD"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I declare that my organisation reports an aggregated turnover of less than $10 million</w:t>
            </w:r>
          </w:p>
        </w:tc>
        <w:tc>
          <w:tcPr>
            <w:tcW w:w="2977" w:type="dxa"/>
            <w:tcBorders>
              <w:top w:val="nil"/>
              <w:left w:val="nil"/>
              <w:bottom w:val="single" w:sz="8" w:space="0" w:color="A3A3A3"/>
              <w:right w:val="single" w:sz="8" w:space="0" w:color="A3A3A3"/>
            </w:tcBorders>
            <w:tcMar>
              <w:top w:w="80" w:type="dxa"/>
              <w:left w:w="80" w:type="dxa"/>
              <w:bottom w:w="80" w:type="dxa"/>
              <w:right w:w="80" w:type="dxa"/>
            </w:tcMar>
            <w:hideMark/>
          </w:tcPr>
          <w:p w14:paraId="0D6613F7"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Yes/No</w:t>
            </w:r>
          </w:p>
        </w:tc>
      </w:tr>
      <w:tr w:rsidR="000C209E" w:rsidRPr="000C209E" w14:paraId="5EDB9B79" w14:textId="77777777" w:rsidTr="00832CC8">
        <w:tc>
          <w:tcPr>
            <w:tcW w:w="5802"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B141D84" w14:textId="77777777" w:rsidR="000C209E" w:rsidRPr="000C209E" w:rsidRDefault="000C209E" w:rsidP="000C209E">
            <w:pPr>
              <w:spacing w:after="160" w:line="259" w:lineRule="auto"/>
              <w:rPr>
                <w:rFonts w:ascii="Aptos" w:eastAsia="Aptos" w:hAnsi="Aptos" w:cs="Times New Roman"/>
                <w:color w:val="auto"/>
                <w:kern w:val="2"/>
                <w:sz w:val="22"/>
                <w:szCs w:val="22"/>
                <w:lang w:val="en-GB"/>
                <w14:ligatures w14:val="standardContextual"/>
              </w:rPr>
            </w:pPr>
            <w:r w:rsidRPr="000C209E">
              <w:rPr>
                <w:rFonts w:ascii="Aptos" w:eastAsia="Aptos" w:hAnsi="Aptos" w:cs="Times New Roman"/>
                <w:color w:val="auto"/>
                <w:kern w:val="2"/>
                <w:sz w:val="22"/>
                <w:szCs w:val="22"/>
                <w14:ligatures w14:val="standardContextual"/>
              </w:rPr>
              <w:t xml:space="preserve">I consent to the NIAA disclosing my personal information </w:t>
            </w:r>
            <w:r w:rsidRPr="000C209E">
              <w:rPr>
                <w:rFonts w:ascii="Aptos" w:eastAsia="Aptos" w:hAnsi="Aptos" w:cs="Times New Roman"/>
                <w:color w:val="auto"/>
                <w:kern w:val="2"/>
                <w:sz w:val="22"/>
                <w:szCs w:val="22"/>
                <w:lang w:val="en-GB"/>
                <w14:ligatures w14:val="standardContextual"/>
              </w:rPr>
              <w:t>(name, work organisation and contact information) to the third-party service providers listed below so they may contact me about accessing their RJED grant writing support services</w:t>
            </w:r>
          </w:p>
        </w:tc>
        <w:tc>
          <w:tcPr>
            <w:tcW w:w="2977" w:type="dxa"/>
            <w:tcBorders>
              <w:top w:val="nil"/>
              <w:left w:val="nil"/>
              <w:bottom w:val="single" w:sz="8" w:space="0" w:color="A3A3A3"/>
              <w:right w:val="single" w:sz="8" w:space="0" w:color="A3A3A3"/>
            </w:tcBorders>
            <w:tcMar>
              <w:top w:w="80" w:type="dxa"/>
              <w:left w:w="80" w:type="dxa"/>
              <w:bottom w:w="80" w:type="dxa"/>
              <w:right w:w="80" w:type="dxa"/>
            </w:tcMar>
            <w:hideMark/>
          </w:tcPr>
          <w:p w14:paraId="7DBD365D"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Yes/No</w:t>
            </w:r>
          </w:p>
        </w:tc>
      </w:tr>
      <w:tr w:rsidR="000C209E" w:rsidRPr="000C209E" w14:paraId="186216C2" w14:textId="77777777" w:rsidTr="00832CC8">
        <w:tc>
          <w:tcPr>
            <w:tcW w:w="5802"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29E85D61"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 xml:space="preserve">I understand that while I have an opportunity to nominate a preferred provider, NIAA will allocate work to the third-party service providers listed below </w:t>
            </w:r>
            <w:proofErr w:type="gramStart"/>
            <w:r w:rsidRPr="000C209E">
              <w:rPr>
                <w:rFonts w:ascii="Aptos" w:eastAsia="Aptos" w:hAnsi="Aptos" w:cs="Times New Roman"/>
                <w:color w:val="auto"/>
                <w:kern w:val="2"/>
                <w:sz w:val="22"/>
                <w:szCs w:val="22"/>
                <w14:ligatures w14:val="standardContextual"/>
              </w:rPr>
              <w:t>taking into account</w:t>
            </w:r>
            <w:proofErr w:type="gramEnd"/>
            <w:r w:rsidRPr="000C209E">
              <w:rPr>
                <w:rFonts w:ascii="Aptos" w:eastAsia="Aptos" w:hAnsi="Aptos" w:cs="Times New Roman"/>
                <w:color w:val="auto"/>
                <w:kern w:val="2"/>
                <w:sz w:val="22"/>
                <w:szCs w:val="22"/>
                <w14:ligatures w14:val="standardContextual"/>
              </w:rPr>
              <w:t xml:space="preserve"> a variety of factors and my preference may not always be able to be supported. </w:t>
            </w:r>
          </w:p>
        </w:tc>
        <w:tc>
          <w:tcPr>
            <w:tcW w:w="2977" w:type="dxa"/>
            <w:tcBorders>
              <w:top w:val="nil"/>
              <w:left w:val="nil"/>
              <w:bottom w:val="single" w:sz="8" w:space="0" w:color="A3A3A3"/>
              <w:right w:val="single" w:sz="8" w:space="0" w:color="A3A3A3"/>
            </w:tcBorders>
            <w:tcMar>
              <w:top w:w="80" w:type="dxa"/>
              <w:left w:w="80" w:type="dxa"/>
              <w:bottom w:w="80" w:type="dxa"/>
              <w:right w:w="80" w:type="dxa"/>
            </w:tcMar>
          </w:tcPr>
          <w:p w14:paraId="525325B5"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Yes/No</w:t>
            </w:r>
          </w:p>
          <w:p w14:paraId="5ADA77EE"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p>
          <w:p w14:paraId="0A37C3E0"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Name of preferred provider OR ‘no preference’</w:t>
            </w:r>
          </w:p>
        </w:tc>
      </w:tr>
      <w:tr w:rsidR="000C209E" w:rsidRPr="000C209E" w14:paraId="4242C912" w14:textId="77777777" w:rsidTr="00832CC8">
        <w:tc>
          <w:tcPr>
            <w:tcW w:w="5802"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60FD4AA"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I understand that grant writing support service providers are contracted by NIAA to provide no more than 5 hours support per applicant (unless agreed in writing), and that they will provide advice and mentoring only – they may not write the grant on behalf of an organisation.</w:t>
            </w:r>
          </w:p>
        </w:tc>
        <w:tc>
          <w:tcPr>
            <w:tcW w:w="2977" w:type="dxa"/>
            <w:tcBorders>
              <w:top w:val="nil"/>
              <w:left w:val="nil"/>
              <w:bottom w:val="single" w:sz="8" w:space="0" w:color="A3A3A3"/>
              <w:right w:val="single" w:sz="8" w:space="0" w:color="A3A3A3"/>
            </w:tcBorders>
            <w:tcMar>
              <w:top w:w="80" w:type="dxa"/>
              <w:left w:w="80" w:type="dxa"/>
              <w:bottom w:w="80" w:type="dxa"/>
              <w:right w:w="80" w:type="dxa"/>
            </w:tcMar>
            <w:hideMark/>
          </w:tcPr>
          <w:p w14:paraId="285E3C79"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Yes/No</w:t>
            </w:r>
          </w:p>
        </w:tc>
      </w:tr>
    </w:tbl>
    <w:p w14:paraId="09A61031" w14:textId="77777777" w:rsidR="000C209E" w:rsidRPr="000C209E" w:rsidRDefault="000C209E" w:rsidP="000C209E">
      <w:pPr>
        <w:spacing w:after="160" w:line="259" w:lineRule="auto"/>
        <w:jc w:val="center"/>
        <w:rPr>
          <w:rFonts w:ascii="Aptos" w:eastAsia="Aptos" w:hAnsi="Aptos" w:cs="Times New Roman"/>
          <w:b/>
          <w:bCs/>
          <w:color w:val="auto"/>
          <w:kern w:val="2"/>
          <w:sz w:val="22"/>
          <w:szCs w:val="22"/>
          <w14:ligatures w14:val="standardContextual"/>
        </w:rPr>
      </w:pPr>
      <w:r w:rsidRPr="000C209E">
        <w:rPr>
          <w:rFonts w:ascii="Aptos" w:eastAsia="Aptos" w:hAnsi="Aptos" w:cs="Times New Roman"/>
          <w:b/>
          <w:bCs/>
          <w:color w:val="auto"/>
          <w:kern w:val="2"/>
          <w:sz w:val="22"/>
          <w:szCs w:val="22"/>
          <w14:ligatures w14:val="standardContextual"/>
        </w:rPr>
        <w:lastRenderedPageBreak/>
        <w:t>PRIVACY NOTICE</w:t>
      </w:r>
    </w:p>
    <w:p w14:paraId="42C7D608"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r w:rsidRPr="000C209E">
        <w:rPr>
          <w:rFonts w:ascii="Aptos" w:eastAsia="Aptos" w:hAnsi="Aptos" w:cs="Times New Roman"/>
          <w:color w:val="auto"/>
          <w:kern w:val="2"/>
          <w:sz w:val="22"/>
          <w:szCs w:val="22"/>
          <w14:ligatures w14:val="standardContextual"/>
        </w:rPr>
        <w:t xml:space="preserve">Your personal information is protected by law, including the </w:t>
      </w:r>
      <w:r w:rsidRPr="000C209E">
        <w:rPr>
          <w:rFonts w:ascii="Aptos" w:eastAsia="Aptos" w:hAnsi="Aptos" w:cs="Times New Roman"/>
          <w:i/>
          <w:iCs/>
          <w:color w:val="auto"/>
          <w:kern w:val="2"/>
          <w:sz w:val="22"/>
          <w:szCs w:val="22"/>
          <w:lang w:val="en-GB"/>
          <w14:ligatures w14:val="standardContextual"/>
        </w:rPr>
        <w:t xml:space="preserve">Privacy Act 1988 </w:t>
      </w:r>
      <w:r w:rsidRPr="000C209E">
        <w:rPr>
          <w:rFonts w:ascii="Aptos" w:eastAsia="Aptos" w:hAnsi="Aptos" w:cs="Times New Roman"/>
          <w:color w:val="auto"/>
          <w:kern w:val="2"/>
          <w:sz w:val="22"/>
          <w:szCs w:val="22"/>
          <w:lang w:val="en-GB"/>
          <w14:ligatures w14:val="standardContextual"/>
        </w:rPr>
        <w:t>(</w:t>
      </w:r>
      <w:proofErr w:type="spellStart"/>
      <w:r w:rsidRPr="000C209E">
        <w:rPr>
          <w:rFonts w:ascii="Aptos" w:eastAsia="Aptos" w:hAnsi="Aptos" w:cs="Times New Roman"/>
          <w:color w:val="auto"/>
          <w:kern w:val="2"/>
          <w:sz w:val="22"/>
          <w:szCs w:val="22"/>
          <w:lang w:val="en-GB"/>
          <w14:ligatures w14:val="standardContextual"/>
        </w:rPr>
        <w:t>Cth</w:t>
      </w:r>
      <w:proofErr w:type="spellEnd"/>
      <w:r w:rsidRPr="000C209E">
        <w:rPr>
          <w:rFonts w:ascii="Aptos" w:eastAsia="Aptos" w:hAnsi="Aptos" w:cs="Times New Roman"/>
          <w:color w:val="auto"/>
          <w:kern w:val="2"/>
          <w:sz w:val="22"/>
          <w:szCs w:val="22"/>
          <w:lang w:val="en-GB"/>
          <w14:ligatures w14:val="standardContextual"/>
        </w:rPr>
        <w:t xml:space="preserve">) and the Australian Privacy Principles. This Privacy Notice describes how the National Indigenous Australians Agency (Agency) handles your personal information. </w:t>
      </w:r>
    </w:p>
    <w:p w14:paraId="076ACD85"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p>
    <w:p w14:paraId="275B2E46" w14:textId="77777777" w:rsidR="000C209E" w:rsidRPr="000C209E" w:rsidRDefault="000C209E" w:rsidP="000C209E">
      <w:pPr>
        <w:spacing w:after="0" w:line="240" w:lineRule="auto"/>
        <w:rPr>
          <w:rFonts w:ascii="Aptos" w:eastAsia="Aptos" w:hAnsi="Aptos" w:cs="Times New Roman"/>
          <w:color w:val="auto"/>
          <w:kern w:val="2"/>
          <w:sz w:val="22"/>
          <w:szCs w:val="22"/>
          <w:u w:val="single"/>
          <w:lang w:val="en-GB"/>
          <w14:ligatures w14:val="standardContextual"/>
        </w:rPr>
      </w:pPr>
      <w:r w:rsidRPr="000C209E">
        <w:rPr>
          <w:rFonts w:ascii="Aptos" w:eastAsia="Aptos" w:hAnsi="Aptos" w:cs="Times New Roman"/>
          <w:color w:val="auto"/>
          <w:kern w:val="2"/>
          <w:sz w:val="22"/>
          <w:szCs w:val="22"/>
          <w:u w:val="single"/>
          <w:lang w:val="en-GB"/>
          <w14:ligatures w14:val="standardContextual"/>
        </w:rPr>
        <w:t>How and why do we collect your personal information?</w:t>
      </w:r>
    </w:p>
    <w:p w14:paraId="700B0DCA"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r w:rsidRPr="000C209E">
        <w:rPr>
          <w:rFonts w:ascii="Aptos" w:eastAsia="Aptos" w:hAnsi="Aptos" w:cs="Times New Roman"/>
          <w:color w:val="auto"/>
          <w:kern w:val="2"/>
          <w:sz w:val="22"/>
          <w:szCs w:val="22"/>
          <w:lang w:val="en-GB"/>
          <w14:ligatures w14:val="standardContextual"/>
        </w:rPr>
        <w:t xml:space="preserve">The Agency collects your personal information (name, work organisation and contact information) so you can access Remote Jobs and Economic Development (RJED) grant writing support services from one of our </w:t>
      </w:r>
      <w:proofErr w:type="gramStart"/>
      <w:r w:rsidRPr="000C209E">
        <w:rPr>
          <w:rFonts w:ascii="Aptos" w:eastAsia="Aptos" w:hAnsi="Aptos" w:cs="Times New Roman"/>
          <w:color w:val="auto"/>
          <w:kern w:val="2"/>
          <w:sz w:val="22"/>
          <w:szCs w:val="22"/>
          <w:lang w:val="en-GB"/>
          <w14:ligatures w14:val="standardContextual"/>
        </w:rPr>
        <w:t>third party</w:t>
      </w:r>
      <w:proofErr w:type="gramEnd"/>
      <w:r w:rsidRPr="000C209E">
        <w:rPr>
          <w:rFonts w:ascii="Aptos" w:eastAsia="Aptos" w:hAnsi="Aptos" w:cs="Times New Roman"/>
          <w:color w:val="auto"/>
          <w:kern w:val="2"/>
          <w:sz w:val="22"/>
          <w:szCs w:val="22"/>
          <w:lang w:val="en-GB"/>
          <w14:ligatures w14:val="standardContextual"/>
        </w:rPr>
        <w:t xml:space="preserve"> providers. These third party provides must comply with strict privacy and information security obligations in their contracts with the Agency. </w:t>
      </w:r>
    </w:p>
    <w:p w14:paraId="731D00D5"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p>
    <w:p w14:paraId="3AB5CE5C"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r w:rsidRPr="000C209E">
        <w:rPr>
          <w:rFonts w:ascii="Aptos" w:eastAsia="Aptos" w:hAnsi="Aptos" w:cs="Times New Roman"/>
          <w:color w:val="auto"/>
          <w:kern w:val="2"/>
          <w:sz w:val="22"/>
          <w:szCs w:val="22"/>
          <w:lang w:val="en-GB"/>
          <w14:ligatures w14:val="standardContextual"/>
        </w:rPr>
        <w:t xml:space="preserve">The Agency collects this information from you when you complete this expression of interest form. </w:t>
      </w:r>
    </w:p>
    <w:p w14:paraId="6BBA774F"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p>
    <w:p w14:paraId="6B80145F" w14:textId="77777777" w:rsidR="000C209E" w:rsidRPr="000C209E" w:rsidRDefault="000C209E" w:rsidP="000C209E">
      <w:pPr>
        <w:spacing w:after="0" w:line="240" w:lineRule="auto"/>
        <w:rPr>
          <w:rFonts w:ascii="Aptos" w:eastAsia="Aptos" w:hAnsi="Aptos" w:cs="Times New Roman"/>
          <w:color w:val="auto"/>
          <w:kern w:val="2"/>
          <w:sz w:val="22"/>
          <w:szCs w:val="22"/>
          <w:u w:val="single"/>
          <w:lang w:val="en-GB"/>
          <w14:ligatures w14:val="standardContextual"/>
        </w:rPr>
      </w:pPr>
      <w:r w:rsidRPr="000C209E">
        <w:rPr>
          <w:rFonts w:ascii="Aptos" w:eastAsia="Aptos" w:hAnsi="Aptos" w:cs="Times New Roman"/>
          <w:color w:val="auto"/>
          <w:kern w:val="2"/>
          <w:sz w:val="22"/>
          <w:szCs w:val="22"/>
          <w:u w:val="single"/>
          <w:lang w:val="en-GB"/>
          <w14:ligatures w14:val="standardContextual"/>
        </w:rPr>
        <w:t>How do we use and disclose your personal information?</w:t>
      </w:r>
    </w:p>
    <w:p w14:paraId="2B9A7853"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r w:rsidRPr="000C209E">
        <w:rPr>
          <w:rFonts w:ascii="Aptos" w:eastAsia="Aptos" w:hAnsi="Aptos" w:cs="Times New Roman"/>
          <w:color w:val="auto"/>
          <w:kern w:val="2"/>
          <w:sz w:val="22"/>
          <w:szCs w:val="22"/>
          <w:lang w:val="en-GB"/>
          <w14:ligatures w14:val="standardContextual"/>
        </w:rPr>
        <w:t xml:space="preserve">The Agency may disclose your personal information to one or more of the following </w:t>
      </w:r>
      <w:proofErr w:type="gramStart"/>
      <w:r w:rsidRPr="000C209E">
        <w:rPr>
          <w:rFonts w:ascii="Aptos" w:eastAsia="Aptos" w:hAnsi="Aptos" w:cs="Times New Roman"/>
          <w:color w:val="auto"/>
          <w:kern w:val="2"/>
          <w:sz w:val="22"/>
          <w:szCs w:val="22"/>
          <w:lang w:val="en-GB"/>
          <w14:ligatures w14:val="standardContextual"/>
        </w:rPr>
        <w:t>third party</w:t>
      </w:r>
      <w:proofErr w:type="gramEnd"/>
      <w:r w:rsidRPr="000C209E">
        <w:rPr>
          <w:rFonts w:ascii="Aptos" w:eastAsia="Aptos" w:hAnsi="Aptos" w:cs="Times New Roman"/>
          <w:color w:val="auto"/>
          <w:kern w:val="2"/>
          <w:sz w:val="22"/>
          <w:szCs w:val="22"/>
          <w:lang w:val="en-GB"/>
          <w14:ligatures w14:val="standardContextual"/>
        </w:rPr>
        <w:t xml:space="preserve"> providers:</w:t>
      </w:r>
    </w:p>
    <w:p w14:paraId="6006CCB6" w14:textId="77777777" w:rsidR="000C209E" w:rsidRPr="000C209E" w:rsidRDefault="000C209E" w:rsidP="000C209E">
      <w:pPr>
        <w:numPr>
          <w:ilvl w:val="0"/>
          <w:numId w:val="35"/>
        </w:numPr>
        <w:spacing w:after="0" w:line="240" w:lineRule="auto"/>
        <w:rPr>
          <w:rFonts w:ascii="Aptos" w:eastAsia="Aptos" w:hAnsi="Aptos" w:cs="Times New Roman"/>
          <w:color w:val="auto"/>
          <w:kern w:val="2"/>
          <w:sz w:val="22"/>
          <w:szCs w:val="22"/>
          <w:lang w:val="en-GB"/>
          <w14:ligatures w14:val="standardContextual"/>
        </w:rPr>
      </w:pPr>
      <w:proofErr w:type="spellStart"/>
      <w:r w:rsidRPr="000C209E">
        <w:rPr>
          <w:rFonts w:ascii="Aptos" w:eastAsia="Aptos" w:hAnsi="Aptos" w:cs="Times New Roman"/>
          <w:color w:val="auto"/>
          <w:kern w:val="2"/>
          <w:sz w:val="22"/>
          <w:szCs w:val="22"/>
          <w14:ligatures w14:val="standardContextual"/>
        </w:rPr>
        <w:t>Blax</w:t>
      </w:r>
      <w:proofErr w:type="spellEnd"/>
      <w:r w:rsidRPr="000C209E">
        <w:rPr>
          <w:rFonts w:ascii="Aptos" w:eastAsia="Aptos" w:hAnsi="Aptos" w:cs="Times New Roman"/>
          <w:color w:val="auto"/>
          <w:kern w:val="2"/>
          <w:sz w:val="22"/>
          <w:szCs w:val="22"/>
          <w14:ligatures w14:val="standardContextual"/>
        </w:rPr>
        <w:t xml:space="preserve"> Capital Pty Ltd</w:t>
      </w:r>
    </w:p>
    <w:p w14:paraId="7FE843AC" w14:textId="77777777" w:rsidR="000C209E" w:rsidRPr="000C209E" w:rsidRDefault="000C209E" w:rsidP="000C209E">
      <w:pPr>
        <w:numPr>
          <w:ilvl w:val="0"/>
          <w:numId w:val="35"/>
        </w:numPr>
        <w:spacing w:after="0" w:line="240" w:lineRule="auto"/>
        <w:rPr>
          <w:rFonts w:ascii="Aptos" w:eastAsia="Aptos" w:hAnsi="Aptos" w:cs="Times New Roman"/>
          <w:color w:val="auto"/>
          <w:kern w:val="2"/>
          <w:sz w:val="22"/>
          <w:szCs w:val="22"/>
          <w:lang w:val="en-GB"/>
          <w14:ligatures w14:val="standardContextual"/>
        </w:rPr>
      </w:pPr>
      <w:proofErr w:type="spellStart"/>
      <w:r w:rsidRPr="000C209E">
        <w:rPr>
          <w:rFonts w:ascii="Aptos" w:eastAsia="Aptos" w:hAnsi="Aptos" w:cs="Times New Roman"/>
          <w:color w:val="auto"/>
          <w:kern w:val="2"/>
          <w:sz w:val="22"/>
          <w:szCs w:val="22"/>
          <w14:ligatures w14:val="standardContextual"/>
        </w:rPr>
        <w:t>Mahjae</w:t>
      </w:r>
      <w:proofErr w:type="spellEnd"/>
      <w:r w:rsidRPr="000C209E">
        <w:rPr>
          <w:rFonts w:ascii="Aptos" w:eastAsia="Aptos" w:hAnsi="Aptos" w:cs="Times New Roman"/>
          <w:color w:val="auto"/>
          <w:kern w:val="2"/>
          <w:sz w:val="22"/>
          <w:szCs w:val="22"/>
          <w14:ligatures w14:val="standardContextual"/>
        </w:rPr>
        <w:t xml:space="preserve"> Pty Ltd (trading as Whitney Consulting) </w:t>
      </w:r>
    </w:p>
    <w:p w14:paraId="0C790A5C" w14:textId="77777777" w:rsidR="000C209E" w:rsidRPr="000C209E" w:rsidRDefault="000C209E" w:rsidP="000C209E">
      <w:pPr>
        <w:numPr>
          <w:ilvl w:val="0"/>
          <w:numId w:val="35"/>
        </w:numPr>
        <w:spacing w:after="0" w:line="240" w:lineRule="auto"/>
        <w:rPr>
          <w:rFonts w:ascii="Aptos" w:eastAsia="Aptos" w:hAnsi="Aptos" w:cs="Times New Roman"/>
          <w:color w:val="auto"/>
          <w:kern w:val="2"/>
          <w:sz w:val="22"/>
          <w:szCs w:val="22"/>
          <w:lang w:val="en-GB"/>
          <w14:ligatures w14:val="standardContextual"/>
        </w:rPr>
      </w:pPr>
      <w:r w:rsidRPr="000C209E">
        <w:rPr>
          <w:rFonts w:ascii="Aptos" w:eastAsia="Aptos" w:hAnsi="Aptos" w:cs="Times New Roman"/>
          <w:color w:val="auto"/>
          <w:kern w:val="2"/>
          <w:sz w:val="22"/>
          <w:szCs w:val="22"/>
          <w14:ligatures w14:val="standardContextual"/>
        </w:rPr>
        <w:t>Morris &amp; Piper Advisory Pty Ltd</w:t>
      </w:r>
    </w:p>
    <w:p w14:paraId="1A8F1C0E"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p>
    <w:p w14:paraId="7F33F423"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r w:rsidRPr="000C209E">
        <w:rPr>
          <w:rFonts w:ascii="Aptos" w:eastAsia="Aptos" w:hAnsi="Aptos" w:cs="Times New Roman"/>
          <w:color w:val="auto"/>
          <w:kern w:val="2"/>
          <w:sz w:val="22"/>
          <w:szCs w:val="22"/>
          <w:lang w:val="en-GB"/>
          <w14:ligatures w14:val="standardContextual"/>
        </w:rPr>
        <w:t xml:space="preserve">It is unlikely the NIAA or the </w:t>
      </w:r>
      <w:proofErr w:type="gramStart"/>
      <w:r w:rsidRPr="000C209E">
        <w:rPr>
          <w:rFonts w:ascii="Aptos" w:eastAsia="Aptos" w:hAnsi="Aptos" w:cs="Times New Roman"/>
          <w:color w:val="auto"/>
          <w:kern w:val="2"/>
          <w:sz w:val="22"/>
          <w:szCs w:val="22"/>
          <w:lang w:val="en-GB"/>
          <w14:ligatures w14:val="standardContextual"/>
        </w:rPr>
        <w:t>third party</w:t>
      </w:r>
      <w:proofErr w:type="gramEnd"/>
      <w:r w:rsidRPr="000C209E">
        <w:rPr>
          <w:rFonts w:ascii="Aptos" w:eastAsia="Aptos" w:hAnsi="Aptos" w:cs="Times New Roman"/>
          <w:color w:val="auto"/>
          <w:kern w:val="2"/>
          <w:sz w:val="22"/>
          <w:szCs w:val="22"/>
          <w:lang w:val="en-GB"/>
          <w14:ligatures w14:val="standardContextual"/>
        </w:rPr>
        <w:t xml:space="preserve"> providers will disclose your personal information overseas.</w:t>
      </w:r>
    </w:p>
    <w:p w14:paraId="0729E59E"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p>
    <w:p w14:paraId="6D5A9E76" w14:textId="77777777" w:rsidR="000C209E" w:rsidRPr="000C209E" w:rsidRDefault="000C209E" w:rsidP="000C209E">
      <w:pPr>
        <w:spacing w:after="0" w:line="240" w:lineRule="auto"/>
        <w:rPr>
          <w:rFonts w:ascii="Aptos" w:eastAsia="Aptos" w:hAnsi="Aptos" w:cs="Times New Roman"/>
          <w:color w:val="auto"/>
          <w:kern w:val="2"/>
          <w:sz w:val="22"/>
          <w:szCs w:val="22"/>
          <w:u w:val="single"/>
          <w:lang w:val="en-GB"/>
          <w14:ligatures w14:val="standardContextual"/>
        </w:rPr>
      </w:pPr>
      <w:r w:rsidRPr="000C209E">
        <w:rPr>
          <w:rFonts w:ascii="Aptos" w:eastAsia="Aptos" w:hAnsi="Aptos" w:cs="Times New Roman"/>
          <w:color w:val="auto"/>
          <w:kern w:val="2"/>
          <w:sz w:val="22"/>
          <w:szCs w:val="22"/>
          <w:u w:val="single"/>
          <w:lang w:val="en-GB"/>
          <w14:ligatures w14:val="standardContextual"/>
        </w:rPr>
        <w:t>What happens if you do not provide your information?</w:t>
      </w:r>
    </w:p>
    <w:p w14:paraId="487DFA52" w14:textId="77777777" w:rsidR="000C209E" w:rsidRPr="000C209E" w:rsidRDefault="000C209E" w:rsidP="000C209E">
      <w:pPr>
        <w:spacing w:after="0" w:line="240" w:lineRule="auto"/>
        <w:rPr>
          <w:rFonts w:ascii="Aptos" w:eastAsia="Aptos" w:hAnsi="Aptos" w:cs="Times New Roman"/>
          <w:color w:val="auto"/>
          <w:kern w:val="2"/>
          <w:sz w:val="22"/>
          <w:szCs w:val="22"/>
          <w:lang w:val="en-GB"/>
          <w14:ligatures w14:val="standardContextual"/>
        </w:rPr>
      </w:pPr>
      <w:r w:rsidRPr="000C209E">
        <w:rPr>
          <w:rFonts w:ascii="Aptos" w:eastAsia="Aptos" w:hAnsi="Aptos" w:cs="Times New Roman"/>
          <w:color w:val="auto"/>
          <w:kern w:val="2"/>
          <w:sz w:val="22"/>
          <w:szCs w:val="22"/>
          <w:lang w:val="en-GB"/>
          <w14:ligatures w14:val="standardContextual"/>
        </w:rPr>
        <w:t>Accessing the RJED grant writing support services is entirely voluntary. It is not mandatory or an eligibility requirement for the grant opportunity and there are no consequences if you choose not to use this service.</w:t>
      </w:r>
    </w:p>
    <w:p w14:paraId="23F8F388"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p>
    <w:p w14:paraId="20A376C9"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 xml:space="preserve">The Agency’s </w:t>
      </w:r>
      <w:hyperlink r:id="rId13" w:history="1">
        <w:r w:rsidRPr="000C209E">
          <w:rPr>
            <w:rFonts w:ascii="Aptos" w:eastAsia="Aptos" w:hAnsi="Aptos" w:cs="Times New Roman"/>
            <w:color w:val="467886"/>
            <w:kern w:val="2"/>
            <w:sz w:val="22"/>
            <w:szCs w:val="22"/>
            <w:u w:val="single"/>
            <w14:ligatures w14:val="standardContextual"/>
          </w:rPr>
          <w:t>Privacy Policy</w:t>
        </w:r>
      </w:hyperlink>
      <w:r w:rsidRPr="000C209E">
        <w:rPr>
          <w:rFonts w:ascii="Aptos" w:eastAsia="Aptos" w:hAnsi="Aptos" w:cs="Times New Roman"/>
          <w:color w:val="auto"/>
          <w:kern w:val="2"/>
          <w:sz w:val="22"/>
          <w:szCs w:val="22"/>
          <w14:ligatures w14:val="standardContextual"/>
        </w:rPr>
        <w:t xml:space="preserve"> explains how we handle your personal information, how you can request access to or correct the personal information we hold about you, who to contact if you have a privacy enquiry or complaint and how we will handle a complaint.  </w:t>
      </w:r>
    </w:p>
    <w:p w14:paraId="3A10B059"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To find out more about how we manage personal information you can contact:</w:t>
      </w:r>
    </w:p>
    <w:p w14:paraId="2D4A0A12"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p>
    <w:p w14:paraId="0C710FD0"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 xml:space="preserve">Post: </w:t>
      </w:r>
    </w:p>
    <w:p w14:paraId="687845AC"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The Privacy Officer</w:t>
      </w:r>
    </w:p>
    <w:p w14:paraId="6915D0A4"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National Indigenous Australians Agency</w:t>
      </w:r>
    </w:p>
    <w:p w14:paraId="04F218C5"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PO Box 2191</w:t>
      </w:r>
    </w:p>
    <w:p w14:paraId="56ACF457"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CANBERRA ACT 2600</w:t>
      </w:r>
    </w:p>
    <w:p w14:paraId="44267EFA"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p>
    <w:p w14:paraId="13E220B4"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Phone: 02 6152 3080</w:t>
      </w:r>
    </w:p>
    <w:p w14:paraId="650D51BC"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p>
    <w:p w14:paraId="4B0589EA"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 xml:space="preserve">Email: </w:t>
      </w:r>
      <w:hyperlink r:id="rId14" w:history="1">
        <w:r w:rsidRPr="000C209E">
          <w:rPr>
            <w:rFonts w:ascii="Aptos" w:eastAsia="Aptos" w:hAnsi="Aptos" w:cs="Times New Roman"/>
            <w:color w:val="467886"/>
            <w:kern w:val="2"/>
            <w:sz w:val="22"/>
            <w:szCs w:val="22"/>
            <w:u w:val="single"/>
            <w14:ligatures w14:val="standardContextual"/>
          </w:rPr>
          <w:t>privacy@niaa.gov.au</w:t>
        </w:r>
      </w:hyperlink>
    </w:p>
    <w:p w14:paraId="2E88B013"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p>
    <w:p w14:paraId="4CD7891E" w14:textId="77777777" w:rsidR="000C209E" w:rsidRPr="000C209E" w:rsidRDefault="000C209E" w:rsidP="000C209E">
      <w:pPr>
        <w:spacing w:after="0" w:line="240" w:lineRule="auto"/>
        <w:rPr>
          <w:rFonts w:ascii="Aptos" w:eastAsia="Aptos" w:hAnsi="Aptos" w:cs="Times New Roman"/>
          <w:color w:val="auto"/>
          <w:kern w:val="2"/>
          <w:sz w:val="22"/>
          <w:szCs w:val="22"/>
          <w14:ligatures w14:val="standardContextual"/>
        </w:rPr>
      </w:pPr>
      <w:r w:rsidRPr="000C209E">
        <w:rPr>
          <w:rFonts w:ascii="Aptos" w:eastAsia="Aptos" w:hAnsi="Aptos" w:cs="Times New Roman"/>
          <w:color w:val="auto"/>
          <w:kern w:val="2"/>
          <w:sz w:val="22"/>
          <w:szCs w:val="22"/>
          <w14:ligatures w14:val="standardContextual"/>
        </w:rPr>
        <w:t xml:space="preserve">Each </w:t>
      </w:r>
      <w:proofErr w:type="gramStart"/>
      <w:r w:rsidRPr="000C209E">
        <w:rPr>
          <w:rFonts w:ascii="Aptos" w:eastAsia="Aptos" w:hAnsi="Aptos" w:cs="Times New Roman"/>
          <w:color w:val="auto"/>
          <w:kern w:val="2"/>
          <w:sz w:val="22"/>
          <w:szCs w:val="22"/>
          <w14:ligatures w14:val="standardContextual"/>
        </w:rPr>
        <w:t>third party</w:t>
      </w:r>
      <w:proofErr w:type="gramEnd"/>
      <w:r w:rsidRPr="000C209E">
        <w:rPr>
          <w:rFonts w:ascii="Aptos" w:eastAsia="Aptos" w:hAnsi="Aptos" w:cs="Times New Roman"/>
          <w:color w:val="auto"/>
          <w:kern w:val="2"/>
          <w:sz w:val="22"/>
          <w:szCs w:val="22"/>
          <w14:ligatures w14:val="standardContextual"/>
        </w:rPr>
        <w:t xml:space="preserve"> provider’s privacy policy can be found at the link below: </w:t>
      </w:r>
    </w:p>
    <w:p w14:paraId="03B410EE" w14:textId="77777777" w:rsidR="000C209E" w:rsidRPr="000C209E" w:rsidRDefault="000C209E" w:rsidP="000C209E">
      <w:pPr>
        <w:numPr>
          <w:ilvl w:val="0"/>
          <w:numId w:val="31"/>
        </w:numPr>
        <w:spacing w:after="0" w:line="240" w:lineRule="auto"/>
        <w:rPr>
          <w:rFonts w:ascii="Aptos" w:eastAsia="Aptos" w:hAnsi="Aptos" w:cs="Times New Roman"/>
          <w:color w:val="auto"/>
          <w:kern w:val="2"/>
          <w:sz w:val="22"/>
          <w:szCs w:val="22"/>
          <w:lang w:val="en-GB"/>
          <w14:ligatures w14:val="standardContextual"/>
        </w:rPr>
      </w:pPr>
      <w:hyperlink r:id="rId15" w:history="1">
        <w:proofErr w:type="spellStart"/>
        <w:r w:rsidRPr="000C209E">
          <w:rPr>
            <w:rFonts w:ascii="Aptos" w:eastAsia="Aptos" w:hAnsi="Aptos" w:cs="Times New Roman"/>
            <w:color w:val="467886"/>
            <w:kern w:val="2"/>
            <w:sz w:val="22"/>
            <w:szCs w:val="22"/>
            <w:u w:val="single"/>
            <w:lang w:val="en-GB"/>
            <w14:ligatures w14:val="standardContextual"/>
          </w:rPr>
          <w:t>Blax</w:t>
        </w:r>
        <w:proofErr w:type="spellEnd"/>
        <w:r w:rsidRPr="000C209E">
          <w:rPr>
            <w:rFonts w:ascii="Aptos" w:eastAsia="Aptos" w:hAnsi="Aptos" w:cs="Times New Roman"/>
            <w:color w:val="467886"/>
            <w:kern w:val="2"/>
            <w:sz w:val="22"/>
            <w:szCs w:val="22"/>
            <w:u w:val="single"/>
            <w:lang w:val="en-GB"/>
            <w14:ligatures w14:val="standardContextual"/>
          </w:rPr>
          <w:t xml:space="preserve"> Capital Pty Ltd</w:t>
        </w:r>
      </w:hyperlink>
    </w:p>
    <w:p w14:paraId="2DFA2373" w14:textId="77777777" w:rsidR="000C209E" w:rsidRPr="000C209E" w:rsidRDefault="000C209E" w:rsidP="000C209E">
      <w:pPr>
        <w:numPr>
          <w:ilvl w:val="0"/>
          <w:numId w:val="31"/>
        </w:numPr>
        <w:spacing w:after="0" w:line="240" w:lineRule="auto"/>
        <w:rPr>
          <w:rFonts w:ascii="Aptos" w:eastAsia="Aptos" w:hAnsi="Aptos" w:cs="Times New Roman"/>
          <w:color w:val="auto"/>
          <w:kern w:val="2"/>
          <w:sz w:val="22"/>
          <w:szCs w:val="22"/>
          <w14:ligatures w14:val="standardContextual"/>
        </w:rPr>
      </w:pPr>
      <w:hyperlink r:id="rId16" w:history="1">
        <w:proofErr w:type="spellStart"/>
        <w:r w:rsidRPr="000C209E">
          <w:rPr>
            <w:rFonts w:ascii="Aptos" w:eastAsia="Aptos" w:hAnsi="Aptos" w:cs="Times New Roman"/>
            <w:color w:val="467886"/>
            <w:kern w:val="2"/>
            <w:sz w:val="22"/>
            <w:szCs w:val="22"/>
            <w:u w:val="single"/>
            <w14:ligatures w14:val="standardContextual"/>
          </w:rPr>
          <w:t>Mahjae</w:t>
        </w:r>
        <w:proofErr w:type="spellEnd"/>
        <w:r w:rsidRPr="000C209E">
          <w:rPr>
            <w:rFonts w:ascii="Aptos" w:eastAsia="Aptos" w:hAnsi="Aptos" w:cs="Times New Roman"/>
            <w:color w:val="467886"/>
            <w:kern w:val="2"/>
            <w:sz w:val="22"/>
            <w:szCs w:val="22"/>
            <w:u w:val="single"/>
            <w14:ligatures w14:val="standardContextual"/>
          </w:rPr>
          <w:t xml:space="preserve"> Pty Ltd (trading as Whitney Consulting)</w:t>
        </w:r>
      </w:hyperlink>
      <w:r w:rsidRPr="000C209E">
        <w:rPr>
          <w:rFonts w:ascii="Aptos" w:eastAsia="Aptos" w:hAnsi="Aptos" w:cs="Times New Roman"/>
          <w:color w:val="auto"/>
          <w:kern w:val="2"/>
          <w:sz w:val="22"/>
          <w:szCs w:val="22"/>
          <w14:ligatures w14:val="standardContextual"/>
        </w:rPr>
        <w:t xml:space="preserve"> </w:t>
      </w:r>
    </w:p>
    <w:p w14:paraId="702EB3F6" w14:textId="77777777" w:rsidR="000C209E" w:rsidRPr="000C209E" w:rsidRDefault="000C209E" w:rsidP="000C209E">
      <w:pPr>
        <w:numPr>
          <w:ilvl w:val="0"/>
          <w:numId w:val="31"/>
        </w:numPr>
        <w:spacing w:after="0" w:line="240" w:lineRule="auto"/>
        <w:rPr>
          <w:rFonts w:ascii="Aptos" w:eastAsia="Aptos" w:hAnsi="Aptos" w:cs="Times New Roman"/>
          <w:color w:val="auto"/>
          <w:kern w:val="2"/>
          <w:sz w:val="22"/>
          <w:szCs w:val="22"/>
          <w14:ligatures w14:val="standardContextual"/>
        </w:rPr>
      </w:pPr>
      <w:hyperlink r:id="rId17" w:history="1">
        <w:r w:rsidRPr="000C209E">
          <w:rPr>
            <w:rFonts w:ascii="Aptos" w:eastAsia="Aptos" w:hAnsi="Aptos" w:cs="Times New Roman"/>
            <w:color w:val="467886"/>
            <w:kern w:val="2"/>
            <w:sz w:val="22"/>
            <w:szCs w:val="22"/>
            <w:u w:val="single"/>
            <w14:ligatures w14:val="standardContextual"/>
          </w:rPr>
          <w:t>Morris &amp; Piper Advisory Pty Ltd</w:t>
        </w:r>
      </w:hyperlink>
    </w:p>
    <w:p w14:paraId="4ABAE59E" w14:textId="77777777" w:rsidR="000C209E" w:rsidRPr="000C209E" w:rsidRDefault="000C209E" w:rsidP="000C209E">
      <w:pPr>
        <w:spacing w:after="160" w:line="259" w:lineRule="auto"/>
        <w:rPr>
          <w:rFonts w:ascii="Aptos" w:eastAsia="Aptos" w:hAnsi="Aptos" w:cs="Times New Roman"/>
          <w:color w:val="auto"/>
          <w:kern w:val="2"/>
          <w:sz w:val="22"/>
          <w:szCs w:val="22"/>
          <w14:ligatures w14:val="standardContextual"/>
        </w:rPr>
      </w:pPr>
    </w:p>
    <w:p w14:paraId="1DD4D49B" w14:textId="77777777" w:rsidR="000C209E" w:rsidRDefault="000C209E" w:rsidP="00CF5A4B">
      <w:pPr>
        <w:pStyle w:val="BodyText"/>
      </w:pPr>
    </w:p>
    <w:sectPr w:rsidR="000C209E" w:rsidSect="00513E23">
      <w:headerReference w:type="even" r:id="rId18"/>
      <w:footerReference w:type="even" r:id="rId19"/>
      <w:footerReference w:type="default" r:id="rId20"/>
      <w:headerReference w:type="first" r:id="rId21"/>
      <w:footerReference w:type="first" r:id="rId22"/>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402E" w14:textId="77777777" w:rsidR="0021129C" w:rsidRDefault="0021129C" w:rsidP="00B95533">
      <w:pPr>
        <w:spacing w:after="0" w:line="240" w:lineRule="auto"/>
      </w:pPr>
      <w:r>
        <w:separator/>
      </w:r>
    </w:p>
  </w:endnote>
  <w:endnote w:type="continuationSeparator" w:id="0">
    <w:p w14:paraId="43E7962E" w14:textId="77777777" w:rsidR="0021129C" w:rsidRDefault="0021129C"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333C" w14:textId="7C98D7C2" w:rsidR="00C61325" w:rsidRDefault="00C61325">
    <w:pPr>
      <w:pStyle w:val="Footer"/>
    </w:pPr>
    <w:r>
      <w:rPr>
        <w:noProof/>
      </w:rPr>
      <mc:AlternateContent>
        <mc:Choice Requires="wps">
          <w:drawing>
            <wp:anchor distT="0" distB="0" distL="0" distR="0" simplePos="0" relativeHeight="251763712" behindDoc="0" locked="0" layoutInCell="1" allowOverlap="1" wp14:anchorId="0E9A2FC8" wp14:editId="24119A44">
              <wp:simplePos x="635" y="635"/>
              <wp:positionH relativeFrom="page">
                <wp:align>center</wp:align>
              </wp:positionH>
              <wp:positionV relativeFrom="page">
                <wp:align>bottom</wp:align>
              </wp:positionV>
              <wp:extent cx="686435" cy="383540"/>
              <wp:effectExtent l="0" t="0" r="18415" b="0"/>
              <wp:wrapNone/>
              <wp:docPr id="3374478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BE93F91" w14:textId="2E387A4A" w:rsidR="00C61325" w:rsidRPr="00C61325" w:rsidRDefault="00C61325" w:rsidP="00C61325">
                          <w:pPr>
                            <w:spacing w:after="0"/>
                            <w:rPr>
                              <w:rFonts w:ascii="Arial" w:eastAsia="Arial" w:hAnsi="Arial" w:cs="Arial"/>
                              <w:noProof/>
                              <w:color w:val="FF0000"/>
                              <w:sz w:val="24"/>
                              <w:szCs w:val="24"/>
                            </w:rPr>
                          </w:pPr>
                          <w:r w:rsidRPr="00C61325">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A2FC8" id="_x0000_t202" coordsize="21600,21600" o:spt="202" path="m,l,21600r21600,l21600,xe">
              <v:stroke joinstyle="miter"/>
              <v:path gradientshapeok="t" o:connecttype="rect"/>
            </v:shapetype>
            <v:shape id="Text Box 5" o:spid="_x0000_s1027" type="#_x0000_t202" alt="OFFICIAL" style="position:absolute;margin-left:0;margin-top:0;width:54.05pt;height:30.2pt;z-index:251763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" filled="f" stroked="f">
              <v:textbox style="mso-fit-shape-to-text:t" inset="0,0,0,15pt">
                <w:txbxContent>
                  <w:p w14:paraId="2BE93F91" w14:textId="2E387A4A" w:rsidR="00C61325" w:rsidRPr="00C61325" w:rsidRDefault="00C61325" w:rsidP="00C61325">
                    <w:pPr>
                      <w:spacing w:after="0"/>
                      <w:rPr>
                        <w:rFonts w:ascii="Arial" w:eastAsia="Arial" w:hAnsi="Arial" w:cs="Arial"/>
                        <w:noProof/>
                        <w:color w:val="FF0000"/>
                        <w:sz w:val="24"/>
                        <w:szCs w:val="24"/>
                      </w:rPr>
                    </w:pPr>
                    <w:r w:rsidRPr="00C61325">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C70B" w14:textId="31514705" w:rsidR="009672EB" w:rsidRPr="0040648D" w:rsidRDefault="006A65E8" w:rsidP="00206976">
    <w:pPr>
      <w:pStyle w:val="Footer"/>
      <w:pBdr>
        <w:top w:val="single" w:sz="24" w:space="7" w:color="auto"/>
      </w:pBdr>
      <w:tabs>
        <w:tab w:val="clear" w:pos="4513"/>
        <w:tab w:val="clear" w:pos="9026"/>
        <w:tab w:val="right" w:pos="13435"/>
      </w:tabs>
      <w:rPr>
        <w:color w:val="2A4055" w:themeColor="accent1"/>
      </w:rPr>
    </w:pPr>
    <w:r w:rsidRPr="007C5C8F">
      <w:rPr>
        <w:noProof/>
        <w:color w:val="2A4055" w:themeColor="accent1"/>
        <w:lang w:eastAsia="en-AU"/>
      </w:rPr>
      <w:drawing>
        <wp:anchor distT="0" distB="0" distL="114300" distR="114300" simplePos="0" relativeHeight="251767808" behindDoc="1" locked="0" layoutInCell="1" allowOverlap="1" wp14:anchorId="3E91C0CB" wp14:editId="4AE30AA5">
          <wp:simplePos x="0" y="0"/>
          <wp:positionH relativeFrom="page">
            <wp:posOffset>5188585</wp:posOffset>
          </wp:positionH>
          <wp:positionV relativeFrom="paragraph">
            <wp:posOffset>-2968539</wp:posOffset>
          </wp:positionV>
          <wp:extent cx="2530399" cy="3580835"/>
          <wp:effectExtent l="0" t="0" r="0" b="635"/>
          <wp:wrapNone/>
          <wp:docPr id="1175289365" name="Picture 1175289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93171" name="Picture 137819317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30399" cy="3580835"/>
                  </a:xfrm>
                  <a:prstGeom prst="rect">
                    <a:avLst/>
                  </a:prstGeom>
                </pic:spPr>
              </pic:pic>
            </a:graphicData>
          </a:graphic>
          <wp14:sizeRelH relativeFrom="page">
            <wp14:pctWidth>0</wp14:pctWidth>
          </wp14:sizeRelH>
          <wp14:sizeRelV relativeFrom="page">
            <wp14:pctHeight>0</wp14:pctHeight>
          </wp14:sizeRelV>
        </wp:anchor>
      </w:drawing>
    </w:r>
    <w:r w:rsidR="00C61325">
      <w:rPr>
        <w:noProof/>
        <w:color w:val="2A4055" w:themeColor="accent1"/>
        <w:lang w:eastAsia="en-AU"/>
      </w:rPr>
      <mc:AlternateContent>
        <mc:Choice Requires="wps">
          <w:drawing>
            <wp:anchor distT="0" distB="0" distL="0" distR="0" simplePos="0" relativeHeight="251764736" behindDoc="0" locked="0" layoutInCell="1" allowOverlap="1" wp14:anchorId="7645DCAA" wp14:editId="12C62FA8">
              <wp:simplePos x="635" y="635"/>
              <wp:positionH relativeFrom="page">
                <wp:align>center</wp:align>
              </wp:positionH>
              <wp:positionV relativeFrom="page">
                <wp:align>bottom</wp:align>
              </wp:positionV>
              <wp:extent cx="686435" cy="383540"/>
              <wp:effectExtent l="0" t="0" r="18415" b="0"/>
              <wp:wrapNone/>
              <wp:docPr id="5072204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7922247" w14:textId="6C39F0BB" w:rsidR="00C61325" w:rsidRPr="00C61325" w:rsidRDefault="00C61325" w:rsidP="00C61325">
                          <w:pPr>
                            <w:spacing w:after="0"/>
                            <w:rPr>
                              <w:rFonts w:ascii="Arial" w:eastAsia="Arial" w:hAnsi="Arial" w:cs="Arial"/>
                              <w:noProof/>
                              <w:color w:val="FF0000"/>
                              <w:sz w:val="24"/>
                              <w:szCs w:val="24"/>
                            </w:rPr>
                          </w:pPr>
                          <w:r w:rsidRPr="00C61325">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45DCAA" id="_x0000_t202" coordsize="21600,21600" o:spt="202" path="m,l,21600r21600,l21600,xe">
              <v:stroke joinstyle="miter"/>
              <v:path gradientshapeok="t" o:connecttype="rect"/>
            </v:shapetype>
            <v:shape id="Text Box 6" o:spid="_x0000_s1028" type="#_x0000_t202" alt="OFFICIAL" style="position:absolute;margin-left:0;margin-top:0;width:54.05pt;height:30.2pt;z-index:251764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67922247" w14:textId="6C39F0BB" w:rsidR="00C61325" w:rsidRPr="00C61325" w:rsidRDefault="00C61325" w:rsidP="00C61325">
                    <w:pPr>
                      <w:spacing w:after="0"/>
                      <w:rPr>
                        <w:rFonts w:ascii="Arial" w:eastAsia="Arial" w:hAnsi="Arial" w:cs="Arial"/>
                        <w:noProof/>
                        <w:color w:val="FF0000"/>
                        <w:sz w:val="24"/>
                        <w:szCs w:val="24"/>
                      </w:rPr>
                    </w:pPr>
                    <w:r w:rsidRPr="00C61325">
                      <w:rPr>
                        <w:rFonts w:ascii="Arial" w:eastAsia="Arial" w:hAnsi="Arial" w:cs="Arial"/>
                        <w:noProof/>
                        <w:color w:val="FF0000"/>
                        <w:sz w:val="24"/>
                        <w:szCs w:val="24"/>
                      </w:rPr>
                      <w:t>OFFICIAL</w:t>
                    </w:r>
                  </w:p>
                </w:txbxContent>
              </v:textbox>
              <w10:wrap anchorx="page" anchory="page"/>
            </v:shape>
          </w:pict>
        </mc:Fallback>
      </mc:AlternateContent>
    </w:r>
    <w:r w:rsidR="00E7076D" w:rsidRPr="00E7076D">
      <w:t xml:space="preserve"> </w:t>
    </w:r>
    <w:r w:rsidR="00E7076D" w:rsidRPr="00E7076D">
      <w:rPr>
        <w:noProof/>
        <w:color w:val="2A4055" w:themeColor="accent1"/>
        <w:lang w:eastAsia="en-AU"/>
      </w:rPr>
      <w:t xml:space="preserve">RETURN FORM TO </w:t>
    </w:r>
    <w:hyperlink r:id="rId2" w:history="1">
      <w:r w:rsidR="00E7076D" w:rsidRPr="00032826">
        <w:rPr>
          <w:rStyle w:val="Hyperlink"/>
          <w:noProof/>
          <w:color w:val="015E8A" w:themeColor="text2" w:themeTint="E6"/>
          <w:lang w:eastAsia="en-AU"/>
        </w:rPr>
        <w:t>RJEDHelpdesk@niaa.gov.au</w:t>
      </w:r>
    </w:hyperlink>
    <w:r w:rsidR="00E7076D">
      <w:rPr>
        <w:noProof/>
        <w:color w:val="2A4055" w:themeColor="accent1"/>
        <w:lang w:eastAsia="en-AU"/>
      </w:rPr>
      <w:t xml:space="preserve"> </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7</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D7F0" w14:textId="70538BE1" w:rsidR="009672EB" w:rsidRPr="0040648D" w:rsidRDefault="00C61325"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mc:AlternateContent>
        <mc:Choice Requires="wps">
          <w:drawing>
            <wp:anchor distT="0" distB="0" distL="0" distR="0" simplePos="0" relativeHeight="251762688" behindDoc="0" locked="0" layoutInCell="1" allowOverlap="1" wp14:anchorId="62766EBC" wp14:editId="502A367E">
              <wp:simplePos x="543697" y="10091351"/>
              <wp:positionH relativeFrom="page">
                <wp:align>center</wp:align>
              </wp:positionH>
              <wp:positionV relativeFrom="page">
                <wp:align>bottom</wp:align>
              </wp:positionV>
              <wp:extent cx="686435" cy="383540"/>
              <wp:effectExtent l="0" t="0" r="18415" b="0"/>
              <wp:wrapNone/>
              <wp:docPr id="14215009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A9ABF55" w14:textId="1DAB2A80" w:rsidR="00C61325" w:rsidRPr="00C61325" w:rsidRDefault="00C61325" w:rsidP="00C61325">
                          <w:pPr>
                            <w:spacing w:after="0"/>
                            <w:rPr>
                              <w:rFonts w:ascii="Arial" w:eastAsia="Arial" w:hAnsi="Arial" w:cs="Arial"/>
                              <w:noProof/>
                              <w:color w:val="FF0000"/>
                              <w:sz w:val="24"/>
                              <w:szCs w:val="24"/>
                            </w:rPr>
                          </w:pPr>
                          <w:r w:rsidRPr="00C61325">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66EBC" id="_x0000_t202" coordsize="21600,21600" o:spt="202" path="m,l,21600r21600,l21600,xe">
              <v:stroke joinstyle="miter"/>
              <v:path gradientshapeok="t" o:connecttype="rect"/>
            </v:shapetype>
            <v:shape id="Text Box 4" o:spid="_x0000_s1030" type="#_x0000_t202" alt="OFFICIAL" style="position:absolute;margin-left:0;margin-top:0;width:54.05pt;height:30.2pt;z-index:251762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Qst3jxoCAAAqBAAADgAAAAAAAAAAAAAAAAAuAgAAZHJzL2Uyb0RvYy54bWxQSwECLQAUAAYA&#10;CAAAACEAYtvwb9sAAAAEAQAADwAAAAAAAAAAAAAAAAB0BAAAZHJzL2Rvd25yZXYueG1sUEsFBgAA&#10;AAAEAAQA8wAAAHwFAAAAAA==&#10;" filled="f" stroked="f">
              <v:textbox style="mso-fit-shape-to-text:t" inset="0,0,0,15pt">
                <w:txbxContent>
                  <w:p w14:paraId="7A9ABF55" w14:textId="1DAB2A80" w:rsidR="00C61325" w:rsidRPr="00C61325" w:rsidRDefault="00C61325" w:rsidP="00C61325">
                    <w:pPr>
                      <w:spacing w:after="0"/>
                      <w:rPr>
                        <w:rFonts w:ascii="Arial" w:eastAsia="Arial" w:hAnsi="Arial" w:cs="Arial"/>
                        <w:noProof/>
                        <w:color w:val="FF0000"/>
                        <w:sz w:val="24"/>
                        <w:szCs w:val="24"/>
                      </w:rPr>
                    </w:pPr>
                    <w:r w:rsidRPr="00C61325">
                      <w:rPr>
                        <w:rFonts w:ascii="Arial" w:eastAsia="Arial" w:hAnsi="Arial" w:cs="Arial"/>
                        <w:noProof/>
                        <w:color w:val="FF0000"/>
                        <w:sz w:val="24"/>
                        <w:szCs w:val="24"/>
                      </w:rPr>
                      <w:t>OFFICIAL</w:t>
                    </w:r>
                  </w:p>
                </w:txbxContent>
              </v:textbox>
              <w10:wrap anchorx="page" anchory="page"/>
            </v:shape>
          </w:pict>
        </mc:Fallback>
      </mc:AlternateContent>
    </w:r>
    <w:r w:rsidR="003A77F5">
      <w:rPr>
        <w:color w:val="2A4055" w:themeColor="accent1"/>
      </w:rPr>
      <w:t>Section</w:t>
    </w:r>
    <w:r w:rsidR="00CC478C">
      <w:rPr>
        <w:color w:val="2A4055" w:themeColor="accent1"/>
      </w:rPr>
      <w:t>/Branch</w:t>
    </w:r>
    <w:r w:rsidR="003A77F5">
      <w:rPr>
        <w:color w:val="2A4055" w:themeColor="accent1"/>
      </w:rPr>
      <w:t xml:space="preserve"> name</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1</w:t>
    </w:r>
    <w:r w:rsidR="00153AF7" w:rsidRPr="00153AF7">
      <w:rPr>
        <w:noProof/>
        <w:color w:val="2A405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5854" w14:textId="77777777" w:rsidR="0021129C" w:rsidRPr="007A6FC6" w:rsidRDefault="0021129C" w:rsidP="00B95533">
      <w:pPr>
        <w:spacing w:after="0" w:line="240" w:lineRule="auto"/>
        <w:rPr>
          <w:color w:val="00948D" w:themeColor="accent2"/>
        </w:rPr>
      </w:pPr>
      <w:r w:rsidRPr="007A6FC6">
        <w:rPr>
          <w:color w:val="00948D" w:themeColor="accent2"/>
        </w:rPr>
        <w:separator/>
      </w:r>
    </w:p>
  </w:footnote>
  <w:footnote w:type="continuationSeparator" w:id="0">
    <w:p w14:paraId="6F2DF838" w14:textId="77777777" w:rsidR="0021129C" w:rsidRPr="007A6FC6" w:rsidRDefault="0021129C"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3B9E" w14:textId="62D4CB96" w:rsidR="00C61325" w:rsidRDefault="00C61325">
    <w:pPr>
      <w:pStyle w:val="Header"/>
    </w:pPr>
    <w:r>
      <w:rPr>
        <w:noProof/>
      </w:rPr>
      <mc:AlternateContent>
        <mc:Choice Requires="wps">
          <w:drawing>
            <wp:anchor distT="0" distB="0" distL="0" distR="0" simplePos="0" relativeHeight="251760640" behindDoc="0" locked="0" layoutInCell="1" allowOverlap="1" wp14:anchorId="18932E62" wp14:editId="17C90B53">
              <wp:simplePos x="635" y="635"/>
              <wp:positionH relativeFrom="page">
                <wp:align>center</wp:align>
              </wp:positionH>
              <wp:positionV relativeFrom="page">
                <wp:align>top</wp:align>
              </wp:positionV>
              <wp:extent cx="686435" cy="383540"/>
              <wp:effectExtent l="0" t="0" r="18415" b="16510"/>
              <wp:wrapNone/>
              <wp:docPr id="12966907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9D31D75" w14:textId="431DFE4D" w:rsidR="00C61325" w:rsidRPr="00C61325" w:rsidRDefault="00C61325" w:rsidP="00C61325">
                          <w:pPr>
                            <w:spacing w:after="0"/>
                            <w:rPr>
                              <w:rFonts w:ascii="Arial" w:eastAsia="Arial" w:hAnsi="Arial" w:cs="Arial"/>
                              <w:noProof/>
                              <w:color w:val="FF0000"/>
                              <w:sz w:val="24"/>
                              <w:szCs w:val="24"/>
                            </w:rPr>
                          </w:pPr>
                          <w:r w:rsidRPr="00C61325">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32E62"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760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49D31D75" w14:textId="431DFE4D" w:rsidR="00C61325" w:rsidRPr="00C61325" w:rsidRDefault="00C61325" w:rsidP="00C61325">
                    <w:pPr>
                      <w:spacing w:after="0"/>
                      <w:rPr>
                        <w:rFonts w:ascii="Arial" w:eastAsia="Arial" w:hAnsi="Arial" w:cs="Arial"/>
                        <w:noProof/>
                        <w:color w:val="FF0000"/>
                        <w:sz w:val="24"/>
                        <w:szCs w:val="24"/>
                      </w:rPr>
                    </w:pPr>
                    <w:r w:rsidRPr="00C61325">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C8EC" w14:textId="1117DD58" w:rsidR="009672EB" w:rsidRDefault="006A65E8" w:rsidP="002B5D09">
    <w:pPr>
      <w:pStyle w:val="Header"/>
      <w:tabs>
        <w:tab w:val="clear" w:pos="4513"/>
        <w:tab w:val="clear" w:pos="9026"/>
        <w:tab w:val="left" w:pos="4100"/>
      </w:tabs>
    </w:pPr>
    <w:r>
      <w:rPr>
        <w:noProof/>
      </w:rPr>
      <w:drawing>
        <wp:anchor distT="0" distB="0" distL="114300" distR="114300" simplePos="0" relativeHeight="251765760" behindDoc="1" locked="0" layoutInCell="1" allowOverlap="1" wp14:anchorId="7A776DA0" wp14:editId="046FB915">
          <wp:simplePos x="0" y="0"/>
          <wp:positionH relativeFrom="page">
            <wp:align>left</wp:align>
          </wp:positionH>
          <wp:positionV relativeFrom="paragraph">
            <wp:posOffset>-355600</wp:posOffset>
          </wp:positionV>
          <wp:extent cx="7566023" cy="1828800"/>
          <wp:effectExtent l="0" t="0" r="0" b="0"/>
          <wp:wrapNone/>
          <wp:docPr id="465325459" name="Picture 7" descr="National Indigenous Australians Agency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4246" name="Picture 7" descr="National Indigenous Australians Agency Header Image"/>
                  <pic:cNvPicPr/>
                </pic:nvPicPr>
                <pic:blipFill rotWithShape="1">
                  <a:blip r:embed="rId1">
                    <a:extLst>
                      <a:ext uri="{28A0092B-C50C-407E-A947-70E740481C1C}">
                        <a14:useLocalDpi xmlns:a14="http://schemas.microsoft.com/office/drawing/2010/main" val="0"/>
                      </a:ext>
                    </a:extLst>
                  </a:blip>
                  <a:srcRect b="82919"/>
                  <a:stretch>
                    <a:fillRect/>
                  </a:stretch>
                </pic:blipFill>
                <pic:spPr bwMode="auto">
                  <a:xfrm>
                    <a:off x="0" y="0"/>
                    <a:ext cx="7566023"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584873"/>
    <w:multiLevelType w:val="hybridMultilevel"/>
    <w:tmpl w:val="8F542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395D6AA3"/>
    <w:multiLevelType w:val="hybridMultilevel"/>
    <w:tmpl w:val="799E2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8"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9" w15:restartNumberingAfterBreak="0">
    <w:nsid w:val="5ADD076B"/>
    <w:multiLevelType w:val="hybridMultilevel"/>
    <w:tmpl w:val="A52C3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1"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2" w15:restartNumberingAfterBreak="0">
    <w:nsid w:val="641A0B3C"/>
    <w:multiLevelType w:val="hybridMultilevel"/>
    <w:tmpl w:val="60FC00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5"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7" w15:restartNumberingAfterBreak="0">
    <w:nsid w:val="7DDA7144"/>
    <w:multiLevelType w:val="hybridMultilevel"/>
    <w:tmpl w:val="300ED9A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73888332">
    <w:abstractNumId w:val="2"/>
  </w:num>
  <w:num w:numId="2" w16cid:durableId="672151370">
    <w:abstractNumId w:val="10"/>
  </w:num>
  <w:num w:numId="3" w16cid:durableId="587035646">
    <w:abstractNumId w:val="5"/>
  </w:num>
  <w:num w:numId="4" w16cid:durableId="520437771">
    <w:abstractNumId w:val="15"/>
  </w:num>
  <w:num w:numId="5" w16cid:durableId="6754493">
    <w:abstractNumId w:val="11"/>
  </w:num>
  <w:num w:numId="6" w16cid:durableId="1407343211">
    <w:abstractNumId w:val="10"/>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272635984">
    <w:abstractNumId w:val="5"/>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973515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735483">
    <w:abstractNumId w:val="5"/>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726732939">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843817282">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956474558">
    <w:abstractNumId w:val="5"/>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736078393">
    <w:abstractNumId w:val="11"/>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2138065493">
    <w:abstractNumId w:val="11"/>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236668253">
    <w:abstractNumId w:val="5"/>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25749241">
    <w:abstractNumId w:val="5"/>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647928861">
    <w:abstractNumId w:val="1"/>
  </w:num>
  <w:num w:numId="1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863400326">
    <w:abstractNumId w:val="8"/>
  </w:num>
  <w:num w:numId="20" w16cid:durableId="2144809400">
    <w:abstractNumId w:val="16"/>
  </w:num>
  <w:num w:numId="21" w16cid:durableId="1160580359">
    <w:abstractNumId w:val="0"/>
  </w:num>
  <w:num w:numId="22" w16cid:durableId="2095086125">
    <w:abstractNumId w:val="14"/>
  </w:num>
  <w:num w:numId="23" w16cid:durableId="1674870695">
    <w:abstractNumId w:val="14"/>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6079721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82106898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31301316">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058283542">
    <w:abstractNumId w:val="4"/>
  </w:num>
  <w:num w:numId="28" w16cid:durableId="811672407">
    <w:abstractNumId w:val="13"/>
  </w:num>
  <w:num w:numId="29" w16cid:durableId="828328936">
    <w:abstractNumId w:val="7"/>
  </w:num>
  <w:num w:numId="30" w16cid:durableId="756631213">
    <w:abstractNumId w:val="11"/>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1" w16cid:durableId="213582774">
    <w:abstractNumId w:val="6"/>
  </w:num>
  <w:num w:numId="32" w16cid:durableId="2002349873">
    <w:abstractNumId w:val="17"/>
  </w:num>
  <w:num w:numId="33" w16cid:durableId="1796563880">
    <w:abstractNumId w:val="12"/>
  </w:num>
  <w:num w:numId="34" w16cid:durableId="255986395">
    <w:abstractNumId w:val="3"/>
  </w:num>
  <w:num w:numId="35" w16cid:durableId="1370228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25"/>
    <w:rsid w:val="000021DE"/>
    <w:rsid w:val="00002F73"/>
    <w:rsid w:val="00007EB1"/>
    <w:rsid w:val="00010FC5"/>
    <w:rsid w:val="00014206"/>
    <w:rsid w:val="000230F3"/>
    <w:rsid w:val="00023AC4"/>
    <w:rsid w:val="000277A1"/>
    <w:rsid w:val="000304B2"/>
    <w:rsid w:val="00031B5C"/>
    <w:rsid w:val="00032826"/>
    <w:rsid w:val="00034193"/>
    <w:rsid w:val="00034FEC"/>
    <w:rsid w:val="0004082F"/>
    <w:rsid w:val="00042CF8"/>
    <w:rsid w:val="00042E89"/>
    <w:rsid w:val="00044BF9"/>
    <w:rsid w:val="000503A6"/>
    <w:rsid w:val="00053CD9"/>
    <w:rsid w:val="00057B46"/>
    <w:rsid w:val="00063034"/>
    <w:rsid w:val="00073D52"/>
    <w:rsid w:val="00076AD1"/>
    <w:rsid w:val="000803CA"/>
    <w:rsid w:val="000835A1"/>
    <w:rsid w:val="00091BCD"/>
    <w:rsid w:val="0009265A"/>
    <w:rsid w:val="00093EEF"/>
    <w:rsid w:val="00094B02"/>
    <w:rsid w:val="0009590F"/>
    <w:rsid w:val="00095BF3"/>
    <w:rsid w:val="000A041E"/>
    <w:rsid w:val="000A08CA"/>
    <w:rsid w:val="000A0E4C"/>
    <w:rsid w:val="000A780E"/>
    <w:rsid w:val="000B5647"/>
    <w:rsid w:val="000C209E"/>
    <w:rsid w:val="000C29C5"/>
    <w:rsid w:val="000D106A"/>
    <w:rsid w:val="000D113F"/>
    <w:rsid w:val="000D2E56"/>
    <w:rsid w:val="000D4653"/>
    <w:rsid w:val="000E026C"/>
    <w:rsid w:val="000E351D"/>
    <w:rsid w:val="000E60F7"/>
    <w:rsid w:val="000F1B86"/>
    <w:rsid w:val="000F23B0"/>
    <w:rsid w:val="000F4D62"/>
    <w:rsid w:val="000F567C"/>
    <w:rsid w:val="000F5917"/>
    <w:rsid w:val="00100554"/>
    <w:rsid w:val="001007B9"/>
    <w:rsid w:val="0010143D"/>
    <w:rsid w:val="00102E2F"/>
    <w:rsid w:val="00105ECB"/>
    <w:rsid w:val="00111736"/>
    <w:rsid w:val="001214B2"/>
    <w:rsid w:val="001249EF"/>
    <w:rsid w:val="00131315"/>
    <w:rsid w:val="00132268"/>
    <w:rsid w:val="001336CF"/>
    <w:rsid w:val="001337DB"/>
    <w:rsid w:val="001357A3"/>
    <w:rsid w:val="00137246"/>
    <w:rsid w:val="00143288"/>
    <w:rsid w:val="00145179"/>
    <w:rsid w:val="00153AF7"/>
    <w:rsid w:val="0015537B"/>
    <w:rsid w:val="0016463D"/>
    <w:rsid w:val="0016781C"/>
    <w:rsid w:val="001727AF"/>
    <w:rsid w:val="00176EA5"/>
    <w:rsid w:val="00177611"/>
    <w:rsid w:val="0017798C"/>
    <w:rsid w:val="001809C6"/>
    <w:rsid w:val="00181C56"/>
    <w:rsid w:val="00183FA2"/>
    <w:rsid w:val="001850CB"/>
    <w:rsid w:val="001912A0"/>
    <w:rsid w:val="00193036"/>
    <w:rsid w:val="001953CF"/>
    <w:rsid w:val="00195BA8"/>
    <w:rsid w:val="001A1957"/>
    <w:rsid w:val="001A2F86"/>
    <w:rsid w:val="001B0144"/>
    <w:rsid w:val="001B10ED"/>
    <w:rsid w:val="001B6E60"/>
    <w:rsid w:val="001C2FC8"/>
    <w:rsid w:val="001C63DF"/>
    <w:rsid w:val="001D283B"/>
    <w:rsid w:val="001E3C67"/>
    <w:rsid w:val="001E4245"/>
    <w:rsid w:val="001F0654"/>
    <w:rsid w:val="001F3722"/>
    <w:rsid w:val="001F738E"/>
    <w:rsid w:val="001F7942"/>
    <w:rsid w:val="0020007C"/>
    <w:rsid w:val="00206976"/>
    <w:rsid w:val="0021129C"/>
    <w:rsid w:val="0021247A"/>
    <w:rsid w:val="002229A5"/>
    <w:rsid w:val="002317BD"/>
    <w:rsid w:val="00231B22"/>
    <w:rsid w:val="00234705"/>
    <w:rsid w:val="00237365"/>
    <w:rsid w:val="00250BE6"/>
    <w:rsid w:val="00252F38"/>
    <w:rsid w:val="002570B2"/>
    <w:rsid w:val="00260C56"/>
    <w:rsid w:val="00264A5E"/>
    <w:rsid w:val="00271572"/>
    <w:rsid w:val="00277016"/>
    <w:rsid w:val="0027769C"/>
    <w:rsid w:val="00281E3E"/>
    <w:rsid w:val="00284131"/>
    <w:rsid w:val="00284710"/>
    <w:rsid w:val="00294D1D"/>
    <w:rsid w:val="002952F9"/>
    <w:rsid w:val="002955DD"/>
    <w:rsid w:val="002A0289"/>
    <w:rsid w:val="002A1B9F"/>
    <w:rsid w:val="002A371E"/>
    <w:rsid w:val="002B4B0A"/>
    <w:rsid w:val="002B5D09"/>
    <w:rsid w:val="002C0866"/>
    <w:rsid w:val="002C0B0E"/>
    <w:rsid w:val="002C5F5B"/>
    <w:rsid w:val="002C777D"/>
    <w:rsid w:val="002D40B1"/>
    <w:rsid w:val="002D45CD"/>
    <w:rsid w:val="002D6D72"/>
    <w:rsid w:val="002D75F9"/>
    <w:rsid w:val="002E07AC"/>
    <w:rsid w:val="002E267F"/>
    <w:rsid w:val="002E6AA1"/>
    <w:rsid w:val="002F57C6"/>
    <w:rsid w:val="0030346D"/>
    <w:rsid w:val="00307A69"/>
    <w:rsid w:val="00312E4A"/>
    <w:rsid w:val="0031546F"/>
    <w:rsid w:val="00316B0D"/>
    <w:rsid w:val="00317427"/>
    <w:rsid w:val="003224FE"/>
    <w:rsid w:val="0032572B"/>
    <w:rsid w:val="003300DB"/>
    <w:rsid w:val="0033088D"/>
    <w:rsid w:val="00335425"/>
    <w:rsid w:val="003371F0"/>
    <w:rsid w:val="00345B55"/>
    <w:rsid w:val="003500C6"/>
    <w:rsid w:val="00353541"/>
    <w:rsid w:val="00357154"/>
    <w:rsid w:val="00362B85"/>
    <w:rsid w:val="00363AE5"/>
    <w:rsid w:val="0036510D"/>
    <w:rsid w:val="003848EF"/>
    <w:rsid w:val="00385B65"/>
    <w:rsid w:val="0039136C"/>
    <w:rsid w:val="00391929"/>
    <w:rsid w:val="00391CEF"/>
    <w:rsid w:val="003A3E57"/>
    <w:rsid w:val="003A77F5"/>
    <w:rsid w:val="003C6961"/>
    <w:rsid w:val="003C7BAD"/>
    <w:rsid w:val="003D21A3"/>
    <w:rsid w:val="003D33F7"/>
    <w:rsid w:val="003E6B8B"/>
    <w:rsid w:val="003F017E"/>
    <w:rsid w:val="003F17BC"/>
    <w:rsid w:val="003F1A1E"/>
    <w:rsid w:val="003F5F4B"/>
    <w:rsid w:val="003F7E70"/>
    <w:rsid w:val="0040648D"/>
    <w:rsid w:val="00406711"/>
    <w:rsid w:val="004130FE"/>
    <w:rsid w:val="00414CEB"/>
    <w:rsid w:val="004163FA"/>
    <w:rsid w:val="00423E92"/>
    <w:rsid w:val="004257F1"/>
    <w:rsid w:val="00425CAD"/>
    <w:rsid w:val="00431B00"/>
    <w:rsid w:val="004366AE"/>
    <w:rsid w:val="00437572"/>
    <w:rsid w:val="0044371A"/>
    <w:rsid w:val="00446A9A"/>
    <w:rsid w:val="00451804"/>
    <w:rsid w:val="00452FE9"/>
    <w:rsid w:val="00454696"/>
    <w:rsid w:val="00461132"/>
    <w:rsid w:val="004616FF"/>
    <w:rsid w:val="004759ED"/>
    <w:rsid w:val="00486059"/>
    <w:rsid w:val="004945F7"/>
    <w:rsid w:val="004957BB"/>
    <w:rsid w:val="00497F14"/>
    <w:rsid w:val="004B199A"/>
    <w:rsid w:val="004B2CB0"/>
    <w:rsid w:val="004B6C9A"/>
    <w:rsid w:val="004B7B8B"/>
    <w:rsid w:val="004C18F6"/>
    <w:rsid w:val="004C6518"/>
    <w:rsid w:val="004C7547"/>
    <w:rsid w:val="004D0B40"/>
    <w:rsid w:val="004D1065"/>
    <w:rsid w:val="004D24EB"/>
    <w:rsid w:val="004D688C"/>
    <w:rsid w:val="004E0845"/>
    <w:rsid w:val="004E192B"/>
    <w:rsid w:val="004E513C"/>
    <w:rsid w:val="004E55E2"/>
    <w:rsid w:val="004E58AE"/>
    <w:rsid w:val="004F085F"/>
    <w:rsid w:val="004F0BD7"/>
    <w:rsid w:val="004F20A9"/>
    <w:rsid w:val="004F73E8"/>
    <w:rsid w:val="00503B0C"/>
    <w:rsid w:val="0050562E"/>
    <w:rsid w:val="0051105B"/>
    <w:rsid w:val="0051316F"/>
    <w:rsid w:val="00513E23"/>
    <w:rsid w:val="00523958"/>
    <w:rsid w:val="0053301E"/>
    <w:rsid w:val="005350C9"/>
    <w:rsid w:val="005370B2"/>
    <w:rsid w:val="005400C8"/>
    <w:rsid w:val="00543E44"/>
    <w:rsid w:val="00543FDE"/>
    <w:rsid w:val="00552F1C"/>
    <w:rsid w:val="0056072F"/>
    <w:rsid w:val="00562166"/>
    <w:rsid w:val="00563732"/>
    <w:rsid w:val="00567927"/>
    <w:rsid w:val="0057315D"/>
    <w:rsid w:val="00574F28"/>
    <w:rsid w:val="00576C8D"/>
    <w:rsid w:val="0058793B"/>
    <w:rsid w:val="00590FC2"/>
    <w:rsid w:val="005917FA"/>
    <w:rsid w:val="00596D03"/>
    <w:rsid w:val="005A0614"/>
    <w:rsid w:val="005A0DE7"/>
    <w:rsid w:val="005A355D"/>
    <w:rsid w:val="005A6271"/>
    <w:rsid w:val="005B210C"/>
    <w:rsid w:val="005B241C"/>
    <w:rsid w:val="005B27D0"/>
    <w:rsid w:val="005B4715"/>
    <w:rsid w:val="005B4FED"/>
    <w:rsid w:val="005C449A"/>
    <w:rsid w:val="005C7655"/>
    <w:rsid w:val="005C7C79"/>
    <w:rsid w:val="005D1BC5"/>
    <w:rsid w:val="005D2D7A"/>
    <w:rsid w:val="005D7026"/>
    <w:rsid w:val="005E40D4"/>
    <w:rsid w:val="005F3D48"/>
    <w:rsid w:val="005F79CC"/>
    <w:rsid w:val="00602577"/>
    <w:rsid w:val="00603EA6"/>
    <w:rsid w:val="00603FC1"/>
    <w:rsid w:val="006066AC"/>
    <w:rsid w:val="00607805"/>
    <w:rsid w:val="0061255F"/>
    <w:rsid w:val="0061381E"/>
    <w:rsid w:val="006159CC"/>
    <w:rsid w:val="006173D0"/>
    <w:rsid w:val="006201D7"/>
    <w:rsid w:val="006208C6"/>
    <w:rsid w:val="006262CC"/>
    <w:rsid w:val="006267BF"/>
    <w:rsid w:val="00626CA4"/>
    <w:rsid w:val="0062796C"/>
    <w:rsid w:val="0063451F"/>
    <w:rsid w:val="006427AA"/>
    <w:rsid w:val="006429D7"/>
    <w:rsid w:val="006454DC"/>
    <w:rsid w:val="006553AB"/>
    <w:rsid w:val="006564EA"/>
    <w:rsid w:val="00657D2D"/>
    <w:rsid w:val="00661E36"/>
    <w:rsid w:val="00663EAD"/>
    <w:rsid w:val="00666B12"/>
    <w:rsid w:val="006674FC"/>
    <w:rsid w:val="006719C9"/>
    <w:rsid w:val="00671B6A"/>
    <w:rsid w:val="006757AA"/>
    <w:rsid w:val="00675B34"/>
    <w:rsid w:val="00675EDF"/>
    <w:rsid w:val="00682080"/>
    <w:rsid w:val="00684ABF"/>
    <w:rsid w:val="0068575D"/>
    <w:rsid w:val="00685BF1"/>
    <w:rsid w:val="00692AE7"/>
    <w:rsid w:val="00696E9D"/>
    <w:rsid w:val="00697A16"/>
    <w:rsid w:val="00697F67"/>
    <w:rsid w:val="006A131D"/>
    <w:rsid w:val="006A2795"/>
    <w:rsid w:val="006A3962"/>
    <w:rsid w:val="006A39D8"/>
    <w:rsid w:val="006A65E8"/>
    <w:rsid w:val="006A72D0"/>
    <w:rsid w:val="006B0488"/>
    <w:rsid w:val="006B089B"/>
    <w:rsid w:val="006B3301"/>
    <w:rsid w:val="006B56FC"/>
    <w:rsid w:val="006C0869"/>
    <w:rsid w:val="006C7B63"/>
    <w:rsid w:val="006D16B9"/>
    <w:rsid w:val="006E086B"/>
    <w:rsid w:val="006E0D17"/>
    <w:rsid w:val="006E2EA3"/>
    <w:rsid w:val="006E350F"/>
    <w:rsid w:val="006E55ED"/>
    <w:rsid w:val="006E70FF"/>
    <w:rsid w:val="006F173B"/>
    <w:rsid w:val="00711110"/>
    <w:rsid w:val="00714E79"/>
    <w:rsid w:val="00722560"/>
    <w:rsid w:val="007239F8"/>
    <w:rsid w:val="00727A8E"/>
    <w:rsid w:val="00730910"/>
    <w:rsid w:val="00733BDA"/>
    <w:rsid w:val="00744CB1"/>
    <w:rsid w:val="00753B4D"/>
    <w:rsid w:val="00754949"/>
    <w:rsid w:val="007550E9"/>
    <w:rsid w:val="00763B38"/>
    <w:rsid w:val="007660B9"/>
    <w:rsid w:val="00772CF2"/>
    <w:rsid w:val="00780AC4"/>
    <w:rsid w:val="00781479"/>
    <w:rsid w:val="00781797"/>
    <w:rsid w:val="007836C4"/>
    <w:rsid w:val="0078689C"/>
    <w:rsid w:val="00790D7F"/>
    <w:rsid w:val="007956C4"/>
    <w:rsid w:val="007A27C5"/>
    <w:rsid w:val="007A52E1"/>
    <w:rsid w:val="007A6297"/>
    <w:rsid w:val="007A6FC6"/>
    <w:rsid w:val="007C3F60"/>
    <w:rsid w:val="007C544A"/>
    <w:rsid w:val="007C5C8F"/>
    <w:rsid w:val="007D680C"/>
    <w:rsid w:val="007E24B7"/>
    <w:rsid w:val="007F7FED"/>
    <w:rsid w:val="00803395"/>
    <w:rsid w:val="0080402F"/>
    <w:rsid w:val="008051C4"/>
    <w:rsid w:val="00805B42"/>
    <w:rsid w:val="00806393"/>
    <w:rsid w:val="0080697E"/>
    <w:rsid w:val="0081512D"/>
    <w:rsid w:val="00817B50"/>
    <w:rsid w:val="00820E0F"/>
    <w:rsid w:val="008214DC"/>
    <w:rsid w:val="00825410"/>
    <w:rsid w:val="00825715"/>
    <w:rsid w:val="008275B9"/>
    <w:rsid w:val="00830A0C"/>
    <w:rsid w:val="0083261D"/>
    <w:rsid w:val="00832D89"/>
    <w:rsid w:val="0083503B"/>
    <w:rsid w:val="00840865"/>
    <w:rsid w:val="00841D41"/>
    <w:rsid w:val="008436AB"/>
    <w:rsid w:val="00844739"/>
    <w:rsid w:val="0084486B"/>
    <w:rsid w:val="00853CDF"/>
    <w:rsid w:val="0086151D"/>
    <w:rsid w:val="0086672B"/>
    <w:rsid w:val="008668C0"/>
    <w:rsid w:val="008678C1"/>
    <w:rsid w:val="00873DED"/>
    <w:rsid w:val="00874FF1"/>
    <w:rsid w:val="00877425"/>
    <w:rsid w:val="008777F4"/>
    <w:rsid w:val="00880786"/>
    <w:rsid w:val="00884213"/>
    <w:rsid w:val="008A2626"/>
    <w:rsid w:val="008A6759"/>
    <w:rsid w:val="008A67E3"/>
    <w:rsid w:val="008B13B1"/>
    <w:rsid w:val="008B493F"/>
    <w:rsid w:val="008C115E"/>
    <w:rsid w:val="008C5D4E"/>
    <w:rsid w:val="008D0504"/>
    <w:rsid w:val="008D1256"/>
    <w:rsid w:val="008D275A"/>
    <w:rsid w:val="008E109E"/>
    <w:rsid w:val="008E191C"/>
    <w:rsid w:val="008E66E6"/>
    <w:rsid w:val="008F112A"/>
    <w:rsid w:val="00900D4B"/>
    <w:rsid w:val="009014BC"/>
    <w:rsid w:val="00902CAC"/>
    <w:rsid w:val="009036CA"/>
    <w:rsid w:val="00915F79"/>
    <w:rsid w:val="009176BE"/>
    <w:rsid w:val="00917F95"/>
    <w:rsid w:val="00923EDF"/>
    <w:rsid w:val="00930775"/>
    <w:rsid w:val="00934C2D"/>
    <w:rsid w:val="00935AD4"/>
    <w:rsid w:val="00937CE1"/>
    <w:rsid w:val="0094513B"/>
    <w:rsid w:val="0094688C"/>
    <w:rsid w:val="00963FB3"/>
    <w:rsid w:val="00967264"/>
    <w:rsid w:val="009672EB"/>
    <w:rsid w:val="00973090"/>
    <w:rsid w:val="0099436F"/>
    <w:rsid w:val="009956DE"/>
    <w:rsid w:val="009959E0"/>
    <w:rsid w:val="00996328"/>
    <w:rsid w:val="00996BEA"/>
    <w:rsid w:val="009A33FB"/>
    <w:rsid w:val="009A5056"/>
    <w:rsid w:val="009B1A44"/>
    <w:rsid w:val="009B300F"/>
    <w:rsid w:val="009B4379"/>
    <w:rsid w:val="009C4B52"/>
    <w:rsid w:val="009C4D8A"/>
    <w:rsid w:val="009C580F"/>
    <w:rsid w:val="009D161E"/>
    <w:rsid w:val="009E1B26"/>
    <w:rsid w:val="009F751D"/>
    <w:rsid w:val="00A00EF2"/>
    <w:rsid w:val="00A018DD"/>
    <w:rsid w:val="00A069F9"/>
    <w:rsid w:val="00A07F0E"/>
    <w:rsid w:val="00A10AC2"/>
    <w:rsid w:val="00A173EC"/>
    <w:rsid w:val="00A17F9A"/>
    <w:rsid w:val="00A26D78"/>
    <w:rsid w:val="00A3076D"/>
    <w:rsid w:val="00A316E1"/>
    <w:rsid w:val="00A342EA"/>
    <w:rsid w:val="00A346CA"/>
    <w:rsid w:val="00A451DD"/>
    <w:rsid w:val="00A477A0"/>
    <w:rsid w:val="00A47C07"/>
    <w:rsid w:val="00A50BDE"/>
    <w:rsid w:val="00A5394E"/>
    <w:rsid w:val="00A5524F"/>
    <w:rsid w:val="00A61711"/>
    <w:rsid w:val="00A62C59"/>
    <w:rsid w:val="00A62F19"/>
    <w:rsid w:val="00A63A3E"/>
    <w:rsid w:val="00A66C34"/>
    <w:rsid w:val="00A72CC9"/>
    <w:rsid w:val="00A73497"/>
    <w:rsid w:val="00A73CFD"/>
    <w:rsid w:val="00A77E87"/>
    <w:rsid w:val="00A80863"/>
    <w:rsid w:val="00A81616"/>
    <w:rsid w:val="00A8365E"/>
    <w:rsid w:val="00A9488D"/>
    <w:rsid w:val="00A94E35"/>
    <w:rsid w:val="00A95355"/>
    <w:rsid w:val="00AA4D84"/>
    <w:rsid w:val="00AA5243"/>
    <w:rsid w:val="00AB350C"/>
    <w:rsid w:val="00AB3C78"/>
    <w:rsid w:val="00AB5D22"/>
    <w:rsid w:val="00AC1AA3"/>
    <w:rsid w:val="00AC4EB2"/>
    <w:rsid w:val="00AC7F21"/>
    <w:rsid w:val="00AD0F94"/>
    <w:rsid w:val="00AD7918"/>
    <w:rsid w:val="00AE0E38"/>
    <w:rsid w:val="00AE11C4"/>
    <w:rsid w:val="00AE1640"/>
    <w:rsid w:val="00AE297B"/>
    <w:rsid w:val="00AE58D5"/>
    <w:rsid w:val="00AE6686"/>
    <w:rsid w:val="00AF7794"/>
    <w:rsid w:val="00B0259B"/>
    <w:rsid w:val="00B06546"/>
    <w:rsid w:val="00B1230D"/>
    <w:rsid w:val="00B13055"/>
    <w:rsid w:val="00B151CC"/>
    <w:rsid w:val="00B22001"/>
    <w:rsid w:val="00B24D0A"/>
    <w:rsid w:val="00B3317D"/>
    <w:rsid w:val="00B36573"/>
    <w:rsid w:val="00B36583"/>
    <w:rsid w:val="00B37705"/>
    <w:rsid w:val="00B455C1"/>
    <w:rsid w:val="00B53058"/>
    <w:rsid w:val="00B663B0"/>
    <w:rsid w:val="00B83B2F"/>
    <w:rsid w:val="00B87E45"/>
    <w:rsid w:val="00B95533"/>
    <w:rsid w:val="00BA2BE7"/>
    <w:rsid w:val="00BB0F68"/>
    <w:rsid w:val="00BB1352"/>
    <w:rsid w:val="00BB1FFF"/>
    <w:rsid w:val="00BB2567"/>
    <w:rsid w:val="00BB662C"/>
    <w:rsid w:val="00BC24CA"/>
    <w:rsid w:val="00BD113A"/>
    <w:rsid w:val="00BD2076"/>
    <w:rsid w:val="00BD2B9F"/>
    <w:rsid w:val="00BD2EA0"/>
    <w:rsid w:val="00BD35B3"/>
    <w:rsid w:val="00BD3DA8"/>
    <w:rsid w:val="00BD45D5"/>
    <w:rsid w:val="00BE446D"/>
    <w:rsid w:val="00BE64F3"/>
    <w:rsid w:val="00BF115D"/>
    <w:rsid w:val="00BF4522"/>
    <w:rsid w:val="00BF5183"/>
    <w:rsid w:val="00C00697"/>
    <w:rsid w:val="00C0095A"/>
    <w:rsid w:val="00C10C00"/>
    <w:rsid w:val="00C17CE9"/>
    <w:rsid w:val="00C210C6"/>
    <w:rsid w:val="00C464A7"/>
    <w:rsid w:val="00C478AD"/>
    <w:rsid w:val="00C511C3"/>
    <w:rsid w:val="00C51C42"/>
    <w:rsid w:val="00C52329"/>
    <w:rsid w:val="00C57F4E"/>
    <w:rsid w:val="00C61325"/>
    <w:rsid w:val="00C66A73"/>
    <w:rsid w:val="00C67AA6"/>
    <w:rsid w:val="00C67C4A"/>
    <w:rsid w:val="00C76497"/>
    <w:rsid w:val="00C767CB"/>
    <w:rsid w:val="00C80CAE"/>
    <w:rsid w:val="00C856C9"/>
    <w:rsid w:val="00C86AD9"/>
    <w:rsid w:val="00C86F22"/>
    <w:rsid w:val="00C90CAA"/>
    <w:rsid w:val="00C91A83"/>
    <w:rsid w:val="00C91F79"/>
    <w:rsid w:val="00C9650F"/>
    <w:rsid w:val="00C9741E"/>
    <w:rsid w:val="00CA33C7"/>
    <w:rsid w:val="00CA545D"/>
    <w:rsid w:val="00CB2C58"/>
    <w:rsid w:val="00CB38A3"/>
    <w:rsid w:val="00CB3B70"/>
    <w:rsid w:val="00CC1475"/>
    <w:rsid w:val="00CC1CCB"/>
    <w:rsid w:val="00CC4172"/>
    <w:rsid w:val="00CC478C"/>
    <w:rsid w:val="00CC6B7E"/>
    <w:rsid w:val="00CD730D"/>
    <w:rsid w:val="00CE1635"/>
    <w:rsid w:val="00CF0D33"/>
    <w:rsid w:val="00CF505D"/>
    <w:rsid w:val="00CF5A4B"/>
    <w:rsid w:val="00CF68E9"/>
    <w:rsid w:val="00CF7819"/>
    <w:rsid w:val="00D171A8"/>
    <w:rsid w:val="00D2011B"/>
    <w:rsid w:val="00D303B7"/>
    <w:rsid w:val="00D4602A"/>
    <w:rsid w:val="00D4643A"/>
    <w:rsid w:val="00D46EB7"/>
    <w:rsid w:val="00D475BD"/>
    <w:rsid w:val="00D52159"/>
    <w:rsid w:val="00D54C52"/>
    <w:rsid w:val="00D54CE5"/>
    <w:rsid w:val="00D55E22"/>
    <w:rsid w:val="00D611A9"/>
    <w:rsid w:val="00D620F7"/>
    <w:rsid w:val="00D621F3"/>
    <w:rsid w:val="00D70252"/>
    <w:rsid w:val="00D822F9"/>
    <w:rsid w:val="00D9012E"/>
    <w:rsid w:val="00D90897"/>
    <w:rsid w:val="00D93BE5"/>
    <w:rsid w:val="00DA3036"/>
    <w:rsid w:val="00DA5D5C"/>
    <w:rsid w:val="00DB015B"/>
    <w:rsid w:val="00DB1A17"/>
    <w:rsid w:val="00DB20CE"/>
    <w:rsid w:val="00DB24D3"/>
    <w:rsid w:val="00DB35E7"/>
    <w:rsid w:val="00DB5E67"/>
    <w:rsid w:val="00DB6F16"/>
    <w:rsid w:val="00DB7D77"/>
    <w:rsid w:val="00DC3380"/>
    <w:rsid w:val="00DD58D2"/>
    <w:rsid w:val="00DD619D"/>
    <w:rsid w:val="00DD6C35"/>
    <w:rsid w:val="00DE193D"/>
    <w:rsid w:val="00DE710F"/>
    <w:rsid w:val="00DE7EED"/>
    <w:rsid w:val="00E02E5D"/>
    <w:rsid w:val="00E05E36"/>
    <w:rsid w:val="00E14B90"/>
    <w:rsid w:val="00E23731"/>
    <w:rsid w:val="00E23B18"/>
    <w:rsid w:val="00E401B3"/>
    <w:rsid w:val="00E41EC4"/>
    <w:rsid w:val="00E46F31"/>
    <w:rsid w:val="00E50185"/>
    <w:rsid w:val="00E578B7"/>
    <w:rsid w:val="00E61D36"/>
    <w:rsid w:val="00E63231"/>
    <w:rsid w:val="00E7076D"/>
    <w:rsid w:val="00E7329A"/>
    <w:rsid w:val="00E73F85"/>
    <w:rsid w:val="00E76451"/>
    <w:rsid w:val="00E8016F"/>
    <w:rsid w:val="00E80254"/>
    <w:rsid w:val="00E80E52"/>
    <w:rsid w:val="00E816CE"/>
    <w:rsid w:val="00E84401"/>
    <w:rsid w:val="00E87451"/>
    <w:rsid w:val="00E90908"/>
    <w:rsid w:val="00E90FB5"/>
    <w:rsid w:val="00E92954"/>
    <w:rsid w:val="00E976DF"/>
    <w:rsid w:val="00EA0688"/>
    <w:rsid w:val="00EA19B4"/>
    <w:rsid w:val="00EB25EA"/>
    <w:rsid w:val="00EC0059"/>
    <w:rsid w:val="00EC68DB"/>
    <w:rsid w:val="00ED0CB2"/>
    <w:rsid w:val="00ED1208"/>
    <w:rsid w:val="00ED334F"/>
    <w:rsid w:val="00EE08F2"/>
    <w:rsid w:val="00EE1DD7"/>
    <w:rsid w:val="00EE76B9"/>
    <w:rsid w:val="00EF125F"/>
    <w:rsid w:val="00EF1E49"/>
    <w:rsid w:val="00EF2497"/>
    <w:rsid w:val="00EF38A6"/>
    <w:rsid w:val="00EF53E7"/>
    <w:rsid w:val="00EF70B9"/>
    <w:rsid w:val="00F017E0"/>
    <w:rsid w:val="00F01B39"/>
    <w:rsid w:val="00F03B20"/>
    <w:rsid w:val="00F065A0"/>
    <w:rsid w:val="00F21C70"/>
    <w:rsid w:val="00F26B56"/>
    <w:rsid w:val="00F26D11"/>
    <w:rsid w:val="00F27CBE"/>
    <w:rsid w:val="00F4121E"/>
    <w:rsid w:val="00F4212B"/>
    <w:rsid w:val="00F4644C"/>
    <w:rsid w:val="00F468E5"/>
    <w:rsid w:val="00F46D66"/>
    <w:rsid w:val="00F4704F"/>
    <w:rsid w:val="00F50EE3"/>
    <w:rsid w:val="00F651C4"/>
    <w:rsid w:val="00F742CA"/>
    <w:rsid w:val="00F7682E"/>
    <w:rsid w:val="00F92C57"/>
    <w:rsid w:val="00F9344F"/>
    <w:rsid w:val="00F97436"/>
    <w:rsid w:val="00F97B14"/>
    <w:rsid w:val="00FA3079"/>
    <w:rsid w:val="00FA6B33"/>
    <w:rsid w:val="00FB1D0E"/>
    <w:rsid w:val="00FB20C4"/>
    <w:rsid w:val="00FB259C"/>
    <w:rsid w:val="00FB3C96"/>
    <w:rsid w:val="00FB4BCE"/>
    <w:rsid w:val="00FB55EF"/>
    <w:rsid w:val="00FB5ED3"/>
    <w:rsid w:val="00FB60EF"/>
    <w:rsid w:val="00FC3D4F"/>
    <w:rsid w:val="00FC49FB"/>
    <w:rsid w:val="00FC5756"/>
    <w:rsid w:val="00FC5BCB"/>
    <w:rsid w:val="00FD228D"/>
    <w:rsid w:val="00FD60DD"/>
    <w:rsid w:val="00FD659E"/>
    <w:rsid w:val="00FE46B9"/>
    <w:rsid w:val="00FE6A0D"/>
    <w:rsid w:val="00FE7253"/>
    <w:rsid w:val="00FF2D86"/>
    <w:rsid w:val="00FF5459"/>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B363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5"/>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29"/>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7"/>
      </w:numPr>
      <w:ind w:left="1418" w:hanging="284"/>
    </w:pPr>
  </w:style>
  <w:style w:type="character" w:styleId="Hyperlink">
    <w:name w:val="Hyperlink"/>
    <w:basedOn w:val="DefaultParagraphFont"/>
    <w:uiPriority w:val="99"/>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7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aa.gov.au/pmc/who-we-are/accountability-and-reporting/privacy-polic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RJEDHelpdesk@niaa.gov.au" TargetMode="External"/><Relationship Id="rId17" Type="http://schemas.openxmlformats.org/officeDocument/2006/relationships/hyperlink" Target="https://www.morrispiper.com/privacy-policy-1" TargetMode="External"/><Relationship Id="rId2" Type="http://schemas.openxmlformats.org/officeDocument/2006/relationships/customXml" Target="../customXml/item2.xml"/><Relationship Id="rId16" Type="http://schemas.openxmlformats.org/officeDocument/2006/relationships/hyperlink" Target="https://whitneyconsulting.com.au/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rrispiper.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laxcapital.com.au/privacy-policy" TargetMode="External"/><Relationship Id="rId23" Type="http://schemas.openxmlformats.org/officeDocument/2006/relationships/fontTable" Target="fontTable.xml"/><Relationship Id="rId10" Type="http://schemas.openxmlformats.org/officeDocument/2006/relationships/hyperlink" Target="https://whitneyconsulting.com.a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blaxcapital.com.au/" TargetMode="External"/><Relationship Id="rId14" Type="http://schemas.openxmlformats.org/officeDocument/2006/relationships/hyperlink" Target="mailto:privacy@niaa.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RJEDHelpdesk@niaa.gov.au"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Choose Classification</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5630</Characters>
  <Application>Microsoft Office Word</Application>
  <DocSecurity>0</DocSecurity>
  <Lines>162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2026-02-11T03:20:00Z</dcterms:created>
  <dcterms:modified xsi:type="dcterms:W3CDTF">2026-02-11T03:21:00Z</dcterms:modified>
</cp:coreProperties>
</file>