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7A44" w14:textId="4B6A8A4D" w:rsidR="00FF61D5" w:rsidRDefault="005D6A65" w:rsidP="009249D0">
      <w:pPr>
        <w:pStyle w:val="Title"/>
      </w:pPr>
      <w:r w:rsidRPr="005D6A65">
        <w:t>Closing the Gap Appendix E</w:t>
      </w:r>
      <w:r w:rsidR="00FF61D5" w:rsidRPr="00FF61D5">
        <w:t>: 2025 Commonwealth Partnership Stocktake</w:t>
      </w:r>
    </w:p>
    <w:p w14:paraId="5E5EF63E" w14:textId="77777777" w:rsidR="009F0FC8" w:rsidRDefault="009F0FC8" w:rsidP="009249D0"/>
    <w:sdt>
      <w:sdtPr>
        <w:rPr>
          <w:rFonts w:eastAsiaTheme="minorEastAsia"/>
          <w:sz w:val="24"/>
          <w:szCs w:val="24"/>
        </w:rPr>
        <w:id w:val="601455609"/>
        <w:docPartObj>
          <w:docPartGallery w:val="Table of Contents"/>
          <w:docPartUnique/>
        </w:docPartObj>
      </w:sdtPr>
      <w:sdtEndPr>
        <w:rPr>
          <w:sz w:val="22"/>
          <w:szCs w:val="22"/>
        </w:rPr>
      </w:sdtEndPr>
      <w:sdtContent>
        <w:p w14:paraId="09731880" w14:textId="4C8824E0" w:rsidR="00BE2D5B" w:rsidRDefault="00A70111">
          <w:pPr>
            <w:pStyle w:val="TOC1"/>
            <w:tabs>
              <w:tab w:val="right" w:leader="dot" w:pos="10456"/>
            </w:tabs>
            <w:rPr>
              <w:rFonts w:eastAsiaTheme="minorEastAsia"/>
              <w:noProof/>
              <w:sz w:val="24"/>
              <w:szCs w:val="24"/>
              <w:lang w:eastAsia="en-AU"/>
            </w:rPr>
          </w:pPr>
          <w:r>
            <w:fldChar w:fldCharType="begin"/>
          </w:r>
          <w:r>
            <w:instrText xml:space="preserve"> TOC \o "1-3" \h \z \u </w:instrText>
          </w:r>
          <w:r>
            <w:fldChar w:fldCharType="separate"/>
          </w:r>
          <w:hyperlink w:anchor="_Toc225506022" w:history="1">
            <w:r w:rsidR="00BE2D5B" w:rsidRPr="00F752A9">
              <w:rPr>
                <w:rStyle w:val="Hyperlink"/>
                <w:noProof/>
              </w:rPr>
              <w:t>Introduction</w:t>
            </w:r>
            <w:r w:rsidR="00BE2D5B">
              <w:rPr>
                <w:noProof/>
                <w:webHidden/>
              </w:rPr>
              <w:tab/>
            </w:r>
            <w:r w:rsidR="00BE2D5B">
              <w:rPr>
                <w:noProof/>
                <w:webHidden/>
              </w:rPr>
              <w:fldChar w:fldCharType="begin"/>
            </w:r>
            <w:r w:rsidR="00BE2D5B">
              <w:rPr>
                <w:noProof/>
                <w:webHidden/>
              </w:rPr>
              <w:instrText xml:space="preserve"> PAGEREF _Toc225506022 \h </w:instrText>
            </w:r>
            <w:r w:rsidR="00BE2D5B">
              <w:rPr>
                <w:noProof/>
                <w:webHidden/>
              </w:rPr>
            </w:r>
            <w:r w:rsidR="00BE2D5B">
              <w:rPr>
                <w:noProof/>
                <w:webHidden/>
              </w:rPr>
              <w:fldChar w:fldCharType="separate"/>
            </w:r>
            <w:r w:rsidR="00BE2D5B">
              <w:rPr>
                <w:noProof/>
                <w:webHidden/>
              </w:rPr>
              <w:t>5</w:t>
            </w:r>
            <w:r w:rsidR="00BE2D5B">
              <w:rPr>
                <w:noProof/>
                <w:webHidden/>
              </w:rPr>
              <w:fldChar w:fldCharType="end"/>
            </w:r>
          </w:hyperlink>
        </w:p>
        <w:p w14:paraId="1F7FA465" w14:textId="52D96356" w:rsidR="00BE2D5B" w:rsidRDefault="00BE2D5B">
          <w:pPr>
            <w:pStyle w:val="TOC2"/>
            <w:tabs>
              <w:tab w:val="right" w:leader="dot" w:pos="10456"/>
            </w:tabs>
            <w:rPr>
              <w:rFonts w:eastAsiaTheme="minorEastAsia"/>
              <w:noProof/>
              <w:sz w:val="24"/>
              <w:szCs w:val="24"/>
              <w:lang w:eastAsia="en-AU"/>
            </w:rPr>
          </w:pPr>
          <w:hyperlink w:anchor="_Toc225506023" w:history="1">
            <w:r w:rsidRPr="00F752A9">
              <w:rPr>
                <w:rStyle w:val="Hyperlink"/>
                <w:noProof/>
              </w:rPr>
              <w:t>Our approach to the stocktake</w:t>
            </w:r>
            <w:r>
              <w:rPr>
                <w:noProof/>
                <w:webHidden/>
              </w:rPr>
              <w:tab/>
            </w:r>
            <w:r>
              <w:rPr>
                <w:noProof/>
                <w:webHidden/>
              </w:rPr>
              <w:fldChar w:fldCharType="begin"/>
            </w:r>
            <w:r>
              <w:rPr>
                <w:noProof/>
                <w:webHidden/>
              </w:rPr>
              <w:instrText xml:space="preserve"> PAGEREF _Toc225506023 \h </w:instrText>
            </w:r>
            <w:r>
              <w:rPr>
                <w:noProof/>
                <w:webHidden/>
              </w:rPr>
            </w:r>
            <w:r>
              <w:rPr>
                <w:noProof/>
                <w:webHidden/>
              </w:rPr>
              <w:fldChar w:fldCharType="separate"/>
            </w:r>
            <w:r>
              <w:rPr>
                <w:noProof/>
                <w:webHidden/>
              </w:rPr>
              <w:t>6</w:t>
            </w:r>
            <w:r>
              <w:rPr>
                <w:noProof/>
                <w:webHidden/>
              </w:rPr>
              <w:fldChar w:fldCharType="end"/>
            </w:r>
          </w:hyperlink>
        </w:p>
        <w:p w14:paraId="7ED26B83" w14:textId="2C5A4585" w:rsidR="00BE2D5B" w:rsidRDefault="00BE2D5B">
          <w:pPr>
            <w:pStyle w:val="TOC1"/>
            <w:tabs>
              <w:tab w:val="right" w:leader="dot" w:pos="10456"/>
            </w:tabs>
            <w:rPr>
              <w:rFonts w:eastAsiaTheme="minorEastAsia"/>
              <w:noProof/>
              <w:sz w:val="24"/>
              <w:szCs w:val="24"/>
              <w:lang w:eastAsia="en-AU"/>
            </w:rPr>
          </w:pPr>
          <w:hyperlink w:anchor="_Toc225506024" w:history="1">
            <w:r w:rsidRPr="00F752A9">
              <w:rPr>
                <w:rStyle w:val="Hyperlink"/>
                <w:noProof/>
              </w:rPr>
              <w:t>Partnership Stocktake</w:t>
            </w:r>
            <w:r>
              <w:rPr>
                <w:noProof/>
                <w:webHidden/>
              </w:rPr>
              <w:tab/>
            </w:r>
            <w:r>
              <w:rPr>
                <w:noProof/>
                <w:webHidden/>
              </w:rPr>
              <w:fldChar w:fldCharType="begin"/>
            </w:r>
            <w:r>
              <w:rPr>
                <w:noProof/>
                <w:webHidden/>
              </w:rPr>
              <w:instrText xml:space="preserve"> PAGEREF _Toc225506024 \h </w:instrText>
            </w:r>
            <w:r>
              <w:rPr>
                <w:noProof/>
                <w:webHidden/>
              </w:rPr>
            </w:r>
            <w:r>
              <w:rPr>
                <w:noProof/>
                <w:webHidden/>
              </w:rPr>
              <w:fldChar w:fldCharType="separate"/>
            </w:r>
            <w:r>
              <w:rPr>
                <w:noProof/>
                <w:webHidden/>
              </w:rPr>
              <w:t>6</w:t>
            </w:r>
            <w:r>
              <w:rPr>
                <w:noProof/>
                <w:webHidden/>
              </w:rPr>
              <w:fldChar w:fldCharType="end"/>
            </w:r>
          </w:hyperlink>
        </w:p>
        <w:p w14:paraId="697382F6" w14:textId="437A47DD" w:rsidR="00BE2D5B" w:rsidRDefault="00BE2D5B">
          <w:pPr>
            <w:pStyle w:val="TOC2"/>
            <w:tabs>
              <w:tab w:val="right" w:leader="dot" w:pos="10456"/>
            </w:tabs>
            <w:rPr>
              <w:rFonts w:eastAsiaTheme="minorEastAsia"/>
              <w:noProof/>
              <w:sz w:val="24"/>
              <w:szCs w:val="24"/>
              <w:lang w:eastAsia="en-AU"/>
            </w:rPr>
          </w:pPr>
          <w:hyperlink w:anchor="_Toc225506025" w:history="1">
            <w:r w:rsidRPr="00F752A9">
              <w:rPr>
                <w:rStyle w:val="Hyperlink"/>
                <w:noProof/>
              </w:rPr>
              <w:t>Snapshot</w:t>
            </w:r>
            <w:r>
              <w:rPr>
                <w:noProof/>
                <w:webHidden/>
              </w:rPr>
              <w:tab/>
            </w:r>
            <w:r>
              <w:rPr>
                <w:noProof/>
                <w:webHidden/>
              </w:rPr>
              <w:fldChar w:fldCharType="begin"/>
            </w:r>
            <w:r>
              <w:rPr>
                <w:noProof/>
                <w:webHidden/>
              </w:rPr>
              <w:instrText xml:space="preserve"> PAGEREF _Toc225506025 \h </w:instrText>
            </w:r>
            <w:r>
              <w:rPr>
                <w:noProof/>
                <w:webHidden/>
              </w:rPr>
            </w:r>
            <w:r>
              <w:rPr>
                <w:noProof/>
                <w:webHidden/>
              </w:rPr>
              <w:fldChar w:fldCharType="separate"/>
            </w:r>
            <w:r>
              <w:rPr>
                <w:noProof/>
                <w:webHidden/>
              </w:rPr>
              <w:t>6</w:t>
            </w:r>
            <w:r>
              <w:rPr>
                <w:noProof/>
                <w:webHidden/>
              </w:rPr>
              <w:fldChar w:fldCharType="end"/>
            </w:r>
          </w:hyperlink>
        </w:p>
        <w:p w14:paraId="0F7419AC" w14:textId="06B9C30B" w:rsidR="00BE2D5B" w:rsidRDefault="00BE2D5B">
          <w:pPr>
            <w:pStyle w:val="TOC2"/>
            <w:tabs>
              <w:tab w:val="right" w:leader="dot" w:pos="10456"/>
            </w:tabs>
            <w:rPr>
              <w:rFonts w:eastAsiaTheme="minorEastAsia"/>
              <w:noProof/>
              <w:sz w:val="24"/>
              <w:szCs w:val="24"/>
              <w:lang w:eastAsia="en-AU"/>
            </w:rPr>
          </w:pPr>
          <w:hyperlink w:anchor="_Toc225506026" w:history="1">
            <w:r w:rsidRPr="00F752A9">
              <w:rPr>
                <w:rStyle w:val="Hyperlink"/>
                <w:noProof/>
              </w:rPr>
              <w:t>Strengthening the stocktake</w:t>
            </w:r>
            <w:r>
              <w:rPr>
                <w:noProof/>
                <w:webHidden/>
              </w:rPr>
              <w:tab/>
            </w:r>
            <w:r>
              <w:rPr>
                <w:noProof/>
                <w:webHidden/>
              </w:rPr>
              <w:fldChar w:fldCharType="begin"/>
            </w:r>
            <w:r>
              <w:rPr>
                <w:noProof/>
                <w:webHidden/>
              </w:rPr>
              <w:instrText xml:space="preserve"> PAGEREF _Toc225506026 \h </w:instrText>
            </w:r>
            <w:r>
              <w:rPr>
                <w:noProof/>
                <w:webHidden/>
              </w:rPr>
            </w:r>
            <w:r>
              <w:rPr>
                <w:noProof/>
                <w:webHidden/>
              </w:rPr>
              <w:fldChar w:fldCharType="separate"/>
            </w:r>
            <w:r>
              <w:rPr>
                <w:noProof/>
                <w:webHidden/>
              </w:rPr>
              <w:t>6</w:t>
            </w:r>
            <w:r>
              <w:rPr>
                <w:noProof/>
                <w:webHidden/>
              </w:rPr>
              <w:fldChar w:fldCharType="end"/>
            </w:r>
          </w:hyperlink>
        </w:p>
        <w:p w14:paraId="74098A16" w14:textId="7BB5541B" w:rsidR="00BE2D5B" w:rsidRDefault="00BE2D5B">
          <w:pPr>
            <w:pStyle w:val="TOC2"/>
            <w:tabs>
              <w:tab w:val="right" w:leader="dot" w:pos="10456"/>
            </w:tabs>
            <w:rPr>
              <w:rFonts w:eastAsiaTheme="minorEastAsia"/>
              <w:noProof/>
              <w:sz w:val="24"/>
              <w:szCs w:val="24"/>
              <w:lang w:eastAsia="en-AU"/>
            </w:rPr>
          </w:pPr>
          <w:hyperlink w:anchor="_Toc225506027" w:history="1">
            <w:r w:rsidRPr="00F752A9">
              <w:rPr>
                <w:rStyle w:val="Hyperlink"/>
                <w:noProof/>
              </w:rPr>
              <w:t>Summary of insights</w:t>
            </w:r>
            <w:r>
              <w:rPr>
                <w:noProof/>
                <w:webHidden/>
              </w:rPr>
              <w:tab/>
            </w:r>
            <w:r>
              <w:rPr>
                <w:noProof/>
                <w:webHidden/>
              </w:rPr>
              <w:fldChar w:fldCharType="begin"/>
            </w:r>
            <w:r>
              <w:rPr>
                <w:noProof/>
                <w:webHidden/>
              </w:rPr>
              <w:instrText xml:space="preserve"> PAGEREF _Toc225506027 \h </w:instrText>
            </w:r>
            <w:r>
              <w:rPr>
                <w:noProof/>
                <w:webHidden/>
              </w:rPr>
            </w:r>
            <w:r>
              <w:rPr>
                <w:noProof/>
                <w:webHidden/>
              </w:rPr>
              <w:fldChar w:fldCharType="separate"/>
            </w:r>
            <w:r>
              <w:rPr>
                <w:noProof/>
                <w:webHidden/>
              </w:rPr>
              <w:t>6</w:t>
            </w:r>
            <w:r>
              <w:rPr>
                <w:noProof/>
                <w:webHidden/>
              </w:rPr>
              <w:fldChar w:fldCharType="end"/>
            </w:r>
          </w:hyperlink>
        </w:p>
        <w:p w14:paraId="2D036D72" w14:textId="24F94E5F" w:rsidR="00BE2D5B" w:rsidRDefault="00BE2D5B">
          <w:pPr>
            <w:pStyle w:val="TOC1"/>
            <w:tabs>
              <w:tab w:val="right" w:leader="dot" w:pos="10456"/>
            </w:tabs>
            <w:rPr>
              <w:rFonts w:eastAsiaTheme="minorEastAsia"/>
              <w:noProof/>
              <w:sz w:val="24"/>
              <w:szCs w:val="24"/>
              <w:lang w:eastAsia="en-AU"/>
            </w:rPr>
          </w:pPr>
          <w:hyperlink w:anchor="_Toc225506028" w:history="1">
            <w:r w:rsidRPr="00F752A9">
              <w:rPr>
                <w:rStyle w:val="Hyperlink"/>
                <w:noProof/>
              </w:rPr>
              <w:t>Partnerships and Outcome Focus Areas</w:t>
            </w:r>
            <w:r>
              <w:rPr>
                <w:noProof/>
                <w:webHidden/>
              </w:rPr>
              <w:tab/>
            </w:r>
            <w:r>
              <w:rPr>
                <w:noProof/>
                <w:webHidden/>
              </w:rPr>
              <w:fldChar w:fldCharType="begin"/>
            </w:r>
            <w:r>
              <w:rPr>
                <w:noProof/>
                <w:webHidden/>
              </w:rPr>
              <w:instrText xml:space="preserve"> PAGEREF _Toc225506028 \h </w:instrText>
            </w:r>
            <w:r>
              <w:rPr>
                <w:noProof/>
                <w:webHidden/>
              </w:rPr>
            </w:r>
            <w:r>
              <w:rPr>
                <w:noProof/>
                <w:webHidden/>
              </w:rPr>
              <w:fldChar w:fldCharType="separate"/>
            </w:r>
            <w:r>
              <w:rPr>
                <w:noProof/>
                <w:webHidden/>
              </w:rPr>
              <w:t>8</w:t>
            </w:r>
            <w:r>
              <w:rPr>
                <w:noProof/>
                <w:webHidden/>
              </w:rPr>
              <w:fldChar w:fldCharType="end"/>
            </w:r>
          </w:hyperlink>
        </w:p>
        <w:p w14:paraId="778A8733" w14:textId="4064578F" w:rsidR="00BE2D5B" w:rsidRDefault="00BE2D5B">
          <w:pPr>
            <w:pStyle w:val="TOC1"/>
            <w:tabs>
              <w:tab w:val="right" w:leader="dot" w:pos="10456"/>
            </w:tabs>
            <w:rPr>
              <w:rFonts w:eastAsiaTheme="minorEastAsia"/>
              <w:noProof/>
              <w:sz w:val="24"/>
              <w:szCs w:val="24"/>
              <w:lang w:eastAsia="en-AU"/>
            </w:rPr>
          </w:pPr>
          <w:hyperlink w:anchor="_Toc225506029" w:history="1">
            <w:r w:rsidRPr="00F752A9">
              <w:rPr>
                <w:rStyle w:val="Hyperlink"/>
                <w:noProof/>
              </w:rPr>
              <w:t>Partnerships</w:t>
            </w:r>
            <w:r>
              <w:rPr>
                <w:noProof/>
                <w:webHidden/>
              </w:rPr>
              <w:tab/>
            </w:r>
            <w:r>
              <w:rPr>
                <w:noProof/>
                <w:webHidden/>
              </w:rPr>
              <w:fldChar w:fldCharType="begin"/>
            </w:r>
            <w:r>
              <w:rPr>
                <w:noProof/>
                <w:webHidden/>
              </w:rPr>
              <w:instrText xml:space="preserve"> PAGEREF _Toc225506029 \h </w:instrText>
            </w:r>
            <w:r>
              <w:rPr>
                <w:noProof/>
                <w:webHidden/>
              </w:rPr>
            </w:r>
            <w:r>
              <w:rPr>
                <w:noProof/>
                <w:webHidden/>
              </w:rPr>
              <w:fldChar w:fldCharType="separate"/>
            </w:r>
            <w:r>
              <w:rPr>
                <w:noProof/>
                <w:webHidden/>
              </w:rPr>
              <w:t>13</w:t>
            </w:r>
            <w:r>
              <w:rPr>
                <w:noProof/>
                <w:webHidden/>
              </w:rPr>
              <w:fldChar w:fldCharType="end"/>
            </w:r>
          </w:hyperlink>
        </w:p>
        <w:p w14:paraId="1871B919" w14:textId="18DBB4AE" w:rsidR="00BE2D5B" w:rsidRDefault="00BE2D5B">
          <w:pPr>
            <w:pStyle w:val="TOC3"/>
            <w:tabs>
              <w:tab w:val="left" w:pos="960"/>
              <w:tab w:val="right" w:leader="dot" w:pos="10456"/>
            </w:tabs>
            <w:rPr>
              <w:rFonts w:eastAsiaTheme="minorEastAsia"/>
              <w:noProof/>
              <w:sz w:val="24"/>
              <w:szCs w:val="24"/>
              <w:lang w:eastAsia="en-AU"/>
            </w:rPr>
          </w:pPr>
          <w:hyperlink w:anchor="_Toc225506030" w:history="1">
            <w:r w:rsidRPr="00F752A9">
              <w:rPr>
                <w:rStyle w:val="Hyperlink"/>
                <w:noProof/>
              </w:rPr>
              <w:t>1)</w:t>
            </w:r>
            <w:r>
              <w:rPr>
                <w:rFonts w:eastAsiaTheme="minorEastAsia"/>
                <w:noProof/>
                <w:sz w:val="24"/>
                <w:szCs w:val="24"/>
                <w:lang w:eastAsia="en-AU"/>
              </w:rPr>
              <w:tab/>
            </w:r>
            <w:r w:rsidRPr="00F752A9">
              <w:rPr>
                <w:rStyle w:val="Hyperlink"/>
                <w:noProof/>
              </w:rPr>
              <w:t>Justice Policy Partnership (JPP)</w:t>
            </w:r>
            <w:r>
              <w:rPr>
                <w:noProof/>
                <w:webHidden/>
              </w:rPr>
              <w:tab/>
            </w:r>
            <w:r>
              <w:rPr>
                <w:noProof/>
                <w:webHidden/>
              </w:rPr>
              <w:fldChar w:fldCharType="begin"/>
            </w:r>
            <w:r>
              <w:rPr>
                <w:noProof/>
                <w:webHidden/>
              </w:rPr>
              <w:instrText xml:space="preserve"> PAGEREF _Toc225506030 \h </w:instrText>
            </w:r>
            <w:r>
              <w:rPr>
                <w:noProof/>
                <w:webHidden/>
              </w:rPr>
            </w:r>
            <w:r>
              <w:rPr>
                <w:noProof/>
                <w:webHidden/>
              </w:rPr>
              <w:fldChar w:fldCharType="separate"/>
            </w:r>
            <w:r>
              <w:rPr>
                <w:noProof/>
                <w:webHidden/>
              </w:rPr>
              <w:t>13</w:t>
            </w:r>
            <w:r>
              <w:rPr>
                <w:noProof/>
                <w:webHidden/>
              </w:rPr>
              <w:fldChar w:fldCharType="end"/>
            </w:r>
          </w:hyperlink>
        </w:p>
        <w:p w14:paraId="5DD6BA70" w14:textId="3DFFB3DE" w:rsidR="00BE2D5B" w:rsidRDefault="00BE2D5B">
          <w:pPr>
            <w:pStyle w:val="TOC3"/>
            <w:tabs>
              <w:tab w:val="left" w:pos="960"/>
              <w:tab w:val="right" w:leader="dot" w:pos="10456"/>
            </w:tabs>
            <w:rPr>
              <w:rFonts w:eastAsiaTheme="minorEastAsia"/>
              <w:noProof/>
              <w:sz w:val="24"/>
              <w:szCs w:val="24"/>
              <w:lang w:eastAsia="en-AU"/>
            </w:rPr>
          </w:pPr>
          <w:hyperlink w:anchor="_Toc225506031" w:history="1">
            <w:r w:rsidRPr="00F752A9">
              <w:rPr>
                <w:rStyle w:val="Hyperlink"/>
                <w:noProof/>
              </w:rPr>
              <w:t>2)</w:t>
            </w:r>
            <w:r>
              <w:rPr>
                <w:rFonts w:eastAsiaTheme="minorEastAsia"/>
                <w:noProof/>
                <w:sz w:val="24"/>
                <w:szCs w:val="24"/>
                <w:lang w:eastAsia="en-AU"/>
              </w:rPr>
              <w:tab/>
            </w:r>
            <w:r w:rsidRPr="00F752A9">
              <w:rPr>
                <w:rStyle w:val="Hyperlink"/>
                <w:noProof/>
              </w:rPr>
              <w:t>National Access to Justice Partnership (NAJP) Closing the Gap Engagement Forum</w:t>
            </w:r>
            <w:r>
              <w:rPr>
                <w:noProof/>
                <w:webHidden/>
              </w:rPr>
              <w:tab/>
            </w:r>
            <w:r>
              <w:rPr>
                <w:noProof/>
                <w:webHidden/>
              </w:rPr>
              <w:fldChar w:fldCharType="begin"/>
            </w:r>
            <w:r>
              <w:rPr>
                <w:noProof/>
                <w:webHidden/>
              </w:rPr>
              <w:instrText xml:space="preserve"> PAGEREF _Toc225506031 \h </w:instrText>
            </w:r>
            <w:r>
              <w:rPr>
                <w:noProof/>
                <w:webHidden/>
              </w:rPr>
            </w:r>
            <w:r>
              <w:rPr>
                <w:noProof/>
                <w:webHidden/>
              </w:rPr>
              <w:fldChar w:fldCharType="separate"/>
            </w:r>
            <w:r>
              <w:rPr>
                <w:noProof/>
                <w:webHidden/>
              </w:rPr>
              <w:t>15</w:t>
            </w:r>
            <w:r>
              <w:rPr>
                <w:noProof/>
                <w:webHidden/>
              </w:rPr>
              <w:fldChar w:fldCharType="end"/>
            </w:r>
          </w:hyperlink>
        </w:p>
        <w:p w14:paraId="11BB4A09" w14:textId="5669F0A2" w:rsidR="00BE2D5B" w:rsidRDefault="00BE2D5B">
          <w:pPr>
            <w:pStyle w:val="TOC3"/>
            <w:tabs>
              <w:tab w:val="left" w:pos="960"/>
              <w:tab w:val="right" w:leader="dot" w:pos="10456"/>
            </w:tabs>
            <w:rPr>
              <w:rFonts w:eastAsiaTheme="minorEastAsia"/>
              <w:noProof/>
              <w:sz w:val="24"/>
              <w:szCs w:val="24"/>
              <w:lang w:eastAsia="en-AU"/>
            </w:rPr>
          </w:pPr>
          <w:hyperlink w:anchor="_Toc225506032" w:history="1">
            <w:r w:rsidRPr="00F752A9">
              <w:rPr>
                <w:rStyle w:val="Hyperlink"/>
                <w:noProof/>
              </w:rPr>
              <w:t>3)</w:t>
            </w:r>
            <w:r>
              <w:rPr>
                <w:rFonts w:eastAsiaTheme="minorEastAsia"/>
                <w:noProof/>
                <w:sz w:val="24"/>
                <w:szCs w:val="24"/>
                <w:lang w:eastAsia="en-AU"/>
              </w:rPr>
              <w:tab/>
            </w:r>
            <w:r w:rsidRPr="00F752A9">
              <w:rPr>
                <w:rStyle w:val="Hyperlink"/>
                <w:noProof/>
              </w:rPr>
              <w:t>Strategic Partnership Agreement between the Australian Broadcasting Corporation (ABC) and First Languages Australia (FLA)</w:t>
            </w:r>
            <w:r>
              <w:rPr>
                <w:noProof/>
                <w:webHidden/>
              </w:rPr>
              <w:tab/>
            </w:r>
            <w:r>
              <w:rPr>
                <w:noProof/>
                <w:webHidden/>
              </w:rPr>
              <w:fldChar w:fldCharType="begin"/>
            </w:r>
            <w:r>
              <w:rPr>
                <w:noProof/>
                <w:webHidden/>
              </w:rPr>
              <w:instrText xml:space="preserve"> PAGEREF _Toc225506032 \h </w:instrText>
            </w:r>
            <w:r>
              <w:rPr>
                <w:noProof/>
                <w:webHidden/>
              </w:rPr>
            </w:r>
            <w:r>
              <w:rPr>
                <w:noProof/>
                <w:webHidden/>
              </w:rPr>
              <w:fldChar w:fldCharType="separate"/>
            </w:r>
            <w:r>
              <w:rPr>
                <w:noProof/>
                <w:webHidden/>
              </w:rPr>
              <w:t>17</w:t>
            </w:r>
            <w:r>
              <w:rPr>
                <w:noProof/>
                <w:webHidden/>
              </w:rPr>
              <w:fldChar w:fldCharType="end"/>
            </w:r>
          </w:hyperlink>
        </w:p>
        <w:p w14:paraId="5913EB99" w14:textId="18B33422" w:rsidR="00BE2D5B" w:rsidRDefault="00BE2D5B">
          <w:pPr>
            <w:pStyle w:val="TOC3"/>
            <w:tabs>
              <w:tab w:val="left" w:pos="960"/>
              <w:tab w:val="right" w:leader="dot" w:pos="10456"/>
            </w:tabs>
            <w:rPr>
              <w:rFonts w:eastAsiaTheme="minorEastAsia"/>
              <w:noProof/>
              <w:sz w:val="24"/>
              <w:szCs w:val="24"/>
              <w:lang w:eastAsia="en-AU"/>
            </w:rPr>
          </w:pPr>
          <w:hyperlink w:anchor="_Toc225506033" w:history="1">
            <w:r w:rsidRPr="00F752A9">
              <w:rPr>
                <w:rStyle w:val="Hyperlink"/>
                <w:noProof/>
              </w:rPr>
              <w:t>4)</w:t>
            </w:r>
            <w:r>
              <w:rPr>
                <w:rFonts w:eastAsiaTheme="minorEastAsia"/>
                <w:noProof/>
                <w:sz w:val="24"/>
                <w:szCs w:val="24"/>
                <w:lang w:eastAsia="en-AU"/>
              </w:rPr>
              <w:tab/>
            </w:r>
            <w:r w:rsidRPr="00F752A9">
              <w:rPr>
                <w:rStyle w:val="Hyperlink"/>
                <w:noProof/>
              </w:rPr>
              <w:t>Strategic Partnership Agreement between the Australian Broadcasting Corporation (ABC) and First Nations Media Australia (FNMA)</w:t>
            </w:r>
            <w:r>
              <w:rPr>
                <w:noProof/>
                <w:webHidden/>
              </w:rPr>
              <w:tab/>
            </w:r>
            <w:r>
              <w:rPr>
                <w:noProof/>
                <w:webHidden/>
              </w:rPr>
              <w:fldChar w:fldCharType="begin"/>
            </w:r>
            <w:r>
              <w:rPr>
                <w:noProof/>
                <w:webHidden/>
              </w:rPr>
              <w:instrText xml:space="preserve"> PAGEREF _Toc225506033 \h </w:instrText>
            </w:r>
            <w:r>
              <w:rPr>
                <w:noProof/>
                <w:webHidden/>
              </w:rPr>
            </w:r>
            <w:r>
              <w:rPr>
                <w:noProof/>
                <w:webHidden/>
              </w:rPr>
              <w:fldChar w:fldCharType="separate"/>
            </w:r>
            <w:r>
              <w:rPr>
                <w:noProof/>
                <w:webHidden/>
              </w:rPr>
              <w:t>19</w:t>
            </w:r>
            <w:r>
              <w:rPr>
                <w:noProof/>
                <w:webHidden/>
              </w:rPr>
              <w:fldChar w:fldCharType="end"/>
            </w:r>
          </w:hyperlink>
        </w:p>
        <w:p w14:paraId="6C422C7D" w14:textId="135BA400" w:rsidR="00BE2D5B" w:rsidRDefault="00BE2D5B">
          <w:pPr>
            <w:pStyle w:val="TOC3"/>
            <w:tabs>
              <w:tab w:val="left" w:pos="960"/>
              <w:tab w:val="right" w:leader="dot" w:pos="10456"/>
            </w:tabs>
            <w:rPr>
              <w:rFonts w:eastAsiaTheme="minorEastAsia"/>
              <w:noProof/>
              <w:sz w:val="24"/>
              <w:szCs w:val="24"/>
              <w:lang w:eastAsia="en-AU"/>
            </w:rPr>
          </w:pPr>
          <w:hyperlink w:anchor="_Toc225506034" w:history="1">
            <w:r w:rsidRPr="00F752A9">
              <w:rPr>
                <w:rStyle w:val="Hyperlink"/>
                <w:noProof/>
              </w:rPr>
              <w:t>5)</w:t>
            </w:r>
            <w:r>
              <w:rPr>
                <w:rFonts w:eastAsiaTheme="minorEastAsia"/>
                <w:noProof/>
                <w:sz w:val="24"/>
                <w:szCs w:val="24"/>
                <w:lang w:eastAsia="en-AU"/>
              </w:rPr>
              <w:tab/>
            </w:r>
            <w:r w:rsidRPr="00F752A9">
              <w:rPr>
                <w:rStyle w:val="Hyperlink"/>
                <w:noProof/>
              </w:rPr>
              <w:t>Data Policy Partnership (DPP)</w:t>
            </w:r>
            <w:r>
              <w:rPr>
                <w:noProof/>
                <w:webHidden/>
              </w:rPr>
              <w:tab/>
            </w:r>
            <w:r>
              <w:rPr>
                <w:noProof/>
                <w:webHidden/>
              </w:rPr>
              <w:fldChar w:fldCharType="begin"/>
            </w:r>
            <w:r>
              <w:rPr>
                <w:noProof/>
                <w:webHidden/>
              </w:rPr>
              <w:instrText xml:space="preserve"> PAGEREF _Toc225506034 \h </w:instrText>
            </w:r>
            <w:r>
              <w:rPr>
                <w:noProof/>
                <w:webHidden/>
              </w:rPr>
            </w:r>
            <w:r>
              <w:rPr>
                <w:noProof/>
                <w:webHidden/>
              </w:rPr>
              <w:fldChar w:fldCharType="separate"/>
            </w:r>
            <w:r>
              <w:rPr>
                <w:noProof/>
                <w:webHidden/>
              </w:rPr>
              <w:t>21</w:t>
            </w:r>
            <w:r>
              <w:rPr>
                <w:noProof/>
                <w:webHidden/>
              </w:rPr>
              <w:fldChar w:fldCharType="end"/>
            </w:r>
          </w:hyperlink>
        </w:p>
        <w:p w14:paraId="41B1A46E" w14:textId="09D713AB" w:rsidR="00BE2D5B" w:rsidRDefault="00BE2D5B">
          <w:pPr>
            <w:pStyle w:val="TOC3"/>
            <w:tabs>
              <w:tab w:val="left" w:pos="960"/>
              <w:tab w:val="right" w:leader="dot" w:pos="10456"/>
            </w:tabs>
            <w:rPr>
              <w:rFonts w:eastAsiaTheme="minorEastAsia"/>
              <w:noProof/>
              <w:sz w:val="24"/>
              <w:szCs w:val="24"/>
              <w:lang w:eastAsia="en-AU"/>
            </w:rPr>
          </w:pPr>
          <w:hyperlink w:anchor="_Toc225506035" w:history="1">
            <w:r w:rsidRPr="00F752A9">
              <w:rPr>
                <w:rStyle w:val="Hyperlink"/>
                <w:noProof/>
              </w:rPr>
              <w:t>6)</w:t>
            </w:r>
            <w:r>
              <w:rPr>
                <w:rFonts w:eastAsiaTheme="minorEastAsia"/>
                <w:noProof/>
                <w:sz w:val="24"/>
                <w:szCs w:val="24"/>
                <w:lang w:eastAsia="en-AU"/>
              </w:rPr>
              <w:tab/>
            </w:r>
            <w:r w:rsidRPr="00F752A9">
              <w:rPr>
                <w:rStyle w:val="Hyperlink"/>
                <w:noProof/>
              </w:rPr>
              <w:t>Mud Crabs - On Country Seafood (OCS) and the Commonwealth Scientific and Industrial Research Organisation (CSIRO)</w:t>
            </w:r>
            <w:r>
              <w:rPr>
                <w:noProof/>
                <w:webHidden/>
              </w:rPr>
              <w:tab/>
            </w:r>
            <w:r>
              <w:rPr>
                <w:noProof/>
                <w:webHidden/>
              </w:rPr>
              <w:fldChar w:fldCharType="begin"/>
            </w:r>
            <w:r>
              <w:rPr>
                <w:noProof/>
                <w:webHidden/>
              </w:rPr>
              <w:instrText xml:space="preserve"> PAGEREF _Toc225506035 \h </w:instrText>
            </w:r>
            <w:r>
              <w:rPr>
                <w:noProof/>
                <w:webHidden/>
              </w:rPr>
            </w:r>
            <w:r>
              <w:rPr>
                <w:noProof/>
                <w:webHidden/>
              </w:rPr>
              <w:fldChar w:fldCharType="separate"/>
            </w:r>
            <w:r>
              <w:rPr>
                <w:noProof/>
                <w:webHidden/>
              </w:rPr>
              <w:t>23</w:t>
            </w:r>
            <w:r>
              <w:rPr>
                <w:noProof/>
                <w:webHidden/>
              </w:rPr>
              <w:fldChar w:fldCharType="end"/>
            </w:r>
          </w:hyperlink>
        </w:p>
        <w:p w14:paraId="56FDF4E3" w14:textId="55F0EC27" w:rsidR="00BE2D5B" w:rsidRDefault="00BE2D5B">
          <w:pPr>
            <w:pStyle w:val="TOC3"/>
            <w:tabs>
              <w:tab w:val="left" w:pos="960"/>
              <w:tab w:val="right" w:leader="dot" w:pos="10456"/>
            </w:tabs>
            <w:rPr>
              <w:rFonts w:eastAsiaTheme="minorEastAsia"/>
              <w:noProof/>
              <w:sz w:val="24"/>
              <w:szCs w:val="24"/>
              <w:lang w:eastAsia="en-AU"/>
            </w:rPr>
          </w:pPr>
          <w:hyperlink w:anchor="_Toc225506036" w:history="1">
            <w:r w:rsidRPr="00F752A9">
              <w:rPr>
                <w:rStyle w:val="Hyperlink"/>
                <w:noProof/>
              </w:rPr>
              <w:t>7)</w:t>
            </w:r>
            <w:r>
              <w:rPr>
                <w:rFonts w:eastAsiaTheme="minorEastAsia"/>
                <w:noProof/>
                <w:sz w:val="24"/>
                <w:szCs w:val="24"/>
                <w:lang w:eastAsia="en-AU"/>
              </w:rPr>
              <w:tab/>
            </w:r>
            <w:r w:rsidRPr="00F752A9">
              <w:rPr>
                <w:rStyle w:val="Hyperlink"/>
                <w:noProof/>
              </w:rPr>
              <w:t>Ngiyambandigay Wajaarr Aboriginal Corporation (NWAC) capacity development: monitoring Sea Country Indigenous Protected Area (IPA)</w:t>
            </w:r>
            <w:r>
              <w:rPr>
                <w:noProof/>
                <w:webHidden/>
              </w:rPr>
              <w:tab/>
            </w:r>
            <w:r>
              <w:rPr>
                <w:noProof/>
                <w:webHidden/>
              </w:rPr>
              <w:fldChar w:fldCharType="begin"/>
            </w:r>
            <w:r>
              <w:rPr>
                <w:noProof/>
                <w:webHidden/>
              </w:rPr>
              <w:instrText xml:space="preserve"> PAGEREF _Toc225506036 \h </w:instrText>
            </w:r>
            <w:r>
              <w:rPr>
                <w:noProof/>
                <w:webHidden/>
              </w:rPr>
            </w:r>
            <w:r>
              <w:rPr>
                <w:noProof/>
                <w:webHidden/>
              </w:rPr>
              <w:fldChar w:fldCharType="separate"/>
            </w:r>
            <w:r>
              <w:rPr>
                <w:noProof/>
                <w:webHidden/>
              </w:rPr>
              <w:t>24</w:t>
            </w:r>
            <w:r>
              <w:rPr>
                <w:noProof/>
                <w:webHidden/>
              </w:rPr>
              <w:fldChar w:fldCharType="end"/>
            </w:r>
          </w:hyperlink>
        </w:p>
        <w:p w14:paraId="67A89C01" w14:textId="2591BE6A" w:rsidR="00BE2D5B" w:rsidRDefault="00BE2D5B">
          <w:pPr>
            <w:pStyle w:val="TOC3"/>
            <w:tabs>
              <w:tab w:val="left" w:pos="960"/>
              <w:tab w:val="right" w:leader="dot" w:pos="10456"/>
            </w:tabs>
            <w:rPr>
              <w:rFonts w:eastAsiaTheme="minorEastAsia"/>
              <w:noProof/>
              <w:sz w:val="24"/>
              <w:szCs w:val="24"/>
              <w:lang w:eastAsia="en-AU"/>
            </w:rPr>
          </w:pPr>
          <w:hyperlink w:anchor="_Toc225506037" w:history="1">
            <w:r w:rsidRPr="00F752A9">
              <w:rPr>
                <w:rStyle w:val="Hyperlink"/>
                <w:noProof/>
              </w:rPr>
              <w:t>8)</w:t>
            </w:r>
            <w:r>
              <w:rPr>
                <w:rFonts w:eastAsiaTheme="minorEastAsia"/>
                <w:noProof/>
                <w:sz w:val="24"/>
                <w:szCs w:val="24"/>
                <w:lang w:eastAsia="en-AU"/>
              </w:rPr>
              <w:tab/>
            </w:r>
            <w:r w:rsidRPr="00F752A9">
              <w:rPr>
                <w:rStyle w:val="Hyperlink"/>
                <w:noProof/>
              </w:rPr>
              <w:t>Salty Greens Partnership between the Commonwealth Scientific and Industrial Research Organisation (CSIRO), Tiwi Resources &amp; Portaminni Family Trust regarding integrating halophytes with low-input prawn farming</w:t>
            </w:r>
            <w:r>
              <w:rPr>
                <w:noProof/>
                <w:webHidden/>
              </w:rPr>
              <w:tab/>
            </w:r>
            <w:r>
              <w:rPr>
                <w:noProof/>
                <w:webHidden/>
              </w:rPr>
              <w:fldChar w:fldCharType="begin"/>
            </w:r>
            <w:r>
              <w:rPr>
                <w:noProof/>
                <w:webHidden/>
              </w:rPr>
              <w:instrText xml:space="preserve"> PAGEREF _Toc225506037 \h </w:instrText>
            </w:r>
            <w:r>
              <w:rPr>
                <w:noProof/>
                <w:webHidden/>
              </w:rPr>
            </w:r>
            <w:r>
              <w:rPr>
                <w:noProof/>
                <w:webHidden/>
              </w:rPr>
              <w:fldChar w:fldCharType="separate"/>
            </w:r>
            <w:r>
              <w:rPr>
                <w:noProof/>
                <w:webHidden/>
              </w:rPr>
              <w:t>26</w:t>
            </w:r>
            <w:r>
              <w:rPr>
                <w:noProof/>
                <w:webHidden/>
              </w:rPr>
              <w:fldChar w:fldCharType="end"/>
            </w:r>
          </w:hyperlink>
        </w:p>
        <w:p w14:paraId="4A75AFA6" w14:textId="1194341D" w:rsidR="00BE2D5B" w:rsidRDefault="00BE2D5B">
          <w:pPr>
            <w:pStyle w:val="TOC3"/>
            <w:tabs>
              <w:tab w:val="left" w:pos="960"/>
              <w:tab w:val="right" w:leader="dot" w:pos="10456"/>
            </w:tabs>
            <w:rPr>
              <w:rFonts w:eastAsiaTheme="minorEastAsia"/>
              <w:noProof/>
              <w:sz w:val="24"/>
              <w:szCs w:val="24"/>
              <w:lang w:eastAsia="en-AU"/>
            </w:rPr>
          </w:pPr>
          <w:hyperlink w:anchor="_Toc225506038" w:history="1">
            <w:r w:rsidRPr="00F752A9">
              <w:rPr>
                <w:rStyle w:val="Hyperlink"/>
                <w:noProof/>
              </w:rPr>
              <w:t>9)</w:t>
            </w:r>
            <w:r>
              <w:rPr>
                <w:rFonts w:eastAsiaTheme="minorEastAsia"/>
                <w:noProof/>
                <w:sz w:val="24"/>
                <w:szCs w:val="24"/>
                <w:lang w:eastAsia="en-AU"/>
              </w:rPr>
              <w:tab/>
            </w:r>
            <w:r w:rsidRPr="00F752A9">
              <w:rPr>
                <w:rStyle w:val="Hyperlink"/>
                <w:noProof/>
              </w:rPr>
              <w:t>DJAARA, the Dja Dja Wurrung Clans Aboriginal Corporation, and Commonwealth Environmental Water Holder (CEWH) partnership agreement – First Nations leadership in environmental watering on Djandak (Dja Dja Wurrung Country)</w:t>
            </w:r>
            <w:r>
              <w:rPr>
                <w:noProof/>
                <w:webHidden/>
              </w:rPr>
              <w:tab/>
            </w:r>
            <w:r>
              <w:rPr>
                <w:noProof/>
                <w:webHidden/>
              </w:rPr>
              <w:fldChar w:fldCharType="begin"/>
            </w:r>
            <w:r>
              <w:rPr>
                <w:noProof/>
                <w:webHidden/>
              </w:rPr>
              <w:instrText xml:space="preserve"> PAGEREF _Toc225506038 \h </w:instrText>
            </w:r>
            <w:r>
              <w:rPr>
                <w:noProof/>
                <w:webHidden/>
              </w:rPr>
            </w:r>
            <w:r>
              <w:rPr>
                <w:noProof/>
                <w:webHidden/>
              </w:rPr>
              <w:fldChar w:fldCharType="separate"/>
            </w:r>
            <w:r>
              <w:rPr>
                <w:noProof/>
                <w:webHidden/>
              </w:rPr>
              <w:t>28</w:t>
            </w:r>
            <w:r>
              <w:rPr>
                <w:noProof/>
                <w:webHidden/>
              </w:rPr>
              <w:fldChar w:fldCharType="end"/>
            </w:r>
          </w:hyperlink>
        </w:p>
        <w:p w14:paraId="1FE0529E" w14:textId="7BEFB2F3" w:rsidR="00BE2D5B" w:rsidRDefault="00BE2D5B">
          <w:pPr>
            <w:pStyle w:val="TOC3"/>
            <w:tabs>
              <w:tab w:val="left" w:pos="1200"/>
              <w:tab w:val="right" w:leader="dot" w:pos="10456"/>
            </w:tabs>
            <w:rPr>
              <w:rFonts w:eastAsiaTheme="minorEastAsia"/>
              <w:noProof/>
              <w:sz w:val="24"/>
              <w:szCs w:val="24"/>
              <w:lang w:eastAsia="en-AU"/>
            </w:rPr>
          </w:pPr>
          <w:hyperlink w:anchor="_Toc225506039" w:history="1">
            <w:r w:rsidRPr="00F752A9">
              <w:rPr>
                <w:rStyle w:val="Hyperlink"/>
                <w:noProof/>
              </w:rPr>
              <w:t>10)</w:t>
            </w:r>
            <w:r>
              <w:rPr>
                <w:rFonts w:eastAsiaTheme="minorEastAsia"/>
                <w:noProof/>
                <w:sz w:val="24"/>
                <w:szCs w:val="24"/>
                <w:lang w:eastAsia="en-AU"/>
              </w:rPr>
              <w:tab/>
            </w:r>
            <w:r w:rsidRPr="00F752A9">
              <w:rPr>
                <w:rStyle w:val="Hyperlink"/>
                <w:noProof/>
              </w:rPr>
              <w:t>Partnership Agreement between the Burnanga Indigenous Fishing Club (Burnanga) and the Commonwealth Environmental Water Holder (CEWH) in relation to monitoring outcomes of environmental water delivery on Yorta Yorta Country, and knowledge sharing to identify cultural outcomes that can inform environmental water planning and future monitoring programs</w:t>
            </w:r>
            <w:r>
              <w:rPr>
                <w:noProof/>
                <w:webHidden/>
              </w:rPr>
              <w:tab/>
            </w:r>
            <w:r>
              <w:rPr>
                <w:noProof/>
                <w:webHidden/>
              </w:rPr>
              <w:fldChar w:fldCharType="begin"/>
            </w:r>
            <w:r>
              <w:rPr>
                <w:noProof/>
                <w:webHidden/>
              </w:rPr>
              <w:instrText xml:space="preserve"> PAGEREF _Toc225506039 \h </w:instrText>
            </w:r>
            <w:r>
              <w:rPr>
                <w:noProof/>
                <w:webHidden/>
              </w:rPr>
            </w:r>
            <w:r>
              <w:rPr>
                <w:noProof/>
                <w:webHidden/>
              </w:rPr>
              <w:fldChar w:fldCharType="separate"/>
            </w:r>
            <w:r>
              <w:rPr>
                <w:noProof/>
                <w:webHidden/>
              </w:rPr>
              <w:t>30</w:t>
            </w:r>
            <w:r>
              <w:rPr>
                <w:noProof/>
                <w:webHidden/>
              </w:rPr>
              <w:fldChar w:fldCharType="end"/>
            </w:r>
          </w:hyperlink>
        </w:p>
        <w:p w14:paraId="7BCE2CAB" w14:textId="6274A692" w:rsidR="00BE2D5B" w:rsidRDefault="00BE2D5B">
          <w:pPr>
            <w:pStyle w:val="TOC3"/>
            <w:tabs>
              <w:tab w:val="left" w:pos="1200"/>
              <w:tab w:val="right" w:leader="dot" w:pos="10456"/>
            </w:tabs>
            <w:rPr>
              <w:rFonts w:eastAsiaTheme="minorEastAsia"/>
              <w:noProof/>
              <w:sz w:val="24"/>
              <w:szCs w:val="24"/>
              <w:lang w:eastAsia="en-AU"/>
            </w:rPr>
          </w:pPr>
          <w:hyperlink w:anchor="_Toc225506040" w:history="1">
            <w:r w:rsidRPr="00F752A9">
              <w:rPr>
                <w:rStyle w:val="Hyperlink"/>
                <w:noProof/>
              </w:rPr>
              <w:t>11)</w:t>
            </w:r>
            <w:r>
              <w:rPr>
                <w:rFonts w:eastAsiaTheme="minorEastAsia"/>
                <w:noProof/>
                <w:sz w:val="24"/>
                <w:szCs w:val="24"/>
                <w:lang w:eastAsia="en-AU"/>
              </w:rPr>
              <w:tab/>
            </w:r>
            <w:r w:rsidRPr="00F752A9">
              <w:rPr>
                <w:rStyle w:val="Hyperlink"/>
                <w:noProof/>
              </w:rPr>
              <w:t>First Nations Heritage Protection Partnership</w:t>
            </w:r>
            <w:r>
              <w:rPr>
                <w:noProof/>
                <w:webHidden/>
              </w:rPr>
              <w:tab/>
            </w:r>
            <w:r>
              <w:rPr>
                <w:noProof/>
                <w:webHidden/>
              </w:rPr>
              <w:fldChar w:fldCharType="begin"/>
            </w:r>
            <w:r>
              <w:rPr>
                <w:noProof/>
                <w:webHidden/>
              </w:rPr>
              <w:instrText xml:space="preserve"> PAGEREF _Toc225506040 \h </w:instrText>
            </w:r>
            <w:r>
              <w:rPr>
                <w:noProof/>
                <w:webHidden/>
              </w:rPr>
            </w:r>
            <w:r>
              <w:rPr>
                <w:noProof/>
                <w:webHidden/>
              </w:rPr>
              <w:fldChar w:fldCharType="separate"/>
            </w:r>
            <w:r>
              <w:rPr>
                <w:noProof/>
                <w:webHidden/>
              </w:rPr>
              <w:t>31</w:t>
            </w:r>
            <w:r>
              <w:rPr>
                <w:noProof/>
                <w:webHidden/>
              </w:rPr>
              <w:fldChar w:fldCharType="end"/>
            </w:r>
          </w:hyperlink>
        </w:p>
        <w:p w14:paraId="2F94A1F2" w14:textId="67976E5C" w:rsidR="00BE2D5B" w:rsidRDefault="00BE2D5B">
          <w:pPr>
            <w:pStyle w:val="TOC3"/>
            <w:tabs>
              <w:tab w:val="left" w:pos="1200"/>
              <w:tab w:val="right" w:leader="dot" w:pos="10456"/>
            </w:tabs>
            <w:rPr>
              <w:rFonts w:eastAsiaTheme="minorEastAsia"/>
              <w:noProof/>
              <w:sz w:val="24"/>
              <w:szCs w:val="24"/>
              <w:lang w:eastAsia="en-AU"/>
            </w:rPr>
          </w:pPr>
          <w:hyperlink w:anchor="_Toc225506041" w:history="1">
            <w:r w:rsidRPr="00F752A9">
              <w:rPr>
                <w:rStyle w:val="Hyperlink"/>
                <w:noProof/>
              </w:rPr>
              <w:t>12)</w:t>
            </w:r>
            <w:r>
              <w:rPr>
                <w:rFonts w:eastAsiaTheme="minorEastAsia"/>
                <w:noProof/>
                <w:sz w:val="24"/>
                <w:szCs w:val="24"/>
                <w:lang w:eastAsia="en-AU"/>
              </w:rPr>
              <w:tab/>
            </w:r>
            <w:r w:rsidRPr="00F752A9">
              <w:rPr>
                <w:rStyle w:val="Hyperlink"/>
                <w:noProof/>
              </w:rPr>
              <w:t>Great Barrier Reef Traditional Owner Taskforce</w:t>
            </w:r>
            <w:r>
              <w:rPr>
                <w:noProof/>
                <w:webHidden/>
              </w:rPr>
              <w:tab/>
            </w:r>
            <w:r>
              <w:rPr>
                <w:noProof/>
                <w:webHidden/>
              </w:rPr>
              <w:fldChar w:fldCharType="begin"/>
            </w:r>
            <w:r>
              <w:rPr>
                <w:noProof/>
                <w:webHidden/>
              </w:rPr>
              <w:instrText xml:space="preserve"> PAGEREF _Toc225506041 \h </w:instrText>
            </w:r>
            <w:r>
              <w:rPr>
                <w:noProof/>
                <w:webHidden/>
              </w:rPr>
            </w:r>
            <w:r>
              <w:rPr>
                <w:noProof/>
                <w:webHidden/>
              </w:rPr>
              <w:fldChar w:fldCharType="separate"/>
            </w:r>
            <w:r>
              <w:rPr>
                <w:noProof/>
                <w:webHidden/>
              </w:rPr>
              <w:t>33</w:t>
            </w:r>
            <w:r>
              <w:rPr>
                <w:noProof/>
                <w:webHidden/>
              </w:rPr>
              <w:fldChar w:fldCharType="end"/>
            </w:r>
          </w:hyperlink>
        </w:p>
        <w:p w14:paraId="74158446" w14:textId="211C16F2" w:rsidR="00BE2D5B" w:rsidRDefault="00BE2D5B">
          <w:pPr>
            <w:pStyle w:val="TOC3"/>
            <w:tabs>
              <w:tab w:val="left" w:pos="1200"/>
              <w:tab w:val="right" w:leader="dot" w:pos="10456"/>
            </w:tabs>
            <w:rPr>
              <w:rFonts w:eastAsiaTheme="minorEastAsia"/>
              <w:noProof/>
              <w:sz w:val="24"/>
              <w:szCs w:val="24"/>
              <w:lang w:eastAsia="en-AU"/>
            </w:rPr>
          </w:pPr>
          <w:hyperlink w:anchor="_Toc225506042" w:history="1">
            <w:r w:rsidRPr="00F752A9">
              <w:rPr>
                <w:rStyle w:val="Hyperlink"/>
                <w:noProof/>
              </w:rPr>
              <w:t>13)</w:t>
            </w:r>
            <w:r>
              <w:rPr>
                <w:rFonts w:eastAsiaTheme="minorEastAsia"/>
                <w:noProof/>
                <w:sz w:val="24"/>
                <w:szCs w:val="24"/>
                <w:lang w:eastAsia="en-AU"/>
              </w:rPr>
              <w:tab/>
            </w:r>
            <w:r w:rsidRPr="00F752A9">
              <w:rPr>
                <w:rStyle w:val="Hyperlink"/>
                <w:noProof/>
              </w:rPr>
              <w:t>Inland Waters Target 15c (IWT) Working Group</w:t>
            </w:r>
            <w:r>
              <w:rPr>
                <w:noProof/>
                <w:webHidden/>
              </w:rPr>
              <w:tab/>
            </w:r>
            <w:r>
              <w:rPr>
                <w:noProof/>
                <w:webHidden/>
              </w:rPr>
              <w:fldChar w:fldCharType="begin"/>
            </w:r>
            <w:r>
              <w:rPr>
                <w:noProof/>
                <w:webHidden/>
              </w:rPr>
              <w:instrText xml:space="preserve"> PAGEREF _Toc225506042 \h </w:instrText>
            </w:r>
            <w:r>
              <w:rPr>
                <w:noProof/>
                <w:webHidden/>
              </w:rPr>
            </w:r>
            <w:r>
              <w:rPr>
                <w:noProof/>
                <w:webHidden/>
              </w:rPr>
              <w:fldChar w:fldCharType="separate"/>
            </w:r>
            <w:r>
              <w:rPr>
                <w:noProof/>
                <w:webHidden/>
              </w:rPr>
              <w:t>34</w:t>
            </w:r>
            <w:r>
              <w:rPr>
                <w:noProof/>
                <w:webHidden/>
              </w:rPr>
              <w:fldChar w:fldCharType="end"/>
            </w:r>
          </w:hyperlink>
        </w:p>
        <w:p w14:paraId="78805694" w14:textId="6A333CF3" w:rsidR="00BE2D5B" w:rsidRDefault="00BE2D5B">
          <w:pPr>
            <w:pStyle w:val="TOC3"/>
            <w:tabs>
              <w:tab w:val="left" w:pos="1200"/>
              <w:tab w:val="right" w:leader="dot" w:pos="10456"/>
            </w:tabs>
            <w:rPr>
              <w:rFonts w:eastAsiaTheme="minorEastAsia"/>
              <w:noProof/>
              <w:sz w:val="24"/>
              <w:szCs w:val="24"/>
              <w:lang w:eastAsia="en-AU"/>
            </w:rPr>
          </w:pPr>
          <w:hyperlink w:anchor="_Toc225506043" w:history="1">
            <w:r w:rsidRPr="00F752A9">
              <w:rPr>
                <w:rStyle w:val="Hyperlink"/>
                <w:noProof/>
              </w:rPr>
              <w:t>14)</w:t>
            </w:r>
            <w:r>
              <w:rPr>
                <w:rFonts w:eastAsiaTheme="minorEastAsia"/>
                <w:noProof/>
                <w:sz w:val="24"/>
                <w:szCs w:val="24"/>
                <w:lang w:eastAsia="en-AU"/>
              </w:rPr>
              <w:tab/>
            </w:r>
            <w:r w:rsidRPr="00F752A9">
              <w:rPr>
                <w:rStyle w:val="Hyperlink"/>
                <w:noProof/>
              </w:rPr>
              <w:t>Connected Beginnings Advisory Group</w:t>
            </w:r>
            <w:r>
              <w:rPr>
                <w:noProof/>
                <w:webHidden/>
              </w:rPr>
              <w:tab/>
            </w:r>
            <w:r>
              <w:rPr>
                <w:noProof/>
                <w:webHidden/>
              </w:rPr>
              <w:fldChar w:fldCharType="begin"/>
            </w:r>
            <w:r>
              <w:rPr>
                <w:noProof/>
                <w:webHidden/>
              </w:rPr>
              <w:instrText xml:space="preserve"> PAGEREF _Toc225506043 \h </w:instrText>
            </w:r>
            <w:r>
              <w:rPr>
                <w:noProof/>
                <w:webHidden/>
              </w:rPr>
            </w:r>
            <w:r>
              <w:rPr>
                <w:noProof/>
                <w:webHidden/>
              </w:rPr>
              <w:fldChar w:fldCharType="separate"/>
            </w:r>
            <w:r>
              <w:rPr>
                <w:noProof/>
                <w:webHidden/>
              </w:rPr>
              <w:t>37</w:t>
            </w:r>
            <w:r>
              <w:rPr>
                <w:noProof/>
                <w:webHidden/>
              </w:rPr>
              <w:fldChar w:fldCharType="end"/>
            </w:r>
          </w:hyperlink>
        </w:p>
        <w:p w14:paraId="6E86745B" w14:textId="47F96506" w:rsidR="00BE2D5B" w:rsidRDefault="00BE2D5B">
          <w:pPr>
            <w:pStyle w:val="TOC3"/>
            <w:tabs>
              <w:tab w:val="left" w:pos="1200"/>
              <w:tab w:val="right" w:leader="dot" w:pos="10456"/>
            </w:tabs>
            <w:rPr>
              <w:rFonts w:eastAsiaTheme="minorEastAsia"/>
              <w:noProof/>
              <w:sz w:val="24"/>
              <w:szCs w:val="24"/>
              <w:lang w:eastAsia="en-AU"/>
            </w:rPr>
          </w:pPr>
          <w:hyperlink w:anchor="_Toc225506044" w:history="1">
            <w:r w:rsidRPr="00F752A9">
              <w:rPr>
                <w:rStyle w:val="Hyperlink"/>
                <w:noProof/>
              </w:rPr>
              <w:t>15)</w:t>
            </w:r>
            <w:r>
              <w:rPr>
                <w:rFonts w:eastAsiaTheme="minorEastAsia"/>
                <w:noProof/>
                <w:sz w:val="24"/>
                <w:szCs w:val="24"/>
                <w:lang w:eastAsia="en-AU"/>
              </w:rPr>
              <w:tab/>
            </w:r>
            <w:r w:rsidRPr="00F752A9">
              <w:rPr>
                <w:rStyle w:val="Hyperlink"/>
                <w:noProof/>
              </w:rPr>
              <w:t>Early Childhood Care and Development Policy Partnership (ECCDPP)</w:t>
            </w:r>
            <w:r>
              <w:rPr>
                <w:noProof/>
                <w:webHidden/>
              </w:rPr>
              <w:tab/>
            </w:r>
            <w:r>
              <w:rPr>
                <w:noProof/>
                <w:webHidden/>
              </w:rPr>
              <w:fldChar w:fldCharType="begin"/>
            </w:r>
            <w:r>
              <w:rPr>
                <w:noProof/>
                <w:webHidden/>
              </w:rPr>
              <w:instrText xml:space="preserve"> PAGEREF _Toc225506044 \h </w:instrText>
            </w:r>
            <w:r>
              <w:rPr>
                <w:noProof/>
                <w:webHidden/>
              </w:rPr>
            </w:r>
            <w:r>
              <w:rPr>
                <w:noProof/>
                <w:webHidden/>
              </w:rPr>
              <w:fldChar w:fldCharType="separate"/>
            </w:r>
            <w:r>
              <w:rPr>
                <w:noProof/>
                <w:webHidden/>
              </w:rPr>
              <w:t>39</w:t>
            </w:r>
            <w:r>
              <w:rPr>
                <w:noProof/>
                <w:webHidden/>
              </w:rPr>
              <w:fldChar w:fldCharType="end"/>
            </w:r>
          </w:hyperlink>
        </w:p>
        <w:p w14:paraId="372ACC5B" w14:textId="778BB75F" w:rsidR="00BE2D5B" w:rsidRDefault="00BE2D5B">
          <w:pPr>
            <w:pStyle w:val="TOC3"/>
            <w:tabs>
              <w:tab w:val="left" w:pos="1200"/>
              <w:tab w:val="right" w:leader="dot" w:pos="10456"/>
            </w:tabs>
            <w:rPr>
              <w:rFonts w:eastAsiaTheme="minorEastAsia"/>
              <w:noProof/>
              <w:sz w:val="24"/>
              <w:szCs w:val="24"/>
              <w:lang w:eastAsia="en-AU"/>
            </w:rPr>
          </w:pPr>
          <w:hyperlink w:anchor="_Toc225506045" w:history="1">
            <w:r w:rsidRPr="00F752A9">
              <w:rPr>
                <w:rStyle w:val="Hyperlink"/>
                <w:noProof/>
              </w:rPr>
              <w:t>16)</w:t>
            </w:r>
            <w:r>
              <w:rPr>
                <w:rFonts w:eastAsiaTheme="minorEastAsia"/>
                <w:noProof/>
                <w:sz w:val="24"/>
                <w:szCs w:val="24"/>
                <w:lang w:eastAsia="en-AU"/>
              </w:rPr>
              <w:tab/>
            </w:r>
            <w:r w:rsidRPr="00F752A9">
              <w:rPr>
                <w:rStyle w:val="Hyperlink"/>
                <w:noProof/>
              </w:rPr>
              <w:t>Formal Partnership Agreement between the Australian Government Department of Education (Education) and the National Aboriginal and Torres Strait Islander Education Corporation (NATSIEC)</w:t>
            </w:r>
            <w:r>
              <w:rPr>
                <w:noProof/>
                <w:webHidden/>
              </w:rPr>
              <w:tab/>
            </w:r>
            <w:r>
              <w:rPr>
                <w:noProof/>
                <w:webHidden/>
              </w:rPr>
              <w:fldChar w:fldCharType="begin"/>
            </w:r>
            <w:r>
              <w:rPr>
                <w:noProof/>
                <w:webHidden/>
              </w:rPr>
              <w:instrText xml:space="preserve"> PAGEREF _Toc225506045 \h </w:instrText>
            </w:r>
            <w:r>
              <w:rPr>
                <w:noProof/>
                <w:webHidden/>
              </w:rPr>
            </w:r>
            <w:r>
              <w:rPr>
                <w:noProof/>
                <w:webHidden/>
              </w:rPr>
              <w:fldChar w:fldCharType="separate"/>
            </w:r>
            <w:r>
              <w:rPr>
                <w:noProof/>
                <w:webHidden/>
              </w:rPr>
              <w:t>41</w:t>
            </w:r>
            <w:r>
              <w:rPr>
                <w:noProof/>
                <w:webHidden/>
              </w:rPr>
              <w:fldChar w:fldCharType="end"/>
            </w:r>
          </w:hyperlink>
        </w:p>
        <w:p w14:paraId="7FEE9E4A" w14:textId="0B3893DA" w:rsidR="00BE2D5B" w:rsidRDefault="00BE2D5B">
          <w:pPr>
            <w:pStyle w:val="TOC3"/>
            <w:tabs>
              <w:tab w:val="left" w:pos="1200"/>
              <w:tab w:val="right" w:leader="dot" w:pos="10456"/>
            </w:tabs>
            <w:rPr>
              <w:rFonts w:eastAsiaTheme="minorEastAsia"/>
              <w:noProof/>
              <w:sz w:val="24"/>
              <w:szCs w:val="24"/>
              <w:lang w:eastAsia="en-AU"/>
            </w:rPr>
          </w:pPr>
          <w:hyperlink w:anchor="_Toc225506046" w:history="1">
            <w:r w:rsidRPr="00F752A9">
              <w:rPr>
                <w:rStyle w:val="Hyperlink"/>
                <w:noProof/>
              </w:rPr>
              <w:t>17)</w:t>
            </w:r>
            <w:r>
              <w:rPr>
                <w:rFonts w:eastAsiaTheme="minorEastAsia"/>
                <w:noProof/>
                <w:sz w:val="24"/>
                <w:szCs w:val="24"/>
                <w:lang w:eastAsia="en-AU"/>
              </w:rPr>
              <w:tab/>
            </w:r>
            <w:r w:rsidRPr="00F752A9">
              <w:rPr>
                <w:rStyle w:val="Hyperlink"/>
                <w:noProof/>
              </w:rPr>
              <w:t>Formal Partnership Agreement between the Australian Government Department of Education and SNAICC</w:t>
            </w:r>
            <w:r>
              <w:rPr>
                <w:noProof/>
                <w:webHidden/>
              </w:rPr>
              <w:tab/>
            </w:r>
            <w:r>
              <w:rPr>
                <w:noProof/>
                <w:webHidden/>
              </w:rPr>
              <w:fldChar w:fldCharType="begin"/>
            </w:r>
            <w:r>
              <w:rPr>
                <w:noProof/>
                <w:webHidden/>
              </w:rPr>
              <w:instrText xml:space="preserve"> PAGEREF _Toc225506046 \h </w:instrText>
            </w:r>
            <w:r>
              <w:rPr>
                <w:noProof/>
                <w:webHidden/>
              </w:rPr>
            </w:r>
            <w:r>
              <w:rPr>
                <w:noProof/>
                <w:webHidden/>
              </w:rPr>
              <w:fldChar w:fldCharType="separate"/>
            </w:r>
            <w:r>
              <w:rPr>
                <w:noProof/>
                <w:webHidden/>
              </w:rPr>
              <w:t>43</w:t>
            </w:r>
            <w:r>
              <w:rPr>
                <w:noProof/>
                <w:webHidden/>
              </w:rPr>
              <w:fldChar w:fldCharType="end"/>
            </w:r>
          </w:hyperlink>
        </w:p>
        <w:p w14:paraId="003B77EB" w14:textId="7AE3A27C" w:rsidR="00BE2D5B" w:rsidRDefault="00BE2D5B">
          <w:pPr>
            <w:pStyle w:val="TOC3"/>
            <w:tabs>
              <w:tab w:val="left" w:pos="1200"/>
              <w:tab w:val="right" w:leader="dot" w:pos="10456"/>
            </w:tabs>
            <w:rPr>
              <w:rFonts w:eastAsiaTheme="minorEastAsia"/>
              <w:noProof/>
              <w:sz w:val="24"/>
              <w:szCs w:val="24"/>
              <w:lang w:eastAsia="en-AU"/>
            </w:rPr>
          </w:pPr>
          <w:hyperlink w:anchor="_Toc225506047" w:history="1">
            <w:r w:rsidRPr="00F752A9">
              <w:rPr>
                <w:rStyle w:val="Hyperlink"/>
                <w:noProof/>
              </w:rPr>
              <w:t>18)</w:t>
            </w:r>
            <w:r>
              <w:rPr>
                <w:rFonts w:eastAsiaTheme="minorEastAsia"/>
                <w:noProof/>
                <w:sz w:val="24"/>
                <w:szCs w:val="24"/>
                <w:lang w:eastAsia="en-AU"/>
              </w:rPr>
              <w:tab/>
            </w:r>
            <w:r w:rsidRPr="00F752A9">
              <w:rPr>
                <w:rStyle w:val="Hyperlink"/>
                <w:noProof/>
              </w:rPr>
              <w:t>First Nations Vocational Education and Training (VET) Interim Partnership Committee (IPC)</w:t>
            </w:r>
            <w:r>
              <w:rPr>
                <w:noProof/>
                <w:webHidden/>
              </w:rPr>
              <w:tab/>
            </w:r>
            <w:r>
              <w:rPr>
                <w:noProof/>
                <w:webHidden/>
              </w:rPr>
              <w:fldChar w:fldCharType="begin"/>
            </w:r>
            <w:r>
              <w:rPr>
                <w:noProof/>
                <w:webHidden/>
              </w:rPr>
              <w:instrText xml:space="preserve"> PAGEREF _Toc225506047 \h </w:instrText>
            </w:r>
            <w:r>
              <w:rPr>
                <w:noProof/>
                <w:webHidden/>
              </w:rPr>
            </w:r>
            <w:r>
              <w:rPr>
                <w:noProof/>
                <w:webHidden/>
              </w:rPr>
              <w:fldChar w:fldCharType="separate"/>
            </w:r>
            <w:r>
              <w:rPr>
                <w:noProof/>
                <w:webHidden/>
              </w:rPr>
              <w:t>45</w:t>
            </w:r>
            <w:r>
              <w:rPr>
                <w:noProof/>
                <w:webHidden/>
              </w:rPr>
              <w:fldChar w:fldCharType="end"/>
            </w:r>
          </w:hyperlink>
        </w:p>
        <w:p w14:paraId="04742FBE" w14:textId="0E412497" w:rsidR="00BE2D5B" w:rsidRDefault="00BE2D5B">
          <w:pPr>
            <w:pStyle w:val="TOC3"/>
            <w:tabs>
              <w:tab w:val="left" w:pos="1200"/>
              <w:tab w:val="right" w:leader="dot" w:pos="10456"/>
            </w:tabs>
            <w:rPr>
              <w:rFonts w:eastAsiaTheme="minorEastAsia"/>
              <w:noProof/>
              <w:sz w:val="24"/>
              <w:szCs w:val="24"/>
              <w:lang w:eastAsia="en-AU"/>
            </w:rPr>
          </w:pPr>
          <w:hyperlink w:anchor="_Toc225506048" w:history="1">
            <w:r w:rsidRPr="00F752A9">
              <w:rPr>
                <w:rStyle w:val="Hyperlink"/>
                <w:noProof/>
              </w:rPr>
              <w:t>19)</w:t>
            </w:r>
            <w:r>
              <w:rPr>
                <w:rFonts w:eastAsiaTheme="minorEastAsia"/>
                <w:noProof/>
                <w:sz w:val="24"/>
                <w:szCs w:val="24"/>
                <w:lang w:eastAsia="en-AU"/>
              </w:rPr>
              <w:tab/>
            </w:r>
            <w:r w:rsidRPr="00F752A9">
              <w:rPr>
                <w:rStyle w:val="Hyperlink"/>
                <w:noProof/>
              </w:rPr>
              <w:t>Aboriginal and Torres Strait Islander Health Collaboration (Health Collaboration)</w:t>
            </w:r>
            <w:r>
              <w:rPr>
                <w:noProof/>
                <w:webHidden/>
              </w:rPr>
              <w:tab/>
            </w:r>
            <w:r>
              <w:rPr>
                <w:noProof/>
                <w:webHidden/>
              </w:rPr>
              <w:fldChar w:fldCharType="begin"/>
            </w:r>
            <w:r>
              <w:rPr>
                <w:noProof/>
                <w:webHidden/>
              </w:rPr>
              <w:instrText xml:space="preserve"> PAGEREF _Toc225506048 \h </w:instrText>
            </w:r>
            <w:r>
              <w:rPr>
                <w:noProof/>
                <w:webHidden/>
              </w:rPr>
            </w:r>
            <w:r>
              <w:rPr>
                <w:noProof/>
                <w:webHidden/>
              </w:rPr>
              <w:fldChar w:fldCharType="separate"/>
            </w:r>
            <w:r>
              <w:rPr>
                <w:noProof/>
                <w:webHidden/>
              </w:rPr>
              <w:t>47</w:t>
            </w:r>
            <w:r>
              <w:rPr>
                <w:noProof/>
                <w:webHidden/>
              </w:rPr>
              <w:fldChar w:fldCharType="end"/>
            </w:r>
          </w:hyperlink>
        </w:p>
        <w:p w14:paraId="7858366E" w14:textId="5B316A43" w:rsidR="00BE2D5B" w:rsidRDefault="00BE2D5B">
          <w:pPr>
            <w:pStyle w:val="TOC3"/>
            <w:tabs>
              <w:tab w:val="left" w:pos="1200"/>
              <w:tab w:val="right" w:leader="dot" w:pos="10456"/>
            </w:tabs>
            <w:rPr>
              <w:rFonts w:eastAsiaTheme="minorEastAsia"/>
              <w:noProof/>
              <w:sz w:val="24"/>
              <w:szCs w:val="24"/>
              <w:lang w:eastAsia="en-AU"/>
            </w:rPr>
          </w:pPr>
          <w:hyperlink w:anchor="_Toc225506049" w:history="1">
            <w:r w:rsidRPr="00F752A9">
              <w:rPr>
                <w:rStyle w:val="Hyperlink"/>
                <w:noProof/>
              </w:rPr>
              <w:t>20)</w:t>
            </w:r>
            <w:r>
              <w:rPr>
                <w:rFonts w:eastAsiaTheme="minorEastAsia"/>
                <w:noProof/>
                <w:sz w:val="24"/>
                <w:szCs w:val="24"/>
                <w:lang w:eastAsia="en-AU"/>
              </w:rPr>
              <w:tab/>
            </w:r>
            <w:r w:rsidRPr="00F752A9">
              <w:rPr>
                <w:rStyle w:val="Hyperlink"/>
                <w:noProof/>
              </w:rPr>
              <w:t>Aboriginal Community Controlled Health Service (ACCHS) Funding Reform Joint Steering Committee</w:t>
            </w:r>
            <w:r>
              <w:rPr>
                <w:noProof/>
                <w:webHidden/>
              </w:rPr>
              <w:tab/>
            </w:r>
            <w:r>
              <w:rPr>
                <w:noProof/>
                <w:webHidden/>
              </w:rPr>
              <w:fldChar w:fldCharType="begin"/>
            </w:r>
            <w:r>
              <w:rPr>
                <w:noProof/>
                <w:webHidden/>
              </w:rPr>
              <w:instrText xml:space="preserve"> PAGEREF _Toc225506049 \h </w:instrText>
            </w:r>
            <w:r>
              <w:rPr>
                <w:noProof/>
                <w:webHidden/>
              </w:rPr>
            </w:r>
            <w:r>
              <w:rPr>
                <w:noProof/>
                <w:webHidden/>
              </w:rPr>
              <w:fldChar w:fldCharType="separate"/>
            </w:r>
            <w:r>
              <w:rPr>
                <w:noProof/>
                <w:webHidden/>
              </w:rPr>
              <w:t>49</w:t>
            </w:r>
            <w:r>
              <w:rPr>
                <w:noProof/>
                <w:webHidden/>
              </w:rPr>
              <w:fldChar w:fldCharType="end"/>
            </w:r>
          </w:hyperlink>
        </w:p>
        <w:p w14:paraId="6B2D2131" w14:textId="07CE5066" w:rsidR="00BE2D5B" w:rsidRDefault="00BE2D5B">
          <w:pPr>
            <w:pStyle w:val="TOC3"/>
            <w:tabs>
              <w:tab w:val="left" w:pos="1200"/>
              <w:tab w:val="right" w:leader="dot" w:pos="10456"/>
            </w:tabs>
            <w:rPr>
              <w:rFonts w:eastAsiaTheme="minorEastAsia"/>
              <w:noProof/>
              <w:sz w:val="24"/>
              <w:szCs w:val="24"/>
              <w:lang w:eastAsia="en-AU"/>
            </w:rPr>
          </w:pPr>
          <w:hyperlink w:anchor="_Toc225506050" w:history="1">
            <w:r w:rsidRPr="00F752A9">
              <w:rPr>
                <w:rStyle w:val="Hyperlink"/>
                <w:noProof/>
              </w:rPr>
              <w:t>21)</w:t>
            </w:r>
            <w:r>
              <w:rPr>
                <w:rFonts w:eastAsiaTheme="minorEastAsia"/>
                <w:noProof/>
                <w:sz w:val="24"/>
                <w:szCs w:val="24"/>
                <w:lang w:eastAsia="en-AU"/>
              </w:rPr>
              <w:tab/>
            </w:r>
            <w:r w:rsidRPr="00F752A9">
              <w:rPr>
                <w:rStyle w:val="Hyperlink"/>
                <w:noProof/>
              </w:rPr>
              <w:t>First Nations Health Governance Group</w:t>
            </w:r>
            <w:r>
              <w:rPr>
                <w:noProof/>
                <w:webHidden/>
              </w:rPr>
              <w:tab/>
            </w:r>
            <w:r>
              <w:rPr>
                <w:noProof/>
                <w:webHidden/>
              </w:rPr>
              <w:fldChar w:fldCharType="begin"/>
            </w:r>
            <w:r>
              <w:rPr>
                <w:noProof/>
                <w:webHidden/>
              </w:rPr>
              <w:instrText xml:space="preserve"> PAGEREF _Toc225506050 \h </w:instrText>
            </w:r>
            <w:r>
              <w:rPr>
                <w:noProof/>
                <w:webHidden/>
              </w:rPr>
            </w:r>
            <w:r>
              <w:rPr>
                <w:noProof/>
                <w:webHidden/>
              </w:rPr>
              <w:fldChar w:fldCharType="separate"/>
            </w:r>
            <w:r>
              <w:rPr>
                <w:noProof/>
                <w:webHidden/>
              </w:rPr>
              <w:t>50</w:t>
            </w:r>
            <w:r>
              <w:rPr>
                <w:noProof/>
                <w:webHidden/>
              </w:rPr>
              <w:fldChar w:fldCharType="end"/>
            </w:r>
          </w:hyperlink>
        </w:p>
        <w:p w14:paraId="3D5F38D5" w14:textId="3CA11C03" w:rsidR="00BE2D5B" w:rsidRDefault="00BE2D5B">
          <w:pPr>
            <w:pStyle w:val="TOC3"/>
            <w:tabs>
              <w:tab w:val="left" w:pos="1200"/>
              <w:tab w:val="right" w:leader="dot" w:pos="10456"/>
            </w:tabs>
            <w:rPr>
              <w:rFonts w:eastAsiaTheme="minorEastAsia"/>
              <w:noProof/>
              <w:sz w:val="24"/>
              <w:szCs w:val="24"/>
              <w:lang w:eastAsia="en-AU"/>
            </w:rPr>
          </w:pPr>
          <w:hyperlink w:anchor="_Toc225506051" w:history="1">
            <w:r w:rsidRPr="00F752A9">
              <w:rPr>
                <w:rStyle w:val="Hyperlink"/>
                <w:noProof/>
              </w:rPr>
              <w:t>22)</w:t>
            </w:r>
            <w:r>
              <w:rPr>
                <w:rFonts w:eastAsiaTheme="minorEastAsia"/>
                <w:noProof/>
                <w:sz w:val="24"/>
                <w:szCs w:val="24"/>
                <w:lang w:eastAsia="en-AU"/>
              </w:rPr>
              <w:tab/>
            </w:r>
            <w:r w:rsidRPr="00F752A9">
              <w:rPr>
                <w:rStyle w:val="Hyperlink"/>
                <w:noProof/>
              </w:rPr>
              <w:t>Partnership between the National Aboriginal Community Controlled Health Organisation (NACCHO) and the Department of Health, Disability and Ageing (DHDA) to deliver activities under the Rheumatic Fever Strategy (RFS)</w:t>
            </w:r>
            <w:r>
              <w:rPr>
                <w:noProof/>
                <w:webHidden/>
              </w:rPr>
              <w:tab/>
            </w:r>
            <w:r>
              <w:rPr>
                <w:noProof/>
                <w:webHidden/>
              </w:rPr>
              <w:fldChar w:fldCharType="begin"/>
            </w:r>
            <w:r>
              <w:rPr>
                <w:noProof/>
                <w:webHidden/>
              </w:rPr>
              <w:instrText xml:space="preserve"> PAGEREF _Toc225506051 \h </w:instrText>
            </w:r>
            <w:r>
              <w:rPr>
                <w:noProof/>
                <w:webHidden/>
              </w:rPr>
            </w:r>
            <w:r>
              <w:rPr>
                <w:noProof/>
                <w:webHidden/>
              </w:rPr>
              <w:fldChar w:fldCharType="separate"/>
            </w:r>
            <w:r>
              <w:rPr>
                <w:noProof/>
                <w:webHidden/>
              </w:rPr>
              <w:t>51</w:t>
            </w:r>
            <w:r>
              <w:rPr>
                <w:noProof/>
                <w:webHidden/>
              </w:rPr>
              <w:fldChar w:fldCharType="end"/>
            </w:r>
          </w:hyperlink>
        </w:p>
        <w:p w14:paraId="091409BE" w14:textId="56EB65FB" w:rsidR="00BE2D5B" w:rsidRDefault="00BE2D5B">
          <w:pPr>
            <w:pStyle w:val="TOC3"/>
            <w:tabs>
              <w:tab w:val="left" w:pos="1200"/>
              <w:tab w:val="right" w:leader="dot" w:pos="10456"/>
            </w:tabs>
            <w:rPr>
              <w:rFonts w:eastAsiaTheme="minorEastAsia"/>
              <w:noProof/>
              <w:sz w:val="24"/>
              <w:szCs w:val="24"/>
              <w:lang w:eastAsia="en-AU"/>
            </w:rPr>
          </w:pPr>
          <w:hyperlink w:anchor="_Toc225506052" w:history="1">
            <w:r w:rsidRPr="00F752A9">
              <w:rPr>
                <w:rStyle w:val="Hyperlink"/>
                <w:noProof/>
              </w:rPr>
              <w:t>23)</w:t>
            </w:r>
            <w:r>
              <w:rPr>
                <w:rFonts w:eastAsiaTheme="minorEastAsia"/>
                <w:noProof/>
                <w:sz w:val="24"/>
                <w:szCs w:val="24"/>
                <w:lang w:eastAsia="en-AU"/>
              </w:rPr>
              <w:tab/>
            </w:r>
            <w:r w:rsidRPr="00F752A9">
              <w:rPr>
                <w:rStyle w:val="Hyperlink"/>
                <w:noProof/>
              </w:rPr>
              <w:t>Partnership between the Department of Health, Disability and Ageing and the National Aboriginal Community Controlled Health Organisation (NACCHO) regarding the NACCHO Cancer Program</w:t>
            </w:r>
            <w:r>
              <w:rPr>
                <w:noProof/>
                <w:webHidden/>
              </w:rPr>
              <w:tab/>
            </w:r>
            <w:r>
              <w:rPr>
                <w:noProof/>
                <w:webHidden/>
              </w:rPr>
              <w:fldChar w:fldCharType="begin"/>
            </w:r>
            <w:r>
              <w:rPr>
                <w:noProof/>
                <w:webHidden/>
              </w:rPr>
              <w:instrText xml:space="preserve"> PAGEREF _Toc225506052 \h </w:instrText>
            </w:r>
            <w:r>
              <w:rPr>
                <w:noProof/>
                <w:webHidden/>
              </w:rPr>
            </w:r>
            <w:r>
              <w:rPr>
                <w:noProof/>
                <w:webHidden/>
              </w:rPr>
              <w:fldChar w:fldCharType="separate"/>
            </w:r>
            <w:r>
              <w:rPr>
                <w:noProof/>
                <w:webHidden/>
              </w:rPr>
              <w:t>53</w:t>
            </w:r>
            <w:r>
              <w:rPr>
                <w:noProof/>
                <w:webHidden/>
              </w:rPr>
              <w:fldChar w:fldCharType="end"/>
            </w:r>
          </w:hyperlink>
        </w:p>
        <w:p w14:paraId="60C660A3" w14:textId="5C5C4C44" w:rsidR="00BE2D5B" w:rsidRDefault="00BE2D5B">
          <w:pPr>
            <w:pStyle w:val="TOC3"/>
            <w:tabs>
              <w:tab w:val="left" w:pos="1200"/>
              <w:tab w:val="right" w:leader="dot" w:pos="10456"/>
            </w:tabs>
            <w:rPr>
              <w:rFonts w:eastAsiaTheme="minorEastAsia"/>
              <w:noProof/>
              <w:sz w:val="24"/>
              <w:szCs w:val="24"/>
              <w:lang w:eastAsia="en-AU"/>
            </w:rPr>
          </w:pPr>
          <w:hyperlink w:anchor="_Toc225506053" w:history="1">
            <w:r w:rsidRPr="00F752A9">
              <w:rPr>
                <w:rStyle w:val="Hyperlink"/>
                <w:noProof/>
              </w:rPr>
              <w:t>24)</w:t>
            </w:r>
            <w:r>
              <w:rPr>
                <w:rFonts w:eastAsiaTheme="minorEastAsia"/>
                <w:noProof/>
                <w:sz w:val="24"/>
                <w:szCs w:val="24"/>
                <w:lang w:eastAsia="en-AU"/>
              </w:rPr>
              <w:tab/>
            </w:r>
            <w:r w:rsidRPr="00F752A9">
              <w:rPr>
                <w:rStyle w:val="Hyperlink"/>
                <w:noProof/>
              </w:rPr>
              <w:t>Social and Emotional Wellbeing Policy Partnership (SEWB PP)</w:t>
            </w:r>
            <w:r>
              <w:rPr>
                <w:noProof/>
                <w:webHidden/>
              </w:rPr>
              <w:tab/>
            </w:r>
            <w:r>
              <w:rPr>
                <w:noProof/>
                <w:webHidden/>
              </w:rPr>
              <w:fldChar w:fldCharType="begin"/>
            </w:r>
            <w:r>
              <w:rPr>
                <w:noProof/>
                <w:webHidden/>
              </w:rPr>
              <w:instrText xml:space="preserve"> PAGEREF _Toc225506053 \h </w:instrText>
            </w:r>
            <w:r>
              <w:rPr>
                <w:noProof/>
                <w:webHidden/>
              </w:rPr>
            </w:r>
            <w:r>
              <w:rPr>
                <w:noProof/>
                <w:webHidden/>
              </w:rPr>
              <w:fldChar w:fldCharType="separate"/>
            </w:r>
            <w:r>
              <w:rPr>
                <w:noProof/>
                <w:webHidden/>
              </w:rPr>
              <w:t>55</w:t>
            </w:r>
            <w:r>
              <w:rPr>
                <w:noProof/>
                <w:webHidden/>
              </w:rPr>
              <w:fldChar w:fldCharType="end"/>
            </w:r>
          </w:hyperlink>
        </w:p>
        <w:p w14:paraId="35764A45" w14:textId="3C4AA041" w:rsidR="00BE2D5B" w:rsidRDefault="00BE2D5B">
          <w:pPr>
            <w:pStyle w:val="TOC3"/>
            <w:tabs>
              <w:tab w:val="left" w:pos="1200"/>
              <w:tab w:val="right" w:leader="dot" w:pos="10456"/>
            </w:tabs>
            <w:rPr>
              <w:rFonts w:eastAsiaTheme="minorEastAsia"/>
              <w:noProof/>
              <w:sz w:val="24"/>
              <w:szCs w:val="24"/>
              <w:lang w:eastAsia="en-AU"/>
            </w:rPr>
          </w:pPr>
          <w:hyperlink w:anchor="_Toc225506054" w:history="1">
            <w:r w:rsidRPr="00F752A9">
              <w:rPr>
                <w:rStyle w:val="Hyperlink"/>
                <w:noProof/>
              </w:rPr>
              <w:t>25)</w:t>
            </w:r>
            <w:r>
              <w:rPr>
                <w:rFonts w:eastAsiaTheme="minorEastAsia"/>
                <w:noProof/>
                <w:sz w:val="24"/>
                <w:szCs w:val="24"/>
                <w:lang w:eastAsia="en-AU"/>
              </w:rPr>
              <w:tab/>
            </w:r>
            <w:r w:rsidRPr="00F752A9">
              <w:rPr>
                <w:rStyle w:val="Hyperlink"/>
                <w:noProof/>
              </w:rPr>
              <w:t>Partnership for the Square Kilometre Array (SKA) Project and Inyarrimanha Ilgari Bundara, the Commonwealth Scientific and Industrial Research Organisation (CSIRO) Murchison Radio-astronomy Observatory</w:t>
            </w:r>
            <w:r>
              <w:rPr>
                <w:noProof/>
                <w:webHidden/>
              </w:rPr>
              <w:tab/>
            </w:r>
            <w:r>
              <w:rPr>
                <w:noProof/>
                <w:webHidden/>
              </w:rPr>
              <w:fldChar w:fldCharType="begin"/>
            </w:r>
            <w:r>
              <w:rPr>
                <w:noProof/>
                <w:webHidden/>
              </w:rPr>
              <w:instrText xml:space="preserve"> PAGEREF _Toc225506054 \h </w:instrText>
            </w:r>
            <w:r>
              <w:rPr>
                <w:noProof/>
                <w:webHidden/>
              </w:rPr>
            </w:r>
            <w:r>
              <w:rPr>
                <w:noProof/>
                <w:webHidden/>
              </w:rPr>
              <w:fldChar w:fldCharType="separate"/>
            </w:r>
            <w:r>
              <w:rPr>
                <w:noProof/>
                <w:webHidden/>
              </w:rPr>
              <w:t>56</w:t>
            </w:r>
            <w:r>
              <w:rPr>
                <w:noProof/>
                <w:webHidden/>
              </w:rPr>
              <w:fldChar w:fldCharType="end"/>
            </w:r>
          </w:hyperlink>
        </w:p>
        <w:p w14:paraId="160C18FA" w14:textId="1844538B" w:rsidR="00BE2D5B" w:rsidRDefault="00BE2D5B">
          <w:pPr>
            <w:pStyle w:val="TOC3"/>
            <w:tabs>
              <w:tab w:val="left" w:pos="1200"/>
              <w:tab w:val="right" w:leader="dot" w:pos="10456"/>
            </w:tabs>
            <w:rPr>
              <w:rFonts w:eastAsiaTheme="minorEastAsia"/>
              <w:noProof/>
              <w:sz w:val="24"/>
              <w:szCs w:val="24"/>
              <w:lang w:eastAsia="en-AU"/>
            </w:rPr>
          </w:pPr>
          <w:hyperlink w:anchor="_Toc225506055" w:history="1">
            <w:r w:rsidRPr="00F752A9">
              <w:rPr>
                <w:rStyle w:val="Hyperlink"/>
                <w:noProof/>
              </w:rPr>
              <w:t>26)</w:t>
            </w:r>
            <w:r>
              <w:rPr>
                <w:rFonts w:eastAsiaTheme="minorEastAsia"/>
                <w:noProof/>
                <w:sz w:val="24"/>
                <w:szCs w:val="24"/>
                <w:lang w:eastAsia="en-AU"/>
              </w:rPr>
              <w:tab/>
            </w:r>
            <w:r w:rsidRPr="00F752A9">
              <w:rPr>
                <w:rStyle w:val="Hyperlink"/>
                <w:noProof/>
              </w:rPr>
              <w:t>Gadhungal Marring and Bundanon partnership</w:t>
            </w:r>
            <w:r>
              <w:rPr>
                <w:noProof/>
                <w:webHidden/>
              </w:rPr>
              <w:tab/>
            </w:r>
            <w:r>
              <w:rPr>
                <w:noProof/>
                <w:webHidden/>
              </w:rPr>
              <w:fldChar w:fldCharType="begin"/>
            </w:r>
            <w:r>
              <w:rPr>
                <w:noProof/>
                <w:webHidden/>
              </w:rPr>
              <w:instrText xml:space="preserve"> PAGEREF _Toc225506055 \h </w:instrText>
            </w:r>
            <w:r>
              <w:rPr>
                <w:noProof/>
                <w:webHidden/>
              </w:rPr>
            </w:r>
            <w:r>
              <w:rPr>
                <w:noProof/>
                <w:webHidden/>
              </w:rPr>
              <w:fldChar w:fldCharType="separate"/>
            </w:r>
            <w:r>
              <w:rPr>
                <w:noProof/>
                <w:webHidden/>
              </w:rPr>
              <w:t>58</w:t>
            </w:r>
            <w:r>
              <w:rPr>
                <w:noProof/>
                <w:webHidden/>
              </w:rPr>
              <w:fldChar w:fldCharType="end"/>
            </w:r>
          </w:hyperlink>
        </w:p>
        <w:p w14:paraId="6926F57A" w14:textId="5F307747" w:rsidR="00BE2D5B" w:rsidRDefault="00BE2D5B">
          <w:pPr>
            <w:pStyle w:val="TOC3"/>
            <w:tabs>
              <w:tab w:val="left" w:pos="1200"/>
              <w:tab w:val="right" w:leader="dot" w:pos="10456"/>
            </w:tabs>
            <w:rPr>
              <w:rFonts w:eastAsiaTheme="minorEastAsia"/>
              <w:noProof/>
              <w:sz w:val="24"/>
              <w:szCs w:val="24"/>
              <w:lang w:eastAsia="en-AU"/>
            </w:rPr>
          </w:pPr>
          <w:hyperlink w:anchor="_Toc225506056" w:history="1">
            <w:r w:rsidRPr="00F752A9">
              <w:rPr>
                <w:rStyle w:val="Hyperlink"/>
                <w:noProof/>
              </w:rPr>
              <w:t>27)</w:t>
            </w:r>
            <w:r>
              <w:rPr>
                <w:rFonts w:eastAsiaTheme="minorEastAsia"/>
                <w:noProof/>
                <w:sz w:val="24"/>
                <w:szCs w:val="24"/>
                <w:lang w:eastAsia="en-AU"/>
              </w:rPr>
              <w:tab/>
            </w:r>
            <w:r w:rsidRPr="00F752A9">
              <w:rPr>
                <w:rStyle w:val="Hyperlink"/>
                <w:noProof/>
              </w:rPr>
              <w:t>Aboriginal and Torres Strait Islander Languages Policy Partnership</w:t>
            </w:r>
            <w:r>
              <w:rPr>
                <w:noProof/>
                <w:webHidden/>
              </w:rPr>
              <w:tab/>
            </w:r>
            <w:r>
              <w:rPr>
                <w:noProof/>
                <w:webHidden/>
              </w:rPr>
              <w:fldChar w:fldCharType="begin"/>
            </w:r>
            <w:r>
              <w:rPr>
                <w:noProof/>
                <w:webHidden/>
              </w:rPr>
              <w:instrText xml:space="preserve"> PAGEREF _Toc225506056 \h </w:instrText>
            </w:r>
            <w:r>
              <w:rPr>
                <w:noProof/>
                <w:webHidden/>
              </w:rPr>
            </w:r>
            <w:r>
              <w:rPr>
                <w:noProof/>
                <w:webHidden/>
              </w:rPr>
              <w:fldChar w:fldCharType="separate"/>
            </w:r>
            <w:r>
              <w:rPr>
                <w:noProof/>
                <w:webHidden/>
              </w:rPr>
              <w:t>60</w:t>
            </w:r>
            <w:r>
              <w:rPr>
                <w:noProof/>
                <w:webHidden/>
              </w:rPr>
              <w:fldChar w:fldCharType="end"/>
            </w:r>
          </w:hyperlink>
        </w:p>
        <w:p w14:paraId="16A42E2D" w14:textId="412EC1F7" w:rsidR="00BE2D5B" w:rsidRDefault="00BE2D5B">
          <w:pPr>
            <w:pStyle w:val="TOC3"/>
            <w:tabs>
              <w:tab w:val="left" w:pos="1200"/>
              <w:tab w:val="right" w:leader="dot" w:pos="10456"/>
            </w:tabs>
            <w:rPr>
              <w:rFonts w:eastAsiaTheme="minorEastAsia"/>
              <w:noProof/>
              <w:sz w:val="24"/>
              <w:szCs w:val="24"/>
              <w:lang w:eastAsia="en-AU"/>
            </w:rPr>
          </w:pPr>
          <w:hyperlink w:anchor="_Toc225506057" w:history="1">
            <w:r w:rsidRPr="00F752A9">
              <w:rPr>
                <w:rStyle w:val="Hyperlink"/>
                <w:noProof/>
              </w:rPr>
              <w:t>28)</w:t>
            </w:r>
            <w:r>
              <w:rPr>
                <w:rFonts w:eastAsiaTheme="minorEastAsia"/>
                <w:noProof/>
                <w:sz w:val="24"/>
                <w:szCs w:val="24"/>
                <w:lang w:eastAsia="en-AU"/>
              </w:rPr>
              <w:tab/>
            </w:r>
            <w:r w:rsidRPr="00F752A9">
              <w:rPr>
                <w:rStyle w:val="Hyperlink"/>
                <w:noProof/>
              </w:rPr>
              <w:t>Our Ways – Strong Ways – Our Voices: National Aboriginal and Torres Strait Islander Plan to End Family, Domestic and Sexual Violence Steering Committee (Steering Committee)</w:t>
            </w:r>
            <w:r>
              <w:rPr>
                <w:noProof/>
                <w:webHidden/>
              </w:rPr>
              <w:tab/>
            </w:r>
            <w:r>
              <w:rPr>
                <w:noProof/>
                <w:webHidden/>
              </w:rPr>
              <w:fldChar w:fldCharType="begin"/>
            </w:r>
            <w:r>
              <w:rPr>
                <w:noProof/>
                <w:webHidden/>
              </w:rPr>
              <w:instrText xml:space="preserve"> PAGEREF _Toc225506057 \h </w:instrText>
            </w:r>
            <w:r>
              <w:rPr>
                <w:noProof/>
                <w:webHidden/>
              </w:rPr>
            </w:r>
            <w:r>
              <w:rPr>
                <w:noProof/>
                <w:webHidden/>
              </w:rPr>
              <w:fldChar w:fldCharType="separate"/>
            </w:r>
            <w:r>
              <w:rPr>
                <w:noProof/>
                <w:webHidden/>
              </w:rPr>
              <w:t>62</w:t>
            </w:r>
            <w:r>
              <w:rPr>
                <w:noProof/>
                <w:webHidden/>
              </w:rPr>
              <w:fldChar w:fldCharType="end"/>
            </w:r>
          </w:hyperlink>
        </w:p>
        <w:p w14:paraId="338C3A8E" w14:textId="16122FC3" w:rsidR="00BE2D5B" w:rsidRDefault="00BE2D5B">
          <w:pPr>
            <w:pStyle w:val="TOC3"/>
            <w:tabs>
              <w:tab w:val="left" w:pos="1200"/>
              <w:tab w:val="right" w:leader="dot" w:pos="10456"/>
            </w:tabs>
            <w:rPr>
              <w:rFonts w:eastAsiaTheme="minorEastAsia"/>
              <w:noProof/>
              <w:sz w:val="24"/>
              <w:szCs w:val="24"/>
              <w:lang w:eastAsia="en-AU"/>
            </w:rPr>
          </w:pPr>
          <w:hyperlink w:anchor="_Toc225506058" w:history="1">
            <w:r w:rsidRPr="00F752A9">
              <w:rPr>
                <w:rStyle w:val="Hyperlink"/>
                <w:noProof/>
              </w:rPr>
              <w:t>29)</w:t>
            </w:r>
            <w:r>
              <w:rPr>
                <w:rFonts w:eastAsiaTheme="minorEastAsia"/>
                <w:noProof/>
                <w:sz w:val="24"/>
                <w:szCs w:val="24"/>
                <w:lang w:eastAsia="en-AU"/>
              </w:rPr>
              <w:tab/>
            </w:r>
            <w:r w:rsidRPr="00F752A9">
              <w:rPr>
                <w:rStyle w:val="Hyperlink"/>
                <w:noProof/>
              </w:rPr>
              <w:t>Safe and Supported Partnership Agreement</w:t>
            </w:r>
            <w:r>
              <w:rPr>
                <w:noProof/>
                <w:webHidden/>
              </w:rPr>
              <w:tab/>
            </w:r>
            <w:r>
              <w:rPr>
                <w:noProof/>
                <w:webHidden/>
              </w:rPr>
              <w:fldChar w:fldCharType="begin"/>
            </w:r>
            <w:r>
              <w:rPr>
                <w:noProof/>
                <w:webHidden/>
              </w:rPr>
              <w:instrText xml:space="preserve"> PAGEREF _Toc225506058 \h </w:instrText>
            </w:r>
            <w:r>
              <w:rPr>
                <w:noProof/>
                <w:webHidden/>
              </w:rPr>
            </w:r>
            <w:r>
              <w:rPr>
                <w:noProof/>
                <w:webHidden/>
              </w:rPr>
              <w:fldChar w:fldCharType="separate"/>
            </w:r>
            <w:r>
              <w:rPr>
                <w:noProof/>
                <w:webHidden/>
              </w:rPr>
              <w:t>63</w:t>
            </w:r>
            <w:r>
              <w:rPr>
                <w:noProof/>
                <w:webHidden/>
              </w:rPr>
              <w:fldChar w:fldCharType="end"/>
            </w:r>
          </w:hyperlink>
        </w:p>
        <w:p w14:paraId="25AF3AFF" w14:textId="07B3F14E" w:rsidR="00BE2D5B" w:rsidRDefault="00BE2D5B">
          <w:pPr>
            <w:pStyle w:val="TOC3"/>
            <w:tabs>
              <w:tab w:val="left" w:pos="1200"/>
              <w:tab w:val="right" w:leader="dot" w:pos="10456"/>
            </w:tabs>
            <w:rPr>
              <w:rFonts w:eastAsiaTheme="minorEastAsia"/>
              <w:noProof/>
              <w:sz w:val="24"/>
              <w:szCs w:val="24"/>
              <w:lang w:eastAsia="en-AU"/>
            </w:rPr>
          </w:pPr>
          <w:hyperlink w:anchor="_Toc225506059" w:history="1">
            <w:r w:rsidRPr="00F752A9">
              <w:rPr>
                <w:rStyle w:val="Hyperlink"/>
                <w:noProof/>
              </w:rPr>
              <w:t>30)</w:t>
            </w:r>
            <w:r>
              <w:rPr>
                <w:rFonts w:eastAsiaTheme="minorEastAsia"/>
                <w:noProof/>
                <w:sz w:val="24"/>
                <w:szCs w:val="24"/>
                <w:lang w:eastAsia="en-AU"/>
              </w:rPr>
              <w:tab/>
            </w:r>
            <w:r w:rsidRPr="00F752A9">
              <w:rPr>
                <w:rStyle w:val="Hyperlink"/>
                <w:noProof/>
              </w:rPr>
              <w:t>Shared Hearing Services Plans</w:t>
            </w:r>
            <w:r>
              <w:rPr>
                <w:noProof/>
                <w:webHidden/>
              </w:rPr>
              <w:tab/>
            </w:r>
            <w:r>
              <w:rPr>
                <w:noProof/>
                <w:webHidden/>
              </w:rPr>
              <w:fldChar w:fldCharType="begin"/>
            </w:r>
            <w:r>
              <w:rPr>
                <w:noProof/>
                <w:webHidden/>
              </w:rPr>
              <w:instrText xml:space="preserve"> PAGEREF _Toc225506059 \h </w:instrText>
            </w:r>
            <w:r>
              <w:rPr>
                <w:noProof/>
                <w:webHidden/>
              </w:rPr>
            </w:r>
            <w:r>
              <w:rPr>
                <w:noProof/>
                <w:webHidden/>
              </w:rPr>
              <w:fldChar w:fldCharType="separate"/>
            </w:r>
            <w:r>
              <w:rPr>
                <w:noProof/>
                <w:webHidden/>
              </w:rPr>
              <w:t>65</w:t>
            </w:r>
            <w:r>
              <w:rPr>
                <w:noProof/>
                <w:webHidden/>
              </w:rPr>
              <w:fldChar w:fldCharType="end"/>
            </w:r>
          </w:hyperlink>
        </w:p>
        <w:p w14:paraId="4E770135" w14:textId="44907D03" w:rsidR="00BE2D5B" w:rsidRDefault="00BE2D5B">
          <w:pPr>
            <w:pStyle w:val="TOC3"/>
            <w:tabs>
              <w:tab w:val="left" w:pos="1200"/>
              <w:tab w:val="right" w:leader="dot" w:pos="10456"/>
            </w:tabs>
            <w:rPr>
              <w:rFonts w:eastAsiaTheme="minorEastAsia"/>
              <w:noProof/>
              <w:sz w:val="24"/>
              <w:szCs w:val="24"/>
              <w:lang w:eastAsia="en-AU"/>
            </w:rPr>
          </w:pPr>
          <w:hyperlink w:anchor="_Toc225506060" w:history="1">
            <w:r w:rsidRPr="00F752A9">
              <w:rPr>
                <w:rStyle w:val="Hyperlink"/>
                <w:noProof/>
              </w:rPr>
              <w:t>31)</w:t>
            </w:r>
            <w:r>
              <w:rPr>
                <w:rFonts w:eastAsiaTheme="minorEastAsia"/>
                <w:noProof/>
                <w:sz w:val="24"/>
                <w:szCs w:val="24"/>
                <w:lang w:eastAsia="en-AU"/>
              </w:rPr>
              <w:tab/>
            </w:r>
            <w:r w:rsidRPr="00F752A9">
              <w:rPr>
                <w:rStyle w:val="Hyperlink"/>
                <w:noProof/>
              </w:rPr>
              <w:t>Partnership between Indigenous Business Australia (IBA) and New Dream Productions to elevate First Nations Male Voices</w:t>
            </w:r>
            <w:r>
              <w:rPr>
                <w:noProof/>
                <w:webHidden/>
              </w:rPr>
              <w:tab/>
            </w:r>
            <w:r>
              <w:rPr>
                <w:noProof/>
                <w:webHidden/>
              </w:rPr>
              <w:fldChar w:fldCharType="begin"/>
            </w:r>
            <w:r>
              <w:rPr>
                <w:noProof/>
                <w:webHidden/>
              </w:rPr>
              <w:instrText xml:space="preserve"> PAGEREF _Toc225506060 \h </w:instrText>
            </w:r>
            <w:r>
              <w:rPr>
                <w:noProof/>
                <w:webHidden/>
              </w:rPr>
            </w:r>
            <w:r>
              <w:rPr>
                <w:noProof/>
                <w:webHidden/>
              </w:rPr>
              <w:fldChar w:fldCharType="separate"/>
            </w:r>
            <w:r>
              <w:rPr>
                <w:noProof/>
                <w:webHidden/>
              </w:rPr>
              <w:t>67</w:t>
            </w:r>
            <w:r>
              <w:rPr>
                <w:noProof/>
                <w:webHidden/>
              </w:rPr>
              <w:fldChar w:fldCharType="end"/>
            </w:r>
          </w:hyperlink>
        </w:p>
        <w:p w14:paraId="46762D6A" w14:textId="2D9236ED" w:rsidR="00BE2D5B" w:rsidRDefault="00BE2D5B">
          <w:pPr>
            <w:pStyle w:val="TOC3"/>
            <w:tabs>
              <w:tab w:val="left" w:pos="1200"/>
              <w:tab w:val="right" w:leader="dot" w:pos="10456"/>
            </w:tabs>
            <w:rPr>
              <w:rFonts w:eastAsiaTheme="minorEastAsia"/>
              <w:noProof/>
              <w:sz w:val="24"/>
              <w:szCs w:val="24"/>
              <w:lang w:eastAsia="en-AU"/>
            </w:rPr>
          </w:pPr>
          <w:hyperlink w:anchor="_Toc225506061" w:history="1">
            <w:r w:rsidRPr="00F752A9">
              <w:rPr>
                <w:rStyle w:val="Hyperlink"/>
                <w:noProof/>
              </w:rPr>
              <w:t>32)</w:t>
            </w:r>
            <w:r>
              <w:rPr>
                <w:rFonts w:eastAsiaTheme="minorEastAsia"/>
                <w:noProof/>
                <w:sz w:val="24"/>
                <w:szCs w:val="24"/>
                <w:lang w:eastAsia="en-AU"/>
              </w:rPr>
              <w:tab/>
            </w:r>
            <w:r w:rsidRPr="00F752A9">
              <w:rPr>
                <w:rStyle w:val="Hyperlink"/>
                <w:noProof/>
              </w:rPr>
              <w:t>Co-designing culturally safe Aboriginal Community Controlled Health Organisation (ACCHO)-led policy analysis and advice on disability services for First Nations people through a partnership between National Aboriginal Community Controlled Health Organisation (NACCHO) and Affiliates and the National Disability Insurance Agency (NDIA)</w:t>
            </w:r>
            <w:r>
              <w:rPr>
                <w:noProof/>
                <w:webHidden/>
              </w:rPr>
              <w:tab/>
            </w:r>
            <w:r>
              <w:rPr>
                <w:noProof/>
                <w:webHidden/>
              </w:rPr>
              <w:fldChar w:fldCharType="begin"/>
            </w:r>
            <w:r>
              <w:rPr>
                <w:noProof/>
                <w:webHidden/>
              </w:rPr>
              <w:instrText xml:space="preserve"> PAGEREF _Toc225506061 \h </w:instrText>
            </w:r>
            <w:r>
              <w:rPr>
                <w:noProof/>
                <w:webHidden/>
              </w:rPr>
            </w:r>
            <w:r>
              <w:rPr>
                <w:noProof/>
                <w:webHidden/>
              </w:rPr>
              <w:fldChar w:fldCharType="separate"/>
            </w:r>
            <w:r>
              <w:rPr>
                <w:noProof/>
                <w:webHidden/>
              </w:rPr>
              <w:t>69</w:t>
            </w:r>
            <w:r>
              <w:rPr>
                <w:noProof/>
                <w:webHidden/>
              </w:rPr>
              <w:fldChar w:fldCharType="end"/>
            </w:r>
          </w:hyperlink>
        </w:p>
        <w:p w14:paraId="3EB90935" w14:textId="2C4982B9" w:rsidR="00BE2D5B" w:rsidRDefault="00BE2D5B">
          <w:pPr>
            <w:pStyle w:val="TOC3"/>
            <w:tabs>
              <w:tab w:val="left" w:pos="1200"/>
              <w:tab w:val="right" w:leader="dot" w:pos="10456"/>
            </w:tabs>
            <w:rPr>
              <w:rFonts w:eastAsiaTheme="minorEastAsia"/>
              <w:noProof/>
              <w:sz w:val="24"/>
              <w:szCs w:val="24"/>
              <w:lang w:eastAsia="en-AU"/>
            </w:rPr>
          </w:pPr>
          <w:hyperlink w:anchor="_Toc225506062" w:history="1">
            <w:r w:rsidRPr="00F752A9">
              <w:rPr>
                <w:rStyle w:val="Hyperlink"/>
                <w:noProof/>
              </w:rPr>
              <w:t>33)</w:t>
            </w:r>
            <w:r>
              <w:rPr>
                <w:rFonts w:eastAsiaTheme="minorEastAsia"/>
                <w:noProof/>
                <w:sz w:val="24"/>
                <w:szCs w:val="24"/>
                <w:lang w:eastAsia="en-AU"/>
              </w:rPr>
              <w:tab/>
            </w:r>
            <w:r w:rsidRPr="00F752A9">
              <w:rPr>
                <w:rStyle w:val="Hyperlink"/>
                <w:noProof/>
              </w:rPr>
              <w:t>National Film and Sound Archive of Australia (NFSA) and the Torres Strait Islanders Media Association (TSIMA) Co-design Partnership regarding the TSIMA Collection Project</w:t>
            </w:r>
            <w:r>
              <w:rPr>
                <w:noProof/>
                <w:webHidden/>
              </w:rPr>
              <w:tab/>
            </w:r>
            <w:r>
              <w:rPr>
                <w:noProof/>
                <w:webHidden/>
              </w:rPr>
              <w:fldChar w:fldCharType="begin"/>
            </w:r>
            <w:r>
              <w:rPr>
                <w:noProof/>
                <w:webHidden/>
              </w:rPr>
              <w:instrText xml:space="preserve"> PAGEREF _Toc225506062 \h </w:instrText>
            </w:r>
            <w:r>
              <w:rPr>
                <w:noProof/>
                <w:webHidden/>
              </w:rPr>
            </w:r>
            <w:r>
              <w:rPr>
                <w:noProof/>
                <w:webHidden/>
              </w:rPr>
              <w:fldChar w:fldCharType="separate"/>
            </w:r>
            <w:r>
              <w:rPr>
                <w:noProof/>
                <w:webHidden/>
              </w:rPr>
              <w:t>70</w:t>
            </w:r>
            <w:r>
              <w:rPr>
                <w:noProof/>
                <w:webHidden/>
              </w:rPr>
              <w:fldChar w:fldCharType="end"/>
            </w:r>
          </w:hyperlink>
        </w:p>
        <w:p w14:paraId="5BA31DF4" w14:textId="07605642" w:rsidR="00BE2D5B" w:rsidRDefault="00BE2D5B">
          <w:pPr>
            <w:pStyle w:val="TOC3"/>
            <w:tabs>
              <w:tab w:val="left" w:pos="1200"/>
              <w:tab w:val="right" w:leader="dot" w:pos="10456"/>
            </w:tabs>
            <w:rPr>
              <w:rFonts w:eastAsiaTheme="minorEastAsia"/>
              <w:noProof/>
              <w:sz w:val="24"/>
              <w:szCs w:val="24"/>
              <w:lang w:eastAsia="en-AU"/>
            </w:rPr>
          </w:pPr>
          <w:hyperlink w:anchor="_Toc225506063" w:history="1">
            <w:r w:rsidRPr="00F752A9">
              <w:rPr>
                <w:rStyle w:val="Hyperlink"/>
                <w:noProof/>
              </w:rPr>
              <w:t>34)</w:t>
            </w:r>
            <w:r>
              <w:rPr>
                <w:rFonts w:eastAsiaTheme="minorEastAsia"/>
                <w:noProof/>
                <w:sz w:val="24"/>
                <w:szCs w:val="24"/>
                <w:lang w:eastAsia="en-AU"/>
              </w:rPr>
              <w:tab/>
            </w:r>
            <w:r w:rsidRPr="00F752A9">
              <w:rPr>
                <w:rStyle w:val="Hyperlink"/>
                <w:noProof/>
              </w:rPr>
              <w:t>Commonwealth Implementation Joint Working Group (Joint Working Group)</w:t>
            </w:r>
            <w:r>
              <w:rPr>
                <w:noProof/>
                <w:webHidden/>
              </w:rPr>
              <w:tab/>
            </w:r>
            <w:r>
              <w:rPr>
                <w:noProof/>
                <w:webHidden/>
              </w:rPr>
              <w:fldChar w:fldCharType="begin"/>
            </w:r>
            <w:r>
              <w:rPr>
                <w:noProof/>
                <w:webHidden/>
              </w:rPr>
              <w:instrText xml:space="preserve"> PAGEREF _Toc225506063 \h </w:instrText>
            </w:r>
            <w:r>
              <w:rPr>
                <w:noProof/>
                <w:webHidden/>
              </w:rPr>
            </w:r>
            <w:r>
              <w:rPr>
                <w:noProof/>
                <w:webHidden/>
              </w:rPr>
              <w:fldChar w:fldCharType="separate"/>
            </w:r>
            <w:r>
              <w:rPr>
                <w:noProof/>
                <w:webHidden/>
              </w:rPr>
              <w:t>72</w:t>
            </w:r>
            <w:r>
              <w:rPr>
                <w:noProof/>
                <w:webHidden/>
              </w:rPr>
              <w:fldChar w:fldCharType="end"/>
            </w:r>
          </w:hyperlink>
        </w:p>
        <w:p w14:paraId="1BC10278" w14:textId="62D87E0D" w:rsidR="00BE2D5B" w:rsidRDefault="00BE2D5B">
          <w:pPr>
            <w:pStyle w:val="TOC3"/>
            <w:tabs>
              <w:tab w:val="left" w:pos="1200"/>
              <w:tab w:val="right" w:leader="dot" w:pos="10456"/>
            </w:tabs>
            <w:rPr>
              <w:rFonts w:eastAsiaTheme="minorEastAsia"/>
              <w:noProof/>
              <w:sz w:val="24"/>
              <w:szCs w:val="24"/>
              <w:lang w:eastAsia="en-AU"/>
            </w:rPr>
          </w:pPr>
          <w:hyperlink w:anchor="_Toc225506064" w:history="1">
            <w:r w:rsidRPr="00F752A9">
              <w:rPr>
                <w:rStyle w:val="Hyperlink"/>
                <w:noProof/>
              </w:rPr>
              <w:t>35)</w:t>
            </w:r>
            <w:r>
              <w:rPr>
                <w:rFonts w:eastAsiaTheme="minorEastAsia"/>
                <w:noProof/>
                <w:sz w:val="24"/>
                <w:szCs w:val="24"/>
                <w:lang w:eastAsia="en-AU"/>
              </w:rPr>
              <w:tab/>
            </w:r>
            <w:r w:rsidRPr="00F752A9">
              <w:rPr>
                <w:rStyle w:val="Hyperlink"/>
                <w:noProof/>
              </w:rPr>
              <w:t>Garma Institute – Partnership Commitment</w:t>
            </w:r>
            <w:r>
              <w:rPr>
                <w:noProof/>
                <w:webHidden/>
              </w:rPr>
              <w:tab/>
            </w:r>
            <w:r>
              <w:rPr>
                <w:noProof/>
                <w:webHidden/>
              </w:rPr>
              <w:fldChar w:fldCharType="begin"/>
            </w:r>
            <w:r>
              <w:rPr>
                <w:noProof/>
                <w:webHidden/>
              </w:rPr>
              <w:instrText xml:space="preserve"> PAGEREF _Toc225506064 \h </w:instrText>
            </w:r>
            <w:r>
              <w:rPr>
                <w:noProof/>
                <w:webHidden/>
              </w:rPr>
            </w:r>
            <w:r>
              <w:rPr>
                <w:noProof/>
                <w:webHidden/>
              </w:rPr>
              <w:fldChar w:fldCharType="separate"/>
            </w:r>
            <w:r>
              <w:rPr>
                <w:noProof/>
                <w:webHidden/>
              </w:rPr>
              <w:t>75</w:t>
            </w:r>
            <w:r>
              <w:rPr>
                <w:noProof/>
                <w:webHidden/>
              </w:rPr>
              <w:fldChar w:fldCharType="end"/>
            </w:r>
          </w:hyperlink>
        </w:p>
        <w:p w14:paraId="56886D7D" w14:textId="15442A8E" w:rsidR="00BE2D5B" w:rsidRDefault="00BE2D5B">
          <w:pPr>
            <w:pStyle w:val="TOC3"/>
            <w:tabs>
              <w:tab w:val="left" w:pos="1200"/>
              <w:tab w:val="right" w:leader="dot" w:pos="10456"/>
            </w:tabs>
            <w:rPr>
              <w:rFonts w:eastAsiaTheme="minorEastAsia"/>
              <w:noProof/>
              <w:sz w:val="24"/>
              <w:szCs w:val="24"/>
              <w:lang w:eastAsia="en-AU"/>
            </w:rPr>
          </w:pPr>
          <w:hyperlink w:anchor="_Toc225506065" w:history="1">
            <w:r w:rsidRPr="00F752A9">
              <w:rPr>
                <w:rStyle w:val="Hyperlink"/>
                <w:noProof/>
              </w:rPr>
              <w:t>36)</w:t>
            </w:r>
            <w:r>
              <w:rPr>
                <w:rFonts w:eastAsiaTheme="minorEastAsia"/>
                <w:noProof/>
                <w:sz w:val="24"/>
                <w:szCs w:val="24"/>
                <w:lang w:eastAsia="en-AU"/>
              </w:rPr>
              <w:tab/>
            </w:r>
            <w:r w:rsidRPr="00F752A9">
              <w:rPr>
                <w:rStyle w:val="Hyperlink"/>
                <w:noProof/>
              </w:rPr>
              <w:t>Guŋga’yunga Djamarrkuliny (East Arnhem Land Youth Model) Partnership Support Group</w:t>
            </w:r>
            <w:r>
              <w:rPr>
                <w:noProof/>
                <w:webHidden/>
              </w:rPr>
              <w:tab/>
            </w:r>
            <w:r>
              <w:rPr>
                <w:noProof/>
                <w:webHidden/>
              </w:rPr>
              <w:fldChar w:fldCharType="begin"/>
            </w:r>
            <w:r>
              <w:rPr>
                <w:noProof/>
                <w:webHidden/>
              </w:rPr>
              <w:instrText xml:space="preserve"> PAGEREF _Toc225506065 \h </w:instrText>
            </w:r>
            <w:r>
              <w:rPr>
                <w:noProof/>
                <w:webHidden/>
              </w:rPr>
            </w:r>
            <w:r>
              <w:rPr>
                <w:noProof/>
                <w:webHidden/>
              </w:rPr>
              <w:fldChar w:fldCharType="separate"/>
            </w:r>
            <w:r>
              <w:rPr>
                <w:noProof/>
                <w:webHidden/>
              </w:rPr>
              <w:t>77</w:t>
            </w:r>
            <w:r>
              <w:rPr>
                <w:noProof/>
                <w:webHidden/>
              </w:rPr>
              <w:fldChar w:fldCharType="end"/>
            </w:r>
          </w:hyperlink>
        </w:p>
        <w:p w14:paraId="4ADD4195" w14:textId="5FEDC0ED" w:rsidR="00BE2D5B" w:rsidRDefault="00BE2D5B">
          <w:pPr>
            <w:pStyle w:val="TOC3"/>
            <w:tabs>
              <w:tab w:val="left" w:pos="1200"/>
              <w:tab w:val="right" w:leader="dot" w:pos="10456"/>
            </w:tabs>
            <w:rPr>
              <w:rFonts w:eastAsiaTheme="minorEastAsia"/>
              <w:noProof/>
              <w:sz w:val="24"/>
              <w:szCs w:val="24"/>
              <w:lang w:eastAsia="en-AU"/>
            </w:rPr>
          </w:pPr>
          <w:hyperlink w:anchor="_Toc225506066" w:history="1">
            <w:r w:rsidRPr="00F752A9">
              <w:rPr>
                <w:rStyle w:val="Hyperlink"/>
                <w:noProof/>
              </w:rPr>
              <w:t>37)</w:t>
            </w:r>
            <w:r>
              <w:rPr>
                <w:rFonts w:eastAsiaTheme="minorEastAsia"/>
                <w:noProof/>
                <w:sz w:val="24"/>
                <w:szCs w:val="24"/>
                <w:lang w:eastAsia="en-AU"/>
              </w:rPr>
              <w:tab/>
            </w:r>
            <w:r w:rsidRPr="00F752A9">
              <w:rPr>
                <w:rStyle w:val="Hyperlink"/>
                <w:noProof/>
              </w:rPr>
              <w:t>Northern Territory Remote Aboriginal Investment: Investing in Aboriginal Self-determination to Close the Gap in the Northern Territory</w:t>
            </w:r>
            <w:r>
              <w:rPr>
                <w:noProof/>
                <w:webHidden/>
              </w:rPr>
              <w:tab/>
            </w:r>
            <w:r>
              <w:rPr>
                <w:noProof/>
                <w:webHidden/>
              </w:rPr>
              <w:fldChar w:fldCharType="begin"/>
            </w:r>
            <w:r>
              <w:rPr>
                <w:noProof/>
                <w:webHidden/>
              </w:rPr>
              <w:instrText xml:space="preserve"> PAGEREF _Toc225506066 \h </w:instrText>
            </w:r>
            <w:r>
              <w:rPr>
                <w:noProof/>
                <w:webHidden/>
              </w:rPr>
            </w:r>
            <w:r>
              <w:rPr>
                <w:noProof/>
                <w:webHidden/>
              </w:rPr>
              <w:fldChar w:fldCharType="separate"/>
            </w:r>
            <w:r>
              <w:rPr>
                <w:noProof/>
                <w:webHidden/>
              </w:rPr>
              <w:t>79</w:t>
            </w:r>
            <w:r>
              <w:rPr>
                <w:noProof/>
                <w:webHidden/>
              </w:rPr>
              <w:fldChar w:fldCharType="end"/>
            </w:r>
          </w:hyperlink>
        </w:p>
        <w:p w14:paraId="2529BD8F" w14:textId="467A1E21" w:rsidR="00BE2D5B" w:rsidRDefault="00BE2D5B">
          <w:pPr>
            <w:pStyle w:val="TOC3"/>
            <w:tabs>
              <w:tab w:val="left" w:pos="1200"/>
              <w:tab w:val="right" w:leader="dot" w:pos="10456"/>
            </w:tabs>
            <w:rPr>
              <w:rFonts w:eastAsiaTheme="minorEastAsia"/>
              <w:noProof/>
              <w:sz w:val="24"/>
              <w:szCs w:val="24"/>
              <w:lang w:eastAsia="en-AU"/>
            </w:rPr>
          </w:pPr>
          <w:hyperlink w:anchor="_Toc225506067" w:history="1">
            <w:r w:rsidRPr="00F752A9">
              <w:rPr>
                <w:rStyle w:val="Hyperlink"/>
                <w:noProof/>
              </w:rPr>
              <w:t>38)</w:t>
            </w:r>
            <w:r>
              <w:rPr>
                <w:rFonts w:eastAsiaTheme="minorEastAsia"/>
                <w:noProof/>
                <w:sz w:val="24"/>
                <w:szCs w:val="24"/>
                <w:lang w:eastAsia="en-AU"/>
              </w:rPr>
              <w:tab/>
            </w:r>
            <w:r w:rsidRPr="00F752A9">
              <w:rPr>
                <w:rStyle w:val="Hyperlink"/>
                <w:noProof/>
              </w:rPr>
              <w:t>Partnership Agreement on Remote Northern Territory (NT) Housing and Homelands</w:t>
            </w:r>
            <w:r>
              <w:rPr>
                <w:noProof/>
                <w:webHidden/>
              </w:rPr>
              <w:tab/>
            </w:r>
            <w:r>
              <w:rPr>
                <w:noProof/>
                <w:webHidden/>
              </w:rPr>
              <w:fldChar w:fldCharType="begin"/>
            </w:r>
            <w:r>
              <w:rPr>
                <w:noProof/>
                <w:webHidden/>
              </w:rPr>
              <w:instrText xml:space="preserve"> PAGEREF _Toc225506067 \h </w:instrText>
            </w:r>
            <w:r>
              <w:rPr>
                <w:noProof/>
                <w:webHidden/>
              </w:rPr>
            </w:r>
            <w:r>
              <w:rPr>
                <w:noProof/>
                <w:webHidden/>
              </w:rPr>
              <w:fldChar w:fldCharType="separate"/>
            </w:r>
            <w:r>
              <w:rPr>
                <w:noProof/>
                <w:webHidden/>
              </w:rPr>
              <w:t>81</w:t>
            </w:r>
            <w:r>
              <w:rPr>
                <w:noProof/>
                <w:webHidden/>
              </w:rPr>
              <w:fldChar w:fldCharType="end"/>
            </w:r>
          </w:hyperlink>
        </w:p>
        <w:p w14:paraId="4D59D4EA" w14:textId="74E9A264" w:rsidR="00BE2D5B" w:rsidRDefault="00BE2D5B">
          <w:pPr>
            <w:pStyle w:val="TOC3"/>
            <w:tabs>
              <w:tab w:val="left" w:pos="1200"/>
              <w:tab w:val="right" w:leader="dot" w:pos="10456"/>
            </w:tabs>
            <w:rPr>
              <w:rFonts w:eastAsiaTheme="minorEastAsia"/>
              <w:noProof/>
              <w:sz w:val="24"/>
              <w:szCs w:val="24"/>
              <w:lang w:eastAsia="en-AU"/>
            </w:rPr>
          </w:pPr>
          <w:hyperlink w:anchor="_Toc225506068" w:history="1">
            <w:r w:rsidRPr="00F752A9">
              <w:rPr>
                <w:rStyle w:val="Hyperlink"/>
                <w:noProof/>
              </w:rPr>
              <w:t>39)</w:t>
            </w:r>
            <w:r>
              <w:rPr>
                <w:rFonts w:eastAsiaTheme="minorEastAsia"/>
                <w:noProof/>
                <w:sz w:val="24"/>
                <w:szCs w:val="24"/>
                <w:lang w:eastAsia="en-AU"/>
              </w:rPr>
              <w:tab/>
            </w:r>
            <w:r w:rsidRPr="00F752A9">
              <w:rPr>
                <w:rStyle w:val="Hyperlink"/>
                <w:noProof/>
              </w:rPr>
              <w:t>Partnership on Closing the Gap is governed by the Partnership Agreement on Closing the Gap</w:t>
            </w:r>
            <w:r>
              <w:rPr>
                <w:noProof/>
                <w:webHidden/>
              </w:rPr>
              <w:tab/>
            </w:r>
            <w:r>
              <w:rPr>
                <w:noProof/>
                <w:webHidden/>
              </w:rPr>
              <w:fldChar w:fldCharType="begin"/>
            </w:r>
            <w:r>
              <w:rPr>
                <w:noProof/>
                <w:webHidden/>
              </w:rPr>
              <w:instrText xml:space="preserve"> PAGEREF _Toc225506068 \h </w:instrText>
            </w:r>
            <w:r>
              <w:rPr>
                <w:noProof/>
                <w:webHidden/>
              </w:rPr>
            </w:r>
            <w:r>
              <w:rPr>
                <w:noProof/>
                <w:webHidden/>
              </w:rPr>
              <w:fldChar w:fldCharType="separate"/>
            </w:r>
            <w:r>
              <w:rPr>
                <w:noProof/>
                <w:webHidden/>
              </w:rPr>
              <w:t>83</w:t>
            </w:r>
            <w:r>
              <w:rPr>
                <w:noProof/>
                <w:webHidden/>
              </w:rPr>
              <w:fldChar w:fldCharType="end"/>
            </w:r>
          </w:hyperlink>
        </w:p>
        <w:p w14:paraId="0A49F72B" w14:textId="413F76D8" w:rsidR="00BE2D5B" w:rsidRDefault="00BE2D5B">
          <w:pPr>
            <w:pStyle w:val="TOC3"/>
            <w:tabs>
              <w:tab w:val="left" w:pos="1200"/>
              <w:tab w:val="right" w:leader="dot" w:pos="10456"/>
            </w:tabs>
            <w:rPr>
              <w:rFonts w:eastAsiaTheme="minorEastAsia"/>
              <w:noProof/>
              <w:sz w:val="24"/>
              <w:szCs w:val="24"/>
              <w:lang w:eastAsia="en-AU"/>
            </w:rPr>
          </w:pPr>
          <w:hyperlink w:anchor="_Toc225506069" w:history="1">
            <w:r w:rsidRPr="00F752A9">
              <w:rPr>
                <w:rStyle w:val="Hyperlink"/>
                <w:noProof/>
              </w:rPr>
              <w:t>40)</w:t>
            </w:r>
            <w:r>
              <w:rPr>
                <w:rFonts w:eastAsiaTheme="minorEastAsia"/>
                <w:noProof/>
                <w:sz w:val="24"/>
                <w:szCs w:val="24"/>
                <w:lang w:eastAsia="en-AU"/>
              </w:rPr>
              <w:tab/>
            </w:r>
            <w:r w:rsidRPr="00F752A9">
              <w:rPr>
                <w:rStyle w:val="Hyperlink"/>
                <w:noProof/>
              </w:rPr>
              <w:t>Port Augusta Partnership (Partnership)</w:t>
            </w:r>
            <w:r>
              <w:rPr>
                <w:noProof/>
                <w:webHidden/>
              </w:rPr>
              <w:tab/>
            </w:r>
            <w:r>
              <w:rPr>
                <w:noProof/>
                <w:webHidden/>
              </w:rPr>
              <w:fldChar w:fldCharType="begin"/>
            </w:r>
            <w:r>
              <w:rPr>
                <w:noProof/>
                <w:webHidden/>
              </w:rPr>
              <w:instrText xml:space="preserve"> PAGEREF _Toc225506069 \h </w:instrText>
            </w:r>
            <w:r>
              <w:rPr>
                <w:noProof/>
                <w:webHidden/>
              </w:rPr>
            </w:r>
            <w:r>
              <w:rPr>
                <w:noProof/>
                <w:webHidden/>
              </w:rPr>
              <w:fldChar w:fldCharType="separate"/>
            </w:r>
            <w:r>
              <w:rPr>
                <w:noProof/>
                <w:webHidden/>
              </w:rPr>
              <w:t>85</w:t>
            </w:r>
            <w:r>
              <w:rPr>
                <w:noProof/>
                <w:webHidden/>
              </w:rPr>
              <w:fldChar w:fldCharType="end"/>
            </w:r>
          </w:hyperlink>
        </w:p>
        <w:p w14:paraId="529BDE26" w14:textId="4F2F4D3A" w:rsidR="00BE2D5B" w:rsidRDefault="00BE2D5B">
          <w:pPr>
            <w:pStyle w:val="TOC3"/>
            <w:tabs>
              <w:tab w:val="left" w:pos="1200"/>
              <w:tab w:val="right" w:leader="dot" w:pos="10456"/>
            </w:tabs>
            <w:rPr>
              <w:rFonts w:eastAsiaTheme="minorEastAsia"/>
              <w:noProof/>
              <w:sz w:val="24"/>
              <w:szCs w:val="24"/>
              <w:lang w:eastAsia="en-AU"/>
            </w:rPr>
          </w:pPr>
          <w:hyperlink w:anchor="_Toc225506070" w:history="1">
            <w:r w:rsidRPr="00F752A9">
              <w:rPr>
                <w:rStyle w:val="Hyperlink"/>
                <w:noProof/>
              </w:rPr>
              <w:t>41)</w:t>
            </w:r>
            <w:r>
              <w:rPr>
                <w:rFonts w:eastAsiaTheme="minorEastAsia"/>
                <w:noProof/>
                <w:sz w:val="24"/>
                <w:szCs w:val="24"/>
                <w:lang w:eastAsia="en-AU"/>
              </w:rPr>
              <w:tab/>
            </w:r>
            <w:r w:rsidRPr="00F752A9">
              <w:rPr>
                <w:rStyle w:val="Hyperlink"/>
                <w:noProof/>
              </w:rPr>
              <w:t>Remote First Nations Food Security Strategy Project Reference Group</w:t>
            </w:r>
            <w:r>
              <w:rPr>
                <w:noProof/>
                <w:webHidden/>
              </w:rPr>
              <w:tab/>
            </w:r>
            <w:r>
              <w:rPr>
                <w:noProof/>
                <w:webHidden/>
              </w:rPr>
              <w:fldChar w:fldCharType="begin"/>
            </w:r>
            <w:r>
              <w:rPr>
                <w:noProof/>
                <w:webHidden/>
              </w:rPr>
              <w:instrText xml:space="preserve"> PAGEREF _Toc225506070 \h </w:instrText>
            </w:r>
            <w:r>
              <w:rPr>
                <w:noProof/>
                <w:webHidden/>
              </w:rPr>
            </w:r>
            <w:r>
              <w:rPr>
                <w:noProof/>
                <w:webHidden/>
              </w:rPr>
              <w:fldChar w:fldCharType="separate"/>
            </w:r>
            <w:r>
              <w:rPr>
                <w:noProof/>
                <w:webHidden/>
              </w:rPr>
              <w:t>88</w:t>
            </w:r>
            <w:r>
              <w:rPr>
                <w:noProof/>
                <w:webHidden/>
              </w:rPr>
              <w:fldChar w:fldCharType="end"/>
            </w:r>
          </w:hyperlink>
        </w:p>
        <w:p w14:paraId="40A6341E" w14:textId="2DA6C866" w:rsidR="00BE2D5B" w:rsidRDefault="00BE2D5B">
          <w:pPr>
            <w:pStyle w:val="TOC3"/>
            <w:tabs>
              <w:tab w:val="left" w:pos="1200"/>
              <w:tab w:val="right" w:leader="dot" w:pos="10456"/>
            </w:tabs>
            <w:rPr>
              <w:rFonts w:eastAsiaTheme="minorEastAsia"/>
              <w:noProof/>
              <w:sz w:val="24"/>
              <w:szCs w:val="24"/>
              <w:lang w:eastAsia="en-AU"/>
            </w:rPr>
          </w:pPr>
          <w:hyperlink w:anchor="_Toc225506071" w:history="1">
            <w:r w:rsidRPr="00F752A9">
              <w:rPr>
                <w:rStyle w:val="Hyperlink"/>
                <w:noProof/>
              </w:rPr>
              <w:t>42)</w:t>
            </w:r>
            <w:r>
              <w:rPr>
                <w:rFonts w:eastAsiaTheme="minorEastAsia"/>
                <w:noProof/>
                <w:sz w:val="24"/>
                <w:szCs w:val="24"/>
                <w:lang w:eastAsia="en-AU"/>
              </w:rPr>
              <w:tab/>
            </w:r>
            <w:r w:rsidRPr="00F752A9">
              <w:rPr>
                <w:rStyle w:val="Hyperlink"/>
                <w:noProof/>
              </w:rPr>
              <w:t>Wreck Bay Aboriginal Community Council (WBACC) Housing Project</w:t>
            </w:r>
            <w:r>
              <w:rPr>
                <w:noProof/>
                <w:webHidden/>
              </w:rPr>
              <w:tab/>
            </w:r>
            <w:r>
              <w:rPr>
                <w:noProof/>
                <w:webHidden/>
              </w:rPr>
              <w:fldChar w:fldCharType="begin"/>
            </w:r>
            <w:r>
              <w:rPr>
                <w:noProof/>
                <w:webHidden/>
              </w:rPr>
              <w:instrText xml:space="preserve"> PAGEREF _Toc225506071 \h </w:instrText>
            </w:r>
            <w:r>
              <w:rPr>
                <w:noProof/>
                <w:webHidden/>
              </w:rPr>
            </w:r>
            <w:r>
              <w:rPr>
                <w:noProof/>
                <w:webHidden/>
              </w:rPr>
              <w:fldChar w:fldCharType="separate"/>
            </w:r>
            <w:r>
              <w:rPr>
                <w:noProof/>
                <w:webHidden/>
              </w:rPr>
              <w:t>90</w:t>
            </w:r>
            <w:r>
              <w:rPr>
                <w:noProof/>
                <w:webHidden/>
              </w:rPr>
              <w:fldChar w:fldCharType="end"/>
            </w:r>
          </w:hyperlink>
        </w:p>
        <w:p w14:paraId="432A3458" w14:textId="502BC619" w:rsidR="00BE2D5B" w:rsidRDefault="00BE2D5B">
          <w:pPr>
            <w:pStyle w:val="TOC3"/>
            <w:tabs>
              <w:tab w:val="left" w:pos="1200"/>
              <w:tab w:val="right" w:leader="dot" w:pos="10456"/>
            </w:tabs>
            <w:rPr>
              <w:rFonts w:eastAsiaTheme="minorEastAsia"/>
              <w:noProof/>
              <w:sz w:val="24"/>
              <w:szCs w:val="24"/>
              <w:lang w:eastAsia="en-AU"/>
            </w:rPr>
          </w:pPr>
          <w:hyperlink w:anchor="_Toc225506072" w:history="1">
            <w:r w:rsidRPr="00F752A9">
              <w:rPr>
                <w:rStyle w:val="Hyperlink"/>
                <w:noProof/>
              </w:rPr>
              <w:t>43)</w:t>
            </w:r>
            <w:r>
              <w:rPr>
                <w:rFonts w:eastAsiaTheme="minorEastAsia"/>
                <w:noProof/>
                <w:sz w:val="24"/>
                <w:szCs w:val="24"/>
                <w:lang w:eastAsia="en-AU"/>
              </w:rPr>
              <w:tab/>
            </w:r>
            <w:r w:rsidRPr="00F752A9">
              <w:rPr>
                <w:rStyle w:val="Hyperlink"/>
                <w:noProof/>
              </w:rPr>
              <w:t>First Nations Economic Partnership</w:t>
            </w:r>
            <w:r>
              <w:rPr>
                <w:noProof/>
                <w:webHidden/>
              </w:rPr>
              <w:tab/>
            </w:r>
            <w:r>
              <w:rPr>
                <w:noProof/>
                <w:webHidden/>
              </w:rPr>
              <w:fldChar w:fldCharType="begin"/>
            </w:r>
            <w:r>
              <w:rPr>
                <w:noProof/>
                <w:webHidden/>
              </w:rPr>
              <w:instrText xml:space="preserve"> PAGEREF _Toc225506072 \h </w:instrText>
            </w:r>
            <w:r>
              <w:rPr>
                <w:noProof/>
                <w:webHidden/>
              </w:rPr>
            </w:r>
            <w:r>
              <w:rPr>
                <w:noProof/>
                <w:webHidden/>
              </w:rPr>
              <w:fldChar w:fldCharType="separate"/>
            </w:r>
            <w:r>
              <w:rPr>
                <w:noProof/>
                <w:webHidden/>
              </w:rPr>
              <w:t>91</w:t>
            </w:r>
            <w:r>
              <w:rPr>
                <w:noProof/>
                <w:webHidden/>
              </w:rPr>
              <w:fldChar w:fldCharType="end"/>
            </w:r>
          </w:hyperlink>
        </w:p>
        <w:p w14:paraId="4526FED1" w14:textId="67C375D5" w:rsidR="00BE2D5B" w:rsidRDefault="00BE2D5B">
          <w:pPr>
            <w:pStyle w:val="TOC3"/>
            <w:tabs>
              <w:tab w:val="left" w:pos="1200"/>
              <w:tab w:val="right" w:leader="dot" w:pos="10456"/>
            </w:tabs>
            <w:rPr>
              <w:rFonts w:eastAsiaTheme="minorEastAsia"/>
              <w:noProof/>
              <w:sz w:val="24"/>
              <w:szCs w:val="24"/>
              <w:lang w:eastAsia="en-AU"/>
            </w:rPr>
          </w:pPr>
          <w:hyperlink w:anchor="_Toc225506073" w:history="1">
            <w:r w:rsidRPr="00F752A9">
              <w:rPr>
                <w:rStyle w:val="Hyperlink"/>
                <w:noProof/>
              </w:rPr>
              <w:t>44)</w:t>
            </w:r>
            <w:r>
              <w:rPr>
                <w:rFonts w:eastAsiaTheme="minorEastAsia"/>
                <w:noProof/>
                <w:sz w:val="24"/>
                <w:szCs w:val="24"/>
                <w:lang w:eastAsia="en-AU"/>
              </w:rPr>
              <w:tab/>
            </w:r>
            <w:r w:rsidRPr="00F752A9">
              <w:rPr>
                <w:rStyle w:val="Hyperlink"/>
                <w:noProof/>
              </w:rPr>
              <w:t>Housing Policy Partnership (HPP)</w:t>
            </w:r>
            <w:r>
              <w:rPr>
                <w:noProof/>
                <w:webHidden/>
              </w:rPr>
              <w:tab/>
            </w:r>
            <w:r>
              <w:rPr>
                <w:noProof/>
                <w:webHidden/>
              </w:rPr>
              <w:fldChar w:fldCharType="begin"/>
            </w:r>
            <w:r>
              <w:rPr>
                <w:noProof/>
                <w:webHidden/>
              </w:rPr>
              <w:instrText xml:space="preserve"> PAGEREF _Toc225506073 \h </w:instrText>
            </w:r>
            <w:r>
              <w:rPr>
                <w:noProof/>
                <w:webHidden/>
              </w:rPr>
            </w:r>
            <w:r>
              <w:rPr>
                <w:noProof/>
                <w:webHidden/>
              </w:rPr>
              <w:fldChar w:fldCharType="separate"/>
            </w:r>
            <w:r>
              <w:rPr>
                <w:noProof/>
                <w:webHidden/>
              </w:rPr>
              <w:t>93</w:t>
            </w:r>
            <w:r>
              <w:rPr>
                <w:noProof/>
                <w:webHidden/>
              </w:rPr>
              <w:fldChar w:fldCharType="end"/>
            </w:r>
          </w:hyperlink>
        </w:p>
        <w:p w14:paraId="040A7285" w14:textId="311B1C42" w:rsidR="00BE2D5B" w:rsidRDefault="00BE2D5B">
          <w:pPr>
            <w:pStyle w:val="TOC3"/>
            <w:tabs>
              <w:tab w:val="left" w:pos="1200"/>
              <w:tab w:val="right" w:leader="dot" w:pos="10456"/>
            </w:tabs>
            <w:rPr>
              <w:rFonts w:eastAsiaTheme="minorEastAsia"/>
              <w:noProof/>
              <w:sz w:val="24"/>
              <w:szCs w:val="24"/>
              <w:lang w:eastAsia="en-AU"/>
            </w:rPr>
          </w:pPr>
          <w:hyperlink w:anchor="_Toc225506074" w:history="1">
            <w:r w:rsidRPr="00F752A9">
              <w:rPr>
                <w:rStyle w:val="Hyperlink"/>
                <w:noProof/>
              </w:rPr>
              <w:t>45)</w:t>
            </w:r>
            <w:r>
              <w:rPr>
                <w:rFonts w:eastAsiaTheme="minorEastAsia"/>
                <w:noProof/>
                <w:sz w:val="24"/>
                <w:szCs w:val="24"/>
                <w:lang w:eastAsia="en-AU"/>
              </w:rPr>
              <w:tab/>
            </w:r>
            <w:r w:rsidRPr="00F752A9">
              <w:rPr>
                <w:rStyle w:val="Hyperlink"/>
                <w:noProof/>
              </w:rPr>
              <w:t>Empowered Communities (EC) – Cape York</w:t>
            </w:r>
            <w:r>
              <w:rPr>
                <w:noProof/>
                <w:webHidden/>
              </w:rPr>
              <w:tab/>
            </w:r>
            <w:r>
              <w:rPr>
                <w:noProof/>
                <w:webHidden/>
              </w:rPr>
              <w:fldChar w:fldCharType="begin"/>
            </w:r>
            <w:r>
              <w:rPr>
                <w:noProof/>
                <w:webHidden/>
              </w:rPr>
              <w:instrText xml:space="preserve"> PAGEREF _Toc225506074 \h </w:instrText>
            </w:r>
            <w:r>
              <w:rPr>
                <w:noProof/>
                <w:webHidden/>
              </w:rPr>
            </w:r>
            <w:r>
              <w:rPr>
                <w:noProof/>
                <w:webHidden/>
              </w:rPr>
              <w:fldChar w:fldCharType="separate"/>
            </w:r>
            <w:r>
              <w:rPr>
                <w:noProof/>
                <w:webHidden/>
              </w:rPr>
              <w:t>95</w:t>
            </w:r>
            <w:r>
              <w:rPr>
                <w:noProof/>
                <w:webHidden/>
              </w:rPr>
              <w:fldChar w:fldCharType="end"/>
            </w:r>
          </w:hyperlink>
        </w:p>
        <w:p w14:paraId="1FD7FC96" w14:textId="45D126DC" w:rsidR="00BE2D5B" w:rsidRDefault="00BE2D5B">
          <w:pPr>
            <w:pStyle w:val="TOC3"/>
            <w:tabs>
              <w:tab w:val="left" w:pos="1200"/>
              <w:tab w:val="right" w:leader="dot" w:pos="10456"/>
            </w:tabs>
            <w:rPr>
              <w:rFonts w:eastAsiaTheme="minorEastAsia"/>
              <w:noProof/>
              <w:sz w:val="24"/>
              <w:szCs w:val="24"/>
              <w:lang w:eastAsia="en-AU"/>
            </w:rPr>
          </w:pPr>
          <w:hyperlink w:anchor="_Toc225506075" w:history="1">
            <w:r w:rsidRPr="00F752A9">
              <w:rPr>
                <w:rStyle w:val="Hyperlink"/>
                <w:noProof/>
              </w:rPr>
              <w:t>46)</w:t>
            </w:r>
            <w:r>
              <w:rPr>
                <w:rFonts w:eastAsiaTheme="minorEastAsia"/>
                <w:noProof/>
                <w:sz w:val="24"/>
                <w:szCs w:val="24"/>
                <w:lang w:eastAsia="en-AU"/>
              </w:rPr>
              <w:tab/>
            </w:r>
            <w:r w:rsidRPr="00F752A9">
              <w:rPr>
                <w:rStyle w:val="Hyperlink"/>
                <w:noProof/>
              </w:rPr>
              <w:t>Empowered Communities (EC) – Central Coast</w:t>
            </w:r>
            <w:r>
              <w:rPr>
                <w:noProof/>
                <w:webHidden/>
              </w:rPr>
              <w:tab/>
            </w:r>
            <w:r>
              <w:rPr>
                <w:noProof/>
                <w:webHidden/>
              </w:rPr>
              <w:fldChar w:fldCharType="begin"/>
            </w:r>
            <w:r>
              <w:rPr>
                <w:noProof/>
                <w:webHidden/>
              </w:rPr>
              <w:instrText xml:space="preserve"> PAGEREF _Toc225506075 \h </w:instrText>
            </w:r>
            <w:r>
              <w:rPr>
                <w:noProof/>
                <w:webHidden/>
              </w:rPr>
            </w:r>
            <w:r>
              <w:rPr>
                <w:noProof/>
                <w:webHidden/>
              </w:rPr>
              <w:fldChar w:fldCharType="separate"/>
            </w:r>
            <w:r>
              <w:rPr>
                <w:noProof/>
                <w:webHidden/>
              </w:rPr>
              <w:t>98</w:t>
            </w:r>
            <w:r>
              <w:rPr>
                <w:noProof/>
                <w:webHidden/>
              </w:rPr>
              <w:fldChar w:fldCharType="end"/>
            </w:r>
          </w:hyperlink>
        </w:p>
        <w:p w14:paraId="3C01B6AC" w14:textId="5CD1C53C" w:rsidR="00BE2D5B" w:rsidRDefault="00BE2D5B">
          <w:pPr>
            <w:pStyle w:val="TOC3"/>
            <w:tabs>
              <w:tab w:val="left" w:pos="1200"/>
              <w:tab w:val="right" w:leader="dot" w:pos="10456"/>
            </w:tabs>
            <w:rPr>
              <w:rFonts w:eastAsiaTheme="minorEastAsia"/>
              <w:noProof/>
              <w:sz w:val="24"/>
              <w:szCs w:val="24"/>
              <w:lang w:eastAsia="en-AU"/>
            </w:rPr>
          </w:pPr>
          <w:hyperlink w:anchor="_Toc225506076" w:history="1">
            <w:r w:rsidRPr="00F752A9">
              <w:rPr>
                <w:rStyle w:val="Hyperlink"/>
                <w:noProof/>
              </w:rPr>
              <w:t>47)</w:t>
            </w:r>
            <w:r>
              <w:rPr>
                <w:rFonts w:eastAsiaTheme="minorEastAsia"/>
                <w:noProof/>
                <w:sz w:val="24"/>
                <w:szCs w:val="24"/>
                <w:lang w:eastAsia="en-AU"/>
              </w:rPr>
              <w:tab/>
            </w:r>
            <w:r w:rsidRPr="00F752A9">
              <w:rPr>
                <w:rStyle w:val="Hyperlink"/>
                <w:noProof/>
              </w:rPr>
              <w:t>Empowered Communities (EC) – East Kimberley</w:t>
            </w:r>
            <w:r>
              <w:rPr>
                <w:noProof/>
                <w:webHidden/>
              </w:rPr>
              <w:tab/>
            </w:r>
            <w:r>
              <w:rPr>
                <w:noProof/>
                <w:webHidden/>
              </w:rPr>
              <w:fldChar w:fldCharType="begin"/>
            </w:r>
            <w:r>
              <w:rPr>
                <w:noProof/>
                <w:webHidden/>
              </w:rPr>
              <w:instrText xml:space="preserve"> PAGEREF _Toc225506076 \h </w:instrText>
            </w:r>
            <w:r>
              <w:rPr>
                <w:noProof/>
                <w:webHidden/>
              </w:rPr>
            </w:r>
            <w:r>
              <w:rPr>
                <w:noProof/>
                <w:webHidden/>
              </w:rPr>
              <w:fldChar w:fldCharType="separate"/>
            </w:r>
            <w:r>
              <w:rPr>
                <w:noProof/>
                <w:webHidden/>
              </w:rPr>
              <w:t>100</w:t>
            </w:r>
            <w:r>
              <w:rPr>
                <w:noProof/>
                <w:webHidden/>
              </w:rPr>
              <w:fldChar w:fldCharType="end"/>
            </w:r>
          </w:hyperlink>
        </w:p>
        <w:p w14:paraId="28C9B675" w14:textId="6AC9BF62" w:rsidR="00BE2D5B" w:rsidRDefault="00BE2D5B">
          <w:pPr>
            <w:pStyle w:val="TOC3"/>
            <w:tabs>
              <w:tab w:val="left" w:pos="1200"/>
              <w:tab w:val="right" w:leader="dot" w:pos="10456"/>
            </w:tabs>
            <w:rPr>
              <w:rFonts w:eastAsiaTheme="minorEastAsia"/>
              <w:noProof/>
              <w:sz w:val="24"/>
              <w:szCs w:val="24"/>
              <w:lang w:eastAsia="en-AU"/>
            </w:rPr>
          </w:pPr>
          <w:hyperlink w:anchor="_Toc225506077" w:history="1">
            <w:r w:rsidRPr="00F752A9">
              <w:rPr>
                <w:rStyle w:val="Hyperlink"/>
                <w:noProof/>
              </w:rPr>
              <w:t>48)</w:t>
            </w:r>
            <w:r>
              <w:rPr>
                <w:rFonts w:eastAsiaTheme="minorEastAsia"/>
                <w:noProof/>
                <w:sz w:val="24"/>
                <w:szCs w:val="24"/>
                <w:lang w:eastAsia="en-AU"/>
              </w:rPr>
              <w:tab/>
            </w:r>
            <w:r w:rsidRPr="00F752A9">
              <w:rPr>
                <w:rStyle w:val="Hyperlink"/>
                <w:noProof/>
              </w:rPr>
              <w:t>Empowered Communities (EC) – Far West Community Partnerships (FWCP)</w:t>
            </w:r>
            <w:r>
              <w:rPr>
                <w:noProof/>
                <w:webHidden/>
              </w:rPr>
              <w:tab/>
            </w:r>
            <w:r>
              <w:rPr>
                <w:noProof/>
                <w:webHidden/>
              </w:rPr>
              <w:fldChar w:fldCharType="begin"/>
            </w:r>
            <w:r>
              <w:rPr>
                <w:noProof/>
                <w:webHidden/>
              </w:rPr>
              <w:instrText xml:space="preserve"> PAGEREF _Toc225506077 \h </w:instrText>
            </w:r>
            <w:r>
              <w:rPr>
                <w:noProof/>
                <w:webHidden/>
              </w:rPr>
            </w:r>
            <w:r>
              <w:rPr>
                <w:noProof/>
                <w:webHidden/>
              </w:rPr>
              <w:fldChar w:fldCharType="separate"/>
            </w:r>
            <w:r>
              <w:rPr>
                <w:noProof/>
                <w:webHidden/>
              </w:rPr>
              <w:t>102</w:t>
            </w:r>
            <w:r>
              <w:rPr>
                <w:noProof/>
                <w:webHidden/>
              </w:rPr>
              <w:fldChar w:fldCharType="end"/>
            </w:r>
          </w:hyperlink>
        </w:p>
        <w:p w14:paraId="5D697567" w14:textId="5A39CA9E" w:rsidR="00BE2D5B" w:rsidRDefault="00BE2D5B">
          <w:pPr>
            <w:pStyle w:val="TOC3"/>
            <w:tabs>
              <w:tab w:val="left" w:pos="1200"/>
              <w:tab w:val="right" w:leader="dot" w:pos="10456"/>
            </w:tabs>
            <w:rPr>
              <w:rFonts w:eastAsiaTheme="minorEastAsia"/>
              <w:noProof/>
              <w:sz w:val="24"/>
              <w:szCs w:val="24"/>
              <w:lang w:eastAsia="en-AU"/>
            </w:rPr>
          </w:pPr>
          <w:hyperlink w:anchor="_Toc225506078" w:history="1">
            <w:r w:rsidRPr="00F752A9">
              <w:rPr>
                <w:rStyle w:val="Hyperlink"/>
                <w:noProof/>
              </w:rPr>
              <w:t>49)</w:t>
            </w:r>
            <w:r>
              <w:rPr>
                <w:rFonts w:eastAsiaTheme="minorEastAsia"/>
                <w:noProof/>
                <w:sz w:val="24"/>
                <w:szCs w:val="24"/>
                <w:lang w:eastAsia="en-AU"/>
              </w:rPr>
              <w:tab/>
            </w:r>
            <w:r w:rsidRPr="00F752A9">
              <w:rPr>
                <w:rStyle w:val="Hyperlink"/>
                <w:noProof/>
              </w:rPr>
              <w:t>Empowered Communities (EC) – Inner Sydney</w:t>
            </w:r>
            <w:r>
              <w:rPr>
                <w:noProof/>
                <w:webHidden/>
              </w:rPr>
              <w:tab/>
            </w:r>
            <w:r>
              <w:rPr>
                <w:noProof/>
                <w:webHidden/>
              </w:rPr>
              <w:fldChar w:fldCharType="begin"/>
            </w:r>
            <w:r>
              <w:rPr>
                <w:noProof/>
                <w:webHidden/>
              </w:rPr>
              <w:instrText xml:space="preserve"> PAGEREF _Toc225506078 \h </w:instrText>
            </w:r>
            <w:r>
              <w:rPr>
                <w:noProof/>
                <w:webHidden/>
              </w:rPr>
            </w:r>
            <w:r>
              <w:rPr>
                <w:noProof/>
                <w:webHidden/>
              </w:rPr>
              <w:fldChar w:fldCharType="separate"/>
            </w:r>
            <w:r>
              <w:rPr>
                <w:noProof/>
                <w:webHidden/>
              </w:rPr>
              <w:t>105</w:t>
            </w:r>
            <w:r>
              <w:rPr>
                <w:noProof/>
                <w:webHidden/>
              </w:rPr>
              <w:fldChar w:fldCharType="end"/>
            </w:r>
          </w:hyperlink>
        </w:p>
        <w:p w14:paraId="31C9D486" w14:textId="1DB81A60" w:rsidR="00BE2D5B" w:rsidRDefault="00BE2D5B">
          <w:pPr>
            <w:pStyle w:val="TOC3"/>
            <w:tabs>
              <w:tab w:val="left" w:pos="1200"/>
              <w:tab w:val="right" w:leader="dot" w:pos="10456"/>
            </w:tabs>
            <w:rPr>
              <w:rFonts w:eastAsiaTheme="minorEastAsia"/>
              <w:noProof/>
              <w:sz w:val="24"/>
              <w:szCs w:val="24"/>
              <w:lang w:eastAsia="en-AU"/>
            </w:rPr>
          </w:pPr>
          <w:hyperlink w:anchor="_Toc225506079" w:history="1">
            <w:r w:rsidRPr="00F752A9">
              <w:rPr>
                <w:rStyle w:val="Hyperlink"/>
                <w:noProof/>
              </w:rPr>
              <w:t>50)</w:t>
            </w:r>
            <w:r>
              <w:rPr>
                <w:rFonts w:eastAsiaTheme="minorEastAsia"/>
                <w:noProof/>
                <w:sz w:val="24"/>
                <w:szCs w:val="24"/>
                <w:lang w:eastAsia="en-AU"/>
              </w:rPr>
              <w:tab/>
            </w:r>
            <w:r w:rsidRPr="00F752A9">
              <w:rPr>
                <w:rStyle w:val="Hyperlink"/>
                <w:noProof/>
              </w:rPr>
              <w:t>Empowered Communities (EC) – Ngarrindjeri Ruwe</w:t>
            </w:r>
            <w:r>
              <w:rPr>
                <w:noProof/>
                <w:webHidden/>
              </w:rPr>
              <w:tab/>
            </w:r>
            <w:r>
              <w:rPr>
                <w:noProof/>
                <w:webHidden/>
              </w:rPr>
              <w:fldChar w:fldCharType="begin"/>
            </w:r>
            <w:r>
              <w:rPr>
                <w:noProof/>
                <w:webHidden/>
              </w:rPr>
              <w:instrText xml:space="preserve"> PAGEREF _Toc225506079 \h </w:instrText>
            </w:r>
            <w:r>
              <w:rPr>
                <w:noProof/>
                <w:webHidden/>
              </w:rPr>
            </w:r>
            <w:r>
              <w:rPr>
                <w:noProof/>
                <w:webHidden/>
              </w:rPr>
              <w:fldChar w:fldCharType="separate"/>
            </w:r>
            <w:r>
              <w:rPr>
                <w:noProof/>
                <w:webHidden/>
              </w:rPr>
              <w:t>107</w:t>
            </w:r>
            <w:r>
              <w:rPr>
                <w:noProof/>
                <w:webHidden/>
              </w:rPr>
              <w:fldChar w:fldCharType="end"/>
            </w:r>
          </w:hyperlink>
        </w:p>
        <w:p w14:paraId="26EAE5EF" w14:textId="201BF48F" w:rsidR="00BE2D5B" w:rsidRDefault="00BE2D5B">
          <w:pPr>
            <w:pStyle w:val="TOC3"/>
            <w:tabs>
              <w:tab w:val="left" w:pos="1200"/>
              <w:tab w:val="right" w:leader="dot" w:pos="10456"/>
            </w:tabs>
            <w:rPr>
              <w:rFonts w:eastAsiaTheme="minorEastAsia"/>
              <w:noProof/>
              <w:sz w:val="24"/>
              <w:szCs w:val="24"/>
              <w:lang w:eastAsia="en-AU"/>
            </w:rPr>
          </w:pPr>
          <w:hyperlink w:anchor="_Toc225506080" w:history="1">
            <w:r w:rsidRPr="00F752A9">
              <w:rPr>
                <w:rStyle w:val="Hyperlink"/>
                <w:noProof/>
              </w:rPr>
              <w:t>51)</w:t>
            </w:r>
            <w:r>
              <w:rPr>
                <w:rFonts w:eastAsiaTheme="minorEastAsia"/>
                <w:noProof/>
                <w:sz w:val="24"/>
                <w:szCs w:val="24"/>
                <w:lang w:eastAsia="en-AU"/>
              </w:rPr>
              <w:tab/>
            </w:r>
            <w:r w:rsidRPr="00F752A9">
              <w:rPr>
                <w:rStyle w:val="Hyperlink"/>
                <w:noProof/>
              </w:rPr>
              <w:t>Empowered Communities (EC) – Tristate</w:t>
            </w:r>
            <w:r>
              <w:rPr>
                <w:noProof/>
                <w:webHidden/>
              </w:rPr>
              <w:tab/>
            </w:r>
            <w:r>
              <w:rPr>
                <w:noProof/>
                <w:webHidden/>
              </w:rPr>
              <w:fldChar w:fldCharType="begin"/>
            </w:r>
            <w:r>
              <w:rPr>
                <w:noProof/>
                <w:webHidden/>
              </w:rPr>
              <w:instrText xml:space="preserve"> PAGEREF _Toc225506080 \h </w:instrText>
            </w:r>
            <w:r>
              <w:rPr>
                <w:noProof/>
                <w:webHidden/>
              </w:rPr>
            </w:r>
            <w:r>
              <w:rPr>
                <w:noProof/>
                <w:webHidden/>
              </w:rPr>
              <w:fldChar w:fldCharType="separate"/>
            </w:r>
            <w:r>
              <w:rPr>
                <w:noProof/>
                <w:webHidden/>
              </w:rPr>
              <w:t>109</w:t>
            </w:r>
            <w:r>
              <w:rPr>
                <w:noProof/>
                <w:webHidden/>
              </w:rPr>
              <w:fldChar w:fldCharType="end"/>
            </w:r>
          </w:hyperlink>
        </w:p>
        <w:p w14:paraId="1C83BFB8" w14:textId="6F489832" w:rsidR="00BE2D5B" w:rsidRDefault="00BE2D5B">
          <w:pPr>
            <w:pStyle w:val="TOC3"/>
            <w:tabs>
              <w:tab w:val="left" w:pos="1200"/>
              <w:tab w:val="right" w:leader="dot" w:pos="10456"/>
            </w:tabs>
            <w:rPr>
              <w:rFonts w:eastAsiaTheme="minorEastAsia"/>
              <w:noProof/>
              <w:sz w:val="24"/>
              <w:szCs w:val="24"/>
              <w:lang w:eastAsia="en-AU"/>
            </w:rPr>
          </w:pPr>
          <w:hyperlink w:anchor="_Toc225506081" w:history="1">
            <w:r w:rsidRPr="00F752A9">
              <w:rPr>
                <w:rStyle w:val="Hyperlink"/>
                <w:noProof/>
              </w:rPr>
              <w:t>52)</w:t>
            </w:r>
            <w:r>
              <w:rPr>
                <w:rFonts w:eastAsiaTheme="minorEastAsia"/>
                <w:noProof/>
                <w:sz w:val="24"/>
                <w:szCs w:val="24"/>
                <w:lang w:eastAsia="en-AU"/>
              </w:rPr>
              <w:tab/>
            </w:r>
            <w:r w:rsidRPr="00F752A9">
              <w:rPr>
                <w:rStyle w:val="Hyperlink"/>
                <w:noProof/>
              </w:rPr>
              <w:t>Empowered Communities (EC) – West Kimberley</w:t>
            </w:r>
            <w:r>
              <w:rPr>
                <w:noProof/>
                <w:webHidden/>
              </w:rPr>
              <w:tab/>
            </w:r>
            <w:r>
              <w:rPr>
                <w:noProof/>
                <w:webHidden/>
              </w:rPr>
              <w:fldChar w:fldCharType="begin"/>
            </w:r>
            <w:r>
              <w:rPr>
                <w:noProof/>
                <w:webHidden/>
              </w:rPr>
              <w:instrText xml:space="preserve"> PAGEREF _Toc225506081 \h </w:instrText>
            </w:r>
            <w:r>
              <w:rPr>
                <w:noProof/>
                <w:webHidden/>
              </w:rPr>
            </w:r>
            <w:r>
              <w:rPr>
                <w:noProof/>
                <w:webHidden/>
              </w:rPr>
              <w:fldChar w:fldCharType="separate"/>
            </w:r>
            <w:r>
              <w:rPr>
                <w:noProof/>
                <w:webHidden/>
              </w:rPr>
              <w:t>112</w:t>
            </w:r>
            <w:r>
              <w:rPr>
                <w:noProof/>
                <w:webHidden/>
              </w:rPr>
              <w:fldChar w:fldCharType="end"/>
            </w:r>
          </w:hyperlink>
        </w:p>
        <w:p w14:paraId="223ED261" w14:textId="53717420" w:rsidR="00A70111" w:rsidRDefault="00A70111" w:rsidP="009249D0">
          <w:r>
            <w:rPr>
              <w:noProof/>
            </w:rPr>
            <w:fldChar w:fldCharType="end"/>
          </w:r>
        </w:p>
      </w:sdtContent>
    </w:sdt>
    <w:p w14:paraId="3507F400" w14:textId="5A2C791E" w:rsidR="00C73F4F" w:rsidRDefault="00C73F4F" w:rsidP="009249D0"/>
    <w:p w14:paraId="718F694C" w14:textId="79DAB494" w:rsidR="2C3A1A9E" w:rsidRDefault="2C3A1A9E"/>
    <w:p w14:paraId="4362969F" w14:textId="14074D9B" w:rsidR="00BD4949" w:rsidRDefault="00AD7EDE" w:rsidP="009249D0">
      <w:pPr>
        <w:pStyle w:val="Heading1"/>
      </w:pPr>
      <w:bookmarkStart w:id="0" w:name="_Toc225506022"/>
      <w:r w:rsidRPr="00AD7EDE">
        <w:t>Introduction</w:t>
      </w:r>
      <w:bookmarkEnd w:id="0"/>
    </w:p>
    <w:p w14:paraId="4E01B416" w14:textId="4CD929CD" w:rsidR="00F2064B" w:rsidRDefault="0029733D" w:rsidP="009249D0">
      <w:r w:rsidRPr="0029733D">
        <w:t>The annual Commonwealth Closing the Gap Partnership Stocktake (Partnership Stocktake) provides a point</w:t>
      </w:r>
      <w:r w:rsidR="73A42A24">
        <w:t>-</w:t>
      </w:r>
      <w:r>
        <w:t>in</w:t>
      </w:r>
      <w:r w:rsidR="710635C9">
        <w:t>-</w:t>
      </w:r>
      <w:r>
        <w:t>time snapshot of how the Australian Government is working in formal partnerships and shared decision</w:t>
      </w:r>
      <w:r w:rsidR="68A74777">
        <w:t>-</w:t>
      </w:r>
      <w:r>
        <w:t xml:space="preserve">making with Aboriginal and Torres Strait Islander peoples under the </w:t>
      </w:r>
      <w:hyperlink r:id="rId8">
        <w:r w:rsidRPr="38BC5230">
          <w:rPr>
            <w:rStyle w:val="Hyperlink"/>
          </w:rPr>
          <w:t>National Agreement on Closing the Gap</w:t>
        </w:r>
      </w:hyperlink>
      <w:r>
        <w:t xml:space="preserve"> (National Agreement)</w:t>
      </w:r>
      <w:r w:rsidR="00CC265D">
        <w:t>.</w:t>
      </w:r>
      <w:r>
        <w:t xml:space="preserve"> It supports transparency and continuous </w:t>
      </w:r>
      <w:proofErr w:type="gramStart"/>
      <w:r>
        <w:t>improvement, and</w:t>
      </w:r>
      <w:proofErr w:type="gramEnd"/>
      <w:r>
        <w:t xml:space="preserve"> helps track progress against Priority Reform One.</w:t>
      </w:r>
      <w:r w:rsidRPr="0029733D">
        <w:t xml:space="preserve"> </w:t>
      </w:r>
    </w:p>
    <w:p w14:paraId="1DC55E3D" w14:textId="318E9513" w:rsidR="00AD7EDE" w:rsidRDefault="00AD7EDE" w:rsidP="009249D0">
      <w:r w:rsidRPr="00AD7EDE">
        <w:t xml:space="preserve">As set out in </w:t>
      </w:r>
      <w:hyperlink r:id="rId9" w:history="1">
        <w:r w:rsidRPr="00295185">
          <w:rPr>
            <w:rStyle w:val="Hyperlink"/>
          </w:rPr>
          <w:t>Clause 37</w:t>
        </w:r>
      </w:hyperlink>
      <w:r w:rsidRPr="00AD7EDE">
        <w:t xml:space="preserve"> of the National Agreement, the Partnership Stocktake reports on: </w:t>
      </w:r>
    </w:p>
    <w:p w14:paraId="6E80CBF7" w14:textId="77777777" w:rsidR="00AD7EDE" w:rsidRDefault="00AD7EDE" w:rsidP="009249D0">
      <w:pPr>
        <w:pStyle w:val="ListParagraph"/>
        <w:numPr>
          <w:ilvl w:val="0"/>
          <w:numId w:val="1"/>
        </w:numPr>
      </w:pPr>
      <w:r w:rsidRPr="00AD7EDE">
        <w:t>the existing number of partnerships between Commonwealth entities and Aboriginal and Torres Strait Islander parties</w:t>
      </w:r>
    </w:p>
    <w:p w14:paraId="77FB9F66" w14:textId="157617EE" w:rsidR="00AD7EDE" w:rsidRDefault="00AD7EDE" w:rsidP="009249D0">
      <w:pPr>
        <w:pStyle w:val="ListParagraph"/>
        <w:numPr>
          <w:ilvl w:val="0"/>
          <w:numId w:val="1"/>
        </w:numPr>
      </w:pPr>
      <w:r w:rsidRPr="00AD7EDE">
        <w:t>partnerships that have been reviewed</w:t>
      </w:r>
    </w:p>
    <w:p w14:paraId="089173DD" w14:textId="77777777" w:rsidR="00AD7EDE" w:rsidRDefault="00AD7EDE" w:rsidP="009249D0">
      <w:pPr>
        <w:pStyle w:val="ListParagraph"/>
        <w:numPr>
          <w:ilvl w:val="0"/>
          <w:numId w:val="1"/>
        </w:numPr>
      </w:pPr>
      <w:r w:rsidRPr="00AD7EDE">
        <w:t>which strong partnership elements are met and unmet for each partnership</w:t>
      </w:r>
    </w:p>
    <w:p w14:paraId="61B82A17" w14:textId="77777777" w:rsidR="00A70111" w:rsidRDefault="00AD7EDE" w:rsidP="009249D0">
      <w:pPr>
        <w:pStyle w:val="ListParagraph"/>
        <w:numPr>
          <w:ilvl w:val="0"/>
          <w:numId w:val="1"/>
        </w:numPr>
      </w:pPr>
      <w:r w:rsidRPr="00AD7EDE">
        <w:t xml:space="preserve">what has been achieved through the partnerships. </w:t>
      </w:r>
    </w:p>
    <w:p w14:paraId="2C8AFB93" w14:textId="77777777" w:rsidR="00A70111" w:rsidRDefault="00AD7EDE" w:rsidP="009249D0">
      <w:r w:rsidRPr="00AD7EDE">
        <w:t xml:space="preserve">The Partnership Stocktake is not an exhaustive list of all partnerships or partnership approaches. </w:t>
      </w:r>
    </w:p>
    <w:p w14:paraId="59071B0E" w14:textId="00A5CDB1" w:rsidR="00A70111" w:rsidRDefault="00AD7EDE" w:rsidP="009249D0">
      <w:pPr>
        <w:pStyle w:val="Heading2"/>
      </w:pPr>
      <w:bookmarkStart w:id="1" w:name="_Toc225506023"/>
      <w:r w:rsidRPr="00AD7EDE">
        <w:t>Our approach to the stocktake</w:t>
      </w:r>
      <w:bookmarkEnd w:id="1"/>
    </w:p>
    <w:p w14:paraId="63583589" w14:textId="77777777" w:rsidR="0007067B" w:rsidRDefault="00AD7EDE" w:rsidP="009249D0">
      <w:r w:rsidRPr="00AD7EDE">
        <w:t>In September 2025, Commonwealth entities were invited to submit partnership information for inclusion in the 2025 Partnership Stocktake. To be included, partnerships were required (at a minimum) to meet Clause 32C(</w:t>
      </w:r>
      <w:proofErr w:type="spellStart"/>
      <w:r w:rsidRPr="00AD7EDE">
        <w:t>i</w:t>
      </w:r>
      <w:proofErr w:type="spellEnd"/>
      <w:r w:rsidRPr="00AD7EDE">
        <w:t xml:space="preserve">) of the National Agreement, </w:t>
      </w:r>
    </w:p>
    <w:p w14:paraId="3DC20081" w14:textId="2E373D3B" w:rsidR="00AD7EDE" w:rsidRDefault="00AD7EDE" w:rsidP="009249D0">
      <w:r w:rsidRPr="00AD7EDE">
        <w:t xml:space="preserve">“Decision-making is shared between government and Aboriginal and Torres Strait Islander people. </w:t>
      </w:r>
      <w:r>
        <w:t>Shared</w:t>
      </w:r>
      <w:r w:rsidR="17AF7C83">
        <w:t xml:space="preserve"> </w:t>
      </w:r>
      <w:r>
        <w:t>decision</w:t>
      </w:r>
      <w:r w:rsidRPr="00AD7EDE">
        <w:t>-making is by consensus, where the voices of Aboriginal and Torres Strait Islander parties hold as much weight as the governments.”</w:t>
      </w:r>
    </w:p>
    <w:p w14:paraId="18BBE1ED" w14:textId="36818BE4" w:rsidR="0007067B" w:rsidRDefault="00BA72F6" w:rsidP="009249D0">
      <w:r w:rsidRPr="00BA72F6">
        <w:lastRenderedPageBreak/>
        <w:t>Each partnership identified a lead Commonwealth entity and lead First Nations partner for the purposes of the stocktake. Unless otherwise indicated, lead parties collectively determined and endorsed their stocktake response, including self</w:t>
      </w:r>
      <w:r w:rsidR="19DE20E8">
        <w:t>-</w:t>
      </w:r>
      <w:r w:rsidRPr="00BA72F6">
        <w:t xml:space="preserve">assessment against the strong partnership elements set out in </w:t>
      </w:r>
      <w:hyperlink r:id="rId10">
        <w:r w:rsidRPr="5F772E5A">
          <w:rPr>
            <w:rStyle w:val="Hyperlink"/>
          </w:rPr>
          <w:t>Clauses 32 and 33</w:t>
        </w:r>
      </w:hyperlink>
      <w:r w:rsidRPr="00BA72F6">
        <w:t xml:space="preserve"> of the National Agreement</w:t>
      </w:r>
      <w:r w:rsidR="00AC2B3C">
        <w:t>.</w:t>
      </w:r>
    </w:p>
    <w:p w14:paraId="1FFDCED6" w14:textId="63DFD76B" w:rsidR="005D6A65" w:rsidRDefault="00007F9A" w:rsidP="009249D0">
      <w:pPr>
        <w:pStyle w:val="Heading1"/>
      </w:pPr>
      <w:bookmarkStart w:id="2" w:name="_Toc225506024"/>
      <w:r w:rsidRPr="00007F9A">
        <w:t>Partnership Stocktake</w:t>
      </w:r>
      <w:bookmarkEnd w:id="2"/>
    </w:p>
    <w:p w14:paraId="41CE10E6" w14:textId="77777777" w:rsidR="00DA7713" w:rsidRDefault="00DA7713" w:rsidP="009249D0">
      <w:pPr>
        <w:pStyle w:val="Heading2"/>
      </w:pPr>
      <w:bookmarkStart w:id="3" w:name="_Toc225506025"/>
      <w:r>
        <w:t>Snapshot</w:t>
      </w:r>
      <w:bookmarkEnd w:id="3"/>
    </w:p>
    <w:p w14:paraId="196B2F09" w14:textId="379E3021" w:rsidR="00DA7713" w:rsidRDefault="00DA7713" w:rsidP="009249D0">
      <w:pPr>
        <w:pStyle w:val="ListParagraph"/>
        <w:numPr>
          <w:ilvl w:val="0"/>
          <w:numId w:val="2"/>
        </w:numPr>
      </w:pPr>
      <w:r>
        <w:t>52 partnerships were identified between the Commonwealth and First Nations partners, an increase from the 38 identified in 2024.</w:t>
      </w:r>
    </w:p>
    <w:p w14:paraId="2C039E47" w14:textId="2BD6AA39" w:rsidR="00DA7713" w:rsidRDefault="00DA7713" w:rsidP="009249D0">
      <w:pPr>
        <w:pStyle w:val="ListParagraph"/>
        <w:numPr>
          <w:ilvl w:val="0"/>
          <w:numId w:val="2"/>
        </w:numPr>
      </w:pPr>
      <w:r>
        <w:t>22 partnerships met all strong partnership elements under the National Agreement.</w:t>
      </w:r>
      <w:r>
        <w:rPr>
          <w:rStyle w:val="FootnoteReference"/>
        </w:rPr>
        <w:footnoteReference w:id="1"/>
      </w:r>
      <w:r>
        <w:t xml:space="preserve"> This is an increase from 8 in 2024, demonstrating stronger, more consistent shared decision</w:t>
      </w:r>
      <w:r w:rsidRPr="00013B5D">
        <w:rPr>
          <w:rFonts w:ascii="Cambria Math" w:hAnsi="Cambria Math" w:cs="Cambria Math"/>
        </w:rPr>
        <w:t>‑</w:t>
      </w:r>
      <w:r>
        <w:t>making.</w:t>
      </w:r>
    </w:p>
    <w:p w14:paraId="293FC38C" w14:textId="70D7211B" w:rsidR="00007F9A" w:rsidRDefault="00DA7713" w:rsidP="009249D0">
      <w:pPr>
        <w:pStyle w:val="ListParagraph"/>
        <w:numPr>
          <w:ilvl w:val="0"/>
          <w:numId w:val="2"/>
        </w:numPr>
      </w:pPr>
      <w:r>
        <w:t>Partnerships were identified across 18 Commonwealth entities, with 6 entities participating in the Partnership Stocktake for the first time, highlighting growing engagement across government.</w:t>
      </w:r>
    </w:p>
    <w:p w14:paraId="3B9C66C1" w14:textId="77777777" w:rsidR="008E58CF" w:rsidRDefault="008E58CF" w:rsidP="009249D0">
      <w:pPr>
        <w:pStyle w:val="Heading2"/>
      </w:pPr>
      <w:bookmarkStart w:id="4" w:name="_Toc225506026"/>
      <w:r>
        <w:t>Strengthening the stocktake</w:t>
      </w:r>
      <w:bookmarkEnd w:id="4"/>
      <w:r>
        <w:t xml:space="preserve"> </w:t>
      </w:r>
    </w:p>
    <w:p w14:paraId="3959B7EC" w14:textId="77777777" w:rsidR="008E58CF" w:rsidRDefault="008E58CF" w:rsidP="009249D0">
      <w:r>
        <w:t>In 2025, the Commonwealth strengthened how shared decision</w:t>
      </w:r>
      <w:r>
        <w:rPr>
          <w:rFonts w:ascii="Cambria Math" w:hAnsi="Cambria Math" w:cs="Cambria Math"/>
        </w:rPr>
        <w:t>‑</w:t>
      </w:r>
      <w:r>
        <w:t xml:space="preserve">making is assessed through the Partnership Stocktake by: </w:t>
      </w:r>
    </w:p>
    <w:p w14:paraId="0C00C5F4" w14:textId="0C5EC075" w:rsidR="008E58CF" w:rsidRDefault="008E58CF" w:rsidP="009249D0">
      <w:pPr>
        <w:pStyle w:val="ListParagraph"/>
        <w:numPr>
          <w:ilvl w:val="0"/>
          <w:numId w:val="3"/>
        </w:numPr>
      </w:pPr>
      <w:r>
        <w:t>capturing examples of how shared decision</w:t>
      </w:r>
      <w:r w:rsidRPr="008E58CF">
        <w:rPr>
          <w:rFonts w:ascii="Cambria Math" w:hAnsi="Cambria Math" w:cs="Cambria Math"/>
        </w:rPr>
        <w:t>‑</w:t>
      </w:r>
      <w:r>
        <w:t>making operates in practice</w:t>
      </w:r>
    </w:p>
    <w:p w14:paraId="14B6DC9D" w14:textId="433DEC21" w:rsidR="008E58CF" w:rsidRDefault="008E58CF" w:rsidP="009249D0">
      <w:pPr>
        <w:pStyle w:val="ListParagraph"/>
        <w:numPr>
          <w:ilvl w:val="0"/>
          <w:numId w:val="3"/>
        </w:numPr>
      </w:pPr>
      <w:r>
        <w:t>ensuring agreement between government and First Nations partners on how shared decision</w:t>
      </w:r>
      <w:r w:rsidRPr="008E58CF">
        <w:rPr>
          <w:rFonts w:ascii="Cambria Math" w:hAnsi="Cambria Math" w:cs="Cambria Math"/>
        </w:rPr>
        <w:t>‑</w:t>
      </w:r>
      <w:r>
        <w:t>making is applied in the partnership</w:t>
      </w:r>
    </w:p>
    <w:p w14:paraId="403DD324" w14:textId="67EBDA9F" w:rsidR="00013B5D" w:rsidRDefault="008E58CF" w:rsidP="009249D0">
      <w:pPr>
        <w:pStyle w:val="ListParagraph"/>
        <w:numPr>
          <w:ilvl w:val="0"/>
          <w:numId w:val="3"/>
        </w:numPr>
      </w:pPr>
      <w:r>
        <w:t>incorporating feedback from partnerships, to better reflect the variety of partnership models and shared decision</w:t>
      </w:r>
      <w:r w:rsidRPr="008E58CF">
        <w:rPr>
          <w:rFonts w:ascii="Cambria Math" w:hAnsi="Cambria Math" w:cs="Cambria Math"/>
        </w:rPr>
        <w:t>‑</w:t>
      </w:r>
      <w:r>
        <w:t>making approaches across national and place</w:t>
      </w:r>
      <w:r w:rsidRPr="008E58CF">
        <w:rPr>
          <w:rFonts w:ascii="Cambria Math" w:hAnsi="Cambria Math" w:cs="Cambria Math"/>
        </w:rPr>
        <w:t>‑</w:t>
      </w:r>
      <w:r>
        <w:t>based contexts.</w:t>
      </w:r>
    </w:p>
    <w:p w14:paraId="7FC5C3D7" w14:textId="77777777" w:rsidR="00DB1A0A" w:rsidRDefault="00DB1A0A" w:rsidP="009249D0">
      <w:pPr>
        <w:pStyle w:val="Heading2"/>
      </w:pPr>
      <w:bookmarkStart w:id="5" w:name="_Toc225506027"/>
      <w:r>
        <w:t>Summary of insights</w:t>
      </w:r>
      <w:bookmarkEnd w:id="5"/>
      <w:r>
        <w:t xml:space="preserve"> </w:t>
      </w:r>
    </w:p>
    <w:p w14:paraId="60F70856" w14:textId="77777777" w:rsidR="00DB1A0A" w:rsidRDefault="00DB1A0A" w:rsidP="009249D0">
      <w:r>
        <w:t>Findings from the 2025 Partnership Stocktake show that:</w:t>
      </w:r>
    </w:p>
    <w:p w14:paraId="0007C78D" w14:textId="61731BE3" w:rsidR="00DB1A0A" w:rsidRDefault="00DB1A0A" w:rsidP="009249D0">
      <w:pPr>
        <w:pStyle w:val="ListParagraph"/>
        <w:numPr>
          <w:ilvl w:val="0"/>
          <w:numId w:val="4"/>
        </w:numPr>
      </w:pPr>
      <w:r>
        <w:t xml:space="preserve">The Commonwealth is working in partnership with First Nations people across all 17 outcome areas of the National Agreement. </w:t>
      </w:r>
    </w:p>
    <w:p w14:paraId="48BB07EB" w14:textId="50F0FBE7" w:rsidR="00DB1A0A" w:rsidRDefault="00DB1A0A" w:rsidP="009249D0">
      <w:pPr>
        <w:pStyle w:val="ListParagraph"/>
        <w:numPr>
          <w:ilvl w:val="0"/>
          <w:numId w:val="4"/>
        </w:numPr>
      </w:pPr>
      <w:r>
        <w:t>Partnerships across the Commonwealth take different forms. Some partnerships are national policy focused, while others are place</w:t>
      </w:r>
      <w:r w:rsidRPr="0060781F">
        <w:rPr>
          <w:rFonts w:ascii="Cambria Math" w:hAnsi="Cambria Math" w:cs="Cambria Math"/>
        </w:rPr>
        <w:t>‑</w:t>
      </w:r>
      <w:r>
        <w:t>based and tailored to specific local priorities. This flexibility allows partnerships to be designed and led in ways that best support First Nations communities and shared goals.</w:t>
      </w:r>
      <w:r>
        <w:rPr>
          <w:rStyle w:val="FootnoteReference"/>
        </w:rPr>
        <w:footnoteReference w:id="2"/>
      </w:r>
    </w:p>
    <w:p w14:paraId="6073166A" w14:textId="77777777" w:rsidR="005D0349" w:rsidRDefault="005D0349" w:rsidP="009249D0">
      <w:pPr>
        <w:pStyle w:val="ListParagraph"/>
        <w:numPr>
          <w:ilvl w:val="0"/>
          <w:numId w:val="4"/>
        </w:numPr>
      </w:pPr>
      <w:r>
        <w:t>Partnerships are active and informing key Commonwealth focus areas including jobs and economic empowerment, food security, health and wellbeing and place</w:t>
      </w:r>
      <w:r w:rsidRPr="0060781F">
        <w:rPr>
          <w:rFonts w:ascii="Cambria Math" w:hAnsi="Cambria Math" w:cs="Cambria Math"/>
        </w:rPr>
        <w:t>‑</w:t>
      </w:r>
      <w:r>
        <w:t>based approaches.</w:t>
      </w:r>
    </w:p>
    <w:p w14:paraId="08C0B683" w14:textId="651F02D2" w:rsidR="00DB1A0A" w:rsidRDefault="00DB1A0A" w:rsidP="009249D0">
      <w:pPr>
        <w:pStyle w:val="ListParagraph"/>
        <w:numPr>
          <w:ilvl w:val="0"/>
          <w:numId w:val="4"/>
        </w:numPr>
      </w:pPr>
      <w:r>
        <w:t xml:space="preserve">Strengthening partnerships remains a priority across the Commonwealth. </w:t>
      </w:r>
    </w:p>
    <w:p w14:paraId="19B2BCD8" w14:textId="7B84B565" w:rsidR="00DB1A0A" w:rsidRDefault="00DB1A0A" w:rsidP="009249D0">
      <w:pPr>
        <w:pStyle w:val="ListParagraph"/>
        <w:numPr>
          <w:ilvl w:val="0"/>
          <w:numId w:val="4"/>
        </w:numPr>
      </w:pPr>
      <w:r>
        <w:t>88% of partnerships have a written agreement in place that is signed by both government and First Nations parties, reflecting a commitment to genuine, transparent and accountable partnerships.</w:t>
      </w:r>
    </w:p>
    <w:p w14:paraId="68F4F487" w14:textId="455DC758" w:rsidR="44EDDD12" w:rsidRDefault="44EDDD12" w:rsidP="44EDDD12"/>
    <w:p w14:paraId="691D2D42" w14:textId="6042C626" w:rsidR="0060781F" w:rsidRDefault="0060781F" w:rsidP="009249D0">
      <w:r w:rsidRPr="0060781F">
        <w:lastRenderedPageBreak/>
        <w:t>The partnerships that meet all National Agreement strong partnership elements (that have been determined applicable to the partnership) through this stocktake are:</w:t>
      </w:r>
    </w:p>
    <w:p w14:paraId="5F8E3F08" w14:textId="77777777" w:rsidR="001766DA" w:rsidRDefault="001766DA" w:rsidP="009249D0">
      <w:pPr>
        <w:pStyle w:val="ListParagraph"/>
        <w:numPr>
          <w:ilvl w:val="0"/>
          <w:numId w:val="5"/>
        </w:numPr>
      </w:pPr>
      <w:r w:rsidRPr="001766DA">
        <w:t>Aboriginal and Torres Strait Islander Health Collaboration</w:t>
      </w:r>
    </w:p>
    <w:p w14:paraId="7F2669FD" w14:textId="77777777" w:rsidR="001766DA" w:rsidRDefault="001766DA" w:rsidP="009249D0">
      <w:pPr>
        <w:pStyle w:val="ListParagraph"/>
        <w:numPr>
          <w:ilvl w:val="0"/>
          <w:numId w:val="5"/>
        </w:numPr>
      </w:pPr>
      <w:r w:rsidRPr="001766DA">
        <w:t>Aboriginal and Torres Strait Islander Languages Policy Partnership</w:t>
      </w:r>
    </w:p>
    <w:p w14:paraId="43EBFFA3" w14:textId="122376D2" w:rsidR="001766DA" w:rsidRDefault="001766DA" w:rsidP="009249D0">
      <w:pPr>
        <w:pStyle w:val="ListParagraph"/>
        <w:numPr>
          <w:ilvl w:val="0"/>
          <w:numId w:val="5"/>
        </w:numPr>
      </w:pPr>
      <w:r w:rsidRPr="001766DA">
        <w:t>ACCHO</w:t>
      </w:r>
      <w:r w:rsidR="218CAAC8">
        <w:t>-</w:t>
      </w:r>
      <w:r>
        <w:t>led Policy Analysis Partnership for culturally safe disability services</w:t>
      </w:r>
    </w:p>
    <w:p w14:paraId="42DCD78B" w14:textId="77777777" w:rsidR="001766DA" w:rsidRDefault="001766DA" w:rsidP="009249D0">
      <w:pPr>
        <w:pStyle w:val="ListParagraph"/>
        <w:numPr>
          <w:ilvl w:val="0"/>
          <w:numId w:val="5"/>
        </w:numPr>
      </w:pPr>
      <w:r w:rsidRPr="001766DA">
        <w:t>Data Policy Partnership</w:t>
      </w:r>
    </w:p>
    <w:p w14:paraId="212128B6" w14:textId="77777777" w:rsidR="001766DA" w:rsidRDefault="001766DA" w:rsidP="009249D0">
      <w:pPr>
        <w:pStyle w:val="ListParagraph"/>
        <w:numPr>
          <w:ilvl w:val="0"/>
          <w:numId w:val="5"/>
        </w:numPr>
      </w:pPr>
      <w:r w:rsidRPr="001766DA">
        <w:t>Early Childhood Care and Development Policy Partnership</w:t>
      </w:r>
    </w:p>
    <w:p w14:paraId="507B5EBE" w14:textId="77777777" w:rsidR="001766DA" w:rsidRDefault="001766DA" w:rsidP="009249D0">
      <w:pPr>
        <w:pStyle w:val="ListParagraph"/>
        <w:numPr>
          <w:ilvl w:val="0"/>
          <w:numId w:val="5"/>
        </w:numPr>
      </w:pPr>
      <w:r w:rsidRPr="001766DA">
        <w:t>First Nations Economic Partnership</w:t>
      </w:r>
    </w:p>
    <w:p w14:paraId="0D5A2DF1" w14:textId="77777777" w:rsidR="001766DA" w:rsidRDefault="001766DA" w:rsidP="009249D0">
      <w:pPr>
        <w:pStyle w:val="ListParagraph"/>
        <w:numPr>
          <w:ilvl w:val="0"/>
          <w:numId w:val="5"/>
        </w:numPr>
      </w:pPr>
      <w:r w:rsidRPr="001766DA">
        <w:t>First Nations Health Governance Group</w:t>
      </w:r>
    </w:p>
    <w:p w14:paraId="43561EF9" w14:textId="77777777" w:rsidR="001766DA" w:rsidRDefault="001766DA" w:rsidP="009249D0">
      <w:pPr>
        <w:pStyle w:val="ListParagraph"/>
        <w:numPr>
          <w:ilvl w:val="0"/>
          <w:numId w:val="5"/>
        </w:numPr>
      </w:pPr>
      <w:r w:rsidRPr="001766DA">
        <w:t>First Nations Heritage Protection Partnership</w:t>
      </w:r>
    </w:p>
    <w:p w14:paraId="27DEED8D" w14:textId="77777777" w:rsidR="001766DA" w:rsidRDefault="001766DA" w:rsidP="009249D0">
      <w:pPr>
        <w:pStyle w:val="ListParagraph"/>
        <w:numPr>
          <w:ilvl w:val="0"/>
          <w:numId w:val="5"/>
        </w:numPr>
      </w:pPr>
      <w:r w:rsidRPr="001766DA">
        <w:t>Partnership between the Department of Education and SNAICC – National Voice for our Children (SNAICC)</w:t>
      </w:r>
    </w:p>
    <w:p w14:paraId="28DE9561" w14:textId="77777777" w:rsidR="001766DA" w:rsidRDefault="001766DA" w:rsidP="009249D0">
      <w:pPr>
        <w:pStyle w:val="ListParagraph"/>
        <w:numPr>
          <w:ilvl w:val="0"/>
          <w:numId w:val="5"/>
        </w:numPr>
      </w:pPr>
      <w:r w:rsidRPr="001766DA">
        <w:t>Garma Institute – Partnership Commitment</w:t>
      </w:r>
    </w:p>
    <w:p w14:paraId="37856FEE" w14:textId="77777777" w:rsidR="00066A22" w:rsidRDefault="001766DA" w:rsidP="009249D0">
      <w:pPr>
        <w:pStyle w:val="ListParagraph"/>
        <w:numPr>
          <w:ilvl w:val="0"/>
          <w:numId w:val="5"/>
        </w:numPr>
      </w:pPr>
      <w:r w:rsidRPr="001766DA">
        <w:t>Great Barrier Reef Traditional Owner Taskforce</w:t>
      </w:r>
    </w:p>
    <w:p w14:paraId="162C2235" w14:textId="77777777" w:rsidR="00066A22" w:rsidRDefault="001766DA" w:rsidP="009249D0">
      <w:pPr>
        <w:pStyle w:val="ListParagraph"/>
        <w:numPr>
          <w:ilvl w:val="0"/>
          <w:numId w:val="5"/>
        </w:numPr>
      </w:pPr>
      <w:proofErr w:type="spellStart"/>
      <w:r w:rsidRPr="001766DA">
        <w:t>Guŋga’yunga</w:t>
      </w:r>
      <w:proofErr w:type="spellEnd"/>
      <w:r w:rsidRPr="001766DA">
        <w:t xml:space="preserve"> </w:t>
      </w:r>
      <w:proofErr w:type="spellStart"/>
      <w:r w:rsidRPr="001766DA">
        <w:t>Djamarrkuliny</w:t>
      </w:r>
      <w:proofErr w:type="spellEnd"/>
      <w:r w:rsidRPr="001766DA">
        <w:t xml:space="preserve"> Partnership Support Group</w:t>
      </w:r>
    </w:p>
    <w:p w14:paraId="61CABC09" w14:textId="77777777" w:rsidR="00066A22" w:rsidRDefault="001766DA" w:rsidP="009249D0">
      <w:pPr>
        <w:pStyle w:val="ListParagraph"/>
        <w:numPr>
          <w:ilvl w:val="0"/>
          <w:numId w:val="5"/>
        </w:numPr>
      </w:pPr>
      <w:r w:rsidRPr="001766DA">
        <w:t>Housing Policy Partnership</w:t>
      </w:r>
    </w:p>
    <w:p w14:paraId="611BF577" w14:textId="77777777" w:rsidR="00066A22" w:rsidRDefault="001766DA" w:rsidP="009249D0">
      <w:pPr>
        <w:pStyle w:val="ListParagraph"/>
        <w:numPr>
          <w:ilvl w:val="0"/>
          <w:numId w:val="5"/>
        </w:numPr>
      </w:pPr>
      <w:r w:rsidRPr="001766DA">
        <w:t>Justice Policy Partnership</w:t>
      </w:r>
    </w:p>
    <w:p w14:paraId="73CC4DF0" w14:textId="77777777" w:rsidR="00066A22" w:rsidRDefault="001766DA" w:rsidP="009249D0">
      <w:pPr>
        <w:pStyle w:val="ListParagraph"/>
        <w:numPr>
          <w:ilvl w:val="0"/>
          <w:numId w:val="5"/>
        </w:numPr>
      </w:pPr>
      <w:r w:rsidRPr="001766DA">
        <w:t>Co</w:t>
      </w:r>
      <w:r w:rsidRPr="001766DA">
        <w:noBreakHyphen/>
        <w:t>design Partnership regarding the Torres Strait Islanders Media Association (TSIMA) Collection Project</w:t>
      </w:r>
    </w:p>
    <w:p w14:paraId="6CC9A6E5" w14:textId="77777777" w:rsidR="00066A22" w:rsidRDefault="001766DA" w:rsidP="009249D0">
      <w:pPr>
        <w:pStyle w:val="ListParagraph"/>
        <w:numPr>
          <w:ilvl w:val="0"/>
          <w:numId w:val="5"/>
        </w:numPr>
      </w:pPr>
      <w:r w:rsidRPr="001766DA">
        <w:t>Partnership Agreement on Closing the Gap</w:t>
      </w:r>
    </w:p>
    <w:p w14:paraId="71A96E8A" w14:textId="77777777" w:rsidR="00066A22" w:rsidRDefault="001766DA" w:rsidP="009249D0">
      <w:pPr>
        <w:pStyle w:val="ListParagraph"/>
        <w:numPr>
          <w:ilvl w:val="0"/>
          <w:numId w:val="5"/>
        </w:numPr>
      </w:pPr>
      <w:r w:rsidRPr="001766DA">
        <w:t>Partnership Agreement on Remote Northern Territory Housing and Homelands</w:t>
      </w:r>
    </w:p>
    <w:p w14:paraId="547251BB" w14:textId="77777777" w:rsidR="00066A22" w:rsidRDefault="001766DA" w:rsidP="009249D0">
      <w:pPr>
        <w:pStyle w:val="ListParagraph"/>
        <w:numPr>
          <w:ilvl w:val="0"/>
          <w:numId w:val="5"/>
        </w:numPr>
      </w:pPr>
      <w:r w:rsidRPr="001766DA">
        <w:t>Partnership regarding the NACCHO Cancer Program</w:t>
      </w:r>
    </w:p>
    <w:p w14:paraId="247792A5" w14:textId="77777777" w:rsidR="00066A22" w:rsidRDefault="001766DA" w:rsidP="009249D0">
      <w:pPr>
        <w:pStyle w:val="ListParagraph"/>
        <w:numPr>
          <w:ilvl w:val="0"/>
          <w:numId w:val="5"/>
        </w:numPr>
      </w:pPr>
      <w:r w:rsidRPr="001766DA">
        <w:t xml:space="preserve">Partnership for the Square Kilometre Array (SKA) Project and </w:t>
      </w:r>
      <w:proofErr w:type="spellStart"/>
      <w:r w:rsidRPr="001766DA">
        <w:t>Inyarrimanha</w:t>
      </w:r>
      <w:proofErr w:type="spellEnd"/>
      <w:r w:rsidRPr="001766DA">
        <w:t xml:space="preserve"> </w:t>
      </w:r>
      <w:proofErr w:type="spellStart"/>
      <w:r w:rsidRPr="001766DA">
        <w:t>Ilgari</w:t>
      </w:r>
      <w:proofErr w:type="spellEnd"/>
      <w:r w:rsidRPr="001766DA">
        <w:t xml:space="preserve"> Bundara</w:t>
      </w:r>
    </w:p>
    <w:p w14:paraId="1CBA936C" w14:textId="77777777" w:rsidR="00066A22" w:rsidRDefault="001766DA" w:rsidP="009249D0">
      <w:pPr>
        <w:pStyle w:val="ListParagraph"/>
        <w:numPr>
          <w:ilvl w:val="0"/>
          <w:numId w:val="5"/>
        </w:numPr>
      </w:pPr>
      <w:r w:rsidRPr="001766DA">
        <w:t>Safe and Supported Partnership Agreement</w:t>
      </w:r>
    </w:p>
    <w:p w14:paraId="60B9E450" w14:textId="77777777" w:rsidR="00066A22" w:rsidRDefault="001766DA" w:rsidP="009249D0">
      <w:pPr>
        <w:pStyle w:val="ListParagraph"/>
        <w:numPr>
          <w:ilvl w:val="0"/>
          <w:numId w:val="5"/>
        </w:numPr>
      </w:pPr>
      <w:r w:rsidRPr="001766DA">
        <w:t>Shared Hearing Services Plans</w:t>
      </w:r>
    </w:p>
    <w:p w14:paraId="3AC08625" w14:textId="3AEE3D7E" w:rsidR="00520F00" w:rsidRDefault="001766DA" w:rsidP="009249D0">
      <w:pPr>
        <w:pStyle w:val="ListParagraph"/>
        <w:numPr>
          <w:ilvl w:val="0"/>
          <w:numId w:val="5"/>
        </w:numPr>
      </w:pPr>
      <w:r w:rsidRPr="001766DA">
        <w:t>Social and Emotional Wellbeing Policy Partnership</w:t>
      </w:r>
    </w:p>
    <w:p w14:paraId="71E63EED" w14:textId="22DBA5EE" w:rsidR="0038170A" w:rsidRDefault="0038170A" w:rsidP="009249D0">
      <w:r>
        <w:br w:type="page"/>
      </w:r>
    </w:p>
    <w:p w14:paraId="72434D64" w14:textId="77777777" w:rsidR="0038170A" w:rsidRDefault="0038170A" w:rsidP="009249D0">
      <w:pPr>
        <w:pStyle w:val="Heading1"/>
        <w:sectPr w:rsidR="0038170A" w:rsidSect="0016013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p>
    <w:p w14:paraId="6E9A4D94" w14:textId="44BE3EE1" w:rsidR="00066A22" w:rsidRDefault="0089307D" w:rsidP="009249D0">
      <w:pPr>
        <w:pStyle w:val="Heading1"/>
      </w:pPr>
      <w:bookmarkStart w:id="6" w:name="_Toc225506028"/>
      <w:r w:rsidRPr="0089307D">
        <w:lastRenderedPageBreak/>
        <w:t>Partnerships and Outcome Focus Areas</w:t>
      </w:r>
      <w:bookmarkEnd w:id="6"/>
    </w:p>
    <w:tbl>
      <w:tblPr>
        <w:tblW w:w="15607"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left w:w="57" w:type="dxa"/>
          <w:bottom w:w="57" w:type="dxa"/>
          <w:right w:w="57" w:type="dxa"/>
        </w:tblCellMar>
        <w:tblLook w:val="01E0" w:firstRow="1" w:lastRow="1" w:firstColumn="1" w:lastColumn="1" w:noHBand="0" w:noVBand="0"/>
      </w:tblPr>
      <w:tblGrid>
        <w:gridCol w:w="3119"/>
        <w:gridCol w:w="1784"/>
        <w:gridCol w:w="1784"/>
        <w:gridCol w:w="1784"/>
        <w:gridCol w:w="1784"/>
        <w:gridCol w:w="1784"/>
        <w:gridCol w:w="1784"/>
        <w:gridCol w:w="1784"/>
      </w:tblGrid>
      <w:tr w:rsidR="00BD414A" w:rsidRPr="0085252C" w14:paraId="35F253C9" w14:textId="77777777" w:rsidTr="009F4E46">
        <w:trPr>
          <w:trHeight w:val="1134"/>
          <w:tblHeader/>
        </w:trPr>
        <w:tc>
          <w:tcPr>
            <w:tcW w:w="3119" w:type="dxa"/>
          </w:tcPr>
          <w:p w14:paraId="7358440D" w14:textId="7E087217" w:rsidR="000050CA" w:rsidRPr="009F4E46" w:rsidRDefault="000E5E84" w:rsidP="009F4E46">
            <w:pPr>
              <w:pStyle w:val="TableParagraph"/>
              <w:rPr>
                <w:rFonts w:asciiTheme="majorHAnsi" w:hAnsiTheme="majorHAnsi"/>
                <w:b/>
                <w:bCs/>
                <w:sz w:val="20"/>
                <w:szCs w:val="20"/>
              </w:rPr>
            </w:pPr>
            <w:r w:rsidRPr="009F4E46">
              <w:rPr>
                <w:rFonts w:asciiTheme="majorHAnsi" w:hAnsiTheme="majorHAnsi"/>
                <w:b/>
                <w:bCs/>
                <w:sz w:val="20"/>
                <w:szCs w:val="20"/>
              </w:rPr>
              <w:t>Partnership</w:t>
            </w:r>
          </w:p>
          <w:p w14:paraId="503DF92E" w14:textId="1EBAFBE2" w:rsidR="000E5E84" w:rsidRPr="009F4E46" w:rsidRDefault="000E5E84" w:rsidP="009F4E46">
            <w:pPr>
              <w:spacing w:after="0" w:line="240" w:lineRule="auto"/>
              <w:rPr>
                <w:rFonts w:asciiTheme="majorHAnsi" w:hAnsiTheme="majorHAnsi"/>
                <w:sz w:val="20"/>
                <w:szCs w:val="20"/>
              </w:rPr>
            </w:pPr>
          </w:p>
        </w:tc>
        <w:tc>
          <w:tcPr>
            <w:tcW w:w="1784" w:type="dxa"/>
            <w:shd w:val="clear" w:color="auto" w:fill="F4A147"/>
          </w:tcPr>
          <w:p w14:paraId="748D3F3C" w14:textId="77777777" w:rsidR="000E5E84" w:rsidRPr="009F4E46" w:rsidRDefault="000E5E84" w:rsidP="009F4E46">
            <w:pPr>
              <w:pStyle w:val="TableParagraph"/>
              <w:rPr>
                <w:rFonts w:asciiTheme="majorHAnsi" w:hAnsiTheme="majorHAnsi"/>
                <w:sz w:val="20"/>
                <w:szCs w:val="20"/>
              </w:rPr>
            </w:pPr>
            <w:r w:rsidRPr="009F4E46">
              <w:rPr>
                <w:rFonts w:asciiTheme="majorHAnsi" w:hAnsiTheme="majorHAnsi"/>
                <w:b/>
                <w:bCs/>
                <w:sz w:val="20"/>
                <w:szCs w:val="20"/>
              </w:rPr>
              <w:t xml:space="preserve">Health and </w:t>
            </w:r>
            <w:r w:rsidRPr="009F4E46">
              <w:rPr>
                <w:rFonts w:asciiTheme="majorHAnsi" w:hAnsiTheme="majorHAnsi"/>
                <w:b/>
                <w:bCs/>
                <w:spacing w:val="-2"/>
                <w:sz w:val="20"/>
                <w:szCs w:val="20"/>
              </w:rPr>
              <w:t>Wellbeing</w:t>
            </w:r>
            <w:r w:rsidRPr="009F4E46">
              <w:rPr>
                <w:rFonts w:asciiTheme="majorHAnsi" w:hAnsiTheme="majorHAnsi"/>
                <w:spacing w:val="-2"/>
                <w:sz w:val="20"/>
                <w:szCs w:val="20"/>
              </w:rPr>
              <w:t xml:space="preserve"> </w:t>
            </w:r>
            <w:r w:rsidRPr="009F4E46">
              <w:rPr>
                <w:rFonts w:asciiTheme="majorHAnsi" w:hAnsiTheme="majorHAnsi"/>
                <w:sz w:val="20"/>
                <w:szCs w:val="20"/>
              </w:rPr>
              <w:t>Outcomes</w:t>
            </w:r>
            <w:r w:rsidRPr="009F4E46">
              <w:rPr>
                <w:rFonts w:asciiTheme="majorHAnsi" w:hAnsiTheme="majorHAnsi"/>
                <w:spacing w:val="-18"/>
                <w:sz w:val="20"/>
                <w:szCs w:val="20"/>
              </w:rPr>
              <w:t xml:space="preserve"> </w:t>
            </w:r>
            <w:r w:rsidRPr="009F4E46">
              <w:rPr>
                <w:rFonts w:asciiTheme="majorHAnsi" w:hAnsiTheme="majorHAnsi"/>
                <w:sz w:val="20"/>
                <w:szCs w:val="20"/>
              </w:rPr>
              <w:t>1,</w:t>
            </w:r>
            <w:r w:rsidRPr="009F4E46">
              <w:rPr>
                <w:rFonts w:asciiTheme="majorHAnsi" w:hAnsiTheme="majorHAnsi"/>
                <w:spacing w:val="-17"/>
                <w:sz w:val="20"/>
                <w:szCs w:val="20"/>
              </w:rPr>
              <w:t xml:space="preserve"> </w:t>
            </w:r>
            <w:r w:rsidRPr="009F4E46">
              <w:rPr>
                <w:rFonts w:asciiTheme="majorHAnsi" w:hAnsiTheme="majorHAnsi"/>
                <w:sz w:val="20"/>
                <w:szCs w:val="20"/>
              </w:rPr>
              <w:t>2</w:t>
            </w:r>
            <w:r w:rsidRPr="009F4E46">
              <w:rPr>
                <w:rFonts w:asciiTheme="majorHAnsi" w:hAnsiTheme="majorHAnsi"/>
                <w:spacing w:val="-17"/>
                <w:sz w:val="20"/>
                <w:szCs w:val="20"/>
              </w:rPr>
              <w:t xml:space="preserve"> </w:t>
            </w:r>
            <w:r w:rsidRPr="009F4E46">
              <w:rPr>
                <w:rFonts w:asciiTheme="majorHAnsi" w:hAnsiTheme="majorHAnsi"/>
                <w:sz w:val="20"/>
                <w:szCs w:val="20"/>
              </w:rPr>
              <w:t>&amp;</w:t>
            </w:r>
            <w:r w:rsidRPr="009F4E46">
              <w:rPr>
                <w:rFonts w:asciiTheme="majorHAnsi" w:hAnsiTheme="majorHAnsi"/>
                <w:spacing w:val="-17"/>
                <w:sz w:val="20"/>
                <w:szCs w:val="20"/>
              </w:rPr>
              <w:t xml:space="preserve"> </w:t>
            </w:r>
            <w:r w:rsidRPr="009F4E46">
              <w:rPr>
                <w:rFonts w:asciiTheme="majorHAnsi" w:hAnsiTheme="majorHAnsi"/>
                <w:sz w:val="20"/>
                <w:szCs w:val="20"/>
              </w:rPr>
              <w:t>14</w:t>
            </w:r>
          </w:p>
        </w:tc>
        <w:tc>
          <w:tcPr>
            <w:tcW w:w="1784" w:type="dxa"/>
            <w:shd w:val="clear" w:color="auto" w:fill="84ADDC"/>
          </w:tcPr>
          <w:p w14:paraId="69BFE5B8" w14:textId="77777777" w:rsidR="000E5E84" w:rsidRPr="009F4E46" w:rsidRDefault="000E5E84" w:rsidP="009F4E46">
            <w:pPr>
              <w:pStyle w:val="TableParagraph"/>
              <w:rPr>
                <w:rFonts w:asciiTheme="majorHAnsi" w:hAnsiTheme="majorHAnsi"/>
                <w:sz w:val="20"/>
                <w:szCs w:val="20"/>
              </w:rPr>
            </w:pPr>
            <w:r w:rsidRPr="009F4E46">
              <w:rPr>
                <w:rFonts w:asciiTheme="majorHAnsi" w:hAnsiTheme="majorHAnsi"/>
                <w:b/>
                <w:bCs/>
                <w:w w:val="105"/>
                <w:sz w:val="20"/>
                <w:szCs w:val="20"/>
              </w:rPr>
              <w:t xml:space="preserve">Education and Early Years </w:t>
            </w:r>
            <w:r w:rsidRPr="009F4E46">
              <w:rPr>
                <w:rFonts w:asciiTheme="majorHAnsi" w:hAnsiTheme="majorHAnsi"/>
                <w:b/>
                <w:bCs/>
                <w:spacing w:val="-2"/>
                <w:w w:val="105"/>
                <w:sz w:val="20"/>
                <w:szCs w:val="20"/>
              </w:rPr>
              <w:t>Development</w:t>
            </w:r>
            <w:r w:rsidRPr="009F4E46">
              <w:rPr>
                <w:rFonts w:asciiTheme="majorHAnsi" w:hAnsiTheme="majorHAnsi"/>
                <w:spacing w:val="-2"/>
                <w:w w:val="105"/>
                <w:sz w:val="20"/>
                <w:szCs w:val="20"/>
              </w:rPr>
              <w:t xml:space="preserve"> </w:t>
            </w:r>
            <w:r w:rsidRPr="009F4E46">
              <w:rPr>
                <w:rFonts w:asciiTheme="majorHAnsi" w:hAnsiTheme="majorHAnsi"/>
                <w:w w:val="105"/>
                <w:sz w:val="20"/>
                <w:szCs w:val="20"/>
              </w:rPr>
              <w:t>Outcomes</w:t>
            </w:r>
            <w:r w:rsidRPr="009F4E46">
              <w:rPr>
                <w:rFonts w:asciiTheme="majorHAnsi" w:hAnsiTheme="majorHAnsi"/>
                <w:spacing w:val="-13"/>
                <w:w w:val="105"/>
                <w:sz w:val="20"/>
                <w:szCs w:val="20"/>
              </w:rPr>
              <w:t xml:space="preserve"> </w:t>
            </w:r>
            <w:r w:rsidRPr="009F4E46">
              <w:rPr>
                <w:rFonts w:asciiTheme="majorHAnsi" w:hAnsiTheme="majorHAnsi"/>
                <w:w w:val="105"/>
                <w:sz w:val="20"/>
                <w:szCs w:val="20"/>
              </w:rPr>
              <w:t>3,</w:t>
            </w:r>
            <w:r w:rsidRPr="009F4E46">
              <w:rPr>
                <w:rFonts w:asciiTheme="majorHAnsi" w:hAnsiTheme="majorHAnsi"/>
                <w:spacing w:val="-37"/>
                <w:w w:val="105"/>
                <w:sz w:val="20"/>
                <w:szCs w:val="20"/>
              </w:rPr>
              <w:t xml:space="preserve"> </w:t>
            </w:r>
            <w:r w:rsidRPr="009F4E46">
              <w:rPr>
                <w:rFonts w:asciiTheme="majorHAnsi" w:hAnsiTheme="majorHAnsi"/>
                <w:w w:val="105"/>
                <w:sz w:val="20"/>
                <w:szCs w:val="20"/>
              </w:rPr>
              <w:t>4,</w:t>
            </w:r>
            <w:r w:rsidRPr="009F4E46">
              <w:rPr>
                <w:rFonts w:asciiTheme="majorHAnsi" w:hAnsiTheme="majorHAnsi"/>
                <w:spacing w:val="-42"/>
                <w:w w:val="105"/>
                <w:sz w:val="20"/>
                <w:szCs w:val="20"/>
              </w:rPr>
              <w:t xml:space="preserve"> </w:t>
            </w:r>
            <w:r w:rsidRPr="009F4E46">
              <w:rPr>
                <w:rFonts w:asciiTheme="majorHAnsi" w:hAnsiTheme="majorHAnsi"/>
                <w:w w:val="105"/>
                <w:sz w:val="20"/>
                <w:szCs w:val="20"/>
              </w:rPr>
              <w:t>5</w:t>
            </w:r>
            <w:r w:rsidRPr="009F4E46">
              <w:rPr>
                <w:rFonts w:asciiTheme="majorHAnsi" w:hAnsiTheme="majorHAnsi"/>
                <w:spacing w:val="-21"/>
                <w:w w:val="105"/>
                <w:sz w:val="20"/>
                <w:szCs w:val="20"/>
              </w:rPr>
              <w:t xml:space="preserve"> </w:t>
            </w:r>
            <w:r w:rsidRPr="009F4E46">
              <w:rPr>
                <w:rFonts w:asciiTheme="majorHAnsi" w:hAnsiTheme="majorHAnsi"/>
                <w:w w:val="105"/>
                <w:sz w:val="20"/>
                <w:szCs w:val="20"/>
              </w:rPr>
              <w:t>&amp;</w:t>
            </w:r>
            <w:r w:rsidRPr="009F4E46">
              <w:rPr>
                <w:rFonts w:asciiTheme="majorHAnsi" w:hAnsiTheme="majorHAnsi"/>
                <w:spacing w:val="-22"/>
                <w:w w:val="105"/>
                <w:sz w:val="20"/>
                <w:szCs w:val="20"/>
              </w:rPr>
              <w:t xml:space="preserve"> </w:t>
            </w:r>
            <w:r w:rsidRPr="009F4E46">
              <w:rPr>
                <w:rFonts w:asciiTheme="majorHAnsi" w:hAnsiTheme="majorHAnsi"/>
                <w:w w:val="105"/>
                <w:sz w:val="20"/>
                <w:szCs w:val="20"/>
              </w:rPr>
              <w:t>6</w:t>
            </w:r>
          </w:p>
        </w:tc>
        <w:tc>
          <w:tcPr>
            <w:tcW w:w="1784" w:type="dxa"/>
            <w:shd w:val="clear" w:color="auto" w:fill="F07E3D"/>
          </w:tcPr>
          <w:p w14:paraId="01DCA6AE" w14:textId="77777777" w:rsidR="000E5E84" w:rsidRPr="009F4E46" w:rsidRDefault="000E5E84" w:rsidP="009F4E46">
            <w:pPr>
              <w:pStyle w:val="TableParagraph"/>
              <w:rPr>
                <w:rFonts w:asciiTheme="majorHAnsi" w:hAnsiTheme="majorHAnsi"/>
                <w:sz w:val="20"/>
                <w:szCs w:val="20"/>
              </w:rPr>
            </w:pPr>
            <w:r w:rsidRPr="009F4E46">
              <w:rPr>
                <w:rFonts w:asciiTheme="majorHAnsi" w:hAnsiTheme="majorHAnsi"/>
                <w:b/>
                <w:bCs/>
                <w:spacing w:val="-2"/>
                <w:w w:val="105"/>
                <w:sz w:val="20"/>
                <w:szCs w:val="20"/>
              </w:rPr>
              <w:t xml:space="preserve">Employment </w:t>
            </w:r>
            <w:r w:rsidRPr="009F4E46">
              <w:rPr>
                <w:rFonts w:asciiTheme="majorHAnsi" w:hAnsiTheme="majorHAnsi"/>
                <w:b/>
                <w:bCs/>
                <w:w w:val="105"/>
                <w:sz w:val="20"/>
                <w:szCs w:val="20"/>
              </w:rPr>
              <w:t>and</w:t>
            </w:r>
            <w:r w:rsidRPr="009F4E46">
              <w:rPr>
                <w:rFonts w:asciiTheme="majorHAnsi" w:hAnsiTheme="majorHAnsi"/>
                <w:b/>
                <w:bCs/>
                <w:spacing w:val="-17"/>
                <w:w w:val="105"/>
                <w:sz w:val="20"/>
                <w:szCs w:val="20"/>
              </w:rPr>
              <w:t xml:space="preserve"> </w:t>
            </w:r>
            <w:r w:rsidRPr="009F4E46">
              <w:rPr>
                <w:rFonts w:asciiTheme="majorHAnsi" w:hAnsiTheme="majorHAnsi"/>
                <w:b/>
                <w:bCs/>
                <w:w w:val="105"/>
                <w:sz w:val="20"/>
                <w:szCs w:val="20"/>
              </w:rPr>
              <w:t xml:space="preserve">Economic </w:t>
            </w:r>
            <w:r w:rsidRPr="009F4E46">
              <w:rPr>
                <w:rFonts w:asciiTheme="majorHAnsi" w:hAnsiTheme="majorHAnsi"/>
                <w:b/>
                <w:bCs/>
                <w:spacing w:val="-2"/>
                <w:w w:val="105"/>
                <w:sz w:val="20"/>
                <w:szCs w:val="20"/>
              </w:rPr>
              <w:t>Development</w:t>
            </w:r>
            <w:r w:rsidRPr="009F4E46">
              <w:rPr>
                <w:rFonts w:asciiTheme="majorHAnsi" w:hAnsiTheme="majorHAnsi"/>
                <w:spacing w:val="-2"/>
                <w:w w:val="105"/>
                <w:sz w:val="20"/>
                <w:szCs w:val="20"/>
              </w:rPr>
              <w:t xml:space="preserve"> </w:t>
            </w:r>
            <w:r w:rsidRPr="009F4E46">
              <w:rPr>
                <w:rFonts w:asciiTheme="majorHAnsi" w:hAnsiTheme="majorHAnsi"/>
                <w:w w:val="105"/>
                <w:sz w:val="20"/>
                <w:szCs w:val="20"/>
              </w:rPr>
              <w:t>Outcomes</w:t>
            </w:r>
            <w:r w:rsidRPr="009F4E46">
              <w:rPr>
                <w:rFonts w:asciiTheme="majorHAnsi" w:hAnsiTheme="majorHAnsi"/>
                <w:spacing w:val="-14"/>
                <w:w w:val="105"/>
                <w:sz w:val="20"/>
                <w:szCs w:val="20"/>
              </w:rPr>
              <w:t xml:space="preserve"> </w:t>
            </w:r>
            <w:r w:rsidRPr="009F4E46">
              <w:rPr>
                <w:rFonts w:asciiTheme="majorHAnsi" w:hAnsiTheme="majorHAnsi"/>
                <w:w w:val="105"/>
                <w:sz w:val="20"/>
                <w:szCs w:val="20"/>
              </w:rPr>
              <w:t>7</w:t>
            </w:r>
            <w:r w:rsidRPr="009F4E46">
              <w:rPr>
                <w:rFonts w:asciiTheme="majorHAnsi" w:hAnsiTheme="majorHAnsi"/>
                <w:spacing w:val="-14"/>
                <w:w w:val="105"/>
                <w:sz w:val="20"/>
                <w:szCs w:val="20"/>
              </w:rPr>
              <w:t xml:space="preserve"> </w:t>
            </w:r>
            <w:r w:rsidRPr="009F4E46">
              <w:rPr>
                <w:rFonts w:asciiTheme="majorHAnsi" w:hAnsiTheme="majorHAnsi"/>
                <w:w w:val="105"/>
                <w:sz w:val="20"/>
                <w:szCs w:val="20"/>
              </w:rPr>
              <w:t>&amp;</w:t>
            </w:r>
            <w:r w:rsidRPr="009F4E46">
              <w:rPr>
                <w:rFonts w:asciiTheme="majorHAnsi" w:hAnsiTheme="majorHAnsi"/>
                <w:spacing w:val="-14"/>
                <w:w w:val="105"/>
                <w:sz w:val="20"/>
                <w:szCs w:val="20"/>
              </w:rPr>
              <w:t xml:space="preserve"> </w:t>
            </w:r>
            <w:r w:rsidRPr="009F4E46">
              <w:rPr>
                <w:rFonts w:asciiTheme="majorHAnsi" w:hAnsiTheme="majorHAnsi"/>
                <w:w w:val="105"/>
                <w:sz w:val="20"/>
                <w:szCs w:val="20"/>
              </w:rPr>
              <w:t>8</w:t>
            </w:r>
          </w:p>
        </w:tc>
        <w:tc>
          <w:tcPr>
            <w:tcW w:w="1784" w:type="dxa"/>
            <w:shd w:val="clear" w:color="auto" w:fill="A95832"/>
          </w:tcPr>
          <w:p w14:paraId="08F304BB" w14:textId="77777777" w:rsidR="000E5E84" w:rsidRPr="00FE6CF8" w:rsidRDefault="000E5E84" w:rsidP="009F4E46">
            <w:pPr>
              <w:pStyle w:val="TableParagraph"/>
              <w:rPr>
                <w:rFonts w:asciiTheme="majorHAnsi" w:hAnsiTheme="majorHAnsi"/>
                <w:color w:val="FFFFFF" w:themeColor="background1"/>
                <w:sz w:val="20"/>
                <w:szCs w:val="20"/>
              </w:rPr>
            </w:pPr>
            <w:r w:rsidRPr="00FE6CF8">
              <w:rPr>
                <w:rFonts w:asciiTheme="majorHAnsi" w:hAnsiTheme="majorHAnsi"/>
                <w:b/>
                <w:bCs/>
                <w:color w:val="FFFFFF" w:themeColor="background1"/>
                <w:w w:val="105"/>
                <w:sz w:val="20"/>
                <w:szCs w:val="20"/>
              </w:rPr>
              <w:t>Housing and Infrastructure</w:t>
            </w:r>
            <w:r w:rsidRPr="00FE6CF8">
              <w:rPr>
                <w:rFonts w:asciiTheme="majorHAnsi" w:hAnsiTheme="majorHAnsi"/>
                <w:color w:val="FFFFFF" w:themeColor="background1"/>
                <w:w w:val="105"/>
                <w:sz w:val="20"/>
                <w:szCs w:val="20"/>
              </w:rPr>
              <w:t xml:space="preserve"> Outcomes</w:t>
            </w:r>
            <w:r w:rsidRPr="00FE6CF8">
              <w:rPr>
                <w:rFonts w:asciiTheme="majorHAnsi" w:hAnsiTheme="majorHAnsi"/>
                <w:color w:val="FFFFFF" w:themeColor="background1"/>
                <w:spacing w:val="-17"/>
                <w:w w:val="105"/>
                <w:sz w:val="20"/>
                <w:szCs w:val="20"/>
              </w:rPr>
              <w:t xml:space="preserve"> </w:t>
            </w:r>
            <w:r w:rsidRPr="00FE6CF8">
              <w:rPr>
                <w:rFonts w:asciiTheme="majorHAnsi" w:hAnsiTheme="majorHAnsi"/>
                <w:color w:val="FFFFFF" w:themeColor="background1"/>
                <w:w w:val="105"/>
                <w:sz w:val="20"/>
                <w:szCs w:val="20"/>
              </w:rPr>
              <w:t>9</w:t>
            </w:r>
            <w:r w:rsidRPr="00FE6CF8">
              <w:rPr>
                <w:rFonts w:asciiTheme="majorHAnsi" w:hAnsiTheme="majorHAnsi"/>
                <w:color w:val="FFFFFF" w:themeColor="background1"/>
                <w:spacing w:val="-16"/>
                <w:w w:val="105"/>
                <w:sz w:val="20"/>
                <w:szCs w:val="20"/>
              </w:rPr>
              <w:t xml:space="preserve"> </w:t>
            </w:r>
            <w:r w:rsidRPr="00FE6CF8">
              <w:rPr>
                <w:rFonts w:asciiTheme="majorHAnsi" w:hAnsiTheme="majorHAnsi"/>
                <w:color w:val="FFFFFF" w:themeColor="background1"/>
                <w:w w:val="105"/>
                <w:sz w:val="20"/>
                <w:szCs w:val="20"/>
              </w:rPr>
              <w:t>&amp;</w:t>
            </w:r>
            <w:r w:rsidRPr="00FE6CF8">
              <w:rPr>
                <w:rFonts w:asciiTheme="majorHAnsi" w:hAnsiTheme="majorHAnsi"/>
                <w:color w:val="FFFFFF" w:themeColor="background1"/>
                <w:spacing w:val="-16"/>
                <w:w w:val="105"/>
                <w:sz w:val="20"/>
                <w:szCs w:val="20"/>
              </w:rPr>
              <w:t xml:space="preserve"> </w:t>
            </w:r>
            <w:r w:rsidRPr="00FE6CF8">
              <w:rPr>
                <w:rFonts w:asciiTheme="majorHAnsi" w:hAnsiTheme="majorHAnsi"/>
                <w:color w:val="FFFFFF" w:themeColor="background1"/>
                <w:w w:val="105"/>
                <w:sz w:val="20"/>
                <w:szCs w:val="20"/>
              </w:rPr>
              <w:t>17</w:t>
            </w:r>
          </w:p>
        </w:tc>
        <w:tc>
          <w:tcPr>
            <w:tcW w:w="1784" w:type="dxa"/>
            <w:shd w:val="clear" w:color="auto" w:fill="007DAF"/>
          </w:tcPr>
          <w:p w14:paraId="6E093128" w14:textId="77777777" w:rsidR="000E5E84" w:rsidRPr="00FE6CF8" w:rsidRDefault="000E5E84" w:rsidP="009F4E46">
            <w:pPr>
              <w:pStyle w:val="TableParagraph"/>
              <w:rPr>
                <w:rFonts w:asciiTheme="majorHAnsi" w:hAnsiTheme="majorHAnsi"/>
                <w:b/>
                <w:bCs/>
                <w:color w:val="FFFFFF" w:themeColor="background1"/>
                <w:sz w:val="20"/>
                <w:szCs w:val="20"/>
              </w:rPr>
            </w:pPr>
            <w:r w:rsidRPr="00FE6CF8">
              <w:rPr>
                <w:rFonts w:asciiTheme="majorHAnsi" w:hAnsiTheme="majorHAnsi"/>
                <w:b/>
                <w:bCs/>
                <w:color w:val="FFFFFF" w:themeColor="background1"/>
                <w:sz w:val="20"/>
                <w:szCs w:val="20"/>
              </w:rPr>
              <w:t>Access</w:t>
            </w:r>
            <w:r w:rsidRPr="00FE6CF8">
              <w:rPr>
                <w:rFonts w:asciiTheme="majorHAnsi" w:hAnsiTheme="majorHAnsi"/>
                <w:b/>
                <w:bCs/>
                <w:color w:val="FFFFFF" w:themeColor="background1"/>
                <w:spacing w:val="-14"/>
                <w:sz w:val="20"/>
                <w:szCs w:val="20"/>
              </w:rPr>
              <w:t xml:space="preserve"> </w:t>
            </w:r>
            <w:r w:rsidRPr="00FE6CF8">
              <w:rPr>
                <w:rFonts w:asciiTheme="majorHAnsi" w:hAnsiTheme="majorHAnsi"/>
                <w:b/>
                <w:bCs/>
                <w:color w:val="FFFFFF" w:themeColor="background1"/>
                <w:sz w:val="20"/>
                <w:szCs w:val="20"/>
              </w:rPr>
              <w:t>to</w:t>
            </w:r>
            <w:r w:rsidRPr="00FE6CF8">
              <w:rPr>
                <w:rFonts w:asciiTheme="majorHAnsi" w:hAnsiTheme="majorHAnsi"/>
                <w:b/>
                <w:bCs/>
                <w:color w:val="FFFFFF" w:themeColor="background1"/>
                <w:spacing w:val="-13"/>
                <w:sz w:val="20"/>
                <w:szCs w:val="20"/>
              </w:rPr>
              <w:t xml:space="preserve"> </w:t>
            </w:r>
            <w:r w:rsidRPr="00FE6CF8">
              <w:rPr>
                <w:rFonts w:asciiTheme="majorHAnsi" w:hAnsiTheme="majorHAnsi"/>
                <w:b/>
                <w:bCs/>
                <w:color w:val="FFFFFF" w:themeColor="background1"/>
                <w:sz w:val="20"/>
                <w:szCs w:val="20"/>
              </w:rPr>
              <w:t>Justice</w:t>
            </w:r>
          </w:p>
          <w:p w14:paraId="71AFB757" w14:textId="77777777" w:rsidR="000E5E84" w:rsidRPr="009F4E46" w:rsidRDefault="000E5E84" w:rsidP="009F4E46">
            <w:pPr>
              <w:pStyle w:val="TableParagraph"/>
              <w:rPr>
                <w:rFonts w:asciiTheme="majorHAnsi" w:hAnsiTheme="majorHAnsi"/>
                <w:sz w:val="20"/>
                <w:szCs w:val="20"/>
              </w:rPr>
            </w:pPr>
            <w:r w:rsidRPr="00FE6CF8">
              <w:rPr>
                <w:rFonts w:asciiTheme="majorHAnsi" w:hAnsiTheme="majorHAnsi"/>
                <w:color w:val="FFFFFF" w:themeColor="background1"/>
                <w:sz w:val="20"/>
                <w:szCs w:val="20"/>
              </w:rPr>
              <w:t>Outcomes</w:t>
            </w:r>
            <w:r w:rsidRPr="00FE6CF8">
              <w:rPr>
                <w:rFonts w:asciiTheme="majorHAnsi" w:hAnsiTheme="majorHAnsi"/>
                <w:color w:val="FFFFFF" w:themeColor="background1"/>
                <w:spacing w:val="9"/>
                <w:sz w:val="20"/>
                <w:szCs w:val="20"/>
              </w:rPr>
              <w:t xml:space="preserve"> </w:t>
            </w:r>
            <w:r w:rsidRPr="00FE6CF8">
              <w:rPr>
                <w:rFonts w:asciiTheme="majorHAnsi" w:hAnsiTheme="majorHAnsi"/>
                <w:color w:val="FFFFFF" w:themeColor="background1"/>
                <w:sz w:val="20"/>
                <w:szCs w:val="20"/>
              </w:rPr>
              <w:t>10</w:t>
            </w:r>
            <w:r w:rsidRPr="00FE6CF8">
              <w:rPr>
                <w:rFonts w:asciiTheme="majorHAnsi" w:hAnsiTheme="majorHAnsi"/>
                <w:color w:val="FFFFFF" w:themeColor="background1"/>
                <w:spacing w:val="10"/>
                <w:sz w:val="20"/>
                <w:szCs w:val="20"/>
              </w:rPr>
              <w:t xml:space="preserve"> </w:t>
            </w:r>
            <w:r w:rsidRPr="00FE6CF8">
              <w:rPr>
                <w:rFonts w:asciiTheme="majorHAnsi" w:hAnsiTheme="majorHAnsi"/>
                <w:color w:val="FFFFFF" w:themeColor="background1"/>
                <w:sz w:val="20"/>
                <w:szCs w:val="20"/>
              </w:rPr>
              <w:t>&amp;</w:t>
            </w:r>
            <w:r w:rsidRPr="00FE6CF8">
              <w:rPr>
                <w:rFonts w:asciiTheme="majorHAnsi" w:hAnsiTheme="majorHAnsi"/>
                <w:color w:val="FFFFFF" w:themeColor="background1"/>
                <w:spacing w:val="10"/>
                <w:sz w:val="20"/>
                <w:szCs w:val="20"/>
              </w:rPr>
              <w:t xml:space="preserve"> </w:t>
            </w:r>
            <w:r w:rsidRPr="00FE6CF8">
              <w:rPr>
                <w:rFonts w:asciiTheme="majorHAnsi" w:hAnsiTheme="majorHAnsi"/>
                <w:color w:val="FFFFFF" w:themeColor="background1"/>
                <w:spacing w:val="-5"/>
                <w:sz w:val="20"/>
                <w:szCs w:val="20"/>
              </w:rPr>
              <w:t>11</w:t>
            </w:r>
          </w:p>
        </w:tc>
        <w:tc>
          <w:tcPr>
            <w:tcW w:w="1784" w:type="dxa"/>
            <w:shd w:val="clear" w:color="auto" w:fill="95261A"/>
          </w:tcPr>
          <w:p w14:paraId="7D198434" w14:textId="77777777" w:rsidR="000E5E84" w:rsidRPr="005D48E9" w:rsidRDefault="000E5E84" w:rsidP="009F4E46">
            <w:pPr>
              <w:pStyle w:val="TableParagraph"/>
              <w:rPr>
                <w:rFonts w:asciiTheme="majorHAnsi" w:hAnsiTheme="majorHAnsi"/>
                <w:b/>
                <w:bCs/>
                <w:color w:val="F6F6F6"/>
                <w:sz w:val="20"/>
                <w:szCs w:val="20"/>
              </w:rPr>
            </w:pPr>
            <w:r w:rsidRPr="005D48E9">
              <w:rPr>
                <w:rFonts w:asciiTheme="majorHAnsi" w:hAnsiTheme="majorHAnsi"/>
                <w:b/>
                <w:bCs/>
                <w:color w:val="F6F6F6"/>
                <w:sz w:val="20"/>
                <w:szCs w:val="20"/>
              </w:rPr>
              <w:t>Families</w:t>
            </w:r>
            <w:r w:rsidRPr="005D48E9">
              <w:rPr>
                <w:rFonts w:asciiTheme="majorHAnsi" w:hAnsiTheme="majorHAnsi"/>
                <w:b/>
                <w:bCs/>
                <w:color w:val="F6F6F6"/>
                <w:spacing w:val="8"/>
                <w:sz w:val="20"/>
                <w:szCs w:val="20"/>
              </w:rPr>
              <w:t xml:space="preserve"> </w:t>
            </w:r>
            <w:r w:rsidRPr="005D48E9">
              <w:rPr>
                <w:rFonts w:asciiTheme="majorHAnsi" w:hAnsiTheme="majorHAnsi"/>
                <w:b/>
                <w:bCs/>
                <w:color w:val="F6F6F6"/>
                <w:sz w:val="20"/>
                <w:szCs w:val="20"/>
              </w:rPr>
              <w:t>and</w:t>
            </w:r>
            <w:r w:rsidRPr="005D48E9">
              <w:rPr>
                <w:rFonts w:asciiTheme="majorHAnsi" w:hAnsiTheme="majorHAnsi"/>
                <w:b/>
                <w:bCs/>
                <w:color w:val="F6F6F6"/>
                <w:spacing w:val="9"/>
                <w:sz w:val="20"/>
                <w:szCs w:val="20"/>
              </w:rPr>
              <w:t xml:space="preserve"> </w:t>
            </w:r>
            <w:r w:rsidRPr="005D48E9">
              <w:rPr>
                <w:rFonts w:asciiTheme="majorHAnsi" w:hAnsiTheme="majorHAnsi"/>
                <w:b/>
                <w:bCs/>
                <w:color w:val="F6F6F6"/>
                <w:spacing w:val="-5"/>
                <w:sz w:val="20"/>
                <w:szCs w:val="20"/>
              </w:rPr>
              <w:t>Kin</w:t>
            </w:r>
          </w:p>
          <w:p w14:paraId="56F1CBFB" w14:textId="77777777" w:rsidR="000E5E84" w:rsidRPr="005D48E9" w:rsidRDefault="000E5E84" w:rsidP="009F4E46">
            <w:pPr>
              <w:pStyle w:val="TableParagraph"/>
              <w:rPr>
                <w:rFonts w:asciiTheme="majorHAnsi" w:hAnsiTheme="majorHAnsi"/>
                <w:color w:val="F6F6F6"/>
                <w:sz w:val="20"/>
                <w:szCs w:val="20"/>
              </w:rPr>
            </w:pPr>
            <w:r w:rsidRPr="005D48E9">
              <w:rPr>
                <w:rFonts w:asciiTheme="majorHAnsi" w:hAnsiTheme="majorHAnsi"/>
                <w:color w:val="F6F6F6"/>
                <w:sz w:val="20"/>
                <w:szCs w:val="20"/>
              </w:rPr>
              <w:t>Outcomes</w:t>
            </w:r>
            <w:r w:rsidRPr="005D48E9">
              <w:rPr>
                <w:rFonts w:asciiTheme="majorHAnsi" w:hAnsiTheme="majorHAnsi"/>
                <w:color w:val="F6F6F6"/>
                <w:spacing w:val="1"/>
                <w:sz w:val="20"/>
                <w:szCs w:val="20"/>
              </w:rPr>
              <w:t xml:space="preserve"> </w:t>
            </w:r>
            <w:r w:rsidRPr="005D48E9">
              <w:rPr>
                <w:rFonts w:asciiTheme="majorHAnsi" w:hAnsiTheme="majorHAnsi"/>
                <w:color w:val="F6F6F6"/>
                <w:sz w:val="20"/>
                <w:szCs w:val="20"/>
              </w:rPr>
              <w:t>12</w:t>
            </w:r>
            <w:r w:rsidRPr="005D48E9">
              <w:rPr>
                <w:rFonts w:asciiTheme="majorHAnsi" w:hAnsiTheme="majorHAnsi"/>
                <w:color w:val="F6F6F6"/>
                <w:spacing w:val="1"/>
                <w:sz w:val="20"/>
                <w:szCs w:val="20"/>
              </w:rPr>
              <w:t xml:space="preserve"> </w:t>
            </w:r>
            <w:r w:rsidRPr="005D48E9">
              <w:rPr>
                <w:rFonts w:asciiTheme="majorHAnsi" w:hAnsiTheme="majorHAnsi"/>
                <w:color w:val="F6F6F6"/>
                <w:sz w:val="20"/>
                <w:szCs w:val="20"/>
              </w:rPr>
              <w:t>&amp;</w:t>
            </w:r>
            <w:r w:rsidRPr="005D48E9">
              <w:rPr>
                <w:rFonts w:asciiTheme="majorHAnsi" w:hAnsiTheme="majorHAnsi"/>
                <w:color w:val="F6F6F6"/>
                <w:spacing w:val="1"/>
                <w:sz w:val="20"/>
                <w:szCs w:val="20"/>
              </w:rPr>
              <w:t xml:space="preserve"> </w:t>
            </w:r>
            <w:r w:rsidRPr="005D48E9">
              <w:rPr>
                <w:rFonts w:asciiTheme="majorHAnsi" w:hAnsiTheme="majorHAnsi"/>
                <w:color w:val="F6F6F6"/>
                <w:spacing w:val="-5"/>
                <w:sz w:val="20"/>
                <w:szCs w:val="20"/>
              </w:rPr>
              <w:t>13</w:t>
            </w:r>
          </w:p>
        </w:tc>
        <w:tc>
          <w:tcPr>
            <w:tcW w:w="1784" w:type="dxa"/>
            <w:shd w:val="clear" w:color="auto" w:fill="76C7C7"/>
          </w:tcPr>
          <w:p w14:paraId="152B3739" w14:textId="77777777" w:rsidR="000E5E84" w:rsidRPr="009F4E46" w:rsidRDefault="000E5E84" w:rsidP="009F4E46">
            <w:pPr>
              <w:pStyle w:val="TableParagraph"/>
              <w:rPr>
                <w:rFonts w:asciiTheme="majorHAnsi" w:hAnsiTheme="majorHAnsi"/>
                <w:sz w:val="20"/>
                <w:szCs w:val="20"/>
              </w:rPr>
            </w:pPr>
            <w:r w:rsidRPr="009F4E46">
              <w:rPr>
                <w:rFonts w:asciiTheme="majorHAnsi" w:hAnsiTheme="majorHAnsi"/>
                <w:b/>
                <w:bCs/>
                <w:w w:val="105"/>
                <w:sz w:val="20"/>
                <w:szCs w:val="20"/>
              </w:rPr>
              <w:t xml:space="preserve">Connection to </w:t>
            </w:r>
            <w:r w:rsidRPr="009F4E46">
              <w:rPr>
                <w:rFonts w:asciiTheme="majorHAnsi" w:hAnsiTheme="majorHAnsi"/>
                <w:b/>
                <w:bCs/>
                <w:spacing w:val="-2"/>
                <w:w w:val="105"/>
                <w:sz w:val="20"/>
                <w:szCs w:val="20"/>
              </w:rPr>
              <w:t>Country,</w:t>
            </w:r>
            <w:r w:rsidRPr="009F4E46">
              <w:rPr>
                <w:rFonts w:asciiTheme="majorHAnsi" w:hAnsiTheme="majorHAnsi"/>
                <w:b/>
                <w:bCs/>
                <w:spacing w:val="-15"/>
                <w:w w:val="105"/>
                <w:sz w:val="20"/>
                <w:szCs w:val="20"/>
              </w:rPr>
              <w:t xml:space="preserve"> </w:t>
            </w:r>
            <w:r w:rsidRPr="009F4E46">
              <w:rPr>
                <w:rFonts w:asciiTheme="majorHAnsi" w:hAnsiTheme="majorHAnsi"/>
                <w:b/>
                <w:bCs/>
                <w:spacing w:val="-2"/>
                <w:w w:val="105"/>
                <w:sz w:val="20"/>
                <w:szCs w:val="20"/>
              </w:rPr>
              <w:t xml:space="preserve">Culture </w:t>
            </w:r>
            <w:r w:rsidRPr="009F4E46">
              <w:rPr>
                <w:rFonts w:asciiTheme="majorHAnsi" w:hAnsiTheme="majorHAnsi"/>
                <w:b/>
                <w:bCs/>
                <w:w w:val="105"/>
                <w:sz w:val="20"/>
                <w:szCs w:val="20"/>
              </w:rPr>
              <w:t>and Languages</w:t>
            </w:r>
            <w:r w:rsidRPr="009F4E46">
              <w:rPr>
                <w:rFonts w:asciiTheme="majorHAnsi" w:hAnsiTheme="majorHAnsi"/>
                <w:w w:val="105"/>
                <w:sz w:val="20"/>
                <w:szCs w:val="20"/>
              </w:rPr>
              <w:t xml:space="preserve"> </w:t>
            </w:r>
            <w:r w:rsidRPr="009F4E46">
              <w:rPr>
                <w:rFonts w:asciiTheme="majorHAnsi" w:hAnsiTheme="majorHAnsi"/>
                <w:sz w:val="20"/>
                <w:szCs w:val="20"/>
              </w:rPr>
              <w:t>Outcomes</w:t>
            </w:r>
            <w:r w:rsidRPr="009F4E46">
              <w:rPr>
                <w:rFonts w:asciiTheme="majorHAnsi" w:hAnsiTheme="majorHAnsi"/>
                <w:spacing w:val="-17"/>
                <w:sz w:val="20"/>
                <w:szCs w:val="20"/>
              </w:rPr>
              <w:t xml:space="preserve"> </w:t>
            </w:r>
            <w:r w:rsidRPr="009F4E46">
              <w:rPr>
                <w:rFonts w:asciiTheme="majorHAnsi" w:hAnsiTheme="majorHAnsi"/>
                <w:sz w:val="20"/>
                <w:szCs w:val="20"/>
              </w:rPr>
              <w:t>15</w:t>
            </w:r>
            <w:r w:rsidRPr="009F4E46">
              <w:rPr>
                <w:rFonts w:asciiTheme="majorHAnsi" w:hAnsiTheme="majorHAnsi"/>
                <w:spacing w:val="-17"/>
                <w:sz w:val="20"/>
                <w:szCs w:val="20"/>
              </w:rPr>
              <w:t xml:space="preserve"> </w:t>
            </w:r>
            <w:r w:rsidRPr="009F4E46">
              <w:rPr>
                <w:rFonts w:asciiTheme="majorHAnsi" w:hAnsiTheme="majorHAnsi"/>
                <w:sz w:val="20"/>
                <w:szCs w:val="20"/>
              </w:rPr>
              <w:t>&amp;</w:t>
            </w:r>
            <w:r w:rsidRPr="009F4E46">
              <w:rPr>
                <w:rFonts w:asciiTheme="majorHAnsi" w:hAnsiTheme="majorHAnsi"/>
                <w:spacing w:val="-17"/>
                <w:sz w:val="20"/>
                <w:szCs w:val="20"/>
              </w:rPr>
              <w:t xml:space="preserve"> </w:t>
            </w:r>
            <w:r w:rsidRPr="009F4E46">
              <w:rPr>
                <w:rFonts w:asciiTheme="majorHAnsi" w:hAnsiTheme="majorHAnsi"/>
                <w:sz w:val="20"/>
                <w:szCs w:val="20"/>
              </w:rPr>
              <w:t>16</w:t>
            </w:r>
          </w:p>
        </w:tc>
      </w:tr>
      <w:tr w:rsidR="006F19C1" w:rsidRPr="0085252C" w14:paraId="63B60599" w14:textId="77777777" w:rsidTr="009F4E46">
        <w:trPr>
          <w:trHeight w:val="551"/>
        </w:trPr>
        <w:tc>
          <w:tcPr>
            <w:tcW w:w="3119" w:type="dxa"/>
          </w:tcPr>
          <w:p w14:paraId="2C8503D6" w14:textId="065DD14A" w:rsidR="000E5E84" w:rsidRPr="0085252C" w:rsidRDefault="000050CA" w:rsidP="009F4E46">
            <w:pPr>
              <w:spacing w:after="0" w:line="240" w:lineRule="auto"/>
              <w:rPr>
                <w:rFonts w:asciiTheme="majorHAnsi" w:hAnsiTheme="majorHAnsi"/>
                <w:sz w:val="20"/>
                <w:szCs w:val="20"/>
              </w:rPr>
            </w:pPr>
            <w:r w:rsidRPr="0085252C">
              <w:rPr>
                <w:rFonts w:asciiTheme="majorHAnsi" w:hAnsiTheme="majorHAnsi"/>
                <w:sz w:val="20"/>
                <w:szCs w:val="20"/>
              </w:rPr>
              <w:t>Justice Policy Partnership</w:t>
            </w:r>
          </w:p>
        </w:tc>
        <w:tc>
          <w:tcPr>
            <w:tcW w:w="1784" w:type="dxa"/>
          </w:tcPr>
          <w:p w14:paraId="05F0FCF7"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09254981"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76818F0F"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635A314D"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162244BF"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3BB40AD6"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0510771B" w14:textId="77777777" w:rsidR="000E5E84" w:rsidRPr="0085252C" w:rsidRDefault="000E5E84" w:rsidP="009F4E46">
            <w:pPr>
              <w:spacing w:after="0" w:line="240" w:lineRule="auto"/>
              <w:jc w:val="center"/>
              <w:rPr>
                <w:rFonts w:asciiTheme="majorHAnsi" w:hAnsiTheme="majorHAnsi"/>
                <w:b/>
                <w:bCs/>
                <w:sz w:val="20"/>
                <w:szCs w:val="20"/>
              </w:rPr>
            </w:pPr>
          </w:p>
        </w:tc>
      </w:tr>
      <w:tr w:rsidR="00BD414A" w:rsidRPr="0085252C" w14:paraId="4D69CE4F" w14:textId="77777777" w:rsidTr="009F4E46">
        <w:trPr>
          <w:trHeight w:val="551"/>
        </w:trPr>
        <w:tc>
          <w:tcPr>
            <w:tcW w:w="3119" w:type="dxa"/>
          </w:tcPr>
          <w:p w14:paraId="5901A0A9"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NAJP Closing the Gap Engagement Forum</w:t>
            </w:r>
          </w:p>
        </w:tc>
        <w:tc>
          <w:tcPr>
            <w:tcW w:w="1784" w:type="dxa"/>
          </w:tcPr>
          <w:p w14:paraId="2E7D6AAF"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1C7275A5"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6E180C03"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2B91BD76"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111E20C7"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4BDC1BA7"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561DB9B2" w14:textId="77777777" w:rsidR="000E5E84" w:rsidRPr="0085252C" w:rsidRDefault="000E5E84" w:rsidP="009F4E46">
            <w:pPr>
              <w:spacing w:after="0" w:line="240" w:lineRule="auto"/>
              <w:jc w:val="center"/>
              <w:rPr>
                <w:rFonts w:asciiTheme="majorHAnsi" w:hAnsiTheme="majorHAnsi"/>
                <w:b/>
                <w:bCs/>
                <w:sz w:val="20"/>
                <w:szCs w:val="20"/>
              </w:rPr>
            </w:pPr>
          </w:p>
        </w:tc>
      </w:tr>
      <w:tr w:rsidR="00BD414A" w:rsidRPr="0085252C" w14:paraId="52DFF5FE" w14:textId="77777777" w:rsidTr="009F4E46">
        <w:trPr>
          <w:trHeight w:val="551"/>
        </w:trPr>
        <w:tc>
          <w:tcPr>
            <w:tcW w:w="3119" w:type="dxa"/>
          </w:tcPr>
          <w:p w14:paraId="6F1C9512"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Partnership between the ABC and First Languages Australia</w:t>
            </w:r>
          </w:p>
        </w:tc>
        <w:tc>
          <w:tcPr>
            <w:tcW w:w="1784" w:type="dxa"/>
          </w:tcPr>
          <w:p w14:paraId="368FD4B7"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46E05004"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266A73A2"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5CE2E0F2"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06DC8E9E"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5657E9B0"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05ACD7D0"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0C96FA0B" w14:textId="77777777" w:rsidTr="009F4E46">
        <w:trPr>
          <w:trHeight w:val="551"/>
        </w:trPr>
        <w:tc>
          <w:tcPr>
            <w:tcW w:w="3119" w:type="dxa"/>
          </w:tcPr>
          <w:p w14:paraId="74ECEA49"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Partnership between the ABC and First Nations Media Australia</w:t>
            </w:r>
          </w:p>
        </w:tc>
        <w:tc>
          <w:tcPr>
            <w:tcW w:w="1784" w:type="dxa"/>
          </w:tcPr>
          <w:p w14:paraId="3FE4EAA1"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4C0A02EC"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371EE8CF"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37D61535"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2AF85B16"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14CB23C0"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50273E89"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464F7881" w14:textId="77777777" w:rsidTr="009F4E46">
        <w:trPr>
          <w:trHeight w:val="551"/>
        </w:trPr>
        <w:tc>
          <w:tcPr>
            <w:tcW w:w="3119" w:type="dxa"/>
          </w:tcPr>
          <w:p w14:paraId="17033D88"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 xml:space="preserve">Mud Crabs </w:t>
            </w:r>
            <w:r w:rsidRPr="0085252C">
              <w:rPr>
                <w:rFonts w:ascii="Cambria Math" w:hAnsi="Cambria Math" w:cs="Cambria Math"/>
                <w:sz w:val="20"/>
                <w:szCs w:val="20"/>
              </w:rPr>
              <w:t>‑</w:t>
            </w:r>
            <w:r w:rsidRPr="0085252C">
              <w:rPr>
                <w:rFonts w:asciiTheme="majorHAnsi" w:hAnsiTheme="majorHAnsi"/>
                <w:sz w:val="20"/>
                <w:szCs w:val="20"/>
              </w:rPr>
              <w:t xml:space="preserve"> On Country Seafood and CSIRO</w:t>
            </w:r>
          </w:p>
        </w:tc>
        <w:tc>
          <w:tcPr>
            <w:tcW w:w="1784" w:type="dxa"/>
          </w:tcPr>
          <w:p w14:paraId="725C5375"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5AFAB387"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5EC61DFA"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7178FB26"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4947E042"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65731CC4"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0C236E69"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6AC06345" w14:textId="77777777" w:rsidTr="009F4E46">
        <w:trPr>
          <w:trHeight w:val="551"/>
        </w:trPr>
        <w:tc>
          <w:tcPr>
            <w:tcW w:w="3119" w:type="dxa"/>
          </w:tcPr>
          <w:p w14:paraId="71CEB5D7"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Monitoring Sea Country Indigenous Protected Area</w:t>
            </w:r>
          </w:p>
        </w:tc>
        <w:tc>
          <w:tcPr>
            <w:tcW w:w="1784" w:type="dxa"/>
          </w:tcPr>
          <w:p w14:paraId="2222F62A"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324A62E1"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6AC01F5D"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67801384"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37799BE6"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4F5EA470"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7CD74D60"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6371B1" w:rsidRPr="0085252C" w14:paraId="7D863E2F" w14:textId="77777777" w:rsidTr="009F4E46">
        <w:trPr>
          <w:trHeight w:val="551"/>
        </w:trPr>
        <w:tc>
          <w:tcPr>
            <w:tcW w:w="3119" w:type="dxa"/>
          </w:tcPr>
          <w:p w14:paraId="71AD3098"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Partnership for integrating halophytes with low</w:t>
            </w:r>
            <w:r w:rsidRPr="0085252C">
              <w:rPr>
                <w:rFonts w:ascii="Cambria Math" w:hAnsi="Cambria Math" w:cs="Cambria Math"/>
                <w:sz w:val="20"/>
                <w:szCs w:val="20"/>
              </w:rPr>
              <w:t>‑</w:t>
            </w:r>
            <w:r w:rsidRPr="0085252C">
              <w:rPr>
                <w:rFonts w:asciiTheme="majorHAnsi" w:hAnsiTheme="majorHAnsi"/>
                <w:sz w:val="20"/>
                <w:szCs w:val="20"/>
              </w:rPr>
              <w:t>input prawn farming</w:t>
            </w:r>
          </w:p>
        </w:tc>
        <w:tc>
          <w:tcPr>
            <w:tcW w:w="1784" w:type="dxa"/>
          </w:tcPr>
          <w:p w14:paraId="1C2E31F4"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333F257F"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188E5A65"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282EA5B1"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20973857"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64592E8E"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4C5BEC54" w14:textId="77777777" w:rsidR="000E5E84" w:rsidRPr="0085252C" w:rsidRDefault="000E5E84" w:rsidP="009F4E46">
            <w:pPr>
              <w:spacing w:after="0" w:line="240" w:lineRule="auto"/>
              <w:jc w:val="center"/>
              <w:rPr>
                <w:rFonts w:asciiTheme="majorHAnsi" w:hAnsiTheme="majorHAnsi"/>
                <w:b/>
                <w:bCs/>
                <w:sz w:val="20"/>
                <w:szCs w:val="20"/>
              </w:rPr>
            </w:pPr>
          </w:p>
        </w:tc>
      </w:tr>
      <w:tr w:rsidR="00BD414A" w:rsidRPr="0085252C" w14:paraId="4170CD7E" w14:textId="77777777" w:rsidTr="009F4E46">
        <w:trPr>
          <w:trHeight w:val="551"/>
        </w:trPr>
        <w:tc>
          <w:tcPr>
            <w:tcW w:w="3119" w:type="dxa"/>
          </w:tcPr>
          <w:p w14:paraId="220C91F4"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 xml:space="preserve">First Nations leadership in environmental watering on </w:t>
            </w:r>
            <w:proofErr w:type="spellStart"/>
            <w:r w:rsidRPr="0085252C">
              <w:rPr>
                <w:rFonts w:asciiTheme="majorHAnsi" w:hAnsiTheme="majorHAnsi"/>
                <w:sz w:val="20"/>
                <w:szCs w:val="20"/>
              </w:rPr>
              <w:t>Djandak</w:t>
            </w:r>
            <w:proofErr w:type="spellEnd"/>
          </w:p>
        </w:tc>
        <w:tc>
          <w:tcPr>
            <w:tcW w:w="1784" w:type="dxa"/>
          </w:tcPr>
          <w:p w14:paraId="5748014D"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0066C1A4"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011F5BD1"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2B120CFD"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6E890044"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18DC1243"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4DB55AFF"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0D9A2423" w14:textId="77777777" w:rsidTr="009F4E46">
        <w:trPr>
          <w:trHeight w:val="551"/>
        </w:trPr>
        <w:tc>
          <w:tcPr>
            <w:tcW w:w="3119" w:type="dxa"/>
          </w:tcPr>
          <w:p w14:paraId="1F8820FC"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 xml:space="preserve">Environmental water delivery on Yorta </w:t>
            </w:r>
            <w:proofErr w:type="spellStart"/>
            <w:r w:rsidRPr="0085252C">
              <w:rPr>
                <w:rFonts w:asciiTheme="majorHAnsi" w:hAnsiTheme="majorHAnsi"/>
                <w:sz w:val="20"/>
                <w:szCs w:val="20"/>
              </w:rPr>
              <w:t>Yorta</w:t>
            </w:r>
            <w:proofErr w:type="spellEnd"/>
            <w:r w:rsidRPr="0085252C">
              <w:rPr>
                <w:rFonts w:asciiTheme="majorHAnsi" w:hAnsiTheme="majorHAnsi"/>
                <w:sz w:val="20"/>
                <w:szCs w:val="20"/>
              </w:rPr>
              <w:t xml:space="preserve"> Country</w:t>
            </w:r>
          </w:p>
        </w:tc>
        <w:tc>
          <w:tcPr>
            <w:tcW w:w="1784" w:type="dxa"/>
          </w:tcPr>
          <w:p w14:paraId="44661E97"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1CB065CB"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363DD58B"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7D360331"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1C257CDE"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6534131C"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19CDF76F"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1926C062" w14:textId="77777777" w:rsidTr="009F4E46">
        <w:trPr>
          <w:trHeight w:val="551"/>
        </w:trPr>
        <w:tc>
          <w:tcPr>
            <w:tcW w:w="3119" w:type="dxa"/>
          </w:tcPr>
          <w:p w14:paraId="6D68F8C7"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First Nations Heritage Protection Partnership</w:t>
            </w:r>
          </w:p>
        </w:tc>
        <w:tc>
          <w:tcPr>
            <w:tcW w:w="1784" w:type="dxa"/>
          </w:tcPr>
          <w:p w14:paraId="6F1CCE9F"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3F2F8BFE"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1E1A6E36"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7702C669"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40829E35"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6DFC3F07"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010ADF57"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7144D2DA" w14:textId="77777777" w:rsidTr="009F4E46">
        <w:trPr>
          <w:trHeight w:val="551"/>
        </w:trPr>
        <w:tc>
          <w:tcPr>
            <w:tcW w:w="3119" w:type="dxa"/>
          </w:tcPr>
          <w:p w14:paraId="7EAF36C8"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Great Barrier Reef Traditional Owner Taskforce</w:t>
            </w:r>
          </w:p>
        </w:tc>
        <w:tc>
          <w:tcPr>
            <w:tcW w:w="1784" w:type="dxa"/>
          </w:tcPr>
          <w:p w14:paraId="22D5916E"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7638E114"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7F1FBE56"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7FD5F607"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4E4C766F"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66685EF5"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4D0FC6A7"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254E4DD4" w14:textId="77777777" w:rsidTr="009F4E46">
        <w:trPr>
          <w:trHeight w:val="551"/>
        </w:trPr>
        <w:tc>
          <w:tcPr>
            <w:tcW w:w="3119" w:type="dxa"/>
          </w:tcPr>
          <w:p w14:paraId="7859DB65"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lastRenderedPageBreak/>
              <w:t>Inland Waters Target 15c Working Group</w:t>
            </w:r>
          </w:p>
        </w:tc>
        <w:tc>
          <w:tcPr>
            <w:tcW w:w="1784" w:type="dxa"/>
          </w:tcPr>
          <w:p w14:paraId="2A42A89B"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5A4AFFF9"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0A4AE01B"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75842DD1"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6ADEAC1A"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7B7D40FA"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0F32A771"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6371B1" w:rsidRPr="0085252C" w14:paraId="7F5101CA" w14:textId="77777777" w:rsidTr="009F4E46">
        <w:trPr>
          <w:trHeight w:val="551"/>
        </w:trPr>
        <w:tc>
          <w:tcPr>
            <w:tcW w:w="3119" w:type="dxa"/>
          </w:tcPr>
          <w:p w14:paraId="480C8533"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Connected Beginnings Advisory Group</w:t>
            </w:r>
          </w:p>
        </w:tc>
        <w:tc>
          <w:tcPr>
            <w:tcW w:w="1784" w:type="dxa"/>
            <w:shd w:val="clear" w:color="auto" w:fill="F2F2F2" w:themeFill="background1" w:themeFillShade="F2"/>
          </w:tcPr>
          <w:p w14:paraId="235EBE6F"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4BC780D"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4D564863"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0223EA9D"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36EC4B0C"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2207E62D"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24161C86" w14:textId="77777777" w:rsidR="000E5E84" w:rsidRPr="0085252C" w:rsidRDefault="000E5E84" w:rsidP="009F4E46">
            <w:pPr>
              <w:spacing w:after="0" w:line="240" w:lineRule="auto"/>
              <w:jc w:val="center"/>
              <w:rPr>
                <w:rFonts w:asciiTheme="majorHAnsi" w:hAnsiTheme="majorHAnsi"/>
                <w:b/>
                <w:bCs/>
                <w:sz w:val="20"/>
                <w:szCs w:val="20"/>
              </w:rPr>
            </w:pPr>
          </w:p>
        </w:tc>
      </w:tr>
      <w:tr w:rsidR="00BD414A" w:rsidRPr="0085252C" w14:paraId="6B98AABB" w14:textId="77777777" w:rsidTr="009F4E46">
        <w:trPr>
          <w:trHeight w:val="551"/>
        </w:trPr>
        <w:tc>
          <w:tcPr>
            <w:tcW w:w="3119" w:type="dxa"/>
          </w:tcPr>
          <w:p w14:paraId="61BE9CAA"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Early Childhood Care and Development Policy Partnership</w:t>
            </w:r>
          </w:p>
        </w:tc>
        <w:tc>
          <w:tcPr>
            <w:tcW w:w="1784" w:type="dxa"/>
            <w:shd w:val="clear" w:color="auto" w:fill="F2F2F2" w:themeFill="background1" w:themeFillShade="F2"/>
          </w:tcPr>
          <w:p w14:paraId="688D1061"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6BA454A"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3300D883"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427EEF02"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1AA3FC44"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20117CB2"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59E970C9" w14:textId="77777777" w:rsidR="000E5E84" w:rsidRPr="0085252C" w:rsidRDefault="000E5E84" w:rsidP="009F4E46">
            <w:pPr>
              <w:spacing w:after="0" w:line="240" w:lineRule="auto"/>
              <w:jc w:val="center"/>
              <w:rPr>
                <w:rFonts w:asciiTheme="majorHAnsi" w:hAnsiTheme="majorHAnsi"/>
                <w:b/>
                <w:bCs/>
                <w:sz w:val="20"/>
                <w:szCs w:val="20"/>
              </w:rPr>
            </w:pPr>
          </w:p>
        </w:tc>
      </w:tr>
      <w:tr w:rsidR="00BD414A" w:rsidRPr="0085252C" w14:paraId="09E60CE9" w14:textId="77777777" w:rsidTr="009F4E46">
        <w:trPr>
          <w:trHeight w:val="551"/>
        </w:trPr>
        <w:tc>
          <w:tcPr>
            <w:tcW w:w="3119" w:type="dxa"/>
          </w:tcPr>
          <w:p w14:paraId="5ADAAE5C"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Partnership between the Department of Education and NATSIEC</w:t>
            </w:r>
          </w:p>
        </w:tc>
        <w:tc>
          <w:tcPr>
            <w:tcW w:w="1784" w:type="dxa"/>
            <w:shd w:val="clear" w:color="auto" w:fill="F2F2F2" w:themeFill="background1" w:themeFillShade="F2"/>
          </w:tcPr>
          <w:p w14:paraId="125FE4F4"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3DF1CD7"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162206D"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4C82B18A"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4CE1E0F6"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10801171"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1C29C7E3"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6371B1" w:rsidRPr="0085252C" w14:paraId="34791795" w14:textId="77777777" w:rsidTr="009F4E46">
        <w:trPr>
          <w:trHeight w:val="551"/>
        </w:trPr>
        <w:tc>
          <w:tcPr>
            <w:tcW w:w="3119" w:type="dxa"/>
          </w:tcPr>
          <w:p w14:paraId="5989F805" w14:textId="77777777" w:rsidR="000E5E84" w:rsidRPr="0085252C" w:rsidRDefault="000E5E84" w:rsidP="009F4E46">
            <w:pPr>
              <w:spacing w:after="0" w:line="240" w:lineRule="auto"/>
              <w:rPr>
                <w:rFonts w:asciiTheme="majorHAnsi" w:hAnsiTheme="majorHAnsi"/>
                <w:sz w:val="20"/>
                <w:szCs w:val="20"/>
              </w:rPr>
            </w:pPr>
            <w:r w:rsidRPr="0085252C">
              <w:rPr>
                <w:rFonts w:asciiTheme="majorHAnsi" w:hAnsiTheme="majorHAnsi"/>
                <w:sz w:val="20"/>
                <w:szCs w:val="20"/>
              </w:rPr>
              <w:t>Partnership between the Department of Education and SNAICC</w:t>
            </w:r>
          </w:p>
        </w:tc>
        <w:tc>
          <w:tcPr>
            <w:tcW w:w="1784" w:type="dxa"/>
          </w:tcPr>
          <w:p w14:paraId="1CFCCC8F"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29403D47" w14:textId="77777777" w:rsidR="000E5E84" w:rsidRPr="0085252C" w:rsidRDefault="000E5E84"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207B9088"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3F646CAD"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0AA9F654"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355BA0F3" w14:textId="77777777" w:rsidR="000E5E84" w:rsidRPr="0085252C" w:rsidRDefault="000E5E84" w:rsidP="009F4E46">
            <w:pPr>
              <w:spacing w:after="0" w:line="240" w:lineRule="auto"/>
              <w:jc w:val="center"/>
              <w:rPr>
                <w:rFonts w:asciiTheme="majorHAnsi" w:hAnsiTheme="majorHAnsi"/>
                <w:b/>
                <w:bCs/>
                <w:sz w:val="20"/>
                <w:szCs w:val="20"/>
              </w:rPr>
            </w:pPr>
          </w:p>
        </w:tc>
        <w:tc>
          <w:tcPr>
            <w:tcW w:w="1784" w:type="dxa"/>
          </w:tcPr>
          <w:p w14:paraId="173A591B" w14:textId="77777777" w:rsidR="000E5E84" w:rsidRPr="0085252C" w:rsidRDefault="000E5E84" w:rsidP="009F4E46">
            <w:pPr>
              <w:spacing w:after="0" w:line="240" w:lineRule="auto"/>
              <w:jc w:val="center"/>
              <w:rPr>
                <w:rFonts w:asciiTheme="majorHAnsi" w:hAnsiTheme="majorHAnsi"/>
                <w:b/>
                <w:bCs/>
                <w:sz w:val="20"/>
                <w:szCs w:val="20"/>
              </w:rPr>
            </w:pPr>
          </w:p>
        </w:tc>
      </w:tr>
      <w:tr w:rsidR="006371B1" w:rsidRPr="0085252C" w14:paraId="4D369D2D" w14:textId="77777777" w:rsidTr="009F4E46">
        <w:trPr>
          <w:trHeight w:val="551"/>
        </w:trPr>
        <w:tc>
          <w:tcPr>
            <w:tcW w:w="3119" w:type="dxa"/>
          </w:tcPr>
          <w:p w14:paraId="4689C9A3" w14:textId="30F01E8B" w:rsidR="006D12D0" w:rsidRPr="0085252C" w:rsidRDefault="009C16E4" w:rsidP="009F4E46">
            <w:pPr>
              <w:spacing w:after="0" w:line="240" w:lineRule="auto"/>
              <w:rPr>
                <w:rFonts w:asciiTheme="majorHAnsi" w:hAnsiTheme="majorHAnsi"/>
                <w:sz w:val="20"/>
                <w:szCs w:val="20"/>
              </w:rPr>
            </w:pPr>
            <w:r w:rsidRPr="0085252C">
              <w:rPr>
                <w:rFonts w:asciiTheme="majorHAnsi" w:hAnsiTheme="majorHAnsi"/>
                <w:sz w:val="20"/>
                <w:szCs w:val="20"/>
              </w:rPr>
              <w:t>First Nations VET Interim Partnership Committee</w:t>
            </w:r>
          </w:p>
        </w:tc>
        <w:tc>
          <w:tcPr>
            <w:tcW w:w="1784" w:type="dxa"/>
          </w:tcPr>
          <w:p w14:paraId="2F095C04"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151BCB37" w14:textId="71830BFB" w:rsidR="006D12D0" w:rsidRPr="0085252C" w:rsidRDefault="0017531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64FB493" w14:textId="6E079D3F" w:rsidR="006D12D0" w:rsidRPr="0085252C" w:rsidRDefault="0017531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1ACF6311"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211839BA"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396B510A"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6510B683" w14:textId="77777777" w:rsidR="006D12D0" w:rsidRPr="0085252C" w:rsidRDefault="006D12D0" w:rsidP="009F4E46">
            <w:pPr>
              <w:spacing w:after="0" w:line="240" w:lineRule="auto"/>
              <w:jc w:val="center"/>
              <w:rPr>
                <w:rFonts w:asciiTheme="majorHAnsi" w:hAnsiTheme="majorHAnsi"/>
                <w:b/>
                <w:bCs/>
                <w:sz w:val="20"/>
                <w:szCs w:val="20"/>
              </w:rPr>
            </w:pPr>
          </w:p>
        </w:tc>
      </w:tr>
      <w:tr w:rsidR="00BD414A" w:rsidRPr="0085252C" w14:paraId="11D6610A" w14:textId="77777777" w:rsidTr="009F4E46">
        <w:trPr>
          <w:trHeight w:val="551"/>
        </w:trPr>
        <w:tc>
          <w:tcPr>
            <w:tcW w:w="3119" w:type="dxa"/>
          </w:tcPr>
          <w:p w14:paraId="06D504F9" w14:textId="582A70A2" w:rsidR="006D12D0" w:rsidRPr="0085252C" w:rsidRDefault="00E76E35" w:rsidP="009F4E46">
            <w:pPr>
              <w:spacing w:after="0" w:line="240" w:lineRule="auto"/>
              <w:rPr>
                <w:rFonts w:asciiTheme="majorHAnsi" w:hAnsiTheme="majorHAnsi"/>
                <w:sz w:val="20"/>
                <w:szCs w:val="20"/>
              </w:rPr>
            </w:pPr>
            <w:r w:rsidRPr="0085252C">
              <w:rPr>
                <w:rFonts w:asciiTheme="majorHAnsi" w:hAnsiTheme="majorHAnsi"/>
                <w:sz w:val="20"/>
                <w:szCs w:val="20"/>
              </w:rPr>
              <w:t>Aboriginal and Torres Strait Islander Health Collaboration</w:t>
            </w:r>
          </w:p>
        </w:tc>
        <w:tc>
          <w:tcPr>
            <w:tcW w:w="1784" w:type="dxa"/>
            <w:shd w:val="clear" w:color="auto" w:fill="F2F2F2" w:themeFill="background1" w:themeFillShade="F2"/>
          </w:tcPr>
          <w:p w14:paraId="352C8592" w14:textId="41063098" w:rsidR="006D12D0" w:rsidRPr="0085252C" w:rsidRDefault="002274F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080D05F6"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76AA72A0"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03FC502D"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019C7F21" w14:textId="7E7D283B" w:rsidR="006D12D0" w:rsidRPr="0085252C" w:rsidRDefault="002274F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BC5D1FA" w14:textId="00F67C62" w:rsidR="006D12D0" w:rsidRPr="0085252C" w:rsidRDefault="002274F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1F155E7B" w14:textId="77777777" w:rsidR="006D12D0" w:rsidRPr="0085252C" w:rsidRDefault="006D12D0" w:rsidP="009F4E46">
            <w:pPr>
              <w:spacing w:after="0" w:line="240" w:lineRule="auto"/>
              <w:jc w:val="center"/>
              <w:rPr>
                <w:rFonts w:asciiTheme="majorHAnsi" w:hAnsiTheme="majorHAnsi"/>
                <w:b/>
                <w:bCs/>
                <w:sz w:val="20"/>
                <w:szCs w:val="20"/>
              </w:rPr>
            </w:pPr>
          </w:p>
        </w:tc>
      </w:tr>
      <w:tr w:rsidR="00BD414A" w:rsidRPr="0085252C" w14:paraId="4B45D88C" w14:textId="77777777" w:rsidTr="009F4E46">
        <w:trPr>
          <w:trHeight w:val="551"/>
        </w:trPr>
        <w:tc>
          <w:tcPr>
            <w:tcW w:w="3119" w:type="dxa"/>
          </w:tcPr>
          <w:p w14:paraId="7FC0B702" w14:textId="7F104B74" w:rsidR="006D12D0" w:rsidRPr="0085252C" w:rsidRDefault="00264449" w:rsidP="009F4E46">
            <w:pPr>
              <w:spacing w:after="0" w:line="240" w:lineRule="auto"/>
              <w:rPr>
                <w:rFonts w:asciiTheme="majorHAnsi" w:hAnsiTheme="majorHAnsi"/>
                <w:sz w:val="20"/>
                <w:szCs w:val="20"/>
              </w:rPr>
            </w:pPr>
            <w:r w:rsidRPr="0085252C">
              <w:rPr>
                <w:rFonts w:asciiTheme="majorHAnsi" w:hAnsiTheme="majorHAnsi"/>
                <w:sz w:val="20"/>
                <w:szCs w:val="20"/>
              </w:rPr>
              <w:t>First Nations Health Governance Group</w:t>
            </w:r>
          </w:p>
        </w:tc>
        <w:tc>
          <w:tcPr>
            <w:tcW w:w="1784" w:type="dxa"/>
            <w:shd w:val="clear" w:color="auto" w:fill="F2F2F2" w:themeFill="background1" w:themeFillShade="F2"/>
          </w:tcPr>
          <w:p w14:paraId="1F39CB61" w14:textId="1E71C824" w:rsidR="006D12D0" w:rsidRPr="0085252C" w:rsidRDefault="00264449"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073C0143"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24092396"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0DA6E678"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56E44D2E"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0F71B169"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17AFB881" w14:textId="77777777" w:rsidR="006D12D0" w:rsidRPr="0085252C" w:rsidRDefault="006D12D0" w:rsidP="009F4E46">
            <w:pPr>
              <w:spacing w:after="0" w:line="240" w:lineRule="auto"/>
              <w:jc w:val="center"/>
              <w:rPr>
                <w:rFonts w:asciiTheme="majorHAnsi" w:hAnsiTheme="majorHAnsi"/>
                <w:b/>
                <w:bCs/>
                <w:sz w:val="20"/>
                <w:szCs w:val="20"/>
              </w:rPr>
            </w:pPr>
          </w:p>
        </w:tc>
      </w:tr>
      <w:tr w:rsidR="006F19C1" w:rsidRPr="0085252C" w14:paraId="752AB3E5" w14:textId="77777777" w:rsidTr="009F4E46">
        <w:trPr>
          <w:trHeight w:val="551"/>
        </w:trPr>
        <w:tc>
          <w:tcPr>
            <w:tcW w:w="3119" w:type="dxa"/>
          </w:tcPr>
          <w:p w14:paraId="1F2275B7" w14:textId="79E0805F" w:rsidR="006D12D0" w:rsidRPr="0085252C" w:rsidRDefault="008B0B5A" w:rsidP="009F4E46">
            <w:pPr>
              <w:spacing w:after="0" w:line="240" w:lineRule="auto"/>
              <w:rPr>
                <w:rFonts w:asciiTheme="majorHAnsi" w:hAnsiTheme="majorHAnsi"/>
                <w:sz w:val="20"/>
                <w:szCs w:val="20"/>
              </w:rPr>
            </w:pPr>
            <w:r w:rsidRPr="0085252C">
              <w:rPr>
                <w:rFonts w:asciiTheme="majorHAnsi" w:hAnsiTheme="majorHAnsi"/>
                <w:sz w:val="20"/>
                <w:szCs w:val="20"/>
              </w:rPr>
              <w:t>Delivering activities under the Rheumatic Fever Strategy</w:t>
            </w:r>
          </w:p>
        </w:tc>
        <w:tc>
          <w:tcPr>
            <w:tcW w:w="1784" w:type="dxa"/>
            <w:shd w:val="clear" w:color="auto" w:fill="F2F2F2" w:themeFill="background1" w:themeFillShade="F2"/>
          </w:tcPr>
          <w:p w14:paraId="080ABAE3" w14:textId="38B95E79" w:rsidR="006D12D0" w:rsidRPr="0085252C" w:rsidRDefault="00264449"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1EB03BEE"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69F7EC68"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67352E8A" w14:textId="55069BDE" w:rsidR="006D12D0" w:rsidRPr="0085252C" w:rsidRDefault="008B0B5A"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7E475F63"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13235174"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4CF8859D" w14:textId="77777777" w:rsidR="006D12D0" w:rsidRPr="0085252C" w:rsidRDefault="006D12D0" w:rsidP="009F4E46">
            <w:pPr>
              <w:spacing w:after="0" w:line="240" w:lineRule="auto"/>
              <w:jc w:val="center"/>
              <w:rPr>
                <w:rFonts w:asciiTheme="majorHAnsi" w:hAnsiTheme="majorHAnsi"/>
                <w:b/>
                <w:bCs/>
                <w:sz w:val="20"/>
                <w:szCs w:val="20"/>
              </w:rPr>
            </w:pPr>
          </w:p>
        </w:tc>
      </w:tr>
      <w:tr w:rsidR="00BD414A" w:rsidRPr="0085252C" w14:paraId="7588820A" w14:textId="77777777" w:rsidTr="009F4E46">
        <w:trPr>
          <w:trHeight w:val="551"/>
        </w:trPr>
        <w:tc>
          <w:tcPr>
            <w:tcW w:w="3119" w:type="dxa"/>
          </w:tcPr>
          <w:p w14:paraId="1D5937C6" w14:textId="346636C6" w:rsidR="006D12D0" w:rsidRPr="0085252C" w:rsidRDefault="00792821" w:rsidP="009F4E46">
            <w:pPr>
              <w:spacing w:after="0" w:line="240" w:lineRule="auto"/>
              <w:rPr>
                <w:rFonts w:asciiTheme="majorHAnsi" w:hAnsiTheme="majorHAnsi"/>
                <w:sz w:val="20"/>
                <w:szCs w:val="20"/>
              </w:rPr>
            </w:pPr>
            <w:r w:rsidRPr="0085252C">
              <w:rPr>
                <w:rFonts w:asciiTheme="majorHAnsi" w:hAnsiTheme="majorHAnsi"/>
                <w:sz w:val="20"/>
                <w:szCs w:val="20"/>
              </w:rPr>
              <w:t>Partnership regarding the NACCHO Cancer Program</w:t>
            </w:r>
          </w:p>
        </w:tc>
        <w:tc>
          <w:tcPr>
            <w:tcW w:w="1784" w:type="dxa"/>
            <w:shd w:val="clear" w:color="auto" w:fill="F2F2F2" w:themeFill="background1" w:themeFillShade="F2"/>
          </w:tcPr>
          <w:p w14:paraId="02BD67AC" w14:textId="35868B5A" w:rsidR="006D12D0" w:rsidRPr="0085252C" w:rsidRDefault="00264449"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373EE290"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0286872F"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7DFCCA85"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65F25637"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1CE25D2A"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331CDE4A" w14:textId="77777777" w:rsidR="006D12D0" w:rsidRPr="0085252C" w:rsidRDefault="006D12D0" w:rsidP="009F4E46">
            <w:pPr>
              <w:spacing w:after="0" w:line="240" w:lineRule="auto"/>
              <w:jc w:val="center"/>
              <w:rPr>
                <w:rFonts w:asciiTheme="majorHAnsi" w:hAnsiTheme="majorHAnsi"/>
                <w:b/>
                <w:bCs/>
                <w:sz w:val="20"/>
                <w:szCs w:val="20"/>
              </w:rPr>
            </w:pPr>
          </w:p>
        </w:tc>
      </w:tr>
      <w:tr w:rsidR="00BD414A" w:rsidRPr="0085252C" w14:paraId="3C7B85F4" w14:textId="77777777" w:rsidTr="009F4E46">
        <w:trPr>
          <w:trHeight w:val="551"/>
        </w:trPr>
        <w:tc>
          <w:tcPr>
            <w:tcW w:w="3119" w:type="dxa"/>
          </w:tcPr>
          <w:p w14:paraId="4E27ABA4" w14:textId="1F6F0495" w:rsidR="006D12D0" w:rsidRPr="0085252C" w:rsidRDefault="00792821" w:rsidP="009F4E46">
            <w:pPr>
              <w:spacing w:after="0" w:line="240" w:lineRule="auto"/>
              <w:rPr>
                <w:rFonts w:asciiTheme="majorHAnsi" w:hAnsiTheme="majorHAnsi"/>
                <w:sz w:val="20"/>
                <w:szCs w:val="20"/>
              </w:rPr>
            </w:pPr>
            <w:r w:rsidRPr="0085252C">
              <w:rPr>
                <w:rFonts w:asciiTheme="majorHAnsi" w:hAnsiTheme="majorHAnsi"/>
                <w:sz w:val="20"/>
                <w:szCs w:val="20"/>
              </w:rPr>
              <w:t>Social and Emotional Wellbeing Policy Partnership</w:t>
            </w:r>
          </w:p>
        </w:tc>
        <w:tc>
          <w:tcPr>
            <w:tcW w:w="1784" w:type="dxa"/>
            <w:shd w:val="clear" w:color="auto" w:fill="F2F2F2" w:themeFill="background1" w:themeFillShade="F2"/>
          </w:tcPr>
          <w:p w14:paraId="62F08D9D" w14:textId="46E8A981" w:rsidR="006D12D0" w:rsidRPr="0085252C" w:rsidRDefault="00264449"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4175B479"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5B996A23"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278994F0"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642374F5"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3F4AB691"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304AB12B" w14:textId="77777777" w:rsidR="006D12D0" w:rsidRPr="0085252C" w:rsidRDefault="006D12D0" w:rsidP="009F4E46">
            <w:pPr>
              <w:spacing w:after="0" w:line="240" w:lineRule="auto"/>
              <w:jc w:val="center"/>
              <w:rPr>
                <w:rFonts w:asciiTheme="majorHAnsi" w:hAnsiTheme="majorHAnsi"/>
                <w:b/>
                <w:bCs/>
                <w:sz w:val="20"/>
                <w:szCs w:val="20"/>
              </w:rPr>
            </w:pPr>
          </w:p>
        </w:tc>
      </w:tr>
      <w:tr w:rsidR="006F19C1" w:rsidRPr="0085252C" w14:paraId="28A79BDF" w14:textId="77777777" w:rsidTr="009F4E46">
        <w:trPr>
          <w:trHeight w:val="551"/>
        </w:trPr>
        <w:tc>
          <w:tcPr>
            <w:tcW w:w="3119" w:type="dxa"/>
          </w:tcPr>
          <w:p w14:paraId="2B806CBD" w14:textId="79612974" w:rsidR="006D12D0" w:rsidRPr="0085252C" w:rsidRDefault="00792821" w:rsidP="009F4E46">
            <w:pPr>
              <w:spacing w:after="0" w:line="240" w:lineRule="auto"/>
              <w:rPr>
                <w:rFonts w:asciiTheme="majorHAnsi" w:hAnsiTheme="majorHAnsi"/>
                <w:sz w:val="20"/>
                <w:szCs w:val="20"/>
              </w:rPr>
            </w:pPr>
            <w:r w:rsidRPr="0085252C">
              <w:rPr>
                <w:rFonts w:asciiTheme="majorHAnsi" w:hAnsiTheme="majorHAnsi"/>
                <w:sz w:val="20"/>
                <w:szCs w:val="20"/>
              </w:rPr>
              <w:t xml:space="preserve">Partnership for the SKA Project and </w:t>
            </w:r>
            <w:proofErr w:type="spellStart"/>
            <w:r w:rsidRPr="0085252C">
              <w:rPr>
                <w:rFonts w:asciiTheme="majorHAnsi" w:hAnsiTheme="majorHAnsi"/>
                <w:sz w:val="20"/>
                <w:szCs w:val="20"/>
              </w:rPr>
              <w:t>Inyarrimanha</w:t>
            </w:r>
            <w:proofErr w:type="spellEnd"/>
            <w:r w:rsidRPr="0085252C">
              <w:rPr>
                <w:rFonts w:asciiTheme="majorHAnsi" w:hAnsiTheme="majorHAnsi"/>
                <w:sz w:val="20"/>
                <w:szCs w:val="20"/>
              </w:rPr>
              <w:t xml:space="preserve"> </w:t>
            </w:r>
            <w:proofErr w:type="spellStart"/>
            <w:r w:rsidRPr="0085252C">
              <w:rPr>
                <w:rFonts w:asciiTheme="majorHAnsi" w:hAnsiTheme="majorHAnsi"/>
                <w:sz w:val="20"/>
                <w:szCs w:val="20"/>
              </w:rPr>
              <w:t>Ilgari</w:t>
            </w:r>
            <w:proofErr w:type="spellEnd"/>
            <w:r w:rsidRPr="0085252C">
              <w:rPr>
                <w:rFonts w:asciiTheme="majorHAnsi" w:hAnsiTheme="majorHAnsi"/>
                <w:sz w:val="20"/>
                <w:szCs w:val="20"/>
              </w:rPr>
              <w:t xml:space="preserve"> Bundara</w:t>
            </w:r>
          </w:p>
        </w:tc>
        <w:tc>
          <w:tcPr>
            <w:tcW w:w="1784" w:type="dxa"/>
          </w:tcPr>
          <w:p w14:paraId="78D85E9B"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1FB2593F"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18167FF5" w14:textId="0CD02E0C" w:rsidR="006D12D0" w:rsidRPr="0085252C" w:rsidRDefault="00FF2836"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3237AB14" w14:textId="3EDE0577" w:rsidR="006D12D0" w:rsidRPr="0085252C" w:rsidRDefault="00FF2836"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1CAAE646"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6350D442" w14:textId="77777777" w:rsidR="006D12D0" w:rsidRPr="0085252C" w:rsidRDefault="006D12D0" w:rsidP="009F4E46">
            <w:pPr>
              <w:spacing w:after="0" w:line="240" w:lineRule="auto"/>
              <w:jc w:val="center"/>
              <w:rPr>
                <w:rFonts w:asciiTheme="majorHAnsi" w:hAnsiTheme="majorHAnsi"/>
                <w:b/>
                <w:bCs/>
                <w:sz w:val="20"/>
                <w:szCs w:val="20"/>
              </w:rPr>
            </w:pPr>
          </w:p>
        </w:tc>
        <w:tc>
          <w:tcPr>
            <w:tcW w:w="1784" w:type="dxa"/>
          </w:tcPr>
          <w:p w14:paraId="2EEBD719" w14:textId="77777777" w:rsidR="006D12D0" w:rsidRPr="0085252C" w:rsidRDefault="006D12D0" w:rsidP="009F4E46">
            <w:pPr>
              <w:spacing w:after="0" w:line="240" w:lineRule="auto"/>
              <w:jc w:val="center"/>
              <w:rPr>
                <w:rFonts w:asciiTheme="majorHAnsi" w:hAnsiTheme="majorHAnsi"/>
                <w:b/>
                <w:bCs/>
                <w:sz w:val="20"/>
                <w:szCs w:val="20"/>
              </w:rPr>
            </w:pPr>
          </w:p>
        </w:tc>
      </w:tr>
      <w:tr w:rsidR="00BD414A" w:rsidRPr="0085252C" w14:paraId="285DC217" w14:textId="77777777" w:rsidTr="009F4E46">
        <w:trPr>
          <w:trHeight w:val="551"/>
        </w:trPr>
        <w:tc>
          <w:tcPr>
            <w:tcW w:w="3119" w:type="dxa"/>
          </w:tcPr>
          <w:p w14:paraId="5C5DEA4D" w14:textId="5A42732E" w:rsidR="00776077" w:rsidRPr="0085252C" w:rsidRDefault="00776077" w:rsidP="009F4E46">
            <w:pPr>
              <w:spacing w:after="0" w:line="240" w:lineRule="auto"/>
              <w:rPr>
                <w:rFonts w:asciiTheme="majorHAnsi" w:hAnsiTheme="majorHAnsi"/>
                <w:sz w:val="20"/>
                <w:szCs w:val="20"/>
              </w:rPr>
            </w:pPr>
            <w:proofErr w:type="spellStart"/>
            <w:r w:rsidRPr="0085252C">
              <w:rPr>
                <w:rFonts w:asciiTheme="majorHAnsi" w:hAnsiTheme="majorHAnsi"/>
                <w:sz w:val="20"/>
                <w:szCs w:val="20"/>
              </w:rPr>
              <w:lastRenderedPageBreak/>
              <w:t>Gadhungal</w:t>
            </w:r>
            <w:proofErr w:type="spellEnd"/>
            <w:r w:rsidRPr="0085252C">
              <w:rPr>
                <w:rFonts w:asciiTheme="majorHAnsi" w:hAnsiTheme="majorHAnsi"/>
                <w:sz w:val="20"/>
                <w:szCs w:val="20"/>
              </w:rPr>
              <w:t xml:space="preserve"> Marring and </w:t>
            </w:r>
            <w:proofErr w:type="spellStart"/>
            <w:r w:rsidRPr="0085252C">
              <w:rPr>
                <w:rFonts w:asciiTheme="majorHAnsi" w:hAnsiTheme="majorHAnsi"/>
                <w:sz w:val="20"/>
                <w:szCs w:val="20"/>
              </w:rPr>
              <w:t>Bundanon</w:t>
            </w:r>
            <w:proofErr w:type="spellEnd"/>
            <w:r w:rsidRPr="0085252C">
              <w:rPr>
                <w:rFonts w:asciiTheme="majorHAnsi" w:hAnsiTheme="majorHAnsi"/>
                <w:sz w:val="20"/>
                <w:szCs w:val="20"/>
              </w:rPr>
              <w:t xml:space="preserve"> partnership</w:t>
            </w:r>
          </w:p>
        </w:tc>
        <w:tc>
          <w:tcPr>
            <w:tcW w:w="1784" w:type="dxa"/>
            <w:shd w:val="clear" w:color="auto" w:fill="F2F2F2" w:themeFill="background1" w:themeFillShade="F2"/>
          </w:tcPr>
          <w:p w14:paraId="19F27FAA" w14:textId="6457DA4A" w:rsidR="00776077" w:rsidRPr="0085252C" w:rsidRDefault="0077607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718619F" w14:textId="5B619151" w:rsidR="00776077" w:rsidRPr="0085252C" w:rsidRDefault="0077607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4D65C177" w14:textId="49B98130" w:rsidR="00776077" w:rsidRPr="0085252C" w:rsidRDefault="0077607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53BBCE9E"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66F25BD0"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7AB92149"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2B3EEED9" w14:textId="18C8AD50" w:rsidR="00776077" w:rsidRPr="0085252C" w:rsidRDefault="0077607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1481D71F" w14:textId="77777777" w:rsidTr="009F4E46">
        <w:trPr>
          <w:trHeight w:val="551"/>
        </w:trPr>
        <w:tc>
          <w:tcPr>
            <w:tcW w:w="3119" w:type="dxa"/>
          </w:tcPr>
          <w:p w14:paraId="08C28201" w14:textId="0C392D82" w:rsidR="00776077" w:rsidRPr="0085252C" w:rsidRDefault="00776077" w:rsidP="009F4E46">
            <w:pPr>
              <w:spacing w:after="0" w:line="240" w:lineRule="auto"/>
              <w:rPr>
                <w:rFonts w:asciiTheme="majorHAnsi" w:hAnsiTheme="majorHAnsi"/>
                <w:sz w:val="20"/>
                <w:szCs w:val="20"/>
              </w:rPr>
            </w:pPr>
            <w:r w:rsidRPr="0085252C">
              <w:rPr>
                <w:rFonts w:asciiTheme="majorHAnsi" w:hAnsiTheme="majorHAnsi"/>
                <w:sz w:val="20"/>
                <w:szCs w:val="20"/>
              </w:rPr>
              <w:t>Aboriginal and Torres Strait Islander Languages Policy Partnership</w:t>
            </w:r>
          </w:p>
        </w:tc>
        <w:tc>
          <w:tcPr>
            <w:tcW w:w="1784" w:type="dxa"/>
          </w:tcPr>
          <w:p w14:paraId="290219AF"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50A026B0"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2AF91F28"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322D069E"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0463A103"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7D2499BF"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002B344B" w14:textId="35B16865" w:rsidR="00776077" w:rsidRPr="0085252C" w:rsidRDefault="0077607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41495CBA" w14:textId="77777777" w:rsidTr="009F4E46">
        <w:trPr>
          <w:trHeight w:val="551"/>
        </w:trPr>
        <w:tc>
          <w:tcPr>
            <w:tcW w:w="3119" w:type="dxa"/>
          </w:tcPr>
          <w:p w14:paraId="1AC09044" w14:textId="12C2DF17" w:rsidR="00776077" w:rsidRPr="0085252C" w:rsidRDefault="002C6782" w:rsidP="009F4E46">
            <w:pPr>
              <w:spacing w:after="0" w:line="240" w:lineRule="auto"/>
              <w:rPr>
                <w:rFonts w:asciiTheme="majorHAnsi" w:hAnsiTheme="majorHAnsi"/>
                <w:sz w:val="20"/>
                <w:szCs w:val="20"/>
              </w:rPr>
            </w:pPr>
            <w:r w:rsidRPr="0085252C">
              <w:rPr>
                <w:rFonts w:asciiTheme="majorHAnsi" w:hAnsiTheme="majorHAnsi"/>
                <w:sz w:val="20"/>
                <w:szCs w:val="20"/>
              </w:rPr>
              <w:t>Our Ways – Strong Ways – Our Voices Steering Committee</w:t>
            </w:r>
          </w:p>
        </w:tc>
        <w:tc>
          <w:tcPr>
            <w:tcW w:w="1784" w:type="dxa"/>
          </w:tcPr>
          <w:p w14:paraId="686B50E0"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780A88D9"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4730E71D"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3A1F2E29"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593AA094"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392F24C2" w14:textId="5D887613" w:rsidR="00776077" w:rsidRPr="0085252C" w:rsidRDefault="0077607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60A1FBE5" w14:textId="77777777" w:rsidR="00776077" w:rsidRPr="0085252C" w:rsidRDefault="00776077" w:rsidP="009F4E46">
            <w:pPr>
              <w:spacing w:after="0" w:line="240" w:lineRule="auto"/>
              <w:jc w:val="center"/>
              <w:rPr>
                <w:rFonts w:asciiTheme="majorHAnsi" w:hAnsiTheme="majorHAnsi"/>
                <w:b/>
                <w:bCs/>
                <w:sz w:val="20"/>
                <w:szCs w:val="20"/>
              </w:rPr>
            </w:pPr>
          </w:p>
        </w:tc>
      </w:tr>
      <w:tr w:rsidR="00BD414A" w:rsidRPr="0085252C" w14:paraId="1A9797DC" w14:textId="77777777" w:rsidTr="009F4E46">
        <w:trPr>
          <w:trHeight w:val="551"/>
        </w:trPr>
        <w:tc>
          <w:tcPr>
            <w:tcW w:w="3119" w:type="dxa"/>
          </w:tcPr>
          <w:p w14:paraId="5A45A311" w14:textId="563DB128" w:rsidR="00776077" w:rsidRPr="0085252C" w:rsidRDefault="002C6782" w:rsidP="009F4E46">
            <w:pPr>
              <w:spacing w:after="0" w:line="240" w:lineRule="auto"/>
              <w:rPr>
                <w:rFonts w:asciiTheme="majorHAnsi" w:hAnsiTheme="majorHAnsi"/>
                <w:sz w:val="20"/>
                <w:szCs w:val="20"/>
              </w:rPr>
            </w:pPr>
            <w:r w:rsidRPr="0085252C">
              <w:rPr>
                <w:rFonts w:asciiTheme="majorHAnsi" w:hAnsiTheme="majorHAnsi"/>
                <w:sz w:val="20"/>
                <w:szCs w:val="20"/>
              </w:rPr>
              <w:t>Safe and Supported Partnership Agreement</w:t>
            </w:r>
          </w:p>
        </w:tc>
        <w:tc>
          <w:tcPr>
            <w:tcW w:w="1784" w:type="dxa"/>
          </w:tcPr>
          <w:p w14:paraId="3C8D973F"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1EF01E16"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7CBEEF6E"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43F44D11"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tcPr>
          <w:p w14:paraId="0E3D53A1" w14:textId="77777777" w:rsidR="00776077" w:rsidRPr="0085252C" w:rsidRDefault="00776077"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61BE01C8" w14:textId="4B3686C0" w:rsidR="00776077" w:rsidRPr="0085252C" w:rsidRDefault="0077607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51573BA2" w14:textId="77777777" w:rsidR="00776077" w:rsidRPr="0085252C" w:rsidRDefault="00776077" w:rsidP="009F4E46">
            <w:pPr>
              <w:spacing w:after="0" w:line="240" w:lineRule="auto"/>
              <w:jc w:val="center"/>
              <w:rPr>
                <w:rFonts w:asciiTheme="majorHAnsi" w:hAnsiTheme="majorHAnsi"/>
                <w:b/>
                <w:bCs/>
                <w:sz w:val="20"/>
                <w:szCs w:val="20"/>
              </w:rPr>
            </w:pPr>
          </w:p>
        </w:tc>
      </w:tr>
      <w:tr w:rsidR="006371B1" w:rsidRPr="0085252C" w14:paraId="66B38F13" w14:textId="77777777" w:rsidTr="009F4E46">
        <w:trPr>
          <w:trHeight w:val="551"/>
        </w:trPr>
        <w:tc>
          <w:tcPr>
            <w:tcW w:w="3119" w:type="dxa"/>
          </w:tcPr>
          <w:p w14:paraId="4661A5EC" w14:textId="0F0F10DB" w:rsidR="000E2370" w:rsidRPr="0085252C" w:rsidRDefault="002C6782" w:rsidP="009F4E46">
            <w:pPr>
              <w:spacing w:after="0" w:line="240" w:lineRule="auto"/>
              <w:rPr>
                <w:rFonts w:asciiTheme="majorHAnsi" w:hAnsiTheme="majorHAnsi"/>
                <w:sz w:val="20"/>
                <w:szCs w:val="20"/>
              </w:rPr>
            </w:pPr>
            <w:r w:rsidRPr="0085252C">
              <w:rPr>
                <w:rFonts w:asciiTheme="majorHAnsi" w:hAnsiTheme="majorHAnsi"/>
                <w:sz w:val="20"/>
                <w:szCs w:val="20"/>
              </w:rPr>
              <w:t>Shared Hearing Services Plans</w:t>
            </w:r>
          </w:p>
        </w:tc>
        <w:tc>
          <w:tcPr>
            <w:tcW w:w="1784" w:type="dxa"/>
          </w:tcPr>
          <w:p w14:paraId="2B27231B"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177A8A85" w14:textId="4357B594"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5320BD46"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2A09FFAC"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5CA229C5"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542964EC"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5311A353" w14:textId="77777777" w:rsidR="000E2370" w:rsidRPr="0085252C" w:rsidRDefault="000E2370" w:rsidP="009F4E46">
            <w:pPr>
              <w:spacing w:after="0" w:line="240" w:lineRule="auto"/>
              <w:jc w:val="center"/>
              <w:rPr>
                <w:rFonts w:asciiTheme="majorHAnsi" w:hAnsiTheme="majorHAnsi"/>
                <w:b/>
                <w:bCs/>
                <w:sz w:val="20"/>
                <w:szCs w:val="20"/>
              </w:rPr>
            </w:pPr>
          </w:p>
        </w:tc>
      </w:tr>
      <w:tr w:rsidR="006371B1" w:rsidRPr="0085252C" w14:paraId="582B3B6E" w14:textId="77777777" w:rsidTr="009F4E46">
        <w:trPr>
          <w:trHeight w:val="551"/>
        </w:trPr>
        <w:tc>
          <w:tcPr>
            <w:tcW w:w="3119" w:type="dxa"/>
          </w:tcPr>
          <w:p w14:paraId="1BC7EA8F" w14:textId="1051E841" w:rsidR="000E2370" w:rsidRPr="0085252C" w:rsidRDefault="002C6782" w:rsidP="009F4E46">
            <w:pPr>
              <w:spacing w:after="0" w:line="240" w:lineRule="auto"/>
              <w:rPr>
                <w:rFonts w:asciiTheme="majorHAnsi" w:hAnsiTheme="majorHAnsi"/>
                <w:sz w:val="20"/>
                <w:szCs w:val="20"/>
              </w:rPr>
            </w:pPr>
            <w:r w:rsidRPr="0085252C">
              <w:rPr>
                <w:rFonts w:asciiTheme="majorHAnsi" w:hAnsiTheme="majorHAnsi"/>
                <w:sz w:val="20"/>
                <w:szCs w:val="20"/>
              </w:rPr>
              <w:t>Partnership to elevate First Nations Male Voices</w:t>
            </w:r>
          </w:p>
        </w:tc>
        <w:tc>
          <w:tcPr>
            <w:tcW w:w="1784" w:type="dxa"/>
            <w:shd w:val="clear" w:color="auto" w:fill="F2F2F2" w:themeFill="background1" w:themeFillShade="F2"/>
          </w:tcPr>
          <w:p w14:paraId="5F7E38C7" w14:textId="4AA9B0F4"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0855196A"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43BCB94C" w14:textId="7D72EBE5"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3A1D5E85"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13BFD9DA"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42154940"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45A7F9E9" w14:textId="77777777" w:rsidR="000E2370" w:rsidRPr="0085252C" w:rsidRDefault="000E2370" w:rsidP="009F4E46">
            <w:pPr>
              <w:spacing w:after="0" w:line="240" w:lineRule="auto"/>
              <w:jc w:val="center"/>
              <w:rPr>
                <w:rFonts w:asciiTheme="majorHAnsi" w:hAnsiTheme="majorHAnsi"/>
                <w:b/>
                <w:bCs/>
                <w:sz w:val="20"/>
                <w:szCs w:val="20"/>
              </w:rPr>
            </w:pPr>
          </w:p>
        </w:tc>
      </w:tr>
      <w:tr w:rsidR="00BD414A" w:rsidRPr="0085252C" w14:paraId="6BB9EDB4" w14:textId="77777777" w:rsidTr="009F4E46">
        <w:trPr>
          <w:trHeight w:val="551"/>
        </w:trPr>
        <w:tc>
          <w:tcPr>
            <w:tcW w:w="3119" w:type="dxa"/>
          </w:tcPr>
          <w:p w14:paraId="4BCE5065" w14:textId="68FA76B0" w:rsidR="000E2370" w:rsidRPr="0085252C" w:rsidRDefault="00AA1321" w:rsidP="009F4E46">
            <w:pPr>
              <w:spacing w:after="0" w:line="240" w:lineRule="auto"/>
              <w:rPr>
                <w:rFonts w:asciiTheme="majorHAnsi" w:hAnsiTheme="majorHAnsi"/>
                <w:sz w:val="20"/>
                <w:szCs w:val="20"/>
              </w:rPr>
            </w:pPr>
            <w:r w:rsidRPr="0085252C">
              <w:rPr>
                <w:rFonts w:asciiTheme="majorHAnsi" w:hAnsiTheme="majorHAnsi"/>
                <w:sz w:val="20"/>
                <w:szCs w:val="20"/>
              </w:rPr>
              <w:t>Co</w:t>
            </w:r>
            <w:r w:rsidRPr="0085252C">
              <w:rPr>
                <w:rFonts w:asciiTheme="majorHAnsi" w:hAnsiTheme="majorHAnsi"/>
                <w:sz w:val="20"/>
                <w:szCs w:val="20"/>
              </w:rPr>
              <w:noBreakHyphen/>
              <w:t>design Partnership regarding the TSIMA Collection Project</w:t>
            </w:r>
          </w:p>
        </w:tc>
        <w:tc>
          <w:tcPr>
            <w:tcW w:w="1784" w:type="dxa"/>
          </w:tcPr>
          <w:p w14:paraId="44EF1D2A"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243EB25F"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144D9F63"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00E84746" w14:textId="297B1452"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6A0305A5"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10FC7425"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40006F48" w14:textId="0C7E9C48"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18A33A25" w14:textId="77777777" w:rsidTr="009F4E46">
        <w:trPr>
          <w:trHeight w:val="551"/>
        </w:trPr>
        <w:tc>
          <w:tcPr>
            <w:tcW w:w="3119" w:type="dxa"/>
          </w:tcPr>
          <w:p w14:paraId="0D70A616" w14:textId="6F9CAEA5" w:rsidR="000E2370" w:rsidRPr="0085252C" w:rsidRDefault="00AA1321" w:rsidP="009F4E46">
            <w:pPr>
              <w:spacing w:after="0" w:line="240" w:lineRule="auto"/>
              <w:rPr>
                <w:rFonts w:asciiTheme="majorHAnsi" w:hAnsiTheme="majorHAnsi"/>
                <w:sz w:val="20"/>
                <w:szCs w:val="20"/>
              </w:rPr>
            </w:pPr>
            <w:r w:rsidRPr="0085252C">
              <w:rPr>
                <w:rFonts w:asciiTheme="majorHAnsi" w:hAnsiTheme="majorHAnsi"/>
                <w:sz w:val="20"/>
                <w:szCs w:val="20"/>
              </w:rPr>
              <w:t>Commonwealth Implementation Joint Working Group</w:t>
            </w:r>
          </w:p>
        </w:tc>
        <w:tc>
          <w:tcPr>
            <w:tcW w:w="1784" w:type="dxa"/>
            <w:shd w:val="clear" w:color="auto" w:fill="F2F2F2" w:themeFill="background1" w:themeFillShade="F2"/>
          </w:tcPr>
          <w:p w14:paraId="35A05543" w14:textId="58AB9D16"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2F3B8D0" w14:textId="5784052E"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3B05FCB9" w14:textId="7DF7A2A7"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FBD1407" w14:textId="11AC4016"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43B6540B" w14:textId="64997E7B"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44C2FB71" w14:textId="0C07BD49"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73508E7" w14:textId="546DC5E0"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25D474E5" w14:textId="77777777" w:rsidTr="009F4E46">
        <w:trPr>
          <w:trHeight w:val="551"/>
        </w:trPr>
        <w:tc>
          <w:tcPr>
            <w:tcW w:w="3119" w:type="dxa"/>
          </w:tcPr>
          <w:p w14:paraId="102BDBB1" w14:textId="4BEE6818" w:rsidR="000E2370" w:rsidRPr="0085252C" w:rsidRDefault="008C36A8" w:rsidP="009F4E46">
            <w:pPr>
              <w:spacing w:after="0" w:line="240" w:lineRule="auto"/>
              <w:rPr>
                <w:rFonts w:asciiTheme="majorHAnsi" w:hAnsiTheme="majorHAnsi"/>
                <w:sz w:val="20"/>
                <w:szCs w:val="20"/>
              </w:rPr>
            </w:pPr>
            <w:r w:rsidRPr="0085252C">
              <w:rPr>
                <w:rFonts w:asciiTheme="majorHAnsi" w:hAnsiTheme="majorHAnsi"/>
                <w:sz w:val="20"/>
                <w:szCs w:val="20"/>
              </w:rPr>
              <w:t>Garma Institute – Partnership Commitment</w:t>
            </w:r>
          </w:p>
        </w:tc>
        <w:tc>
          <w:tcPr>
            <w:tcW w:w="1784" w:type="dxa"/>
          </w:tcPr>
          <w:p w14:paraId="7D97E000"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467963E0" w14:textId="2DA5F94A"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39F9563A" w14:textId="10CD06E0"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2D6DBE59"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662C168D"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tcPr>
          <w:p w14:paraId="4469FE3B" w14:textId="77777777" w:rsidR="000E2370" w:rsidRPr="0085252C" w:rsidRDefault="000E2370"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314B0390" w14:textId="60C8809E" w:rsidR="000E2370" w:rsidRPr="0085252C" w:rsidRDefault="000E2370"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46C59E95" w14:textId="77777777" w:rsidTr="009F4E46">
        <w:trPr>
          <w:trHeight w:val="551"/>
        </w:trPr>
        <w:tc>
          <w:tcPr>
            <w:tcW w:w="3119" w:type="dxa"/>
          </w:tcPr>
          <w:p w14:paraId="35920D6D" w14:textId="66456280" w:rsidR="008C36A8" w:rsidRPr="0085252C" w:rsidRDefault="008C36A8" w:rsidP="009F4E46">
            <w:pPr>
              <w:spacing w:after="0" w:line="240" w:lineRule="auto"/>
              <w:rPr>
                <w:rFonts w:asciiTheme="majorHAnsi" w:hAnsiTheme="majorHAnsi"/>
                <w:sz w:val="20"/>
                <w:szCs w:val="20"/>
              </w:rPr>
            </w:pPr>
            <w:proofErr w:type="spellStart"/>
            <w:r w:rsidRPr="0085252C">
              <w:rPr>
                <w:rFonts w:asciiTheme="majorHAnsi" w:hAnsiTheme="majorHAnsi"/>
                <w:sz w:val="20"/>
                <w:szCs w:val="20"/>
              </w:rPr>
              <w:t>Guŋga’yunga</w:t>
            </w:r>
            <w:proofErr w:type="spellEnd"/>
            <w:r w:rsidRPr="0085252C">
              <w:rPr>
                <w:rFonts w:asciiTheme="majorHAnsi" w:hAnsiTheme="majorHAnsi"/>
                <w:sz w:val="20"/>
                <w:szCs w:val="20"/>
              </w:rPr>
              <w:t xml:space="preserve"> </w:t>
            </w:r>
            <w:proofErr w:type="spellStart"/>
            <w:r w:rsidRPr="0085252C">
              <w:rPr>
                <w:rFonts w:asciiTheme="majorHAnsi" w:hAnsiTheme="majorHAnsi"/>
                <w:sz w:val="20"/>
                <w:szCs w:val="20"/>
              </w:rPr>
              <w:t>Djamarrkuliny</w:t>
            </w:r>
            <w:proofErr w:type="spellEnd"/>
            <w:r w:rsidRPr="0085252C">
              <w:rPr>
                <w:rFonts w:asciiTheme="majorHAnsi" w:hAnsiTheme="majorHAnsi"/>
                <w:sz w:val="20"/>
                <w:szCs w:val="20"/>
              </w:rPr>
              <w:t xml:space="preserve"> Partnership Support Group</w:t>
            </w:r>
          </w:p>
        </w:tc>
        <w:tc>
          <w:tcPr>
            <w:tcW w:w="1784" w:type="dxa"/>
            <w:shd w:val="clear" w:color="auto" w:fill="F2F2F2" w:themeFill="background1" w:themeFillShade="F2"/>
          </w:tcPr>
          <w:p w14:paraId="3F19E464" w14:textId="7D79AFBD" w:rsidR="008C36A8" w:rsidRPr="0085252C" w:rsidRDefault="008C36A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5F5BA957" w14:textId="77777777" w:rsidR="008C36A8" w:rsidRPr="0085252C" w:rsidRDefault="008C36A8"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5A7C66B7" w14:textId="091734DB" w:rsidR="008C36A8" w:rsidRPr="0085252C" w:rsidRDefault="008C36A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717D5AD6" w14:textId="34A8DA8A" w:rsidR="008C36A8" w:rsidRPr="0085252C" w:rsidRDefault="008C36A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7112B435" w14:textId="77777777" w:rsidR="008C36A8" w:rsidRPr="0085252C" w:rsidRDefault="008C36A8" w:rsidP="009F4E46">
            <w:pPr>
              <w:spacing w:after="0" w:line="240" w:lineRule="auto"/>
              <w:jc w:val="center"/>
              <w:rPr>
                <w:rFonts w:asciiTheme="majorHAnsi" w:hAnsiTheme="majorHAnsi"/>
                <w:b/>
                <w:bCs/>
                <w:sz w:val="20"/>
                <w:szCs w:val="20"/>
              </w:rPr>
            </w:pPr>
          </w:p>
        </w:tc>
        <w:tc>
          <w:tcPr>
            <w:tcW w:w="1784" w:type="dxa"/>
          </w:tcPr>
          <w:p w14:paraId="759847D1" w14:textId="77777777" w:rsidR="008C36A8" w:rsidRPr="0085252C" w:rsidRDefault="008C36A8"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6E0812C9" w14:textId="55BBBA99" w:rsidR="008C36A8" w:rsidRPr="0085252C" w:rsidRDefault="008C36A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40227436" w14:textId="77777777" w:rsidTr="009F4E46">
        <w:trPr>
          <w:trHeight w:val="551"/>
        </w:trPr>
        <w:tc>
          <w:tcPr>
            <w:tcW w:w="3119" w:type="dxa"/>
          </w:tcPr>
          <w:p w14:paraId="2EC047CC" w14:textId="10F07799" w:rsidR="008C36A8" w:rsidRPr="0085252C" w:rsidRDefault="00F45DF0" w:rsidP="009F4E46">
            <w:pPr>
              <w:spacing w:after="0" w:line="240" w:lineRule="auto"/>
              <w:rPr>
                <w:rFonts w:asciiTheme="majorHAnsi" w:hAnsiTheme="majorHAnsi"/>
                <w:sz w:val="20"/>
                <w:szCs w:val="20"/>
              </w:rPr>
            </w:pPr>
            <w:r w:rsidRPr="0085252C">
              <w:rPr>
                <w:rFonts w:asciiTheme="majorHAnsi" w:hAnsiTheme="majorHAnsi"/>
                <w:sz w:val="20"/>
                <w:szCs w:val="20"/>
              </w:rPr>
              <w:t>Northern Territory Remote Aboriginal Investment</w:t>
            </w:r>
          </w:p>
        </w:tc>
        <w:tc>
          <w:tcPr>
            <w:tcW w:w="1784" w:type="dxa"/>
            <w:shd w:val="clear" w:color="auto" w:fill="F2F2F2" w:themeFill="background1" w:themeFillShade="F2"/>
          </w:tcPr>
          <w:p w14:paraId="218F3BD2" w14:textId="72F23FFC" w:rsidR="008C36A8" w:rsidRPr="0085252C" w:rsidRDefault="008C36A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EF6B18C" w14:textId="528DA626" w:rsidR="008C36A8" w:rsidRPr="0085252C" w:rsidRDefault="008C36A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905FB90" w14:textId="1F2BE689" w:rsidR="008C36A8" w:rsidRPr="0085252C" w:rsidRDefault="008C36A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5908386" w14:textId="7237CA5E" w:rsidR="008C36A8" w:rsidRPr="0085252C" w:rsidRDefault="008C36A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74129F11" w14:textId="615B659E" w:rsidR="008C36A8" w:rsidRPr="0085252C" w:rsidRDefault="008C36A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96D44E4" w14:textId="0A5646C7" w:rsidR="008C36A8" w:rsidRPr="0085252C" w:rsidRDefault="008C36A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3FF8A017" w14:textId="2AE5F4BF" w:rsidR="008C36A8" w:rsidRPr="0085252C" w:rsidRDefault="008C36A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6F19C1" w:rsidRPr="0085252C" w14:paraId="52A4F563" w14:textId="77777777" w:rsidTr="009F4E46">
        <w:trPr>
          <w:trHeight w:val="551"/>
        </w:trPr>
        <w:tc>
          <w:tcPr>
            <w:tcW w:w="3119" w:type="dxa"/>
          </w:tcPr>
          <w:p w14:paraId="59AF4FF5" w14:textId="436A9B0F" w:rsidR="008C36A8" w:rsidRPr="0085252C" w:rsidRDefault="005F3B49" w:rsidP="009F4E46">
            <w:pPr>
              <w:spacing w:after="0" w:line="240" w:lineRule="auto"/>
              <w:rPr>
                <w:rFonts w:asciiTheme="majorHAnsi" w:hAnsiTheme="majorHAnsi"/>
                <w:sz w:val="20"/>
                <w:szCs w:val="20"/>
              </w:rPr>
            </w:pPr>
            <w:r w:rsidRPr="0085252C">
              <w:rPr>
                <w:rFonts w:asciiTheme="majorHAnsi" w:hAnsiTheme="majorHAnsi"/>
                <w:sz w:val="20"/>
                <w:szCs w:val="20"/>
              </w:rPr>
              <w:t>Remote NT Housing and Homelands partnership</w:t>
            </w:r>
          </w:p>
        </w:tc>
        <w:tc>
          <w:tcPr>
            <w:tcW w:w="1784" w:type="dxa"/>
          </w:tcPr>
          <w:p w14:paraId="359B5501" w14:textId="77777777" w:rsidR="008C36A8" w:rsidRPr="0085252C" w:rsidRDefault="008C36A8" w:rsidP="009F4E46">
            <w:pPr>
              <w:spacing w:after="0" w:line="240" w:lineRule="auto"/>
              <w:jc w:val="center"/>
              <w:rPr>
                <w:rFonts w:asciiTheme="majorHAnsi" w:hAnsiTheme="majorHAnsi"/>
                <w:b/>
                <w:bCs/>
                <w:sz w:val="20"/>
                <w:szCs w:val="20"/>
              </w:rPr>
            </w:pPr>
          </w:p>
        </w:tc>
        <w:tc>
          <w:tcPr>
            <w:tcW w:w="1784" w:type="dxa"/>
          </w:tcPr>
          <w:p w14:paraId="2318C987" w14:textId="77777777" w:rsidR="008C36A8" w:rsidRPr="0085252C" w:rsidRDefault="008C36A8" w:rsidP="009F4E46">
            <w:pPr>
              <w:spacing w:after="0" w:line="240" w:lineRule="auto"/>
              <w:jc w:val="center"/>
              <w:rPr>
                <w:rFonts w:asciiTheme="majorHAnsi" w:hAnsiTheme="majorHAnsi"/>
                <w:b/>
                <w:bCs/>
                <w:sz w:val="20"/>
                <w:szCs w:val="20"/>
              </w:rPr>
            </w:pPr>
          </w:p>
        </w:tc>
        <w:tc>
          <w:tcPr>
            <w:tcW w:w="1784" w:type="dxa"/>
          </w:tcPr>
          <w:p w14:paraId="08F8026F" w14:textId="77777777" w:rsidR="008C36A8" w:rsidRPr="0085252C" w:rsidRDefault="008C36A8"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2D820D41" w14:textId="66879856" w:rsidR="008C36A8" w:rsidRPr="0085252C" w:rsidRDefault="00661A83"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7143418A" w14:textId="77777777" w:rsidR="008C36A8" w:rsidRPr="0085252C" w:rsidRDefault="008C36A8" w:rsidP="009F4E46">
            <w:pPr>
              <w:spacing w:after="0" w:line="240" w:lineRule="auto"/>
              <w:jc w:val="center"/>
              <w:rPr>
                <w:rFonts w:asciiTheme="majorHAnsi" w:hAnsiTheme="majorHAnsi"/>
                <w:b/>
                <w:bCs/>
                <w:sz w:val="20"/>
                <w:szCs w:val="20"/>
              </w:rPr>
            </w:pPr>
          </w:p>
        </w:tc>
        <w:tc>
          <w:tcPr>
            <w:tcW w:w="1784" w:type="dxa"/>
          </w:tcPr>
          <w:p w14:paraId="3C363D8D" w14:textId="77777777" w:rsidR="008C36A8" w:rsidRPr="0085252C" w:rsidRDefault="008C36A8" w:rsidP="009F4E46">
            <w:pPr>
              <w:spacing w:after="0" w:line="240" w:lineRule="auto"/>
              <w:jc w:val="center"/>
              <w:rPr>
                <w:rFonts w:asciiTheme="majorHAnsi" w:hAnsiTheme="majorHAnsi"/>
                <w:b/>
                <w:bCs/>
                <w:sz w:val="20"/>
                <w:szCs w:val="20"/>
              </w:rPr>
            </w:pPr>
          </w:p>
        </w:tc>
        <w:tc>
          <w:tcPr>
            <w:tcW w:w="1784" w:type="dxa"/>
          </w:tcPr>
          <w:p w14:paraId="07E40BCA" w14:textId="77777777" w:rsidR="008C36A8" w:rsidRPr="0085252C" w:rsidRDefault="008C36A8" w:rsidP="009F4E46">
            <w:pPr>
              <w:spacing w:after="0" w:line="240" w:lineRule="auto"/>
              <w:jc w:val="center"/>
              <w:rPr>
                <w:rFonts w:asciiTheme="majorHAnsi" w:hAnsiTheme="majorHAnsi"/>
                <w:b/>
                <w:bCs/>
                <w:sz w:val="20"/>
                <w:szCs w:val="20"/>
              </w:rPr>
            </w:pPr>
          </w:p>
        </w:tc>
      </w:tr>
      <w:tr w:rsidR="00BD414A" w:rsidRPr="0085252C" w14:paraId="739C5A3A" w14:textId="77777777" w:rsidTr="009F4E46">
        <w:trPr>
          <w:trHeight w:val="551"/>
        </w:trPr>
        <w:tc>
          <w:tcPr>
            <w:tcW w:w="3119" w:type="dxa"/>
          </w:tcPr>
          <w:p w14:paraId="587E8D66" w14:textId="557B57FA" w:rsidR="00DF6A38" w:rsidRPr="0085252C" w:rsidRDefault="005F3B49" w:rsidP="009F4E46">
            <w:pPr>
              <w:spacing w:after="0" w:line="240" w:lineRule="auto"/>
              <w:rPr>
                <w:rFonts w:asciiTheme="majorHAnsi" w:hAnsiTheme="majorHAnsi"/>
                <w:sz w:val="20"/>
                <w:szCs w:val="20"/>
              </w:rPr>
            </w:pPr>
            <w:r w:rsidRPr="0085252C">
              <w:rPr>
                <w:rFonts w:asciiTheme="majorHAnsi" w:hAnsiTheme="majorHAnsi"/>
                <w:sz w:val="20"/>
                <w:szCs w:val="20"/>
              </w:rPr>
              <w:lastRenderedPageBreak/>
              <w:t>Partnership Agreement on Closing the Gap</w:t>
            </w:r>
          </w:p>
        </w:tc>
        <w:tc>
          <w:tcPr>
            <w:tcW w:w="1784" w:type="dxa"/>
            <w:shd w:val="clear" w:color="auto" w:fill="F2F2F2" w:themeFill="background1" w:themeFillShade="F2"/>
          </w:tcPr>
          <w:p w14:paraId="0A0368F0" w14:textId="4C875637"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3FDD725D" w14:textId="7F035A9D"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D7935F3" w14:textId="3EB822AF"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1E176ECA" w14:textId="391771E9"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402081D" w14:textId="5379C56B"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5CFDF402" w14:textId="0197888B"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1586E8C4" w14:textId="2D5DFAD7"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1EFE5A6D" w14:textId="77777777" w:rsidTr="009F4E46">
        <w:trPr>
          <w:trHeight w:val="551"/>
        </w:trPr>
        <w:tc>
          <w:tcPr>
            <w:tcW w:w="3119" w:type="dxa"/>
          </w:tcPr>
          <w:p w14:paraId="39036711" w14:textId="2599D010" w:rsidR="00DF6A38" w:rsidRPr="0085252C" w:rsidRDefault="005F3B49" w:rsidP="009F4E46">
            <w:pPr>
              <w:spacing w:after="0" w:line="240" w:lineRule="auto"/>
              <w:rPr>
                <w:rFonts w:asciiTheme="majorHAnsi" w:hAnsiTheme="majorHAnsi"/>
                <w:sz w:val="20"/>
                <w:szCs w:val="20"/>
              </w:rPr>
            </w:pPr>
            <w:r w:rsidRPr="0085252C">
              <w:rPr>
                <w:rFonts w:asciiTheme="majorHAnsi" w:hAnsiTheme="majorHAnsi"/>
                <w:sz w:val="20"/>
                <w:szCs w:val="20"/>
              </w:rPr>
              <w:t>Port Augusta Partnership</w:t>
            </w:r>
          </w:p>
        </w:tc>
        <w:tc>
          <w:tcPr>
            <w:tcW w:w="1784" w:type="dxa"/>
            <w:shd w:val="clear" w:color="auto" w:fill="F2F2F2" w:themeFill="background1" w:themeFillShade="F2"/>
          </w:tcPr>
          <w:p w14:paraId="5295CC72" w14:textId="47EC0AB9"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57D10003" w14:textId="45643F16"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7FA61B0" w14:textId="31D50DB4"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B825450" w14:textId="557B7CA5"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41E93D74" w14:textId="7D69A000"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BE7746B" w14:textId="582C2CF0"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969E836" w14:textId="31C4E6A7" w:rsidR="00DF6A38" w:rsidRPr="0085252C" w:rsidRDefault="00DF6A38"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6D72B2C9" w14:textId="77777777" w:rsidTr="009F4E46">
        <w:trPr>
          <w:trHeight w:val="551"/>
        </w:trPr>
        <w:tc>
          <w:tcPr>
            <w:tcW w:w="3119" w:type="dxa"/>
          </w:tcPr>
          <w:p w14:paraId="75CB5647" w14:textId="3AB02A82" w:rsidR="00FE679C" w:rsidRPr="0085252C" w:rsidRDefault="00FE679C" w:rsidP="009F4E46">
            <w:pPr>
              <w:spacing w:after="0" w:line="240" w:lineRule="auto"/>
              <w:rPr>
                <w:rFonts w:asciiTheme="majorHAnsi" w:hAnsiTheme="majorHAnsi"/>
                <w:sz w:val="20"/>
                <w:szCs w:val="20"/>
              </w:rPr>
            </w:pPr>
            <w:r w:rsidRPr="0085252C">
              <w:rPr>
                <w:rFonts w:asciiTheme="majorHAnsi" w:hAnsiTheme="majorHAnsi"/>
                <w:sz w:val="20"/>
                <w:szCs w:val="20"/>
              </w:rPr>
              <w:t>Remote First Nations Food Security Strategy Project Reference Group</w:t>
            </w:r>
          </w:p>
        </w:tc>
        <w:tc>
          <w:tcPr>
            <w:tcW w:w="1784" w:type="dxa"/>
            <w:shd w:val="clear" w:color="auto" w:fill="F2F2F2" w:themeFill="background1" w:themeFillShade="F2"/>
          </w:tcPr>
          <w:p w14:paraId="14B9E479" w14:textId="318B3300" w:rsidR="00FE679C" w:rsidRPr="0085252C" w:rsidRDefault="00FE679C"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3A7EA10B" w14:textId="230D7516" w:rsidR="00FE679C" w:rsidRPr="0085252C" w:rsidRDefault="00FE679C"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26F4E77B" w14:textId="77777777" w:rsidR="00FE679C" w:rsidRPr="0085252C" w:rsidRDefault="00FE679C"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1C613446" w14:textId="40C7D0FF" w:rsidR="00FE679C" w:rsidRPr="0085252C" w:rsidRDefault="00FE679C"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581F2C0F" w14:textId="77777777" w:rsidR="00FE679C" w:rsidRPr="0085252C" w:rsidRDefault="00FE679C" w:rsidP="009F4E46">
            <w:pPr>
              <w:spacing w:after="0" w:line="240" w:lineRule="auto"/>
              <w:jc w:val="center"/>
              <w:rPr>
                <w:rFonts w:asciiTheme="majorHAnsi" w:hAnsiTheme="majorHAnsi"/>
                <w:b/>
                <w:bCs/>
                <w:sz w:val="20"/>
                <w:szCs w:val="20"/>
              </w:rPr>
            </w:pPr>
          </w:p>
        </w:tc>
        <w:tc>
          <w:tcPr>
            <w:tcW w:w="1784" w:type="dxa"/>
          </w:tcPr>
          <w:p w14:paraId="3EEA11FE" w14:textId="77777777" w:rsidR="00FE679C" w:rsidRPr="0085252C" w:rsidRDefault="00FE679C"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34C10F3F" w14:textId="69D2E8E1" w:rsidR="00FE679C" w:rsidRPr="0085252C" w:rsidRDefault="00FE679C"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42EE3B1F" w14:textId="77777777" w:rsidTr="009F4E46">
        <w:trPr>
          <w:trHeight w:val="551"/>
        </w:trPr>
        <w:tc>
          <w:tcPr>
            <w:tcW w:w="3119" w:type="dxa"/>
          </w:tcPr>
          <w:p w14:paraId="28EECB17" w14:textId="7141EA4B" w:rsidR="006B0E35" w:rsidRPr="0085252C" w:rsidRDefault="006B0E35" w:rsidP="009F4E46">
            <w:pPr>
              <w:spacing w:after="0" w:line="240" w:lineRule="auto"/>
              <w:rPr>
                <w:rFonts w:asciiTheme="majorHAnsi" w:hAnsiTheme="majorHAnsi"/>
                <w:sz w:val="20"/>
                <w:szCs w:val="20"/>
              </w:rPr>
            </w:pPr>
            <w:r w:rsidRPr="0085252C">
              <w:rPr>
                <w:rFonts w:asciiTheme="majorHAnsi" w:hAnsiTheme="majorHAnsi"/>
                <w:sz w:val="20"/>
                <w:szCs w:val="20"/>
              </w:rPr>
              <w:t>Wreck Bay Aboriginal Community Council Housing Project</w:t>
            </w:r>
          </w:p>
        </w:tc>
        <w:tc>
          <w:tcPr>
            <w:tcW w:w="1784" w:type="dxa"/>
            <w:shd w:val="clear" w:color="auto" w:fill="F2F2F2" w:themeFill="background1" w:themeFillShade="F2"/>
          </w:tcPr>
          <w:p w14:paraId="6BF1E73A" w14:textId="01330BB8" w:rsidR="006B0E35" w:rsidRPr="0085252C" w:rsidRDefault="006B0E35"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3A408CEA"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596AB5C3" w14:textId="2272CB58" w:rsidR="006B0E35" w:rsidRPr="0085252C" w:rsidRDefault="006B0E35"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DCBE1FD" w14:textId="0252E962" w:rsidR="006B0E35" w:rsidRPr="0085252C" w:rsidRDefault="006B0E35"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41A9932F"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218037AF" w14:textId="594DC9D4" w:rsidR="006B0E35" w:rsidRPr="0085252C" w:rsidRDefault="006B0E35"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4EE50499" w14:textId="77777777" w:rsidR="006B0E35" w:rsidRPr="0085252C" w:rsidRDefault="006B0E35" w:rsidP="009F4E46">
            <w:pPr>
              <w:spacing w:after="0" w:line="240" w:lineRule="auto"/>
              <w:jc w:val="center"/>
              <w:rPr>
                <w:rFonts w:asciiTheme="majorHAnsi" w:hAnsiTheme="majorHAnsi"/>
                <w:b/>
                <w:bCs/>
                <w:sz w:val="20"/>
                <w:szCs w:val="20"/>
              </w:rPr>
            </w:pPr>
          </w:p>
        </w:tc>
      </w:tr>
      <w:tr w:rsidR="00BD414A" w:rsidRPr="0085252C" w14:paraId="65A74116" w14:textId="77777777" w:rsidTr="009F4E46">
        <w:trPr>
          <w:trHeight w:val="551"/>
        </w:trPr>
        <w:tc>
          <w:tcPr>
            <w:tcW w:w="3119" w:type="dxa"/>
          </w:tcPr>
          <w:p w14:paraId="5934B066" w14:textId="35A4579E" w:rsidR="006B0E35" w:rsidRPr="0085252C" w:rsidRDefault="006B0E35" w:rsidP="009F4E46">
            <w:pPr>
              <w:spacing w:after="0" w:line="240" w:lineRule="auto"/>
              <w:rPr>
                <w:rFonts w:asciiTheme="majorHAnsi" w:hAnsiTheme="majorHAnsi"/>
                <w:sz w:val="20"/>
                <w:szCs w:val="20"/>
              </w:rPr>
            </w:pPr>
            <w:r w:rsidRPr="0085252C">
              <w:rPr>
                <w:rFonts w:asciiTheme="majorHAnsi" w:hAnsiTheme="majorHAnsi"/>
                <w:sz w:val="20"/>
                <w:szCs w:val="20"/>
              </w:rPr>
              <w:t>First Nations Economic Partnership</w:t>
            </w:r>
          </w:p>
        </w:tc>
        <w:tc>
          <w:tcPr>
            <w:tcW w:w="1784" w:type="dxa"/>
          </w:tcPr>
          <w:p w14:paraId="55601A50"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tcPr>
          <w:p w14:paraId="62DE400F"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034C66DB" w14:textId="30D60150" w:rsidR="006B0E35" w:rsidRPr="0085252C" w:rsidRDefault="006B0E35"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25128626"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tcPr>
          <w:p w14:paraId="52B12830"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tcPr>
          <w:p w14:paraId="715F95BF"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7B00B832" w14:textId="0C32EDE5" w:rsidR="006B0E35" w:rsidRPr="0085252C" w:rsidRDefault="006B0E35"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6F19C1" w:rsidRPr="0085252C" w14:paraId="6B452C0A" w14:textId="77777777" w:rsidTr="009F4E46">
        <w:trPr>
          <w:trHeight w:val="551"/>
        </w:trPr>
        <w:tc>
          <w:tcPr>
            <w:tcW w:w="3119" w:type="dxa"/>
          </w:tcPr>
          <w:p w14:paraId="672B5F5A" w14:textId="2FB81B27" w:rsidR="006B0E35" w:rsidRPr="0085252C" w:rsidRDefault="006B0E35" w:rsidP="009F4E46">
            <w:pPr>
              <w:spacing w:after="0" w:line="240" w:lineRule="auto"/>
              <w:rPr>
                <w:rFonts w:asciiTheme="majorHAnsi" w:hAnsiTheme="majorHAnsi"/>
                <w:sz w:val="20"/>
                <w:szCs w:val="20"/>
              </w:rPr>
            </w:pPr>
            <w:r w:rsidRPr="0085252C">
              <w:rPr>
                <w:rFonts w:asciiTheme="majorHAnsi" w:hAnsiTheme="majorHAnsi"/>
                <w:sz w:val="20"/>
                <w:szCs w:val="20"/>
              </w:rPr>
              <w:t>Housing Policy Partnership</w:t>
            </w:r>
          </w:p>
        </w:tc>
        <w:tc>
          <w:tcPr>
            <w:tcW w:w="1784" w:type="dxa"/>
          </w:tcPr>
          <w:p w14:paraId="05F60020"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tcPr>
          <w:p w14:paraId="496F8BD7"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tcPr>
          <w:p w14:paraId="57548421"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shd w:val="clear" w:color="auto" w:fill="F2F2F2" w:themeFill="background1" w:themeFillShade="F2"/>
          </w:tcPr>
          <w:p w14:paraId="605DDBB3" w14:textId="6B9A5C5C" w:rsidR="006B0E35" w:rsidRPr="0085252C" w:rsidRDefault="006B0E35"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tcPr>
          <w:p w14:paraId="0BC24995"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tcPr>
          <w:p w14:paraId="378D8DA8" w14:textId="77777777" w:rsidR="006B0E35" w:rsidRPr="0085252C" w:rsidRDefault="006B0E35" w:rsidP="009F4E46">
            <w:pPr>
              <w:spacing w:after="0" w:line="240" w:lineRule="auto"/>
              <w:jc w:val="center"/>
              <w:rPr>
                <w:rFonts w:asciiTheme="majorHAnsi" w:hAnsiTheme="majorHAnsi"/>
                <w:b/>
                <w:bCs/>
                <w:sz w:val="20"/>
                <w:szCs w:val="20"/>
              </w:rPr>
            </w:pPr>
          </w:p>
        </w:tc>
        <w:tc>
          <w:tcPr>
            <w:tcW w:w="1784" w:type="dxa"/>
          </w:tcPr>
          <w:p w14:paraId="4C80262B" w14:textId="77777777" w:rsidR="006B0E35" w:rsidRPr="0085252C" w:rsidRDefault="006B0E35" w:rsidP="009F4E46">
            <w:pPr>
              <w:spacing w:after="0" w:line="240" w:lineRule="auto"/>
              <w:jc w:val="center"/>
              <w:rPr>
                <w:rFonts w:asciiTheme="majorHAnsi" w:hAnsiTheme="majorHAnsi"/>
                <w:b/>
                <w:bCs/>
                <w:sz w:val="20"/>
                <w:szCs w:val="20"/>
              </w:rPr>
            </w:pPr>
          </w:p>
        </w:tc>
      </w:tr>
      <w:tr w:rsidR="00BD414A" w:rsidRPr="0085252C" w14:paraId="3B933707" w14:textId="77777777" w:rsidTr="009F4E46">
        <w:trPr>
          <w:trHeight w:val="551"/>
        </w:trPr>
        <w:tc>
          <w:tcPr>
            <w:tcW w:w="3119" w:type="dxa"/>
          </w:tcPr>
          <w:p w14:paraId="5F99430A" w14:textId="12B6CF6E" w:rsidR="007F6607" w:rsidRPr="0085252C" w:rsidRDefault="007F6607" w:rsidP="009F4E46">
            <w:pPr>
              <w:spacing w:after="0" w:line="240" w:lineRule="auto"/>
              <w:rPr>
                <w:rFonts w:asciiTheme="majorHAnsi" w:hAnsiTheme="majorHAnsi"/>
                <w:sz w:val="20"/>
                <w:szCs w:val="20"/>
              </w:rPr>
            </w:pPr>
            <w:r w:rsidRPr="0085252C">
              <w:rPr>
                <w:rFonts w:asciiTheme="majorHAnsi" w:hAnsiTheme="majorHAnsi"/>
                <w:sz w:val="20"/>
                <w:szCs w:val="20"/>
              </w:rPr>
              <w:t>Empowered Communities – Cape York</w:t>
            </w:r>
          </w:p>
        </w:tc>
        <w:tc>
          <w:tcPr>
            <w:tcW w:w="1784" w:type="dxa"/>
            <w:shd w:val="clear" w:color="auto" w:fill="F2F2F2" w:themeFill="background1" w:themeFillShade="F2"/>
          </w:tcPr>
          <w:p w14:paraId="15ADC35B" w14:textId="5A1E1FB4"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462C430A" w14:textId="50B33207"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B14AD54" w14:textId="05931721"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534A290F" w14:textId="76EB05A2"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5F161178" w14:textId="3143FDFB"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CA90D72" w14:textId="18734FD7"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C75BAFD" w14:textId="1ACAB3CA"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10E39186" w14:textId="77777777" w:rsidTr="009F4E46">
        <w:trPr>
          <w:trHeight w:val="551"/>
        </w:trPr>
        <w:tc>
          <w:tcPr>
            <w:tcW w:w="3119" w:type="dxa"/>
          </w:tcPr>
          <w:p w14:paraId="21615868" w14:textId="3832F82C" w:rsidR="007F6607" w:rsidRPr="0085252C" w:rsidRDefault="007F6607" w:rsidP="009F4E46">
            <w:pPr>
              <w:spacing w:after="0" w:line="240" w:lineRule="auto"/>
              <w:rPr>
                <w:rFonts w:asciiTheme="majorHAnsi" w:hAnsiTheme="majorHAnsi"/>
                <w:sz w:val="20"/>
                <w:szCs w:val="20"/>
              </w:rPr>
            </w:pPr>
            <w:r w:rsidRPr="0085252C">
              <w:rPr>
                <w:rFonts w:asciiTheme="majorHAnsi" w:hAnsiTheme="majorHAnsi"/>
                <w:sz w:val="20"/>
                <w:szCs w:val="20"/>
              </w:rPr>
              <w:t>Empowered Communities – Central Coast</w:t>
            </w:r>
          </w:p>
        </w:tc>
        <w:tc>
          <w:tcPr>
            <w:tcW w:w="1784" w:type="dxa"/>
            <w:shd w:val="clear" w:color="auto" w:fill="F2F2F2" w:themeFill="background1" w:themeFillShade="F2"/>
          </w:tcPr>
          <w:p w14:paraId="2E8957F6" w14:textId="6D600733"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6004B76" w14:textId="18011FEC"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345BD891" w14:textId="7E3265E4"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428FFF54" w14:textId="6E7BCEC4"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9430C63" w14:textId="1EB8279F"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C3F07C3" w14:textId="19D4C054"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919767D" w14:textId="11E30786"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356E6F00" w14:textId="77777777" w:rsidTr="009F4E46">
        <w:trPr>
          <w:trHeight w:val="551"/>
        </w:trPr>
        <w:tc>
          <w:tcPr>
            <w:tcW w:w="3119" w:type="dxa"/>
          </w:tcPr>
          <w:p w14:paraId="3AD2EB66" w14:textId="209D3C58" w:rsidR="007F6607" w:rsidRPr="0085252C" w:rsidRDefault="007F6607" w:rsidP="009F4E46">
            <w:pPr>
              <w:spacing w:after="0" w:line="240" w:lineRule="auto"/>
              <w:rPr>
                <w:rFonts w:asciiTheme="majorHAnsi" w:hAnsiTheme="majorHAnsi"/>
                <w:sz w:val="20"/>
                <w:szCs w:val="20"/>
              </w:rPr>
            </w:pPr>
            <w:r w:rsidRPr="0085252C">
              <w:rPr>
                <w:rFonts w:asciiTheme="majorHAnsi" w:hAnsiTheme="majorHAnsi"/>
                <w:sz w:val="20"/>
                <w:szCs w:val="20"/>
              </w:rPr>
              <w:t>Empowered Communities – East Kimberley</w:t>
            </w:r>
          </w:p>
        </w:tc>
        <w:tc>
          <w:tcPr>
            <w:tcW w:w="1784" w:type="dxa"/>
            <w:shd w:val="clear" w:color="auto" w:fill="F2F2F2" w:themeFill="background1" w:themeFillShade="F2"/>
          </w:tcPr>
          <w:p w14:paraId="489D754E" w14:textId="1E117A73"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5BAA1597" w14:textId="1F935D21"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70B1D0C" w14:textId="73687C2C"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70660B01" w14:textId="0A70A53D"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15C127AB" w14:textId="1E7FD560"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E1B79CE" w14:textId="292990E7"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F1C8D87" w14:textId="3AA8BD45"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2A95E5B3" w14:textId="77777777" w:rsidTr="009F4E46">
        <w:trPr>
          <w:trHeight w:val="551"/>
        </w:trPr>
        <w:tc>
          <w:tcPr>
            <w:tcW w:w="3119" w:type="dxa"/>
          </w:tcPr>
          <w:p w14:paraId="69D87AE5" w14:textId="7DBE30E4" w:rsidR="007F6607" w:rsidRPr="0085252C" w:rsidRDefault="007F6607" w:rsidP="009F4E46">
            <w:pPr>
              <w:spacing w:after="0" w:line="240" w:lineRule="auto"/>
              <w:rPr>
                <w:rFonts w:asciiTheme="majorHAnsi" w:hAnsiTheme="majorHAnsi"/>
                <w:sz w:val="20"/>
                <w:szCs w:val="20"/>
              </w:rPr>
            </w:pPr>
            <w:r w:rsidRPr="0085252C">
              <w:rPr>
                <w:rFonts w:asciiTheme="majorHAnsi" w:hAnsiTheme="majorHAnsi"/>
                <w:sz w:val="20"/>
                <w:szCs w:val="20"/>
              </w:rPr>
              <w:t>Empowered Communities – Far West Community Partnerships</w:t>
            </w:r>
          </w:p>
        </w:tc>
        <w:tc>
          <w:tcPr>
            <w:tcW w:w="1784" w:type="dxa"/>
            <w:shd w:val="clear" w:color="auto" w:fill="F2F2F2" w:themeFill="background1" w:themeFillShade="F2"/>
          </w:tcPr>
          <w:p w14:paraId="30EF98E8" w14:textId="7671C140"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72C9BD77" w14:textId="050FB581"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40767F7B" w14:textId="46B2D614"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1D057843" w14:textId="55CB8A4A"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75E36F5D" w14:textId="7C852E97"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31343880" w14:textId="1C5964C6"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3B6847C3" w14:textId="2C7BB49B"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0EC7D189" w14:textId="77777777" w:rsidTr="009F4E46">
        <w:trPr>
          <w:trHeight w:val="551"/>
        </w:trPr>
        <w:tc>
          <w:tcPr>
            <w:tcW w:w="3119" w:type="dxa"/>
          </w:tcPr>
          <w:p w14:paraId="0C29755E" w14:textId="7B5063E7" w:rsidR="007F6607" w:rsidRPr="0085252C" w:rsidRDefault="007F6607" w:rsidP="009F4E46">
            <w:pPr>
              <w:spacing w:after="0" w:line="240" w:lineRule="auto"/>
              <w:rPr>
                <w:rFonts w:asciiTheme="majorHAnsi" w:hAnsiTheme="majorHAnsi"/>
                <w:sz w:val="20"/>
                <w:szCs w:val="20"/>
              </w:rPr>
            </w:pPr>
            <w:r w:rsidRPr="0085252C">
              <w:rPr>
                <w:rFonts w:asciiTheme="majorHAnsi" w:hAnsiTheme="majorHAnsi"/>
                <w:sz w:val="20"/>
                <w:szCs w:val="20"/>
              </w:rPr>
              <w:t>Empowered Communities – Inner Sydney</w:t>
            </w:r>
          </w:p>
        </w:tc>
        <w:tc>
          <w:tcPr>
            <w:tcW w:w="1784" w:type="dxa"/>
            <w:shd w:val="clear" w:color="auto" w:fill="F2F2F2" w:themeFill="background1" w:themeFillShade="F2"/>
          </w:tcPr>
          <w:p w14:paraId="2D885185" w14:textId="2D5E89C8"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1AC21E6" w14:textId="1ED899D2"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39D5271" w14:textId="7691D0CC"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65708361" w14:textId="53041533"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86D0146" w14:textId="5EAE1F5D"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78D69685" w14:textId="58F62AD2"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5B596014" w14:textId="76D593AD"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146D9D10" w14:textId="77777777" w:rsidTr="009F4E46">
        <w:trPr>
          <w:trHeight w:val="551"/>
        </w:trPr>
        <w:tc>
          <w:tcPr>
            <w:tcW w:w="3119" w:type="dxa"/>
          </w:tcPr>
          <w:p w14:paraId="01A7A7A9" w14:textId="163E5BC8" w:rsidR="007F6607" w:rsidRPr="0085252C" w:rsidRDefault="007F6607" w:rsidP="009F4E46">
            <w:pPr>
              <w:spacing w:after="0" w:line="240" w:lineRule="auto"/>
              <w:rPr>
                <w:rFonts w:asciiTheme="majorHAnsi" w:hAnsiTheme="majorHAnsi"/>
                <w:sz w:val="20"/>
                <w:szCs w:val="20"/>
              </w:rPr>
            </w:pPr>
            <w:r w:rsidRPr="0085252C">
              <w:rPr>
                <w:rFonts w:asciiTheme="majorHAnsi" w:hAnsiTheme="majorHAnsi"/>
                <w:sz w:val="20"/>
                <w:szCs w:val="20"/>
              </w:rPr>
              <w:t>Empowered Communities – Ngarrindjeri Ruwe</w:t>
            </w:r>
          </w:p>
        </w:tc>
        <w:tc>
          <w:tcPr>
            <w:tcW w:w="1784" w:type="dxa"/>
            <w:shd w:val="clear" w:color="auto" w:fill="F2F2F2" w:themeFill="background1" w:themeFillShade="F2"/>
          </w:tcPr>
          <w:p w14:paraId="17D7B060" w14:textId="7A8F486F"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48960C45" w14:textId="65DABC70"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3F619DA7" w14:textId="137C071B"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1EE9E517" w14:textId="1829584C"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E065988" w14:textId="052D2C03"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24A57666" w14:textId="30FE1EBF"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7ABBDF2C" w14:textId="1FEE4CF2"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2F3A3BC3" w14:textId="77777777" w:rsidTr="009F4E46">
        <w:trPr>
          <w:trHeight w:val="551"/>
        </w:trPr>
        <w:tc>
          <w:tcPr>
            <w:tcW w:w="3119" w:type="dxa"/>
          </w:tcPr>
          <w:p w14:paraId="7D07CF2E" w14:textId="4A69033E" w:rsidR="007F6607" w:rsidRPr="0085252C" w:rsidRDefault="007F6607" w:rsidP="009F4E46">
            <w:pPr>
              <w:spacing w:after="0" w:line="240" w:lineRule="auto"/>
              <w:rPr>
                <w:rFonts w:asciiTheme="majorHAnsi" w:hAnsiTheme="majorHAnsi"/>
                <w:sz w:val="20"/>
                <w:szCs w:val="20"/>
              </w:rPr>
            </w:pPr>
            <w:r w:rsidRPr="0085252C">
              <w:rPr>
                <w:rFonts w:asciiTheme="majorHAnsi" w:hAnsiTheme="majorHAnsi"/>
                <w:sz w:val="20"/>
                <w:szCs w:val="20"/>
              </w:rPr>
              <w:lastRenderedPageBreak/>
              <w:t>Empowered Communities – Tristate</w:t>
            </w:r>
          </w:p>
        </w:tc>
        <w:tc>
          <w:tcPr>
            <w:tcW w:w="1784" w:type="dxa"/>
            <w:shd w:val="clear" w:color="auto" w:fill="F2F2F2" w:themeFill="background1" w:themeFillShade="F2"/>
          </w:tcPr>
          <w:p w14:paraId="2FA420D5" w14:textId="7567045C"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468C4E71" w14:textId="0C1F2BA5"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FAA0E55" w14:textId="22DA13E9"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9F49F16" w14:textId="233AA99D"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0887B80E" w14:textId="1C89A8F4"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59ACB93E" w14:textId="682365F7"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524B564A" w14:textId="310B9FF4"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r w:rsidR="00BD414A" w:rsidRPr="0085252C" w14:paraId="1071A5C5" w14:textId="77777777" w:rsidTr="009F4E46">
        <w:trPr>
          <w:trHeight w:val="551"/>
        </w:trPr>
        <w:tc>
          <w:tcPr>
            <w:tcW w:w="3119" w:type="dxa"/>
          </w:tcPr>
          <w:p w14:paraId="665CF7BA" w14:textId="0C0EDE02" w:rsidR="007F6607" w:rsidRPr="0085252C" w:rsidRDefault="007F6607" w:rsidP="009F4E46">
            <w:pPr>
              <w:spacing w:after="0" w:line="240" w:lineRule="auto"/>
              <w:rPr>
                <w:rFonts w:asciiTheme="majorHAnsi" w:hAnsiTheme="majorHAnsi"/>
                <w:sz w:val="20"/>
                <w:szCs w:val="20"/>
              </w:rPr>
            </w:pPr>
            <w:r w:rsidRPr="0085252C">
              <w:rPr>
                <w:rFonts w:asciiTheme="majorHAnsi" w:hAnsiTheme="majorHAnsi"/>
                <w:sz w:val="20"/>
                <w:szCs w:val="20"/>
              </w:rPr>
              <w:t>Empowered Communities – West Kimberley</w:t>
            </w:r>
            <w:r w:rsidRPr="0085252C">
              <w:rPr>
                <w:rFonts w:asciiTheme="majorHAnsi" w:hAnsiTheme="majorHAnsi"/>
                <w:sz w:val="20"/>
                <w:szCs w:val="20"/>
              </w:rPr>
              <w:tab/>
            </w:r>
          </w:p>
        </w:tc>
        <w:tc>
          <w:tcPr>
            <w:tcW w:w="1784" w:type="dxa"/>
            <w:shd w:val="clear" w:color="auto" w:fill="F2F2F2" w:themeFill="background1" w:themeFillShade="F2"/>
          </w:tcPr>
          <w:p w14:paraId="17988EC9" w14:textId="26042AB6"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52AA844B" w14:textId="08E73E25"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72A211D3" w14:textId="2A47C37F"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4E92D106" w14:textId="1E239F81"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7169B94E" w14:textId="57AACC76"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7FF6D546" w14:textId="4E72B856"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c>
          <w:tcPr>
            <w:tcW w:w="1784" w:type="dxa"/>
            <w:shd w:val="clear" w:color="auto" w:fill="F2F2F2" w:themeFill="background1" w:themeFillShade="F2"/>
          </w:tcPr>
          <w:p w14:paraId="3B60ED05" w14:textId="2216A38B" w:rsidR="007F6607" w:rsidRPr="0085252C" w:rsidRDefault="007F6607" w:rsidP="009F4E46">
            <w:pPr>
              <w:spacing w:after="0" w:line="240" w:lineRule="auto"/>
              <w:jc w:val="center"/>
              <w:rPr>
                <w:rFonts w:asciiTheme="majorHAnsi" w:hAnsiTheme="majorHAnsi"/>
                <w:b/>
                <w:bCs/>
                <w:sz w:val="20"/>
                <w:szCs w:val="20"/>
              </w:rPr>
            </w:pPr>
            <w:r w:rsidRPr="0085252C">
              <w:rPr>
                <w:rFonts w:asciiTheme="majorHAnsi" w:hAnsiTheme="majorHAnsi"/>
                <w:b/>
                <w:bCs/>
                <w:sz w:val="20"/>
                <w:szCs w:val="20"/>
              </w:rPr>
              <w:t>Area of Focus</w:t>
            </w:r>
          </w:p>
        </w:tc>
      </w:tr>
    </w:tbl>
    <w:p w14:paraId="59CECCAE" w14:textId="68A3A1D6" w:rsidR="0038170A" w:rsidRPr="00282494" w:rsidRDefault="00806BF9" w:rsidP="009249D0">
      <w:pPr>
        <w:rPr>
          <w:i/>
          <w:iCs/>
        </w:rPr>
      </w:pPr>
      <w:r w:rsidRPr="00282494">
        <w:rPr>
          <w:i/>
          <w:iCs/>
        </w:rPr>
        <w:t>Note: This table does not include all partnerships captured through the 2025 Partnership Stocktake.</w:t>
      </w:r>
      <w:r w:rsidR="0038170A" w:rsidRPr="00282494">
        <w:rPr>
          <w:i/>
          <w:iCs/>
        </w:rPr>
        <w:br w:type="page"/>
      </w:r>
    </w:p>
    <w:p w14:paraId="1AFCDA09" w14:textId="77777777" w:rsidR="0038170A" w:rsidRDefault="0038170A" w:rsidP="009249D0">
      <w:pPr>
        <w:pStyle w:val="Heading1"/>
        <w:sectPr w:rsidR="0038170A" w:rsidSect="0038170A">
          <w:pgSz w:w="16838" w:h="11906" w:orient="landscape"/>
          <w:pgMar w:top="720" w:right="720" w:bottom="720" w:left="720" w:header="709" w:footer="709" w:gutter="0"/>
          <w:cols w:space="708"/>
          <w:docGrid w:linePitch="360"/>
        </w:sectPr>
      </w:pPr>
    </w:p>
    <w:p w14:paraId="0D93AF9C" w14:textId="5EC9E031" w:rsidR="00B719AD" w:rsidRDefault="00B719AD" w:rsidP="009249D0">
      <w:pPr>
        <w:pStyle w:val="Heading1"/>
      </w:pPr>
      <w:bookmarkStart w:id="7" w:name="_Toc225506029"/>
      <w:r>
        <w:lastRenderedPageBreak/>
        <w:t>Partnerships</w:t>
      </w:r>
      <w:bookmarkEnd w:id="7"/>
    </w:p>
    <w:p w14:paraId="5F9F8774" w14:textId="65AAE31F" w:rsidR="003E02B8" w:rsidRDefault="008D40A9" w:rsidP="009249D0">
      <w:pPr>
        <w:pStyle w:val="Heading3"/>
      </w:pPr>
      <w:bookmarkStart w:id="8" w:name="_Toc225506030"/>
      <w:r w:rsidRPr="008D40A9">
        <w:t>Justice Policy Partnership (JPP)</w:t>
      </w:r>
      <w:bookmarkEnd w:id="8"/>
    </w:p>
    <w:p w14:paraId="4066C342" w14:textId="039AE089" w:rsidR="008D40A9" w:rsidRPr="00033FB2" w:rsidRDefault="008D40A9" w:rsidP="009249D0">
      <w:pPr>
        <w:pStyle w:val="Heading4"/>
      </w:pPr>
      <w:r w:rsidRPr="00033FB2">
        <w:t>Partnership description</w:t>
      </w:r>
    </w:p>
    <w:p w14:paraId="7AEE445D" w14:textId="77777777" w:rsidR="00A75DFE" w:rsidRDefault="00876390" w:rsidP="009249D0">
      <w:r>
        <w:t>The purpose of the JPP is to develop a joined</w:t>
      </w:r>
      <w:r>
        <w:rPr>
          <w:rFonts w:ascii="Cambria Math" w:hAnsi="Cambria Math" w:cs="Cambria Math"/>
        </w:rPr>
        <w:t>‑</w:t>
      </w:r>
      <w:r>
        <w:t>up approach to Aboriginal and Torres Strait Islander justice policy, with a focus on reducing adult and youth incarceration. The primary function of the JPP is to make recommendations to all governments, through Joint Council, to reduce rates of over</w:t>
      </w:r>
      <w:r>
        <w:rPr>
          <w:rFonts w:ascii="Cambria Math" w:hAnsi="Cambria Math" w:cs="Cambria Math"/>
        </w:rPr>
        <w:t>‑</w:t>
      </w:r>
      <w:r>
        <w:t xml:space="preserve">incarceration. </w:t>
      </w:r>
    </w:p>
    <w:p w14:paraId="06F37CE7" w14:textId="758142D8" w:rsidR="00876390" w:rsidRDefault="00876390" w:rsidP="009249D0">
      <w:r>
        <w:t>This is a formal Policy Partnership under the National Agreement on Closing the Gap between the Commonwealth, states and territories and Aboriginal and Torres Strait Islander representatives.</w:t>
      </w:r>
    </w:p>
    <w:p w14:paraId="07B6FF9B" w14:textId="77777777" w:rsidR="00837360" w:rsidRPr="00DF6278" w:rsidRDefault="00837360" w:rsidP="009249D0">
      <w:pPr>
        <w:pStyle w:val="Heading4"/>
      </w:pPr>
      <w:r w:rsidRPr="00DF6278">
        <w:t>Aboriginal and Torres Strait Islander parties</w:t>
      </w:r>
    </w:p>
    <w:p w14:paraId="12789CB3" w14:textId="1D1668C2" w:rsidR="00837360" w:rsidRPr="00296DB4" w:rsidRDefault="00837360" w:rsidP="009249D0">
      <w:r w:rsidRPr="00296DB4">
        <w:t>National Aboriginal and Torres Strait Islander Legal Service (NATSILS)</w:t>
      </w:r>
      <w:r w:rsidR="002B0FA5">
        <w:t xml:space="preserve"> (endorsing partner)</w:t>
      </w:r>
    </w:p>
    <w:p w14:paraId="38204C21" w14:textId="77777777" w:rsidR="00837360" w:rsidRPr="006F3F2A" w:rsidRDefault="00837360" w:rsidP="009249D0">
      <w:r w:rsidRPr="006F3F2A">
        <w:t xml:space="preserve">SNAICC – National Voice for our Children </w:t>
      </w:r>
    </w:p>
    <w:p w14:paraId="4A15644E" w14:textId="77777777" w:rsidR="00837360" w:rsidRPr="006F3F2A" w:rsidRDefault="00837360" w:rsidP="009249D0">
      <w:r w:rsidRPr="006F3F2A">
        <w:t>First Nations Advocates Against Family Violence</w:t>
      </w:r>
    </w:p>
    <w:p w14:paraId="31B5E7C4" w14:textId="77777777" w:rsidR="00837360" w:rsidRPr="006F3F2A" w:rsidRDefault="00837360" w:rsidP="009249D0">
      <w:r w:rsidRPr="006F3F2A">
        <w:t xml:space="preserve">National Aboriginal Community Controlled Health Organisation </w:t>
      </w:r>
    </w:p>
    <w:p w14:paraId="2A892578" w14:textId="77777777" w:rsidR="00837360" w:rsidRPr="006F3F2A" w:rsidRDefault="00837360" w:rsidP="009249D0">
      <w:r w:rsidRPr="006F3F2A">
        <w:t xml:space="preserve">First Peoples Disability Network </w:t>
      </w:r>
    </w:p>
    <w:p w14:paraId="6A6F2935" w14:textId="77777777" w:rsidR="00837360" w:rsidRPr="006F3F2A" w:rsidRDefault="00837360" w:rsidP="009249D0">
      <w:r w:rsidRPr="006F3F2A">
        <w:t>5 independent Aboriginal and Torres Strait Islander representatives with justice expertise</w:t>
      </w:r>
    </w:p>
    <w:p w14:paraId="458CD46F" w14:textId="77777777" w:rsidR="00837360" w:rsidRPr="00617C76" w:rsidRDefault="00837360" w:rsidP="009249D0">
      <w:pPr>
        <w:pStyle w:val="Heading4"/>
      </w:pPr>
      <w:r w:rsidRPr="00617C76">
        <w:t>Government parties</w:t>
      </w:r>
    </w:p>
    <w:p w14:paraId="2E90CFC9" w14:textId="77777777" w:rsidR="00115C74" w:rsidRDefault="00115C74" w:rsidP="009249D0">
      <w:pPr>
        <w:pStyle w:val="Heading5"/>
      </w:pPr>
      <w:r w:rsidRPr="00115C74">
        <w:t xml:space="preserve">COMMONWEALTH PARTIES </w:t>
      </w:r>
    </w:p>
    <w:p w14:paraId="445BC5E1" w14:textId="6315BF02" w:rsidR="00115C74" w:rsidRPr="00115C74" w:rsidRDefault="00115C74" w:rsidP="009249D0">
      <w:r w:rsidRPr="00115C74">
        <w:t>Attorney</w:t>
      </w:r>
      <w:r w:rsidRPr="00115C74">
        <w:noBreakHyphen/>
        <w:t xml:space="preserve">General’s Department </w:t>
      </w:r>
      <w:r w:rsidR="00793ADC">
        <w:t>(</w:t>
      </w:r>
      <w:r w:rsidR="00DE5CD0">
        <w:t>e</w:t>
      </w:r>
      <w:r w:rsidR="00793ADC">
        <w:t>ndorsing</w:t>
      </w:r>
      <w:r w:rsidR="00DE5CD0">
        <w:t xml:space="preserve"> partner)</w:t>
      </w:r>
    </w:p>
    <w:p w14:paraId="4A888B28" w14:textId="77777777" w:rsidR="00115C74" w:rsidRDefault="00115C74" w:rsidP="009249D0">
      <w:pPr>
        <w:pStyle w:val="Heading5"/>
      </w:pPr>
      <w:r w:rsidRPr="00115C74">
        <w:t xml:space="preserve">STATE AND TERRITORY PARTIES </w:t>
      </w:r>
    </w:p>
    <w:p w14:paraId="46BE7BAB" w14:textId="0FC31851" w:rsidR="00837360" w:rsidRPr="00115C74" w:rsidRDefault="00115C74" w:rsidP="009249D0">
      <w:r w:rsidRPr="00115C74">
        <w:t>State and territory Attorney</w:t>
      </w:r>
      <w:r w:rsidRPr="00115C74">
        <w:noBreakHyphen/>
        <w:t>General or Justice equivalents</w:t>
      </w:r>
    </w:p>
    <w:p w14:paraId="149B24B1" w14:textId="77777777" w:rsidR="00837360" w:rsidRPr="00617C76" w:rsidRDefault="00837360" w:rsidP="009249D0">
      <w:pPr>
        <w:pStyle w:val="Heading4"/>
      </w:pPr>
      <w:r w:rsidRPr="00617C76">
        <w:t>Priority Reforms and Socio-economic Outcomes</w:t>
      </w:r>
    </w:p>
    <w:p w14:paraId="69A7E180" w14:textId="77777777" w:rsidR="006342C9" w:rsidRDefault="006342C9" w:rsidP="009249D0">
      <w:r w:rsidRPr="006342C9">
        <w:t xml:space="preserve">Priority Reform 1 </w:t>
      </w:r>
    </w:p>
    <w:p w14:paraId="7F65C368" w14:textId="77777777" w:rsidR="006342C9" w:rsidRDefault="006342C9" w:rsidP="009249D0">
      <w:r w:rsidRPr="006342C9">
        <w:t xml:space="preserve">Priority Reform 2 </w:t>
      </w:r>
    </w:p>
    <w:p w14:paraId="57CF0E73" w14:textId="77777777" w:rsidR="006342C9" w:rsidRDefault="006342C9" w:rsidP="009249D0">
      <w:r w:rsidRPr="006342C9">
        <w:t xml:space="preserve">Priority Reform 3 </w:t>
      </w:r>
    </w:p>
    <w:p w14:paraId="2BFE6ABF" w14:textId="77777777" w:rsidR="006342C9" w:rsidRDefault="006342C9" w:rsidP="009249D0">
      <w:r w:rsidRPr="006342C9">
        <w:t xml:space="preserve">Priority Reform 4 </w:t>
      </w:r>
    </w:p>
    <w:p w14:paraId="1356D1D1" w14:textId="77777777" w:rsidR="006342C9" w:rsidRDefault="006342C9" w:rsidP="009249D0">
      <w:r w:rsidRPr="006342C9">
        <w:t xml:space="preserve">Outcome 10 </w:t>
      </w:r>
    </w:p>
    <w:p w14:paraId="1EDB5E6A" w14:textId="5A51E8A4" w:rsidR="00837360" w:rsidRPr="00617C76" w:rsidRDefault="006342C9" w:rsidP="009249D0">
      <w:r w:rsidRPr="006342C9">
        <w:t>Outcome 11</w:t>
      </w:r>
    </w:p>
    <w:p w14:paraId="60C1C041" w14:textId="77777777" w:rsidR="00837360" w:rsidRPr="00617C76" w:rsidRDefault="00837360" w:rsidP="009249D0">
      <w:pPr>
        <w:pStyle w:val="Heading4"/>
      </w:pPr>
      <w:r w:rsidRPr="00617C76">
        <w:t>Partnership function</w:t>
      </w:r>
    </w:p>
    <w:p w14:paraId="03F95CDA" w14:textId="0A6799F6" w:rsidR="00837360" w:rsidRPr="006342C9" w:rsidRDefault="006342C9" w:rsidP="009249D0">
      <w:r w:rsidRPr="006342C9">
        <w:t>Policy</w:t>
      </w:r>
    </w:p>
    <w:p w14:paraId="106BC581" w14:textId="77777777" w:rsidR="00837360" w:rsidRPr="00617C76" w:rsidRDefault="00837360" w:rsidP="009249D0">
      <w:pPr>
        <w:pStyle w:val="Heading4"/>
      </w:pPr>
      <w:r w:rsidRPr="00617C76">
        <w:t>Partnership timeframe</w:t>
      </w:r>
    </w:p>
    <w:p w14:paraId="1184A315" w14:textId="596B268A" w:rsidR="00837360" w:rsidRPr="009249D0" w:rsidRDefault="009249D0" w:rsidP="009249D0">
      <w:r w:rsidRPr="009249D0">
        <w:t>2021 to current</w:t>
      </w:r>
    </w:p>
    <w:p w14:paraId="28711F77" w14:textId="77777777" w:rsidR="00837360" w:rsidRPr="00617C76" w:rsidRDefault="00837360" w:rsidP="009249D0">
      <w:pPr>
        <w:pStyle w:val="Heading4"/>
      </w:pPr>
      <w:r w:rsidRPr="00617C76">
        <w:t>Actions taken to strengthen the partnership in 2025</w:t>
      </w:r>
    </w:p>
    <w:p w14:paraId="76D58EAD" w14:textId="77777777" w:rsidR="0020364C" w:rsidRDefault="009249D0" w:rsidP="009249D0">
      <w:r w:rsidRPr="009249D0">
        <w:t>In the first half of 2025 the JPP conducted its 3</w:t>
      </w:r>
      <w:r w:rsidRPr="009249D0">
        <w:noBreakHyphen/>
        <w:t xml:space="preserve">year review. The review was conducted by an external First Nations provider that successfully tendered for the project. The JPP has received the final review which </w:t>
      </w:r>
      <w:r w:rsidRPr="009249D0">
        <w:lastRenderedPageBreak/>
        <w:t>includes recommendations on how to strengthen the partnership. This included actions to strengthen Aboriginal and Torres Strait Islander ways of meeting, clearly defining consensus decision</w:t>
      </w:r>
      <w:r w:rsidRPr="009249D0">
        <w:noBreakHyphen/>
        <w:t>making, developing a workplan to assist meeting goals and establishing formal two</w:t>
      </w:r>
      <w:r w:rsidRPr="009249D0">
        <w:noBreakHyphen/>
        <w:t xml:space="preserve">way information sharing arrangements. </w:t>
      </w:r>
    </w:p>
    <w:p w14:paraId="16D0F2F9" w14:textId="740ECCD9" w:rsidR="00837360" w:rsidRPr="009249D0" w:rsidRDefault="00EE0231" w:rsidP="009249D0">
      <w:r>
        <w:t>N</w:t>
      </w:r>
      <w:r w:rsidR="009249D0" w:rsidRPr="009249D0">
        <w:t>ATSILS has engaged Social Ventures Australia (SVA) to develop a Theory of Change that will articulate the role of the JPP and changes it wants to make. SVA will be engaging with JPP members out of session and further discussions will take place at the first JPP meeting of 2026 to inform next steps.</w:t>
      </w:r>
    </w:p>
    <w:p w14:paraId="6905ECA8" w14:textId="77777777" w:rsidR="00837360" w:rsidRPr="00617C76" w:rsidRDefault="00837360" w:rsidP="009249D0">
      <w:pPr>
        <w:pStyle w:val="Heading4"/>
      </w:pPr>
      <w:r w:rsidRPr="00617C76">
        <w:t>Strong partnership indicators</w:t>
      </w:r>
    </w:p>
    <w:p w14:paraId="2354DDB2" w14:textId="77777777" w:rsidR="00837360" w:rsidRPr="00617C76" w:rsidRDefault="00837360" w:rsidP="009249D0">
      <w:pPr>
        <w:pStyle w:val="Heading5"/>
      </w:pPr>
      <w:r w:rsidRPr="00617C76">
        <w:t>Clause 32A:</w:t>
      </w:r>
    </w:p>
    <w:p w14:paraId="1D1945D3" w14:textId="5027F062" w:rsidR="00837360" w:rsidRDefault="00EE0231" w:rsidP="00A93364">
      <w:pPr>
        <w:pStyle w:val="ListParagraph"/>
        <w:numPr>
          <w:ilvl w:val="0"/>
          <w:numId w:val="6"/>
        </w:numPr>
      </w:pPr>
      <w:r>
        <w:t>Met</w:t>
      </w:r>
    </w:p>
    <w:p w14:paraId="635C5002" w14:textId="77777777" w:rsidR="00B8089C" w:rsidRDefault="00B8089C" w:rsidP="00A93364">
      <w:pPr>
        <w:pStyle w:val="ListParagraph"/>
        <w:numPr>
          <w:ilvl w:val="0"/>
          <w:numId w:val="6"/>
        </w:numPr>
      </w:pPr>
      <w:r>
        <w:t>Met</w:t>
      </w:r>
    </w:p>
    <w:p w14:paraId="6D986A8B" w14:textId="0A62A244" w:rsidR="00837360" w:rsidRDefault="00B8089C" w:rsidP="00A93364">
      <w:pPr>
        <w:pStyle w:val="ListParagraph"/>
        <w:numPr>
          <w:ilvl w:val="0"/>
          <w:numId w:val="6"/>
        </w:numPr>
      </w:pPr>
      <w:r>
        <w:t>Met</w:t>
      </w:r>
    </w:p>
    <w:p w14:paraId="0B3C4DDC" w14:textId="77777777" w:rsidR="00837360" w:rsidRPr="00617C76" w:rsidRDefault="00837360" w:rsidP="009249D0">
      <w:pPr>
        <w:pStyle w:val="Heading5"/>
      </w:pPr>
      <w:r w:rsidRPr="00617C76">
        <w:t>Clause 32B:</w:t>
      </w:r>
    </w:p>
    <w:p w14:paraId="2383B209" w14:textId="015A2B8B" w:rsidR="00837360" w:rsidRDefault="00B8089C" w:rsidP="00A93364">
      <w:pPr>
        <w:pStyle w:val="ListParagraph"/>
        <w:numPr>
          <w:ilvl w:val="0"/>
          <w:numId w:val="7"/>
        </w:numPr>
      </w:pPr>
      <w:r>
        <w:t>Met</w:t>
      </w:r>
    </w:p>
    <w:p w14:paraId="0E51D731" w14:textId="70E14CF9" w:rsidR="00837360" w:rsidRDefault="00B8089C" w:rsidP="00A93364">
      <w:pPr>
        <w:pStyle w:val="ListParagraph"/>
        <w:numPr>
          <w:ilvl w:val="0"/>
          <w:numId w:val="7"/>
        </w:numPr>
      </w:pPr>
      <w:r>
        <w:t>Met</w:t>
      </w:r>
    </w:p>
    <w:p w14:paraId="74B9370F" w14:textId="6AC4C077" w:rsidR="00837360" w:rsidRDefault="00B8089C" w:rsidP="00A93364">
      <w:pPr>
        <w:pStyle w:val="ListParagraph"/>
        <w:numPr>
          <w:ilvl w:val="0"/>
          <w:numId w:val="7"/>
        </w:numPr>
      </w:pPr>
      <w:r>
        <w:t>Met</w:t>
      </w:r>
    </w:p>
    <w:p w14:paraId="00822680" w14:textId="247094F9" w:rsidR="00837360" w:rsidRDefault="00B8089C" w:rsidP="00A93364">
      <w:pPr>
        <w:pStyle w:val="ListParagraph"/>
        <w:numPr>
          <w:ilvl w:val="0"/>
          <w:numId w:val="7"/>
        </w:numPr>
      </w:pPr>
      <w:r>
        <w:t>N/A</w:t>
      </w:r>
    </w:p>
    <w:p w14:paraId="1C0BAD48" w14:textId="77777777" w:rsidR="00837360" w:rsidRPr="00617C76" w:rsidRDefault="00837360" w:rsidP="009249D0">
      <w:pPr>
        <w:pStyle w:val="Heading5"/>
      </w:pPr>
      <w:r w:rsidRPr="00617C76">
        <w:t>Clause 32C:</w:t>
      </w:r>
    </w:p>
    <w:p w14:paraId="07036027" w14:textId="0E0FCAD3" w:rsidR="00837360" w:rsidRDefault="00B8089C" w:rsidP="00A93364">
      <w:pPr>
        <w:pStyle w:val="ListParagraph"/>
        <w:numPr>
          <w:ilvl w:val="0"/>
          <w:numId w:val="8"/>
        </w:numPr>
      </w:pPr>
      <w:r>
        <w:t>Met</w:t>
      </w:r>
    </w:p>
    <w:p w14:paraId="278C719A" w14:textId="0CA508FD" w:rsidR="00837360" w:rsidRDefault="00B8089C" w:rsidP="00A93364">
      <w:pPr>
        <w:pStyle w:val="ListParagraph"/>
        <w:numPr>
          <w:ilvl w:val="0"/>
          <w:numId w:val="8"/>
        </w:numPr>
      </w:pPr>
      <w:r>
        <w:t>Met</w:t>
      </w:r>
    </w:p>
    <w:p w14:paraId="51EEF055" w14:textId="5699CBD5" w:rsidR="00837360" w:rsidRDefault="00B8089C" w:rsidP="00A93364">
      <w:pPr>
        <w:pStyle w:val="ListParagraph"/>
        <w:numPr>
          <w:ilvl w:val="0"/>
          <w:numId w:val="8"/>
        </w:numPr>
      </w:pPr>
      <w:r>
        <w:t>Met</w:t>
      </w:r>
    </w:p>
    <w:p w14:paraId="5686C4BB" w14:textId="2E0BF354" w:rsidR="00837360" w:rsidRDefault="00B8089C" w:rsidP="00A93364">
      <w:pPr>
        <w:pStyle w:val="ListParagraph"/>
        <w:numPr>
          <w:ilvl w:val="0"/>
          <w:numId w:val="8"/>
        </w:numPr>
      </w:pPr>
      <w:r>
        <w:t>Met</w:t>
      </w:r>
    </w:p>
    <w:p w14:paraId="0B3625FC" w14:textId="4187633D" w:rsidR="00837360" w:rsidRDefault="00B8089C" w:rsidP="00A93364">
      <w:pPr>
        <w:pStyle w:val="ListParagraph"/>
        <w:numPr>
          <w:ilvl w:val="0"/>
          <w:numId w:val="8"/>
        </w:numPr>
      </w:pPr>
      <w:r>
        <w:t>Met</w:t>
      </w:r>
    </w:p>
    <w:p w14:paraId="375BE52D" w14:textId="39668572" w:rsidR="00837360" w:rsidRDefault="00B8089C" w:rsidP="00A93364">
      <w:pPr>
        <w:pStyle w:val="ListParagraph"/>
        <w:numPr>
          <w:ilvl w:val="0"/>
          <w:numId w:val="8"/>
        </w:numPr>
      </w:pPr>
      <w:r>
        <w:t>Met</w:t>
      </w:r>
    </w:p>
    <w:p w14:paraId="5B73C4C4" w14:textId="03B2FD6C" w:rsidR="00837360" w:rsidRDefault="00B8089C" w:rsidP="00A93364">
      <w:pPr>
        <w:pStyle w:val="ListParagraph"/>
        <w:numPr>
          <w:ilvl w:val="0"/>
          <w:numId w:val="8"/>
        </w:numPr>
      </w:pPr>
      <w:r>
        <w:t>Met</w:t>
      </w:r>
    </w:p>
    <w:p w14:paraId="03506FBE" w14:textId="77777777" w:rsidR="00837360" w:rsidRPr="00617C76" w:rsidRDefault="00837360" w:rsidP="009249D0">
      <w:pPr>
        <w:pStyle w:val="Heading5"/>
      </w:pPr>
      <w:r w:rsidRPr="00617C76">
        <w:t>Clause 33:</w:t>
      </w:r>
    </w:p>
    <w:p w14:paraId="3FDB8C03" w14:textId="2D955E09" w:rsidR="00837360" w:rsidRDefault="00B8089C" w:rsidP="009249D0">
      <w:r>
        <w:t>Met</w:t>
      </w:r>
    </w:p>
    <w:p w14:paraId="64972D93" w14:textId="77777777" w:rsidR="00837360" w:rsidRPr="00617C76" w:rsidRDefault="00837360" w:rsidP="009249D0">
      <w:pPr>
        <w:pStyle w:val="Heading4"/>
      </w:pPr>
      <w:r w:rsidRPr="00617C76">
        <w:t>Achievements over 2025</w:t>
      </w:r>
    </w:p>
    <w:p w14:paraId="31D30494" w14:textId="77777777" w:rsidR="00AE33AD" w:rsidRDefault="00AE33AD" w:rsidP="00A93364">
      <w:pPr>
        <w:pStyle w:val="ListParagraph"/>
        <w:numPr>
          <w:ilvl w:val="0"/>
          <w:numId w:val="13"/>
        </w:numPr>
      </w:pPr>
      <w:r w:rsidRPr="00AE33AD">
        <w:t xml:space="preserve">The JPP continues to gather and discuss justice policy that can make a difference to targets 10 and 11 of the National Agreement. The JPP had 4 meetings in 2025 in Adelaide, Sydney, Melbourne and online. </w:t>
      </w:r>
    </w:p>
    <w:p w14:paraId="46EF9B95" w14:textId="77777777" w:rsidR="00AE33AD" w:rsidRDefault="00AE33AD" w:rsidP="00A93364">
      <w:pPr>
        <w:pStyle w:val="ListParagraph"/>
        <w:numPr>
          <w:ilvl w:val="0"/>
          <w:numId w:val="13"/>
        </w:numPr>
      </w:pPr>
      <w:r w:rsidRPr="00AE33AD">
        <w:t>The JPP conducted its 3</w:t>
      </w:r>
      <w:r w:rsidRPr="00AE33AD">
        <w:noBreakHyphen/>
        <w:t>year review in 2025. This external review used the views of stakeholders and members to provide the JPP with recommendations to improve its effectiveness for the future.</w:t>
      </w:r>
    </w:p>
    <w:p w14:paraId="13AC73E4" w14:textId="77777777" w:rsidR="00AE33AD" w:rsidRDefault="00AE33AD" w:rsidP="00A93364">
      <w:pPr>
        <w:pStyle w:val="ListParagraph"/>
        <w:numPr>
          <w:ilvl w:val="0"/>
          <w:numId w:val="13"/>
        </w:numPr>
      </w:pPr>
      <w:r w:rsidRPr="00AE33AD">
        <w:t>JPP members were also represented on the Standing Council of Attorney’s</w:t>
      </w:r>
      <w:r w:rsidRPr="00AE33AD">
        <w:noBreakHyphen/>
        <w:t xml:space="preserve">General Working Group on bail and remand reform. The JPP was able to provide oversight to this working group which recommended sensible bail reform that can reduce the number of Aboriginal and Torres Strait Islander people who are being refused bail. </w:t>
      </w:r>
    </w:p>
    <w:p w14:paraId="319EDAFF" w14:textId="77777777" w:rsidR="00AE33AD" w:rsidRDefault="00AE33AD" w:rsidP="00A93364">
      <w:pPr>
        <w:pStyle w:val="ListParagraph"/>
        <w:numPr>
          <w:ilvl w:val="0"/>
          <w:numId w:val="13"/>
        </w:numPr>
      </w:pPr>
      <w:r w:rsidRPr="00AE33AD">
        <w:t xml:space="preserve">The JPP contributed to the Coalition of the Peaks Youth Justice Forum and resulting outcomes reports, which will be put to Joint Council in November. The JPP contributed meaningful suggestions for future collaboration between the JPP and other policy partnerships to reduce youth incarceration rates. </w:t>
      </w:r>
    </w:p>
    <w:p w14:paraId="1ABAB4CE" w14:textId="67653B3F" w:rsidR="00837360" w:rsidRDefault="00AE33AD" w:rsidP="00A93364">
      <w:pPr>
        <w:pStyle w:val="ListParagraph"/>
        <w:numPr>
          <w:ilvl w:val="0"/>
          <w:numId w:val="13"/>
        </w:numPr>
      </w:pPr>
      <w:r w:rsidRPr="00AE33AD">
        <w:t>The JPP has also continued to work on its priority initiatives including an anti</w:t>
      </w:r>
      <w:r w:rsidRPr="00AE33AD">
        <w:noBreakHyphen/>
        <w:t>racism tool for the justice sector, a disability</w:t>
      </w:r>
      <w:r w:rsidRPr="00AE33AD">
        <w:noBreakHyphen/>
        <w:t>justice cross</w:t>
      </w:r>
      <w:r w:rsidRPr="00AE33AD">
        <w:noBreakHyphen/>
        <w:t>sector partnership, a justice partnerships initiative and a justice sector strengthening plan.</w:t>
      </w:r>
    </w:p>
    <w:p w14:paraId="070CF271" w14:textId="02F89C42" w:rsidR="00167217" w:rsidRDefault="00AA159C" w:rsidP="009249D0">
      <w:pPr>
        <w:pStyle w:val="Heading3"/>
      </w:pPr>
      <w:bookmarkStart w:id="9" w:name="_Toc225506031"/>
      <w:r w:rsidRPr="00AA159C">
        <w:lastRenderedPageBreak/>
        <w:t>National Access to Justice Partnership (NAJP) Closing the Gap Engagement Forum</w:t>
      </w:r>
      <w:bookmarkEnd w:id="9"/>
    </w:p>
    <w:p w14:paraId="31474845" w14:textId="1AC662A2" w:rsidR="00167217" w:rsidRDefault="00167217" w:rsidP="009249D0">
      <w:pPr>
        <w:pStyle w:val="Heading4"/>
      </w:pPr>
      <w:r w:rsidRPr="00617C76">
        <w:t>Partnership description</w:t>
      </w:r>
    </w:p>
    <w:p w14:paraId="0CCB8161" w14:textId="330435DD" w:rsidR="00837360" w:rsidRPr="00837360" w:rsidRDefault="00AA159C" w:rsidP="009249D0">
      <w:r w:rsidRPr="00AA159C">
        <w:t>To develop a Closing the Gap Schedule by 30 June 2027 (in the first 2 years of the NAJP).</w:t>
      </w:r>
    </w:p>
    <w:p w14:paraId="7599194E" w14:textId="0CB96B64" w:rsidR="00167217" w:rsidRDefault="00167217" w:rsidP="009249D0">
      <w:pPr>
        <w:pStyle w:val="Heading4"/>
      </w:pPr>
      <w:r w:rsidRPr="00DF6278">
        <w:t>Aboriginal and Torres Strait Islander parties</w:t>
      </w:r>
    </w:p>
    <w:p w14:paraId="784A1B52" w14:textId="5A58476C" w:rsidR="0078688B" w:rsidRDefault="0078688B" w:rsidP="009249D0">
      <w:r w:rsidRPr="0078688B">
        <w:t xml:space="preserve">First Nations Advocates Against Family Violence (FNAAFV) </w:t>
      </w:r>
      <w:r w:rsidR="00C8442B">
        <w:t>(endorsing partner)</w:t>
      </w:r>
    </w:p>
    <w:p w14:paraId="5FADDE26" w14:textId="77777777" w:rsidR="0078688B" w:rsidRDefault="0078688B" w:rsidP="009249D0">
      <w:r w:rsidRPr="0078688B">
        <w:t>National Aboriginal and Torres Strait Islander Legal Service (NATSILS)</w:t>
      </w:r>
    </w:p>
    <w:p w14:paraId="0FA82C43" w14:textId="77777777" w:rsidR="0078688B" w:rsidRDefault="0078688B" w:rsidP="00A93364">
      <w:pPr>
        <w:pStyle w:val="ListParagraph"/>
        <w:numPr>
          <w:ilvl w:val="0"/>
          <w:numId w:val="14"/>
        </w:numPr>
      </w:pPr>
      <w:r w:rsidRPr="0078688B">
        <w:t>3 Family Violence Prevention and Legal Service (FVPLS) organisations</w:t>
      </w:r>
    </w:p>
    <w:p w14:paraId="0A0B3B5C" w14:textId="1E933014" w:rsidR="00837360" w:rsidRDefault="0078688B" w:rsidP="00A93364">
      <w:pPr>
        <w:pStyle w:val="ListParagraph"/>
        <w:numPr>
          <w:ilvl w:val="0"/>
          <w:numId w:val="14"/>
        </w:numPr>
      </w:pPr>
      <w:r w:rsidRPr="0078688B">
        <w:t>3 Aboriginal and Torres Strait Islander Legal Service (ATSILS) organisations</w:t>
      </w:r>
    </w:p>
    <w:p w14:paraId="330E1485" w14:textId="4068DE8A" w:rsidR="0078688B" w:rsidRPr="00837360" w:rsidRDefault="0078688B" w:rsidP="00A93364">
      <w:pPr>
        <w:pStyle w:val="ListParagraph"/>
        <w:numPr>
          <w:ilvl w:val="0"/>
          <w:numId w:val="14"/>
        </w:numPr>
      </w:pPr>
      <w:r w:rsidRPr="0078688B">
        <w:t>One additional FVPLS or ATSILS organisation to ensure equal representation across government and non</w:t>
      </w:r>
      <w:r w:rsidRPr="0078688B">
        <w:noBreakHyphen/>
        <w:t>government representatives</w:t>
      </w:r>
    </w:p>
    <w:p w14:paraId="01BDEF24" w14:textId="2FA3D2E4" w:rsidR="00167217" w:rsidRPr="00617C76" w:rsidRDefault="00167217" w:rsidP="009249D0">
      <w:pPr>
        <w:pStyle w:val="Heading4"/>
      </w:pPr>
      <w:r w:rsidRPr="00617C76">
        <w:t>Government parties</w:t>
      </w:r>
    </w:p>
    <w:p w14:paraId="6201BD24" w14:textId="77777777" w:rsidR="00115C74" w:rsidRDefault="00115C74" w:rsidP="009249D0">
      <w:pPr>
        <w:pStyle w:val="Heading5"/>
      </w:pPr>
      <w:r w:rsidRPr="00115C74">
        <w:t xml:space="preserve">COMMONWEALTH PARTIES </w:t>
      </w:r>
    </w:p>
    <w:p w14:paraId="7B468144" w14:textId="61B8D92B" w:rsidR="00167217" w:rsidRPr="006468C0" w:rsidRDefault="00887693" w:rsidP="009249D0">
      <w:r w:rsidRPr="006468C0">
        <w:t>Attorney</w:t>
      </w:r>
      <w:r w:rsidRPr="006468C0">
        <w:noBreakHyphen/>
        <w:t>General’s Department</w:t>
      </w:r>
      <w:r w:rsidR="00C8442B">
        <w:t xml:space="preserve"> (endorsing partner)</w:t>
      </w:r>
    </w:p>
    <w:p w14:paraId="7CA35EE7" w14:textId="3A7D7F07" w:rsidR="00115C74" w:rsidRPr="00115C74" w:rsidRDefault="00115C74" w:rsidP="009249D0">
      <w:pPr>
        <w:pStyle w:val="Heading5"/>
      </w:pPr>
      <w:r w:rsidRPr="00115C74">
        <w:t xml:space="preserve">STATE AND TERRITORY PARTIES </w:t>
      </w:r>
    </w:p>
    <w:p w14:paraId="36165324" w14:textId="77777777" w:rsidR="00887693" w:rsidRDefault="00887693" w:rsidP="009249D0">
      <w:r w:rsidRPr="00887693">
        <w:t xml:space="preserve">Department of Communities and Justice (New South Wales) </w:t>
      </w:r>
    </w:p>
    <w:p w14:paraId="0479C991" w14:textId="77777777" w:rsidR="00887693" w:rsidRDefault="00887693" w:rsidP="009249D0">
      <w:r w:rsidRPr="00887693">
        <w:t xml:space="preserve">Department of Justice and Community Safety (Victoria) </w:t>
      </w:r>
    </w:p>
    <w:p w14:paraId="405969CD" w14:textId="77777777" w:rsidR="00887693" w:rsidRDefault="00887693" w:rsidP="009249D0">
      <w:r w:rsidRPr="00887693">
        <w:t xml:space="preserve">Department of Justice (Queensland) </w:t>
      </w:r>
    </w:p>
    <w:p w14:paraId="763A38DB" w14:textId="398BB988" w:rsidR="00887693" w:rsidRDefault="00887693" w:rsidP="009249D0">
      <w:r w:rsidRPr="00887693">
        <w:t xml:space="preserve">Department of Justice (Western Australia) </w:t>
      </w:r>
    </w:p>
    <w:p w14:paraId="5CDD86DD" w14:textId="77777777" w:rsidR="00887693" w:rsidRDefault="00887693" w:rsidP="009249D0">
      <w:r w:rsidRPr="00887693">
        <w:t>Attorney</w:t>
      </w:r>
      <w:r w:rsidRPr="00887693">
        <w:noBreakHyphen/>
        <w:t xml:space="preserve">General’s Department (South Australia) </w:t>
      </w:r>
    </w:p>
    <w:p w14:paraId="52459EBE" w14:textId="77777777" w:rsidR="00887693" w:rsidRDefault="00887693" w:rsidP="009249D0">
      <w:r w:rsidRPr="00887693">
        <w:t xml:space="preserve">Department of Justice (Tasmania) </w:t>
      </w:r>
    </w:p>
    <w:p w14:paraId="7AD9F165" w14:textId="77777777" w:rsidR="00887693" w:rsidRDefault="00887693" w:rsidP="009249D0">
      <w:r w:rsidRPr="00887693">
        <w:t xml:space="preserve">Justice and Community Safety Directorate (Australian Capital Territory) </w:t>
      </w:r>
    </w:p>
    <w:p w14:paraId="794E49A1" w14:textId="53E7B364" w:rsidR="00115C74" w:rsidRPr="00617C76" w:rsidRDefault="00887693" w:rsidP="009249D0">
      <w:r w:rsidRPr="00887693">
        <w:t>Attorney</w:t>
      </w:r>
      <w:r w:rsidRPr="00887693">
        <w:noBreakHyphen/>
        <w:t>General’s Department (Northern Territory)</w:t>
      </w:r>
    </w:p>
    <w:p w14:paraId="7B31A4FE" w14:textId="3990185F" w:rsidR="00167217" w:rsidRPr="00617C76" w:rsidRDefault="00167217" w:rsidP="009249D0">
      <w:pPr>
        <w:pStyle w:val="Heading4"/>
      </w:pPr>
      <w:r w:rsidRPr="00617C76">
        <w:t xml:space="preserve">Priority </w:t>
      </w:r>
      <w:r w:rsidR="00AB5BCE" w:rsidRPr="00617C76">
        <w:t>Reforms and Socio-economic Outcomes</w:t>
      </w:r>
    </w:p>
    <w:p w14:paraId="322E7CD1" w14:textId="77777777" w:rsidR="00255D2F" w:rsidRDefault="00255D2F" w:rsidP="00255D2F">
      <w:r w:rsidRPr="00255D2F">
        <w:t xml:space="preserve">Priority Reform 1 </w:t>
      </w:r>
    </w:p>
    <w:p w14:paraId="450D8717" w14:textId="77777777" w:rsidR="00255D2F" w:rsidRDefault="00255D2F" w:rsidP="00255D2F">
      <w:r w:rsidRPr="00255D2F">
        <w:t xml:space="preserve">Priority Reform 2 </w:t>
      </w:r>
    </w:p>
    <w:p w14:paraId="48A609EE" w14:textId="77777777" w:rsidR="00255D2F" w:rsidRDefault="00255D2F" w:rsidP="00255D2F">
      <w:r w:rsidRPr="00255D2F">
        <w:t xml:space="preserve">Priority Reform 3 </w:t>
      </w:r>
    </w:p>
    <w:p w14:paraId="06AE3100" w14:textId="77777777" w:rsidR="00255D2F" w:rsidRDefault="00255D2F" w:rsidP="00255D2F">
      <w:r w:rsidRPr="00255D2F">
        <w:t xml:space="preserve">Priority Reform 4 </w:t>
      </w:r>
    </w:p>
    <w:p w14:paraId="39313AA4" w14:textId="77777777" w:rsidR="00255D2F" w:rsidRDefault="00255D2F" w:rsidP="00255D2F">
      <w:r w:rsidRPr="00255D2F">
        <w:t xml:space="preserve">Outcome 10 </w:t>
      </w:r>
    </w:p>
    <w:p w14:paraId="08A17CF9" w14:textId="77777777" w:rsidR="00255D2F" w:rsidRDefault="00255D2F" w:rsidP="00255D2F">
      <w:r w:rsidRPr="00255D2F">
        <w:t xml:space="preserve">Outcome 11 </w:t>
      </w:r>
    </w:p>
    <w:p w14:paraId="6CAB2F6A" w14:textId="77777777" w:rsidR="00255D2F" w:rsidRDefault="00255D2F" w:rsidP="00255D2F">
      <w:r w:rsidRPr="00255D2F">
        <w:t xml:space="preserve">Outcome 12 </w:t>
      </w:r>
    </w:p>
    <w:p w14:paraId="673D5C9D" w14:textId="36441375" w:rsidR="00047711" w:rsidRPr="007C35F3" w:rsidRDefault="00255D2F" w:rsidP="00255D2F">
      <w:r w:rsidRPr="00255D2F">
        <w:t>Outcome 13</w:t>
      </w:r>
    </w:p>
    <w:p w14:paraId="63479F4A" w14:textId="5E3115CB" w:rsidR="00047711" w:rsidRPr="00617C76" w:rsidRDefault="00047711" w:rsidP="009249D0">
      <w:pPr>
        <w:pStyle w:val="Heading4"/>
      </w:pPr>
      <w:r w:rsidRPr="00617C76">
        <w:t>Partnership function</w:t>
      </w:r>
    </w:p>
    <w:p w14:paraId="441803A9" w14:textId="0F5DDA37" w:rsidR="00047711" w:rsidRPr="00617C76" w:rsidRDefault="00255D2F" w:rsidP="009249D0">
      <w:r w:rsidRPr="00255D2F">
        <w:t>Policy</w:t>
      </w:r>
    </w:p>
    <w:p w14:paraId="12686FD0" w14:textId="61FA3336" w:rsidR="00047711" w:rsidRPr="00617C76" w:rsidRDefault="00047711" w:rsidP="009249D0">
      <w:pPr>
        <w:pStyle w:val="Heading4"/>
      </w:pPr>
      <w:r w:rsidRPr="00617C76">
        <w:lastRenderedPageBreak/>
        <w:t>Partnership timeframe</w:t>
      </w:r>
    </w:p>
    <w:p w14:paraId="5199F6DD" w14:textId="6C7C4A01" w:rsidR="000125B5" w:rsidRPr="00617C76" w:rsidRDefault="006F3A73" w:rsidP="009249D0">
      <w:r w:rsidRPr="006F3A73">
        <w:t>1 July 2025 to 30 June 2027</w:t>
      </w:r>
    </w:p>
    <w:p w14:paraId="09D0CCEC" w14:textId="77777777" w:rsidR="00617C76" w:rsidRPr="00617C76" w:rsidRDefault="00617C76" w:rsidP="009249D0">
      <w:pPr>
        <w:pStyle w:val="Heading4"/>
      </w:pPr>
      <w:r w:rsidRPr="00617C76">
        <w:t>Actions taken to strengthen the partnership in 2025</w:t>
      </w:r>
    </w:p>
    <w:p w14:paraId="1AC7812D" w14:textId="77777777" w:rsidR="006F3A73" w:rsidRDefault="006F3A73" w:rsidP="009249D0">
      <w:r w:rsidRPr="006F3A73">
        <w:t xml:space="preserve">The Closing the Gap Engagement Forum (Engagement Forum) partnership is accountable, representative and facilitates shared </w:t>
      </w:r>
      <w:proofErr w:type="gramStart"/>
      <w:r w:rsidRPr="006F3A73">
        <w:t>decision</w:t>
      </w:r>
      <w:r w:rsidRPr="006F3A73">
        <w:noBreakHyphen/>
        <w:t>making to the fullest extent</w:t>
      </w:r>
      <w:proofErr w:type="gramEnd"/>
      <w:r w:rsidRPr="006F3A73">
        <w:t xml:space="preserve"> within the limitations of the NAJP. Final decision making is limited to the government parties of the NAJP, which does not include First Nations representations. </w:t>
      </w:r>
    </w:p>
    <w:p w14:paraId="64F4DA09" w14:textId="77777777" w:rsidR="006F3A73" w:rsidRDefault="006F3A73" w:rsidP="009249D0">
      <w:r w:rsidRPr="006F3A73">
        <w:t xml:space="preserve">The Engagement Forum partnership has been strengthened through developing Terms of Reference in partnership through a transparent process, with the Engagement Forum’s membership endorsing the Terms of Reference by consensus. The Engagement Forum Terms of Reference clearly outlines the roles of partners, the commitment to working in partnership (with reference to the strong elements of shared decision making in clause 32C), meeting arrangements, timeframes and dispute resolution mechanisms. </w:t>
      </w:r>
    </w:p>
    <w:p w14:paraId="2A523860" w14:textId="72B355F0" w:rsidR="00617C76" w:rsidRPr="00617C76" w:rsidRDefault="006F3A73" w:rsidP="009249D0">
      <w:r w:rsidRPr="006F3A73">
        <w:t>Following final endorsement of the Terms of Reference the Engagement Forum will consider the appropriate process to make the Terms of Reference, and further information about the Engagement Forum, public and easily accessible (meeting clause 32B(iii)).</w:t>
      </w:r>
    </w:p>
    <w:p w14:paraId="07A2C018" w14:textId="77777777" w:rsidR="0023666B" w:rsidRPr="00617C76" w:rsidRDefault="0023666B" w:rsidP="009249D0">
      <w:pPr>
        <w:pStyle w:val="Heading4"/>
      </w:pPr>
      <w:r w:rsidRPr="00617C76">
        <w:t>Strong partnership indicators</w:t>
      </w:r>
    </w:p>
    <w:p w14:paraId="09B002FB" w14:textId="77777777" w:rsidR="0023666B" w:rsidRPr="00617C76" w:rsidRDefault="0023666B" w:rsidP="009249D0">
      <w:pPr>
        <w:pStyle w:val="Heading5"/>
      </w:pPr>
      <w:r w:rsidRPr="00617C76">
        <w:t>Clause 32A:</w:t>
      </w:r>
    </w:p>
    <w:p w14:paraId="406F1BBE" w14:textId="65F82017" w:rsidR="0023666B" w:rsidRDefault="00613AC0" w:rsidP="00A93364">
      <w:pPr>
        <w:pStyle w:val="ListParagraph"/>
        <w:numPr>
          <w:ilvl w:val="0"/>
          <w:numId w:val="10"/>
        </w:numPr>
      </w:pPr>
      <w:r w:rsidRPr="00613AC0">
        <w:t>Met</w:t>
      </w:r>
    </w:p>
    <w:p w14:paraId="01882996" w14:textId="4A38FE49" w:rsidR="0023666B" w:rsidRDefault="00613AC0" w:rsidP="00A93364">
      <w:pPr>
        <w:pStyle w:val="ListParagraph"/>
        <w:numPr>
          <w:ilvl w:val="0"/>
          <w:numId w:val="10"/>
        </w:numPr>
      </w:pPr>
      <w:r w:rsidRPr="00613AC0">
        <w:t>Met</w:t>
      </w:r>
    </w:p>
    <w:p w14:paraId="5FAFFFA3" w14:textId="336963A1" w:rsidR="0023666B" w:rsidRDefault="00613AC0" w:rsidP="00A93364">
      <w:pPr>
        <w:pStyle w:val="ListParagraph"/>
        <w:numPr>
          <w:ilvl w:val="0"/>
          <w:numId w:val="10"/>
        </w:numPr>
      </w:pPr>
      <w:r w:rsidRPr="00613AC0">
        <w:t>Met</w:t>
      </w:r>
    </w:p>
    <w:p w14:paraId="7DEEE721" w14:textId="77777777" w:rsidR="0023666B" w:rsidRPr="00617C76" w:rsidRDefault="0023666B" w:rsidP="009249D0">
      <w:pPr>
        <w:pStyle w:val="Heading5"/>
      </w:pPr>
      <w:r w:rsidRPr="00617C76">
        <w:t>Clause 32B:</w:t>
      </w:r>
    </w:p>
    <w:p w14:paraId="5125DD44" w14:textId="1F7FEF5C" w:rsidR="0023666B" w:rsidRDefault="00613AC0" w:rsidP="00A93364">
      <w:pPr>
        <w:pStyle w:val="ListParagraph"/>
        <w:numPr>
          <w:ilvl w:val="0"/>
          <w:numId w:val="11"/>
        </w:numPr>
      </w:pPr>
      <w:r w:rsidRPr="00613AC0">
        <w:t>Met</w:t>
      </w:r>
    </w:p>
    <w:p w14:paraId="34A65258" w14:textId="7D1B8E9C" w:rsidR="0023666B" w:rsidRDefault="00613AC0" w:rsidP="00A93364">
      <w:pPr>
        <w:pStyle w:val="ListParagraph"/>
        <w:numPr>
          <w:ilvl w:val="0"/>
          <w:numId w:val="11"/>
        </w:numPr>
      </w:pPr>
      <w:r w:rsidRPr="00613AC0">
        <w:t>Met</w:t>
      </w:r>
    </w:p>
    <w:p w14:paraId="6BB1CF3C" w14:textId="1A2E40DA" w:rsidR="0023666B" w:rsidRDefault="00613AC0" w:rsidP="00A93364">
      <w:pPr>
        <w:pStyle w:val="ListParagraph"/>
        <w:numPr>
          <w:ilvl w:val="0"/>
          <w:numId w:val="11"/>
        </w:numPr>
      </w:pPr>
      <w:r>
        <w:t>Not met</w:t>
      </w:r>
    </w:p>
    <w:p w14:paraId="1F6825C3" w14:textId="1B03D07E" w:rsidR="0023666B" w:rsidRDefault="001636E3" w:rsidP="00A93364">
      <w:pPr>
        <w:pStyle w:val="ListParagraph"/>
        <w:numPr>
          <w:ilvl w:val="0"/>
          <w:numId w:val="11"/>
        </w:numPr>
      </w:pPr>
      <w:r>
        <w:t>N/A</w:t>
      </w:r>
    </w:p>
    <w:p w14:paraId="797D7224" w14:textId="77777777" w:rsidR="0023666B" w:rsidRPr="00617C76" w:rsidRDefault="0023666B" w:rsidP="009249D0">
      <w:pPr>
        <w:pStyle w:val="Heading5"/>
      </w:pPr>
      <w:r w:rsidRPr="00617C76">
        <w:t>Clause 32C:</w:t>
      </w:r>
    </w:p>
    <w:p w14:paraId="5C90DA25" w14:textId="027F2275" w:rsidR="0023666B" w:rsidRDefault="00D41F18" w:rsidP="00A93364">
      <w:pPr>
        <w:pStyle w:val="ListParagraph"/>
        <w:numPr>
          <w:ilvl w:val="0"/>
          <w:numId w:val="12"/>
        </w:numPr>
      </w:pPr>
      <w:r w:rsidRPr="00D41F18">
        <w:t>Met</w:t>
      </w:r>
    </w:p>
    <w:p w14:paraId="3C0D9C14" w14:textId="220D81EB" w:rsidR="0023666B" w:rsidRDefault="00D41F18" w:rsidP="00A93364">
      <w:pPr>
        <w:pStyle w:val="ListParagraph"/>
        <w:numPr>
          <w:ilvl w:val="0"/>
          <w:numId w:val="12"/>
        </w:numPr>
      </w:pPr>
      <w:r w:rsidRPr="00D41F18">
        <w:t>Met</w:t>
      </w:r>
    </w:p>
    <w:p w14:paraId="71296E8C" w14:textId="6A4725F5" w:rsidR="0023666B" w:rsidRDefault="00D41F18" w:rsidP="00A93364">
      <w:pPr>
        <w:pStyle w:val="ListParagraph"/>
        <w:numPr>
          <w:ilvl w:val="0"/>
          <w:numId w:val="12"/>
        </w:numPr>
      </w:pPr>
      <w:r w:rsidRPr="00D41F18">
        <w:t>Met</w:t>
      </w:r>
    </w:p>
    <w:p w14:paraId="5D82F568" w14:textId="0D9BAE58" w:rsidR="0023666B" w:rsidRDefault="00D41F18" w:rsidP="00A93364">
      <w:pPr>
        <w:pStyle w:val="ListParagraph"/>
        <w:numPr>
          <w:ilvl w:val="0"/>
          <w:numId w:val="12"/>
        </w:numPr>
      </w:pPr>
      <w:r w:rsidRPr="00D41F18">
        <w:t>Met</w:t>
      </w:r>
    </w:p>
    <w:p w14:paraId="040D7D10" w14:textId="3BD57BAD" w:rsidR="0023666B" w:rsidRDefault="00D41F18" w:rsidP="00A93364">
      <w:pPr>
        <w:pStyle w:val="ListParagraph"/>
        <w:numPr>
          <w:ilvl w:val="0"/>
          <w:numId w:val="12"/>
        </w:numPr>
      </w:pPr>
      <w:r w:rsidRPr="00D41F18">
        <w:t>Met</w:t>
      </w:r>
    </w:p>
    <w:p w14:paraId="14837FF8" w14:textId="5576C057" w:rsidR="0023666B" w:rsidRDefault="00D41F18" w:rsidP="00A93364">
      <w:pPr>
        <w:pStyle w:val="ListParagraph"/>
        <w:numPr>
          <w:ilvl w:val="0"/>
          <w:numId w:val="12"/>
        </w:numPr>
      </w:pPr>
      <w:r>
        <w:t>Not met</w:t>
      </w:r>
    </w:p>
    <w:p w14:paraId="13D10691" w14:textId="5B9FDBB7" w:rsidR="0023666B" w:rsidRDefault="00D41F18" w:rsidP="00A93364">
      <w:pPr>
        <w:pStyle w:val="ListParagraph"/>
        <w:numPr>
          <w:ilvl w:val="0"/>
          <w:numId w:val="12"/>
        </w:numPr>
      </w:pPr>
      <w:r w:rsidRPr="00D41F18">
        <w:t>Met</w:t>
      </w:r>
    </w:p>
    <w:p w14:paraId="54F5A85D" w14:textId="77777777" w:rsidR="0023666B" w:rsidRPr="00617C76" w:rsidRDefault="0023666B" w:rsidP="009249D0">
      <w:pPr>
        <w:pStyle w:val="Heading5"/>
      </w:pPr>
      <w:r w:rsidRPr="00617C76">
        <w:t>Clause 33:</w:t>
      </w:r>
    </w:p>
    <w:p w14:paraId="5CB6D916" w14:textId="3AD529E7" w:rsidR="00617C76" w:rsidRDefault="00D41F18" w:rsidP="009249D0">
      <w:r w:rsidRPr="00D41F18">
        <w:t>Met</w:t>
      </w:r>
    </w:p>
    <w:p w14:paraId="6DB30C83" w14:textId="77777777" w:rsidR="00617C76" w:rsidRPr="00617C76" w:rsidRDefault="00617C76" w:rsidP="009249D0">
      <w:pPr>
        <w:pStyle w:val="Heading4"/>
      </w:pPr>
      <w:r w:rsidRPr="00617C76">
        <w:t>Achievements over 2025</w:t>
      </w:r>
    </w:p>
    <w:p w14:paraId="095FD169" w14:textId="65E5054C" w:rsidR="000F48A6" w:rsidRPr="00167217" w:rsidRDefault="002D0B8A" w:rsidP="009249D0">
      <w:r w:rsidRPr="002D0B8A">
        <w:t>A preliminary meeting of the Engagement Forum was held in October 2025, following commencement of the NAJP on 1 July 2025. Initial work for the partnership focused on confirming membership and developing Terms of Reference for the Engagement Forum. Expression of interest processes were completed by FNAAFV and NATSILS for Aboriginal Community Controlled Organisation (ACCO) membership of the Engagement Forum. All ACCO members joined the first full meeting of the Engagement Forum meeting in December 2025, in which the Terms of Reference were preliminarily endorsed. There were also initial discussions on developing a Theory of Change for the NAJP and a workplan for the Forum at this meeting.</w:t>
      </w:r>
    </w:p>
    <w:p w14:paraId="2D719911" w14:textId="56A6BDA1" w:rsidR="007C35F3" w:rsidRDefault="004E3A54" w:rsidP="007C35F3">
      <w:pPr>
        <w:pStyle w:val="Heading3"/>
      </w:pPr>
      <w:bookmarkStart w:id="10" w:name="_Toc225506032"/>
      <w:r w:rsidRPr="004E3A54">
        <w:lastRenderedPageBreak/>
        <w:t>Strategic Partnership Agreement between the Australian Broadcasting Corporation (ABC) and First Languages Australia (FLA)</w:t>
      </w:r>
      <w:bookmarkEnd w:id="10"/>
    </w:p>
    <w:p w14:paraId="7A09E4FC" w14:textId="77777777" w:rsidR="007C35F3" w:rsidRDefault="007C35F3" w:rsidP="007C35F3">
      <w:pPr>
        <w:pStyle w:val="Heading4"/>
      </w:pPr>
      <w:r w:rsidRPr="00617C76">
        <w:t>Partnership description</w:t>
      </w:r>
    </w:p>
    <w:p w14:paraId="68A28025" w14:textId="4D066E91" w:rsidR="007C35F3" w:rsidRPr="00837360" w:rsidRDefault="00835EE5" w:rsidP="007C35F3">
      <w:r w:rsidRPr="00835EE5">
        <w:t>This partnership offers a framework for collaborative activities at national and local levels. It aims to strengthen local relationships between ABC and FLA member organisations, coordinate larger projects across regions, and support career pathways for Aboriginal and Torres Strait Islander people in media and languages. Activities under this agreement may involve broadcast content or any part of each organisation’s functions.</w:t>
      </w:r>
    </w:p>
    <w:p w14:paraId="3D1AFB29" w14:textId="77777777" w:rsidR="007C35F3" w:rsidRDefault="007C35F3" w:rsidP="007C35F3">
      <w:pPr>
        <w:pStyle w:val="Heading4"/>
      </w:pPr>
      <w:r w:rsidRPr="00DF6278">
        <w:t>Aboriginal and Torres Strait Islander parties</w:t>
      </w:r>
    </w:p>
    <w:p w14:paraId="11AE010F" w14:textId="3853C7EA" w:rsidR="00835EE5" w:rsidRPr="009A75F0" w:rsidRDefault="00835EE5" w:rsidP="007C35F3">
      <w:r w:rsidRPr="009A75F0">
        <w:t>First Languages Australia (FLA)</w:t>
      </w:r>
      <w:r w:rsidR="008B3CAE">
        <w:t xml:space="preserve"> (endorsing partner)</w:t>
      </w:r>
    </w:p>
    <w:p w14:paraId="408E05B2" w14:textId="14B81A1E" w:rsidR="00835EE5" w:rsidRDefault="00835EE5" w:rsidP="007C35F3">
      <w:proofErr w:type="spellStart"/>
      <w:r w:rsidRPr="00835EE5">
        <w:t>Gilaywara</w:t>
      </w:r>
      <w:proofErr w:type="spellEnd"/>
      <w:r w:rsidRPr="00835EE5">
        <w:t xml:space="preserve"> Maeingoongea (REDI.E) </w:t>
      </w:r>
    </w:p>
    <w:p w14:paraId="1884B934" w14:textId="77777777" w:rsidR="00835EE5" w:rsidRDefault="00835EE5" w:rsidP="007C35F3">
      <w:proofErr w:type="spellStart"/>
      <w:r w:rsidRPr="00835EE5">
        <w:t>Miromaa</w:t>
      </w:r>
      <w:proofErr w:type="spellEnd"/>
      <w:r w:rsidRPr="00835EE5">
        <w:t xml:space="preserve"> Aboriginal Language &amp; Technology Centre (</w:t>
      </w:r>
      <w:proofErr w:type="spellStart"/>
      <w:r w:rsidRPr="00835EE5">
        <w:t>PULiiMA</w:t>
      </w:r>
      <w:proofErr w:type="spellEnd"/>
      <w:r w:rsidRPr="00835EE5">
        <w:t xml:space="preserve">) </w:t>
      </w:r>
    </w:p>
    <w:p w14:paraId="43C26403" w14:textId="77777777" w:rsidR="00835EE5" w:rsidRDefault="00835EE5" w:rsidP="007C35F3">
      <w:r w:rsidRPr="00835EE5">
        <w:t xml:space="preserve">Queensland Indigenous Languages Advisory Committee (QILAC) </w:t>
      </w:r>
    </w:p>
    <w:p w14:paraId="3E3CDF8D" w14:textId="77777777" w:rsidR="00835EE5" w:rsidRDefault="00835EE5" w:rsidP="007C35F3">
      <w:r w:rsidRPr="00835EE5">
        <w:t xml:space="preserve">Parma Language Centre </w:t>
      </w:r>
    </w:p>
    <w:p w14:paraId="4F222710" w14:textId="1383B17E" w:rsidR="007C35F3" w:rsidRPr="00837360" w:rsidRDefault="00835EE5" w:rsidP="007C35F3">
      <w:proofErr w:type="spellStart"/>
      <w:r w:rsidRPr="00835EE5">
        <w:t>Gidarjil</w:t>
      </w:r>
      <w:proofErr w:type="spellEnd"/>
      <w:r w:rsidRPr="00835EE5">
        <w:t xml:space="preserve"> Development Corporation</w:t>
      </w:r>
    </w:p>
    <w:p w14:paraId="6C41827A" w14:textId="77777777" w:rsidR="007C35F3" w:rsidRPr="00617C76" w:rsidRDefault="007C35F3" w:rsidP="007C35F3">
      <w:pPr>
        <w:pStyle w:val="Heading4"/>
      </w:pPr>
      <w:r w:rsidRPr="00617C76">
        <w:t>Government parties</w:t>
      </w:r>
    </w:p>
    <w:p w14:paraId="28377137" w14:textId="77777777" w:rsidR="007C35F3" w:rsidRDefault="007C35F3" w:rsidP="007C35F3">
      <w:pPr>
        <w:pStyle w:val="Heading5"/>
      </w:pPr>
      <w:r w:rsidRPr="00115C74">
        <w:t xml:space="preserve">COMMONWEALTH PARTIES </w:t>
      </w:r>
    </w:p>
    <w:p w14:paraId="71FF1E39" w14:textId="273DB582" w:rsidR="007C35F3" w:rsidRPr="009A75F0" w:rsidRDefault="00132BA7" w:rsidP="00132BA7">
      <w:r w:rsidRPr="009A75F0">
        <w:t>Australian Broadcasting Corporation (ABC)</w:t>
      </w:r>
      <w:r w:rsidR="008B3CAE">
        <w:t xml:space="preserve"> (endorsing partner)</w:t>
      </w:r>
    </w:p>
    <w:p w14:paraId="559B147C" w14:textId="60B74360" w:rsidR="00132BA7" w:rsidRPr="00132BA7" w:rsidRDefault="00132BA7" w:rsidP="00132BA7">
      <w:r w:rsidRPr="00132BA7">
        <w:t>Department of Infrastructure, Transport, Regional Development, Communications, Sport and the Arts (DITRDCSA)</w:t>
      </w:r>
    </w:p>
    <w:p w14:paraId="63376957" w14:textId="77777777" w:rsidR="007C35F3" w:rsidRPr="00115C74" w:rsidRDefault="007C35F3" w:rsidP="007C35F3">
      <w:pPr>
        <w:pStyle w:val="Heading5"/>
      </w:pPr>
      <w:r w:rsidRPr="00115C74">
        <w:t xml:space="preserve">STATE AND TERRITORY PARTIES </w:t>
      </w:r>
    </w:p>
    <w:p w14:paraId="5FD11987" w14:textId="39B55A91" w:rsidR="007C35F3" w:rsidRPr="00617C76" w:rsidRDefault="00132BA7" w:rsidP="007C35F3">
      <w:r w:rsidRPr="00132BA7">
        <w:t>N/A</w:t>
      </w:r>
    </w:p>
    <w:p w14:paraId="73CD3199" w14:textId="77777777" w:rsidR="007C35F3" w:rsidRPr="00617C76" w:rsidRDefault="007C35F3" w:rsidP="007C35F3">
      <w:pPr>
        <w:pStyle w:val="Heading4"/>
      </w:pPr>
      <w:r w:rsidRPr="00617C76">
        <w:t>Priority Reforms and Socio-economic Outcomes</w:t>
      </w:r>
    </w:p>
    <w:p w14:paraId="5CE8BFA2" w14:textId="77777777" w:rsidR="00826E5C" w:rsidRPr="00826E5C" w:rsidRDefault="00826E5C" w:rsidP="00826E5C">
      <w:r w:rsidRPr="00826E5C">
        <w:t>Priority Reform 1</w:t>
      </w:r>
    </w:p>
    <w:p w14:paraId="680C8916" w14:textId="77777777" w:rsidR="00826E5C" w:rsidRPr="00826E5C" w:rsidRDefault="00826E5C" w:rsidP="00826E5C">
      <w:r w:rsidRPr="00826E5C">
        <w:t>Priority Reform 3</w:t>
      </w:r>
    </w:p>
    <w:p w14:paraId="43F3FCAA" w14:textId="77777777" w:rsidR="00826E5C" w:rsidRPr="00826E5C" w:rsidRDefault="00826E5C" w:rsidP="00826E5C">
      <w:r w:rsidRPr="00826E5C">
        <w:t>Priority Reform 4</w:t>
      </w:r>
    </w:p>
    <w:p w14:paraId="0230E046" w14:textId="77777777" w:rsidR="00826E5C" w:rsidRPr="00826E5C" w:rsidRDefault="00826E5C" w:rsidP="00826E5C">
      <w:r w:rsidRPr="00826E5C">
        <w:t>Outcome 16</w:t>
      </w:r>
    </w:p>
    <w:p w14:paraId="21F4A774" w14:textId="2818A117" w:rsidR="007C35F3" w:rsidRPr="007C35F3" w:rsidRDefault="00826E5C" w:rsidP="00826E5C">
      <w:r w:rsidRPr="00826E5C">
        <w:t>Outcome 17</w:t>
      </w:r>
    </w:p>
    <w:p w14:paraId="41C8E422" w14:textId="77777777" w:rsidR="007C35F3" w:rsidRPr="00617C76" w:rsidRDefault="007C35F3" w:rsidP="007C35F3">
      <w:pPr>
        <w:pStyle w:val="Heading4"/>
      </w:pPr>
      <w:r w:rsidRPr="00617C76">
        <w:t>Partnership function</w:t>
      </w:r>
    </w:p>
    <w:p w14:paraId="05179C2B" w14:textId="77777777" w:rsidR="00826E5C" w:rsidRDefault="00826E5C" w:rsidP="007C35F3">
      <w:r w:rsidRPr="00826E5C">
        <w:t xml:space="preserve">Policy </w:t>
      </w:r>
    </w:p>
    <w:p w14:paraId="52E4C1C5" w14:textId="1BA0DBA9" w:rsidR="007C35F3" w:rsidRPr="00617C76" w:rsidRDefault="00826E5C" w:rsidP="007C35F3">
      <w:r w:rsidRPr="00826E5C">
        <w:t>Other</w:t>
      </w:r>
    </w:p>
    <w:p w14:paraId="2CEA7F1B" w14:textId="77777777" w:rsidR="007C35F3" w:rsidRPr="00617C76" w:rsidRDefault="007C35F3" w:rsidP="007C35F3">
      <w:pPr>
        <w:pStyle w:val="Heading4"/>
      </w:pPr>
      <w:r w:rsidRPr="00617C76">
        <w:t>Partnership timeframe</w:t>
      </w:r>
    </w:p>
    <w:p w14:paraId="3B1AEECC" w14:textId="0210BC22" w:rsidR="007C35F3" w:rsidRPr="00617C76" w:rsidRDefault="00826E5C" w:rsidP="007C35F3">
      <w:r w:rsidRPr="00826E5C">
        <w:t>July 2023 to July 2026</w:t>
      </w:r>
    </w:p>
    <w:p w14:paraId="1347E699" w14:textId="77777777" w:rsidR="007C35F3" w:rsidRPr="00617C76" w:rsidRDefault="007C35F3" w:rsidP="007C35F3">
      <w:pPr>
        <w:pStyle w:val="Heading4"/>
      </w:pPr>
      <w:r w:rsidRPr="00617C76">
        <w:t>Actions taken to strengthen the partnership in 2025</w:t>
      </w:r>
    </w:p>
    <w:p w14:paraId="486630EE" w14:textId="5E362785" w:rsidR="007C35F3" w:rsidRPr="00617C76" w:rsidRDefault="008F3470" w:rsidP="007C35F3">
      <w:r w:rsidRPr="008F3470">
        <w:t>The partnership deepened through co</w:t>
      </w:r>
      <w:r w:rsidRPr="008F3470">
        <w:noBreakHyphen/>
        <w:t>designed media projects, secondments and national conference collaborations. ABC staff worked alongside language custodians, building trust and cultural understanding. Shared decision</w:t>
      </w:r>
      <w:r w:rsidRPr="008F3470">
        <w:noBreakHyphen/>
        <w:t xml:space="preserve">making was evident in joint planning of This Place and education initiatives. The partnership </w:t>
      </w:r>
      <w:r w:rsidRPr="008F3470">
        <w:lastRenderedPageBreak/>
        <w:t>supported visibility of First Nations languages and empowered communities to tell their stories. These efforts reflect a strong, respectful, and evolving relationship aligned with Closing the Gap priorities.</w:t>
      </w:r>
    </w:p>
    <w:p w14:paraId="137000E4" w14:textId="77777777" w:rsidR="007C35F3" w:rsidRPr="00617C76" w:rsidRDefault="007C35F3" w:rsidP="007C35F3">
      <w:pPr>
        <w:pStyle w:val="Heading4"/>
      </w:pPr>
      <w:r w:rsidRPr="00617C76">
        <w:t>Strong partnership indicators</w:t>
      </w:r>
    </w:p>
    <w:p w14:paraId="4ADEE9EB" w14:textId="77777777" w:rsidR="007C35F3" w:rsidRPr="00617C76" w:rsidRDefault="007C35F3" w:rsidP="007C35F3">
      <w:pPr>
        <w:pStyle w:val="Heading5"/>
      </w:pPr>
      <w:r w:rsidRPr="00617C76">
        <w:t>Clause 32A:</w:t>
      </w:r>
    </w:p>
    <w:p w14:paraId="64C0B3F6" w14:textId="4949CCCC" w:rsidR="007C35F3" w:rsidRDefault="008F3470" w:rsidP="00A93364">
      <w:pPr>
        <w:pStyle w:val="ListParagraph"/>
        <w:numPr>
          <w:ilvl w:val="0"/>
          <w:numId w:val="15"/>
        </w:numPr>
      </w:pPr>
      <w:r w:rsidRPr="008F3470">
        <w:t>Met</w:t>
      </w:r>
    </w:p>
    <w:p w14:paraId="4FC4CB2B" w14:textId="132C9233" w:rsidR="007C35F3" w:rsidRDefault="008F3470" w:rsidP="00A93364">
      <w:pPr>
        <w:pStyle w:val="ListParagraph"/>
        <w:numPr>
          <w:ilvl w:val="0"/>
          <w:numId w:val="15"/>
        </w:numPr>
      </w:pPr>
      <w:r w:rsidRPr="008F3470">
        <w:t>Met</w:t>
      </w:r>
    </w:p>
    <w:p w14:paraId="4BB3128D" w14:textId="27E6F3E1" w:rsidR="007C35F3" w:rsidRDefault="008F3470" w:rsidP="00A93364">
      <w:pPr>
        <w:pStyle w:val="ListParagraph"/>
        <w:numPr>
          <w:ilvl w:val="0"/>
          <w:numId w:val="15"/>
        </w:numPr>
      </w:pPr>
      <w:r w:rsidRPr="008F3470">
        <w:t>Met</w:t>
      </w:r>
    </w:p>
    <w:p w14:paraId="2FDB9493" w14:textId="77777777" w:rsidR="007C35F3" w:rsidRPr="00617C76" w:rsidRDefault="007C35F3" w:rsidP="007C35F3">
      <w:pPr>
        <w:pStyle w:val="Heading5"/>
      </w:pPr>
      <w:r w:rsidRPr="00617C76">
        <w:t>Clause 32B:</w:t>
      </w:r>
    </w:p>
    <w:p w14:paraId="15DF8DB7" w14:textId="4FA45936" w:rsidR="007C35F3" w:rsidRDefault="008F3470" w:rsidP="00A93364">
      <w:pPr>
        <w:pStyle w:val="ListParagraph"/>
        <w:numPr>
          <w:ilvl w:val="0"/>
          <w:numId w:val="16"/>
        </w:numPr>
      </w:pPr>
      <w:r w:rsidRPr="008F3470">
        <w:t>Met</w:t>
      </w:r>
    </w:p>
    <w:p w14:paraId="3C4C75CE" w14:textId="7FF857EC" w:rsidR="007C35F3" w:rsidRDefault="008F3470" w:rsidP="00A93364">
      <w:pPr>
        <w:pStyle w:val="ListParagraph"/>
        <w:numPr>
          <w:ilvl w:val="0"/>
          <w:numId w:val="16"/>
        </w:numPr>
      </w:pPr>
      <w:r w:rsidRPr="008F3470">
        <w:t>Met</w:t>
      </w:r>
    </w:p>
    <w:p w14:paraId="5C502EE2" w14:textId="57325C74" w:rsidR="007C35F3" w:rsidRDefault="00024C66" w:rsidP="00A93364">
      <w:pPr>
        <w:pStyle w:val="ListParagraph"/>
        <w:numPr>
          <w:ilvl w:val="0"/>
          <w:numId w:val="16"/>
        </w:numPr>
      </w:pPr>
      <w:r>
        <w:t>Not met</w:t>
      </w:r>
    </w:p>
    <w:p w14:paraId="0B238625" w14:textId="3A5E65B7" w:rsidR="007C35F3" w:rsidRDefault="009C3462" w:rsidP="00A93364">
      <w:pPr>
        <w:pStyle w:val="ListParagraph"/>
        <w:numPr>
          <w:ilvl w:val="0"/>
          <w:numId w:val="16"/>
        </w:numPr>
      </w:pPr>
      <w:r>
        <w:t>N/A</w:t>
      </w:r>
    </w:p>
    <w:p w14:paraId="6CDDFE73" w14:textId="77777777" w:rsidR="007C35F3" w:rsidRPr="00617C76" w:rsidRDefault="007C35F3" w:rsidP="007C35F3">
      <w:pPr>
        <w:pStyle w:val="Heading5"/>
      </w:pPr>
      <w:r w:rsidRPr="00617C76">
        <w:t>Clause 32C:</w:t>
      </w:r>
    </w:p>
    <w:p w14:paraId="1B7766C9" w14:textId="66DAF32A" w:rsidR="007C35F3" w:rsidRDefault="009C3462" w:rsidP="00A93364">
      <w:pPr>
        <w:pStyle w:val="ListParagraph"/>
        <w:numPr>
          <w:ilvl w:val="0"/>
          <w:numId w:val="17"/>
        </w:numPr>
      </w:pPr>
      <w:r w:rsidRPr="009C3462">
        <w:t>Met</w:t>
      </w:r>
    </w:p>
    <w:p w14:paraId="4EAEDACD" w14:textId="0F2E07B9" w:rsidR="007C35F3" w:rsidRDefault="009C3462" w:rsidP="00A93364">
      <w:pPr>
        <w:pStyle w:val="ListParagraph"/>
        <w:numPr>
          <w:ilvl w:val="0"/>
          <w:numId w:val="17"/>
        </w:numPr>
      </w:pPr>
      <w:r w:rsidRPr="009C3462">
        <w:t>Met</w:t>
      </w:r>
    </w:p>
    <w:p w14:paraId="250CC3A4" w14:textId="54344211" w:rsidR="007C35F3" w:rsidRDefault="009C3462" w:rsidP="00A93364">
      <w:pPr>
        <w:pStyle w:val="ListParagraph"/>
        <w:numPr>
          <w:ilvl w:val="0"/>
          <w:numId w:val="17"/>
        </w:numPr>
      </w:pPr>
      <w:r w:rsidRPr="009C3462">
        <w:t>Met</w:t>
      </w:r>
    </w:p>
    <w:p w14:paraId="75BA23E5" w14:textId="20861267" w:rsidR="007C35F3" w:rsidRDefault="009C3462" w:rsidP="00A93364">
      <w:pPr>
        <w:pStyle w:val="ListParagraph"/>
        <w:numPr>
          <w:ilvl w:val="0"/>
          <w:numId w:val="17"/>
        </w:numPr>
      </w:pPr>
      <w:r w:rsidRPr="009C3462">
        <w:t>Met</w:t>
      </w:r>
    </w:p>
    <w:p w14:paraId="010006AD" w14:textId="73650F67" w:rsidR="007C35F3" w:rsidRDefault="009C3462" w:rsidP="00A93364">
      <w:pPr>
        <w:pStyle w:val="ListParagraph"/>
        <w:numPr>
          <w:ilvl w:val="0"/>
          <w:numId w:val="17"/>
        </w:numPr>
      </w:pPr>
      <w:r w:rsidRPr="009C3462">
        <w:t>Met</w:t>
      </w:r>
    </w:p>
    <w:p w14:paraId="790CBF56" w14:textId="4E096BC3" w:rsidR="007C35F3" w:rsidRDefault="009C3462" w:rsidP="00A93364">
      <w:pPr>
        <w:pStyle w:val="ListParagraph"/>
        <w:numPr>
          <w:ilvl w:val="0"/>
          <w:numId w:val="17"/>
        </w:numPr>
      </w:pPr>
      <w:r w:rsidRPr="009C3462">
        <w:t>Met</w:t>
      </w:r>
    </w:p>
    <w:p w14:paraId="791531B0" w14:textId="63A7E2A8" w:rsidR="007C35F3" w:rsidRDefault="009C3462" w:rsidP="00A93364">
      <w:pPr>
        <w:pStyle w:val="ListParagraph"/>
        <w:numPr>
          <w:ilvl w:val="0"/>
          <w:numId w:val="17"/>
        </w:numPr>
      </w:pPr>
      <w:r w:rsidRPr="009C3462">
        <w:t>Met</w:t>
      </w:r>
    </w:p>
    <w:p w14:paraId="3D202473" w14:textId="77777777" w:rsidR="007C35F3" w:rsidRPr="00617C76" w:rsidRDefault="007C35F3" w:rsidP="007C35F3">
      <w:pPr>
        <w:pStyle w:val="Heading5"/>
      </w:pPr>
      <w:r w:rsidRPr="00617C76">
        <w:t>Clause 33:</w:t>
      </w:r>
    </w:p>
    <w:p w14:paraId="15231ED4" w14:textId="5332C181" w:rsidR="007C35F3" w:rsidRDefault="009C3462" w:rsidP="007C35F3">
      <w:r w:rsidRPr="009C3462">
        <w:t>Met</w:t>
      </w:r>
    </w:p>
    <w:p w14:paraId="7F6276B1" w14:textId="77777777" w:rsidR="007C35F3" w:rsidRDefault="007C35F3" w:rsidP="007C35F3">
      <w:pPr>
        <w:pStyle w:val="Heading4"/>
      </w:pPr>
      <w:r w:rsidRPr="00617C76">
        <w:t>Achievements over 2025</w:t>
      </w:r>
    </w:p>
    <w:p w14:paraId="7DAE5AC9" w14:textId="77777777" w:rsidR="009C3462" w:rsidRDefault="009C3462" w:rsidP="007C35F3">
      <w:r w:rsidRPr="009C3462">
        <w:t>FLA and ABC re</w:t>
      </w:r>
      <w:r w:rsidRPr="009C3462">
        <w:noBreakHyphen/>
        <w:t xml:space="preserve">launched This Place, sharing Indigenous place name stories across ABC platforms and the Gambay map. </w:t>
      </w:r>
    </w:p>
    <w:p w14:paraId="6CBBC8EF" w14:textId="77777777" w:rsidR="009C3462" w:rsidRDefault="009C3462" w:rsidP="007C35F3">
      <w:r w:rsidRPr="009C3462">
        <w:t xml:space="preserve">ABC Education and FLA produced a second season of Yarrabil, showcasing First Nations children’s songs in language. </w:t>
      </w:r>
    </w:p>
    <w:p w14:paraId="73698490" w14:textId="77777777" w:rsidR="009C3462" w:rsidRDefault="009C3462" w:rsidP="007C35F3">
      <w:r w:rsidRPr="009C3462">
        <w:t xml:space="preserve">The Acknowledgement of Country poster competition received 122 entries. </w:t>
      </w:r>
    </w:p>
    <w:p w14:paraId="30AFEB64" w14:textId="77777777" w:rsidR="00B55038" w:rsidRDefault="009C3462" w:rsidP="007C35F3">
      <w:r w:rsidRPr="009C3462">
        <w:t xml:space="preserve">ABC supported QILAC and </w:t>
      </w:r>
      <w:proofErr w:type="spellStart"/>
      <w:r w:rsidRPr="009C3462">
        <w:t>PULiiMA</w:t>
      </w:r>
      <w:proofErr w:type="spellEnd"/>
      <w:r w:rsidRPr="009C3462">
        <w:t xml:space="preserve"> Indigenous Languages and Technology conferences, delivering presentations and skill</w:t>
      </w:r>
      <w:r w:rsidRPr="009C3462">
        <w:noBreakHyphen/>
        <w:t xml:space="preserve">sharing workshops. Additionally, ABC hosted an information stall at </w:t>
      </w:r>
      <w:proofErr w:type="spellStart"/>
      <w:r w:rsidRPr="009C3462">
        <w:t>PULiiMA</w:t>
      </w:r>
      <w:proofErr w:type="spellEnd"/>
      <w:r w:rsidRPr="009C3462">
        <w:t xml:space="preserve"> that provided access to ABC’s Kin</w:t>
      </w:r>
      <w:r w:rsidRPr="009C3462">
        <w:noBreakHyphen/>
      </w:r>
      <w:proofErr w:type="spellStart"/>
      <w:r w:rsidRPr="009C3462">
        <w:t>nect</w:t>
      </w:r>
      <w:proofErr w:type="spellEnd"/>
      <w:r w:rsidRPr="009C3462">
        <w:t xml:space="preserve"> archives program. </w:t>
      </w:r>
    </w:p>
    <w:p w14:paraId="043C73B0" w14:textId="77777777" w:rsidR="00B55038" w:rsidRDefault="009C3462" w:rsidP="007C35F3">
      <w:r w:rsidRPr="009C3462">
        <w:t xml:space="preserve">An ABC staff member was seconded to the RED.IE language program, creating content that highlighted the organisation’s language revitalisation efforts. </w:t>
      </w:r>
    </w:p>
    <w:p w14:paraId="052D9551" w14:textId="77777777" w:rsidR="00B55038" w:rsidRDefault="009C3462" w:rsidP="007C35F3">
      <w:r w:rsidRPr="009C3462">
        <w:t xml:space="preserve">The News election team worked with language speakers to produce TV packages describing some electorates in local Indigenous languages for the 2025 federal election and Western Australia and Tasmania state elections. </w:t>
      </w:r>
    </w:p>
    <w:p w14:paraId="2B93409F" w14:textId="1E2ED1A6" w:rsidR="007C35F3" w:rsidRPr="007C35F3" w:rsidRDefault="009C3462" w:rsidP="007C35F3">
      <w:r w:rsidRPr="009C3462">
        <w:t xml:space="preserve">ABC donated decommissioned P2 camera kits to Parma Language Centre and </w:t>
      </w:r>
      <w:proofErr w:type="spellStart"/>
      <w:r w:rsidRPr="009C3462">
        <w:t>Gidarjil</w:t>
      </w:r>
      <w:proofErr w:type="spellEnd"/>
      <w:r w:rsidRPr="009C3462">
        <w:t xml:space="preserve"> Development Corporation, who expressed interest in them to assist with documenting their language work.</w:t>
      </w:r>
    </w:p>
    <w:p w14:paraId="5DFE5F5A" w14:textId="23E043B1" w:rsidR="007C35F3" w:rsidRDefault="00B55038" w:rsidP="007C35F3">
      <w:pPr>
        <w:pStyle w:val="Heading3"/>
      </w:pPr>
      <w:bookmarkStart w:id="11" w:name="_Toc225506033"/>
      <w:r w:rsidRPr="00B55038">
        <w:lastRenderedPageBreak/>
        <w:t>Strategic Partnership Agreement between the Australian Broadcasting Corporation (ABC) and First Nations Media Australia (FNMA)</w:t>
      </w:r>
      <w:bookmarkEnd w:id="11"/>
    </w:p>
    <w:p w14:paraId="029CD844" w14:textId="77777777" w:rsidR="007C35F3" w:rsidRDefault="007C35F3" w:rsidP="007C35F3">
      <w:pPr>
        <w:pStyle w:val="Heading4"/>
      </w:pPr>
      <w:r w:rsidRPr="00617C76">
        <w:t>Partnership description</w:t>
      </w:r>
    </w:p>
    <w:p w14:paraId="562150A4" w14:textId="3F54F0B2" w:rsidR="007C35F3" w:rsidRPr="00837360" w:rsidRDefault="007244C0" w:rsidP="007C35F3">
      <w:r w:rsidRPr="007244C0">
        <w:t>This partnership is to encourage increased collaboration between the ABC and the First Nations media organisations and broadcasters that FNMA represents. This Agreement intends to provide a framework for collaborative activities which can be undertaken nationally and/or locally. It supports fostering positive local relationships between the ABC and FNMA member organisations and the coordination of larger projects across any number of regions.</w:t>
      </w:r>
    </w:p>
    <w:p w14:paraId="571F764D" w14:textId="77777777" w:rsidR="007C35F3" w:rsidRDefault="007C35F3" w:rsidP="007C35F3">
      <w:pPr>
        <w:pStyle w:val="Heading4"/>
      </w:pPr>
      <w:r w:rsidRPr="00DF6278">
        <w:t>Aboriginal and Torres Strait Islander parties</w:t>
      </w:r>
    </w:p>
    <w:p w14:paraId="08474979" w14:textId="41599136" w:rsidR="007244C0" w:rsidRPr="008B3CAE" w:rsidRDefault="007244C0" w:rsidP="007C35F3">
      <w:r w:rsidRPr="009A75F0">
        <w:t>First Nations Media Australia (FNMA)</w:t>
      </w:r>
      <w:r w:rsidRPr="008B3CAE">
        <w:t xml:space="preserve"> </w:t>
      </w:r>
      <w:r w:rsidR="008B3CAE">
        <w:t>(endorsing partner)</w:t>
      </w:r>
    </w:p>
    <w:p w14:paraId="205EEAEA" w14:textId="77777777" w:rsidR="007244C0" w:rsidRDefault="007244C0" w:rsidP="007C35F3">
      <w:r w:rsidRPr="007244C0">
        <w:t>Midwest Aboriginal Media Association (</w:t>
      </w:r>
      <w:proofErr w:type="spellStart"/>
      <w:r w:rsidRPr="007244C0">
        <w:t>RadioMAMA</w:t>
      </w:r>
      <w:proofErr w:type="spellEnd"/>
      <w:r w:rsidRPr="007244C0">
        <w:t xml:space="preserve">) </w:t>
      </w:r>
    </w:p>
    <w:p w14:paraId="2640D011" w14:textId="77777777" w:rsidR="007244C0" w:rsidRDefault="007244C0" w:rsidP="007C35F3">
      <w:proofErr w:type="spellStart"/>
      <w:r w:rsidRPr="007244C0">
        <w:t>Ngaarda</w:t>
      </w:r>
      <w:proofErr w:type="spellEnd"/>
      <w:r w:rsidRPr="007244C0">
        <w:t xml:space="preserve"> Media </w:t>
      </w:r>
    </w:p>
    <w:p w14:paraId="46350310" w14:textId="77777777" w:rsidR="007244C0" w:rsidRDefault="007244C0" w:rsidP="007C35F3">
      <w:proofErr w:type="spellStart"/>
      <w:r w:rsidRPr="007244C0">
        <w:t>Umeewarra</w:t>
      </w:r>
      <w:proofErr w:type="spellEnd"/>
      <w:r w:rsidRPr="007244C0">
        <w:t xml:space="preserve"> Media </w:t>
      </w:r>
    </w:p>
    <w:p w14:paraId="3386CED7" w14:textId="77777777" w:rsidR="007244C0" w:rsidRDefault="007244C0" w:rsidP="007C35F3">
      <w:r w:rsidRPr="007244C0">
        <w:t xml:space="preserve">Central Australian Aboriginal Media Association (CAAMA) </w:t>
      </w:r>
    </w:p>
    <w:p w14:paraId="569F909F" w14:textId="77777777" w:rsidR="007244C0" w:rsidRDefault="007244C0" w:rsidP="007C35F3">
      <w:r w:rsidRPr="007244C0">
        <w:t xml:space="preserve">Indigenous Community Television (ICTV) </w:t>
      </w:r>
    </w:p>
    <w:p w14:paraId="2B82FA2F" w14:textId="77777777" w:rsidR="007244C0" w:rsidRDefault="007244C0" w:rsidP="007C35F3">
      <w:r w:rsidRPr="007244C0">
        <w:t xml:space="preserve">Pilbara and Kimberely Aboriginal Media (PAKAM) </w:t>
      </w:r>
    </w:p>
    <w:p w14:paraId="47C0FFA5" w14:textId="77777777" w:rsidR="007244C0" w:rsidRDefault="007244C0" w:rsidP="007C35F3">
      <w:r w:rsidRPr="007244C0">
        <w:t xml:space="preserve">National Indigenous Radio Services (NIRS) </w:t>
      </w:r>
    </w:p>
    <w:p w14:paraId="3A25421F" w14:textId="77777777" w:rsidR="00D57084" w:rsidRDefault="007244C0" w:rsidP="007C35F3">
      <w:r w:rsidRPr="007244C0">
        <w:t xml:space="preserve">Mid North Coast Indigenous broadcast </w:t>
      </w:r>
    </w:p>
    <w:p w14:paraId="6D0A46D4" w14:textId="3775B81F" w:rsidR="007C35F3" w:rsidRPr="00837360" w:rsidRDefault="007244C0" w:rsidP="007C35F3">
      <w:r w:rsidRPr="007244C0">
        <w:t xml:space="preserve">Pintubi, </w:t>
      </w:r>
      <w:proofErr w:type="spellStart"/>
      <w:r w:rsidRPr="007244C0">
        <w:t>Anmatjerre</w:t>
      </w:r>
      <w:proofErr w:type="spellEnd"/>
      <w:r w:rsidRPr="007244C0">
        <w:t xml:space="preserve"> and Warlpiri Media and Communications (PAW Media)</w:t>
      </w:r>
    </w:p>
    <w:p w14:paraId="3E4C3192" w14:textId="77777777" w:rsidR="007C35F3" w:rsidRPr="00617C76" w:rsidRDefault="007C35F3" w:rsidP="007C35F3">
      <w:pPr>
        <w:pStyle w:val="Heading4"/>
      </w:pPr>
      <w:r w:rsidRPr="00617C76">
        <w:t>Government parties</w:t>
      </w:r>
    </w:p>
    <w:p w14:paraId="0C167FF0" w14:textId="77777777" w:rsidR="007C35F3" w:rsidRDefault="007C35F3" w:rsidP="007C35F3">
      <w:pPr>
        <w:pStyle w:val="Heading5"/>
      </w:pPr>
      <w:r w:rsidRPr="00115C74">
        <w:t xml:space="preserve">COMMONWEALTH PARTIES </w:t>
      </w:r>
    </w:p>
    <w:p w14:paraId="3B4068D5" w14:textId="7C368283" w:rsidR="00D57084" w:rsidRPr="009A75F0" w:rsidRDefault="00D57084" w:rsidP="007C35F3">
      <w:r w:rsidRPr="009A75F0">
        <w:t xml:space="preserve">Australian Broadcasting Corporation (ABC) </w:t>
      </w:r>
      <w:r w:rsidR="008B3CAE">
        <w:t>(endorsing partner)</w:t>
      </w:r>
    </w:p>
    <w:p w14:paraId="5636E21E" w14:textId="3242799E" w:rsidR="007C35F3" w:rsidRDefault="00D57084" w:rsidP="007C35F3">
      <w:r w:rsidRPr="00D57084">
        <w:t>Department of Infrastructure, Transport, Regional Development, Communications, Sport and the Arts (DITRDCSA)</w:t>
      </w:r>
    </w:p>
    <w:p w14:paraId="128D8120" w14:textId="77777777" w:rsidR="007C35F3" w:rsidRPr="00115C74" w:rsidRDefault="007C35F3" w:rsidP="007C35F3">
      <w:pPr>
        <w:pStyle w:val="Heading5"/>
      </w:pPr>
      <w:r w:rsidRPr="00115C74">
        <w:t xml:space="preserve">STATE AND TERRITORY PARTIES </w:t>
      </w:r>
    </w:p>
    <w:p w14:paraId="599F7580" w14:textId="4B912C46" w:rsidR="007C35F3" w:rsidRPr="00617C76" w:rsidRDefault="00D57084" w:rsidP="007C35F3">
      <w:r>
        <w:t>N/A</w:t>
      </w:r>
    </w:p>
    <w:p w14:paraId="556B9746" w14:textId="77777777" w:rsidR="007C35F3" w:rsidRPr="00617C76" w:rsidRDefault="007C35F3" w:rsidP="007C35F3">
      <w:pPr>
        <w:pStyle w:val="Heading4"/>
      </w:pPr>
      <w:r w:rsidRPr="00617C76">
        <w:t>Priority Reforms and Socio-economic Outcomes</w:t>
      </w:r>
    </w:p>
    <w:p w14:paraId="7C7ED838" w14:textId="77777777" w:rsidR="00FE7A2B" w:rsidRDefault="00FE7A2B" w:rsidP="00FE7A2B">
      <w:r w:rsidRPr="00FE7A2B">
        <w:t xml:space="preserve">Priority Reform 1 </w:t>
      </w:r>
    </w:p>
    <w:p w14:paraId="2AB7E53A" w14:textId="77777777" w:rsidR="00FE7A2B" w:rsidRDefault="00FE7A2B" w:rsidP="00FE7A2B">
      <w:r w:rsidRPr="00FE7A2B">
        <w:t xml:space="preserve">Priority Reform 3 </w:t>
      </w:r>
    </w:p>
    <w:p w14:paraId="4CA25A72" w14:textId="77777777" w:rsidR="00FE7A2B" w:rsidRDefault="00FE7A2B" w:rsidP="00FE7A2B">
      <w:r w:rsidRPr="00FE7A2B">
        <w:t xml:space="preserve">Outcome 16 </w:t>
      </w:r>
    </w:p>
    <w:p w14:paraId="1B97483A" w14:textId="6BE1B324" w:rsidR="007C35F3" w:rsidRPr="007C35F3" w:rsidRDefault="00FE7A2B" w:rsidP="00FE7A2B">
      <w:r w:rsidRPr="00FE7A2B">
        <w:t>Outcome 17</w:t>
      </w:r>
    </w:p>
    <w:p w14:paraId="15BA8CD9" w14:textId="77777777" w:rsidR="007C35F3" w:rsidRPr="00617C76" w:rsidRDefault="007C35F3" w:rsidP="007C35F3">
      <w:pPr>
        <w:pStyle w:val="Heading4"/>
      </w:pPr>
      <w:r w:rsidRPr="00617C76">
        <w:t>Partnership function</w:t>
      </w:r>
    </w:p>
    <w:p w14:paraId="3D32590C" w14:textId="77777777" w:rsidR="00FE7A2B" w:rsidRDefault="00FE7A2B" w:rsidP="007C35F3">
      <w:r w:rsidRPr="00FE7A2B">
        <w:t xml:space="preserve">Policy </w:t>
      </w:r>
    </w:p>
    <w:p w14:paraId="30BA2804" w14:textId="7438AC2E" w:rsidR="007C35F3" w:rsidRPr="00617C76" w:rsidRDefault="00FE7A2B" w:rsidP="007C35F3">
      <w:r w:rsidRPr="00FE7A2B">
        <w:t>Other</w:t>
      </w:r>
    </w:p>
    <w:p w14:paraId="709DEA5B" w14:textId="77777777" w:rsidR="007C35F3" w:rsidRPr="00617C76" w:rsidRDefault="007C35F3" w:rsidP="007C35F3">
      <w:pPr>
        <w:pStyle w:val="Heading4"/>
      </w:pPr>
      <w:r w:rsidRPr="00617C76">
        <w:lastRenderedPageBreak/>
        <w:t>Partnership timeframe</w:t>
      </w:r>
    </w:p>
    <w:p w14:paraId="75349B25" w14:textId="0BACF490" w:rsidR="007C35F3" w:rsidRPr="00617C76" w:rsidRDefault="00FE7A2B" w:rsidP="007C35F3">
      <w:r>
        <w:t>N/A</w:t>
      </w:r>
    </w:p>
    <w:p w14:paraId="7E30BE78" w14:textId="77777777" w:rsidR="007C35F3" w:rsidRPr="00617C76" w:rsidRDefault="007C35F3" w:rsidP="007C35F3">
      <w:pPr>
        <w:pStyle w:val="Heading4"/>
      </w:pPr>
      <w:r w:rsidRPr="00617C76">
        <w:t>Actions taken to strengthen the partnership in 2025</w:t>
      </w:r>
    </w:p>
    <w:p w14:paraId="2F07EE51" w14:textId="05E29641" w:rsidR="007C35F3" w:rsidRPr="00617C76" w:rsidRDefault="00A336C8" w:rsidP="007C35F3">
      <w:r w:rsidRPr="00A336C8">
        <w:t>The partnership deepened through co</w:t>
      </w:r>
      <w:r w:rsidRPr="00A336C8">
        <w:noBreakHyphen/>
        <w:t>designed media projects, secondments and national conference collaborations. ABC staff worked alongside language custodians, building trust and cultural understanding. Shared decision</w:t>
      </w:r>
      <w:r w:rsidRPr="00A336C8">
        <w:noBreakHyphen/>
        <w:t xml:space="preserve">making was evident in joint planning of </w:t>
      </w:r>
      <w:r w:rsidRPr="002B208F">
        <w:rPr>
          <w:i/>
          <w:iCs/>
        </w:rPr>
        <w:t>This Place</w:t>
      </w:r>
      <w:r w:rsidRPr="00A336C8">
        <w:t xml:space="preserve"> and education initiatives. The partnership supported visibility of First Nations languages and empowered communities to tell their stories. These efforts reflect a strong, respectful and evolving relationship aligned with Closing the Gap priorities.</w:t>
      </w:r>
    </w:p>
    <w:p w14:paraId="5E4E627B" w14:textId="77777777" w:rsidR="007C35F3" w:rsidRPr="00617C76" w:rsidRDefault="007C35F3" w:rsidP="007C35F3">
      <w:pPr>
        <w:pStyle w:val="Heading4"/>
      </w:pPr>
      <w:r w:rsidRPr="00617C76">
        <w:t>Strong partnership indicators</w:t>
      </w:r>
    </w:p>
    <w:p w14:paraId="0024E659" w14:textId="77777777" w:rsidR="007C35F3" w:rsidRPr="00617C76" w:rsidRDefault="007C35F3" w:rsidP="007C35F3">
      <w:pPr>
        <w:pStyle w:val="Heading5"/>
      </w:pPr>
      <w:r w:rsidRPr="00617C76">
        <w:t>Clause 32A:</w:t>
      </w:r>
    </w:p>
    <w:p w14:paraId="22A599C2" w14:textId="373A213D" w:rsidR="007C35F3" w:rsidRDefault="00A336C8" w:rsidP="00A93364">
      <w:pPr>
        <w:pStyle w:val="ListParagraph"/>
        <w:numPr>
          <w:ilvl w:val="0"/>
          <w:numId w:val="18"/>
        </w:numPr>
      </w:pPr>
      <w:r w:rsidRPr="00A336C8">
        <w:t>Met</w:t>
      </w:r>
    </w:p>
    <w:p w14:paraId="46086E83" w14:textId="4E60B789" w:rsidR="007C35F3" w:rsidRDefault="00A336C8" w:rsidP="00A93364">
      <w:pPr>
        <w:pStyle w:val="ListParagraph"/>
        <w:numPr>
          <w:ilvl w:val="0"/>
          <w:numId w:val="18"/>
        </w:numPr>
      </w:pPr>
      <w:r w:rsidRPr="00A336C8">
        <w:t>Met</w:t>
      </w:r>
    </w:p>
    <w:p w14:paraId="4C8460F2" w14:textId="713560F5" w:rsidR="007C35F3" w:rsidRDefault="00A336C8" w:rsidP="00A93364">
      <w:pPr>
        <w:pStyle w:val="ListParagraph"/>
        <w:numPr>
          <w:ilvl w:val="0"/>
          <w:numId w:val="18"/>
        </w:numPr>
      </w:pPr>
      <w:r w:rsidRPr="00A336C8">
        <w:t>Met</w:t>
      </w:r>
    </w:p>
    <w:p w14:paraId="0D87F716" w14:textId="77777777" w:rsidR="007C35F3" w:rsidRPr="00617C76" w:rsidRDefault="007C35F3" w:rsidP="007C35F3">
      <w:pPr>
        <w:pStyle w:val="Heading5"/>
      </w:pPr>
      <w:r w:rsidRPr="00617C76">
        <w:t>Clause 32B:</w:t>
      </w:r>
    </w:p>
    <w:p w14:paraId="341ED24C" w14:textId="06A88654" w:rsidR="007C35F3" w:rsidRDefault="00A336C8" w:rsidP="00A93364">
      <w:pPr>
        <w:pStyle w:val="ListParagraph"/>
        <w:numPr>
          <w:ilvl w:val="0"/>
          <w:numId w:val="19"/>
        </w:numPr>
      </w:pPr>
      <w:r w:rsidRPr="00A336C8">
        <w:t>Met</w:t>
      </w:r>
    </w:p>
    <w:p w14:paraId="1D767624" w14:textId="60567EBE" w:rsidR="007C35F3" w:rsidRDefault="00A336C8" w:rsidP="00A93364">
      <w:pPr>
        <w:pStyle w:val="ListParagraph"/>
        <w:numPr>
          <w:ilvl w:val="0"/>
          <w:numId w:val="19"/>
        </w:numPr>
      </w:pPr>
      <w:r w:rsidRPr="00A336C8">
        <w:t>Met</w:t>
      </w:r>
    </w:p>
    <w:p w14:paraId="649F1652" w14:textId="28DF5213" w:rsidR="007C35F3" w:rsidRDefault="00A336C8" w:rsidP="00A93364">
      <w:pPr>
        <w:pStyle w:val="ListParagraph"/>
        <w:numPr>
          <w:ilvl w:val="0"/>
          <w:numId w:val="19"/>
        </w:numPr>
      </w:pPr>
      <w:r>
        <w:t>Not met</w:t>
      </w:r>
    </w:p>
    <w:p w14:paraId="4628406C" w14:textId="74FBA308" w:rsidR="007C35F3" w:rsidRDefault="00A336C8" w:rsidP="00A93364">
      <w:pPr>
        <w:pStyle w:val="ListParagraph"/>
        <w:numPr>
          <w:ilvl w:val="0"/>
          <w:numId w:val="19"/>
        </w:numPr>
      </w:pPr>
      <w:r>
        <w:t>N/A</w:t>
      </w:r>
      <w:r w:rsidR="007A4FF6">
        <w:tab/>
      </w:r>
    </w:p>
    <w:p w14:paraId="113C5A03" w14:textId="77777777" w:rsidR="007C35F3" w:rsidRPr="00617C76" w:rsidRDefault="007C35F3" w:rsidP="007C35F3">
      <w:pPr>
        <w:pStyle w:val="Heading5"/>
      </w:pPr>
      <w:r w:rsidRPr="00617C76">
        <w:t>Clause 32C:</w:t>
      </w:r>
    </w:p>
    <w:p w14:paraId="5355D258" w14:textId="14161726" w:rsidR="007C35F3" w:rsidRDefault="007A4FF6" w:rsidP="00A93364">
      <w:pPr>
        <w:pStyle w:val="ListParagraph"/>
        <w:numPr>
          <w:ilvl w:val="0"/>
          <w:numId w:val="20"/>
        </w:numPr>
      </w:pPr>
      <w:r w:rsidRPr="007A4FF6">
        <w:t>Met</w:t>
      </w:r>
    </w:p>
    <w:p w14:paraId="1E736F16" w14:textId="6AF066FC" w:rsidR="007C35F3" w:rsidRDefault="007A4FF6" w:rsidP="00A93364">
      <w:pPr>
        <w:pStyle w:val="ListParagraph"/>
        <w:numPr>
          <w:ilvl w:val="0"/>
          <w:numId w:val="20"/>
        </w:numPr>
      </w:pPr>
      <w:r w:rsidRPr="007A4FF6">
        <w:t>Met</w:t>
      </w:r>
    </w:p>
    <w:p w14:paraId="4D794ECC" w14:textId="4EC907D3" w:rsidR="007C35F3" w:rsidRDefault="007A4FF6" w:rsidP="00A93364">
      <w:pPr>
        <w:pStyle w:val="ListParagraph"/>
        <w:numPr>
          <w:ilvl w:val="0"/>
          <w:numId w:val="20"/>
        </w:numPr>
      </w:pPr>
      <w:r w:rsidRPr="007A4FF6">
        <w:t>Met</w:t>
      </w:r>
    </w:p>
    <w:p w14:paraId="41D0BD9A" w14:textId="3999F1AD" w:rsidR="007C35F3" w:rsidRDefault="007A4FF6" w:rsidP="00A93364">
      <w:pPr>
        <w:pStyle w:val="ListParagraph"/>
        <w:numPr>
          <w:ilvl w:val="0"/>
          <w:numId w:val="20"/>
        </w:numPr>
      </w:pPr>
      <w:r w:rsidRPr="007A4FF6">
        <w:t>Met</w:t>
      </w:r>
    </w:p>
    <w:p w14:paraId="0006A074" w14:textId="514FE9E4" w:rsidR="007C35F3" w:rsidRDefault="007A4FF6" w:rsidP="00A93364">
      <w:pPr>
        <w:pStyle w:val="ListParagraph"/>
        <w:numPr>
          <w:ilvl w:val="0"/>
          <w:numId w:val="20"/>
        </w:numPr>
      </w:pPr>
      <w:r w:rsidRPr="007A4FF6">
        <w:t>Met</w:t>
      </w:r>
    </w:p>
    <w:p w14:paraId="19463E03" w14:textId="3184B6D8" w:rsidR="007C35F3" w:rsidRDefault="007A4FF6" w:rsidP="00A93364">
      <w:pPr>
        <w:pStyle w:val="ListParagraph"/>
        <w:numPr>
          <w:ilvl w:val="0"/>
          <w:numId w:val="20"/>
        </w:numPr>
      </w:pPr>
      <w:r w:rsidRPr="007A4FF6">
        <w:t>Met</w:t>
      </w:r>
    </w:p>
    <w:p w14:paraId="36C5B197" w14:textId="3A822D54" w:rsidR="007C35F3" w:rsidRDefault="007A4FF6" w:rsidP="00A93364">
      <w:pPr>
        <w:pStyle w:val="ListParagraph"/>
        <w:numPr>
          <w:ilvl w:val="0"/>
          <w:numId w:val="20"/>
        </w:numPr>
      </w:pPr>
      <w:r w:rsidRPr="007A4FF6">
        <w:t>Met</w:t>
      </w:r>
    </w:p>
    <w:p w14:paraId="593AAD56" w14:textId="77777777" w:rsidR="007C35F3" w:rsidRPr="00617C76" w:rsidRDefault="007C35F3" w:rsidP="007C35F3">
      <w:pPr>
        <w:pStyle w:val="Heading5"/>
      </w:pPr>
      <w:r w:rsidRPr="00617C76">
        <w:t>Clause 33:</w:t>
      </w:r>
    </w:p>
    <w:p w14:paraId="3B18AECF" w14:textId="5D3C6C0A" w:rsidR="007C35F3" w:rsidRDefault="007A4FF6" w:rsidP="007C35F3">
      <w:r w:rsidRPr="007A4FF6">
        <w:t>Met</w:t>
      </w:r>
    </w:p>
    <w:p w14:paraId="3CF70AA0" w14:textId="77777777" w:rsidR="007C35F3" w:rsidRDefault="007C35F3" w:rsidP="007C35F3">
      <w:pPr>
        <w:pStyle w:val="Heading4"/>
      </w:pPr>
      <w:r w:rsidRPr="00617C76">
        <w:t>Achievements over 2025</w:t>
      </w:r>
    </w:p>
    <w:p w14:paraId="0366B828" w14:textId="77777777" w:rsidR="007A4FF6" w:rsidRDefault="007A4FF6" w:rsidP="007C35F3">
      <w:r w:rsidRPr="007A4FF6">
        <w:t>ABC Legal delivered an annual Media Law Fundamentals training sessions for FNMA members, continuing to offer pre</w:t>
      </w:r>
      <w:r w:rsidRPr="007A4FF6">
        <w:noBreakHyphen/>
        <w:t xml:space="preserve">publication legal advice as part of ABC Legal’s pro bono program. </w:t>
      </w:r>
    </w:p>
    <w:p w14:paraId="010A1D2B" w14:textId="77777777" w:rsidR="007A4FF6" w:rsidRDefault="007A4FF6" w:rsidP="007C35F3">
      <w:r w:rsidRPr="007A4FF6">
        <w:t xml:space="preserve">ABC and FNMA continued their strategic partnership through legal training, secondments and festival collaborations. </w:t>
      </w:r>
    </w:p>
    <w:p w14:paraId="004EF6D5" w14:textId="77777777" w:rsidR="00C72ADF" w:rsidRDefault="007A4FF6" w:rsidP="007C35F3">
      <w:r w:rsidRPr="007A4FF6">
        <w:t>ABC News and ABC Legal staff co</w:t>
      </w:r>
      <w:r w:rsidRPr="007A4FF6">
        <w:noBreakHyphen/>
        <w:t>facilitated workshops at the Festival of Remote Australian Indigenous Moving Image (FRAIM) and the National Remote Indigenous Media Festival, hosted by ICTV and PAKM. ABC staff shared their skills and knowledge in graphic design, multi</w:t>
      </w:r>
      <w:r w:rsidRPr="007A4FF6">
        <w:noBreakHyphen/>
        <w:t xml:space="preserve">camera operation and editing, and legal workshops. </w:t>
      </w:r>
    </w:p>
    <w:p w14:paraId="2ABF6E67" w14:textId="77777777" w:rsidR="00C72ADF" w:rsidRDefault="007A4FF6" w:rsidP="007C35F3">
      <w:r w:rsidRPr="007A4FF6">
        <w:t>ABC journalists, broadcasters and multi</w:t>
      </w:r>
      <w:r w:rsidRPr="007A4FF6">
        <w:noBreakHyphen/>
        <w:t xml:space="preserve">platform producers participated in the ABC Secondment program, with ABC staff seconded to Radio MAMA, </w:t>
      </w:r>
      <w:proofErr w:type="spellStart"/>
      <w:r w:rsidRPr="007A4FF6">
        <w:t>Ngaarda</w:t>
      </w:r>
      <w:proofErr w:type="spellEnd"/>
      <w:r w:rsidRPr="007A4FF6">
        <w:t xml:space="preserve"> Media, </w:t>
      </w:r>
      <w:proofErr w:type="spellStart"/>
      <w:r w:rsidRPr="007A4FF6">
        <w:t>Umeewarra</w:t>
      </w:r>
      <w:proofErr w:type="spellEnd"/>
      <w:r w:rsidRPr="007A4FF6">
        <w:t xml:space="preserve"> Media and CAAMA. </w:t>
      </w:r>
    </w:p>
    <w:p w14:paraId="196C8A0E" w14:textId="77777777" w:rsidR="00C72ADF" w:rsidRDefault="007A4FF6" w:rsidP="007C35F3">
      <w:r w:rsidRPr="007A4FF6">
        <w:t xml:space="preserve">The NIRS–ABC newsroom exchange completed its third year, with journalists from Queensland Newsroom and a journalist from News Digital team completing an exchange with journalists from NIRS. These secondment and exchange activities strengthened community media and built trust. </w:t>
      </w:r>
    </w:p>
    <w:p w14:paraId="784B5E59" w14:textId="0CFB22A3" w:rsidR="007C35F3" w:rsidRPr="007C35F3" w:rsidRDefault="007A4FF6" w:rsidP="007C35F3">
      <w:r w:rsidRPr="007A4FF6">
        <w:lastRenderedPageBreak/>
        <w:t>ABC donated decommissioned P2 camera kits to Mid North Coast Indigenous broadcast and PAW Media, who expressed interest in them to assist with their work.</w:t>
      </w:r>
    </w:p>
    <w:p w14:paraId="2E4F1A8E" w14:textId="61772F5E" w:rsidR="007C35F3" w:rsidRDefault="00C72ADF" w:rsidP="007C35F3">
      <w:pPr>
        <w:pStyle w:val="Heading3"/>
      </w:pPr>
      <w:bookmarkStart w:id="12" w:name="_Toc225506034"/>
      <w:r w:rsidRPr="00C72ADF">
        <w:t>Data Policy Partnership (DPP)</w:t>
      </w:r>
      <w:bookmarkEnd w:id="12"/>
    </w:p>
    <w:p w14:paraId="2BBA8C9C" w14:textId="77777777" w:rsidR="007C35F3" w:rsidRDefault="007C35F3" w:rsidP="007C35F3">
      <w:pPr>
        <w:pStyle w:val="Heading4"/>
      </w:pPr>
      <w:r w:rsidRPr="00617C76">
        <w:t>Partnership description</w:t>
      </w:r>
    </w:p>
    <w:p w14:paraId="6A7187C1" w14:textId="77777777" w:rsidR="00C72ADF" w:rsidRDefault="00C72ADF" w:rsidP="007C35F3">
      <w:r w:rsidRPr="00C72ADF">
        <w:t>The purpose of the DPP is to establish a mechanism to develop a joined</w:t>
      </w:r>
      <w:r w:rsidRPr="00C72ADF">
        <w:noBreakHyphen/>
        <w:t xml:space="preserve">up approach to data policies relevant to Aboriginal and Torres Strait Islander peoples with a focus on progressing Priority Reform Four of the National Agreement (shared access to data and information at a regional level). </w:t>
      </w:r>
    </w:p>
    <w:p w14:paraId="2EB0FA0A" w14:textId="25348225" w:rsidR="007C35F3" w:rsidRPr="00837360" w:rsidRDefault="00C72ADF" w:rsidP="007C35F3">
      <w:r w:rsidRPr="00C72ADF">
        <w:t>This is a formal Policy Partnership under the National Agreement between the Commonwealth, states and territories and Aboriginal and Torres Strait Islander representatives.</w:t>
      </w:r>
    </w:p>
    <w:p w14:paraId="56752268" w14:textId="77777777" w:rsidR="007C35F3" w:rsidRDefault="007C35F3" w:rsidP="007C35F3">
      <w:pPr>
        <w:pStyle w:val="Heading4"/>
      </w:pPr>
      <w:r w:rsidRPr="00DF6278">
        <w:t>Aboriginal and Torres Strait Islander parties</w:t>
      </w:r>
    </w:p>
    <w:p w14:paraId="732DD648" w14:textId="11190587" w:rsidR="00E42FD1" w:rsidRPr="009A75F0" w:rsidRDefault="00E42FD1" w:rsidP="007C35F3">
      <w:r w:rsidRPr="009A75F0">
        <w:t xml:space="preserve">New South Wales Coalition of Aboriginal Peak Organisations (NSW CAPO) </w:t>
      </w:r>
      <w:r w:rsidR="00D426C0">
        <w:t>(endorsing partner)</w:t>
      </w:r>
    </w:p>
    <w:p w14:paraId="68DE9860" w14:textId="77777777" w:rsidR="00E42FD1" w:rsidRDefault="00E42FD1" w:rsidP="007C35F3">
      <w:r w:rsidRPr="00E42FD1">
        <w:t xml:space="preserve">Coalition of Peaks Secretariat </w:t>
      </w:r>
    </w:p>
    <w:p w14:paraId="1878CE09" w14:textId="77777777" w:rsidR="00E42FD1" w:rsidRDefault="00E42FD1" w:rsidP="007C35F3">
      <w:r w:rsidRPr="00E42FD1">
        <w:t xml:space="preserve">SNAICC – National Voice for our Children </w:t>
      </w:r>
    </w:p>
    <w:p w14:paraId="21FDBCE4" w14:textId="77777777" w:rsidR="00E42FD1" w:rsidRDefault="00E42FD1" w:rsidP="007C35F3">
      <w:r w:rsidRPr="00E42FD1">
        <w:t xml:space="preserve">National Aboriginal Community Controlled Health Organisation (NACCHO) </w:t>
      </w:r>
    </w:p>
    <w:p w14:paraId="3BC69997" w14:textId="77777777" w:rsidR="00E42FD1" w:rsidRDefault="00E42FD1" w:rsidP="007C35F3">
      <w:r w:rsidRPr="00E42FD1">
        <w:t xml:space="preserve">First Nations Advocates Against Family Violence (FNAAFV) </w:t>
      </w:r>
    </w:p>
    <w:p w14:paraId="66B5C246" w14:textId="1E4442E2" w:rsidR="007C35F3" w:rsidRPr="00837360" w:rsidRDefault="00E42FD1" w:rsidP="007C35F3">
      <w:r w:rsidRPr="00E42FD1">
        <w:t>Aboriginal Health Council of Western Australia (AHCWA)</w:t>
      </w:r>
    </w:p>
    <w:p w14:paraId="65EAF71B" w14:textId="77777777" w:rsidR="007C35F3" w:rsidRPr="00617C76" w:rsidRDefault="007C35F3" w:rsidP="007C35F3">
      <w:pPr>
        <w:pStyle w:val="Heading4"/>
      </w:pPr>
      <w:r w:rsidRPr="00617C76">
        <w:t>Government parties</w:t>
      </w:r>
    </w:p>
    <w:p w14:paraId="0216B46F" w14:textId="77777777" w:rsidR="007C35F3" w:rsidRDefault="007C35F3" w:rsidP="007C35F3">
      <w:pPr>
        <w:pStyle w:val="Heading5"/>
      </w:pPr>
      <w:r w:rsidRPr="00115C74">
        <w:t xml:space="preserve">COMMONWEALTH PARTIES </w:t>
      </w:r>
    </w:p>
    <w:p w14:paraId="3C14AFD6" w14:textId="5A09F001" w:rsidR="007C35F3" w:rsidRPr="009A75F0" w:rsidRDefault="00E42FD1" w:rsidP="007C35F3">
      <w:r w:rsidRPr="009A75F0">
        <w:t>Australian Bureau of Statistics</w:t>
      </w:r>
      <w:r w:rsidR="00D426C0">
        <w:t xml:space="preserve"> (endorsing partner)</w:t>
      </w:r>
    </w:p>
    <w:p w14:paraId="00AA705A" w14:textId="77777777" w:rsidR="007C35F3" w:rsidRPr="00115C74" w:rsidRDefault="007C35F3" w:rsidP="007C35F3">
      <w:pPr>
        <w:pStyle w:val="Heading5"/>
      </w:pPr>
      <w:r w:rsidRPr="00115C74">
        <w:t xml:space="preserve">STATE AND TERRITORY PARTIES </w:t>
      </w:r>
    </w:p>
    <w:p w14:paraId="442087AD" w14:textId="77777777" w:rsidR="00FB0AAA" w:rsidRDefault="00FB0AAA" w:rsidP="007C35F3">
      <w:r w:rsidRPr="00FB0AAA">
        <w:t xml:space="preserve">Department of Customer Service (New South Wales Government) </w:t>
      </w:r>
    </w:p>
    <w:p w14:paraId="74183BA2" w14:textId="77777777" w:rsidR="00FB0AAA" w:rsidRDefault="00FB0AAA" w:rsidP="007C35F3">
      <w:r w:rsidRPr="00FB0AAA">
        <w:t xml:space="preserve">Department of Government Services (Victorian Government) </w:t>
      </w:r>
    </w:p>
    <w:p w14:paraId="0CF308B4" w14:textId="77777777" w:rsidR="00FB0AAA" w:rsidRDefault="00FB0AAA" w:rsidP="007C35F3">
      <w:r w:rsidRPr="00FB0AAA">
        <w:t xml:space="preserve">Department of Customer Services, Open Data and Small and Family Business (Queensland Government) </w:t>
      </w:r>
    </w:p>
    <w:p w14:paraId="6ED857CA" w14:textId="77777777" w:rsidR="00FB0AAA" w:rsidRDefault="00FB0AAA" w:rsidP="007C35F3">
      <w:r w:rsidRPr="00FB0AAA">
        <w:t xml:space="preserve">Department of Treasury and Finance (South Australian Government) </w:t>
      </w:r>
    </w:p>
    <w:p w14:paraId="0B343A14" w14:textId="77777777" w:rsidR="00FB0AAA" w:rsidRDefault="00FB0AAA" w:rsidP="007C35F3">
      <w:r w:rsidRPr="00FB0AAA">
        <w:t xml:space="preserve">Department of the Premier and Cabinet (Western Australian Government) </w:t>
      </w:r>
    </w:p>
    <w:p w14:paraId="65D4766B" w14:textId="77777777" w:rsidR="00FB0AAA" w:rsidRDefault="00FB0AAA" w:rsidP="007C35F3">
      <w:r w:rsidRPr="00FB0AAA">
        <w:t xml:space="preserve">Department of Premier and Cabinet (Tasmanian Government) </w:t>
      </w:r>
    </w:p>
    <w:p w14:paraId="17CD5008" w14:textId="77777777" w:rsidR="00FB0AAA" w:rsidRDefault="00FB0AAA" w:rsidP="007C35F3">
      <w:r w:rsidRPr="00FB0AAA">
        <w:t xml:space="preserve">Department of the Chief Minister and Cabinet (Northern Territory Government) </w:t>
      </w:r>
    </w:p>
    <w:p w14:paraId="25A4DB61" w14:textId="22CFC535" w:rsidR="007C35F3" w:rsidRPr="00617C76" w:rsidRDefault="00FB0AAA" w:rsidP="007C35F3">
      <w:r w:rsidRPr="00FB0AAA">
        <w:t>Chief Minister, Treasury and Economic Development Directorate (Australian Capital Territory Government)</w:t>
      </w:r>
    </w:p>
    <w:p w14:paraId="4080D1EF" w14:textId="77777777" w:rsidR="007C35F3" w:rsidRPr="00617C76" w:rsidRDefault="007C35F3" w:rsidP="007C35F3">
      <w:pPr>
        <w:pStyle w:val="Heading4"/>
      </w:pPr>
      <w:r w:rsidRPr="00617C76">
        <w:t>Priority Reforms and Socio-economic Outcomes</w:t>
      </w:r>
    </w:p>
    <w:p w14:paraId="289C4034" w14:textId="77777777" w:rsidR="00010D72" w:rsidRDefault="00010D72" w:rsidP="00010D72">
      <w:r w:rsidRPr="00010D72">
        <w:t xml:space="preserve">Priority Reform 1 </w:t>
      </w:r>
    </w:p>
    <w:p w14:paraId="29029DEC" w14:textId="4DBEB7C1" w:rsidR="007C35F3" w:rsidRPr="007C35F3" w:rsidRDefault="00010D72" w:rsidP="00010D72">
      <w:r w:rsidRPr="00010D72">
        <w:t>Priority Reform 4</w:t>
      </w:r>
    </w:p>
    <w:p w14:paraId="64712BAB" w14:textId="77777777" w:rsidR="007C35F3" w:rsidRPr="00617C76" w:rsidRDefault="007C35F3" w:rsidP="007C35F3">
      <w:pPr>
        <w:pStyle w:val="Heading4"/>
      </w:pPr>
      <w:r w:rsidRPr="00617C76">
        <w:t>Partnership function</w:t>
      </w:r>
    </w:p>
    <w:p w14:paraId="64A51D27" w14:textId="77FA2FA1" w:rsidR="007C35F3" w:rsidRPr="00617C76" w:rsidRDefault="00010D72" w:rsidP="007C35F3">
      <w:r w:rsidRPr="00010D72">
        <w:t>Policy</w:t>
      </w:r>
    </w:p>
    <w:p w14:paraId="2D5C5FCC" w14:textId="77777777" w:rsidR="007C35F3" w:rsidRPr="00617C76" w:rsidRDefault="007C35F3" w:rsidP="007C35F3">
      <w:pPr>
        <w:pStyle w:val="Heading4"/>
      </w:pPr>
      <w:r w:rsidRPr="00617C76">
        <w:t>Partnership timeframe</w:t>
      </w:r>
    </w:p>
    <w:p w14:paraId="4BD3EDE6" w14:textId="34747379" w:rsidR="007C35F3" w:rsidRPr="00617C76" w:rsidRDefault="00010D72" w:rsidP="007C35F3">
      <w:r w:rsidRPr="00010D72">
        <w:t>Financial year 2025</w:t>
      </w:r>
      <w:r w:rsidRPr="00010D72">
        <w:noBreakHyphen/>
        <w:t>26 to 2028</w:t>
      </w:r>
      <w:r w:rsidRPr="00010D72">
        <w:noBreakHyphen/>
        <w:t>29</w:t>
      </w:r>
    </w:p>
    <w:p w14:paraId="1C5A73C3" w14:textId="77777777" w:rsidR="007C35F3" w:rsidRPr="00617C76" w:rsidRDefault="007C35F3" w:rsidP="007C35F3">
      <w:pPr>
        <w:pStyle w:val="Heading4"/>
      </w:pPr>
      <w:r w:rsidRPr="00617C76">
        <w:lastRenderedPageBreak/>
        <w:t>Actions taken to strengthen the partnership in 2025</w:t>
      </w:r>
    </w:p>
    <w:p w14:paraId="3400C579" w14:textId="77777777" w:rsidR="00010D72" w:rsidRDefault="00010D72" w:rsidP="007C35F3">
      <w:r w:rsidRPr="00010D72">
        <w:t xml:space="preserve">The DPP has continued to strengthen through solid foundations laid for a strong and enduring partnership. Key elements contributing to this include: </w:t>
      </w:r>
    </w:p>
    <w:p w14:paraId="6C02CA96" w14:textId="7FEED773" w:rsidR="00010D72" w:rsidRDefault="00010D72" w:rsidP="00A93364">
      <w:pPr>
        <w:pStyle w:val="ListParagraph"/>
        <w:numPr>
          <w:ilvl w:val="0"/>
          <w:numId w:val="21"/>
        </w:numPr>
      </w:pPr>
      <w:r w:rsidRPr="00010D72">
        <w:t xml:space="preserve">Accountability and representation – ensuring that all partners are actively engaged and reflective of the communities they serve. </w:t>
      </w:r>
    </w:p>
    <w:p w14:paraId="4BDBA89E" w14:textId="5D035849" w:rsidR="00010D72" w:rsidRDefault="00010D72" w:rsidP="00A93364">
      <w:pPr>
        <w:pStyle w:val="ListParagraph"/>
        <w:numPr>
          <w:ilvl w:val="0"/>
          <w:numId w:val="21"/>
        </w:numPr>
      </w:pPr>
      <w:r w:rsidRPr="00010D72">
        <w:t xml:space="preserve">A formal agreement – providing a clear framework that guides collaboration and shared responsibilities. </w:t>
      </w:r>
    </w:p>
    <w:p w14:paraId="78146F9C" w14:textId="4EAA956C" w:rsidR="00010D72" w:rsidRDefault="00010D72" w:rsidP="00A93364">
      <w:pPr>
        <w:pStyle w:val="ListParagraph"/>
        <w:numPr>
          <w:ilvl w:val="0"/>
          <w:numId w:val="21"/>
        </w:numPr>
      </w:pPr>
      <w:r w:rsidRPr="00010D72">
        <w:t>Shared decision</w:t>
      </w:r>
      <w:r w:rsidRPr="00010D72">
        <w:noBreakHyphen/>
        <w:t xml:space="preserve">making – enabling governments and Aboriginal and Torres Strait Islander peoples to jointly shape priorities and outcomes through decisive and inclusive processes. </w:t>
      </w:r>
    </w:p>
    <w:p w14:paraId="5517C632" w14:textId="44E09DD9" w:rsidR="007C35F3" w:rsidRPr="00617C76" w:rsidRDefault="00010D72" w:rsidP="007C35F3">
      <w:r w:rsidRPr="00010D72">
        <w:t>While the full impact of these elements will continue to emerge over time, their consistent application throughout 2025 has reinforced trust, transparency, and mutual respect across the partnership.</w:t>
      </w:r>
    </w:p>
    <w:p w14:paraId="0C1B5B83" w14:textId="77777777" w:rsidR="007C35F3" w:rsidRPr="00617C76" w:rsidRDefault="007C35F3" w:rsidP="007C35F3">
      <w:pPr>
        <w:pStyle w:val="Heading4"/>
      </w:pPr>
      <w:r w:rsidRPr="00617C76">
        <w:t>Strong partnership indicators</w:t>
      </w:r>
    </w:p>
    <w:p w14:paraId="109260EC" w14:textId="77777777" w:rsidR="007C35F3" w:rsidRPr="00617C76" w:rsidRDefault="007C35F3" w:rsidP="007C35F3">
      <w:pPr>
        <w:pStyle w:val="Heading5"/>
      </w:pPr>
      <w:r w:rsidRPr="00617C76">
        <w:t>Clause 32A:</w:t>
      </w:r>
    </w:p>
    <w:p w14:paraId="5A9CF747" w14:textId="5675EAAF" w:rsidR="007C35F3" w:rsidRDefault="00AA05A5" w:rsidP="00A93364">
      <w:pPr>
        <w:pStyle w:val="ListParagraph"/>
        <w:numPr>
          <w:ilvl w:val="0"/>
          <w:numId w:val="22"/>
        </w:numPr>
      </w:pPr>
      <w:r w:rsidRPr="00AA05A5">
        <w:t>Met</w:t>
      </w:r>
    </w:p>
    <w:p w14:paraId="52C74BD0" w14:textId="558F44D3" w:rsidR="007C35F3" w:rsidRDefault="00AA05A5" w:rsidP="00A93364">
      <w:pPr>
        <w:pStyle w:val="ListParagraph"/>
        <w:numPr>
          <w:ilvl w:val="0"/>
          <w:numId w:val="22"/>
        </w:numPr>
      </w:pPr>
      <w:r w:rsidRPr="00AA05A5">
        <w:t>Met</w:t>
      </w:r>
    </w:p>
    <w:p w14:paraId="42B44F6B" w14:textId="71DE956F" w:rsidR="007C35F3" w:rsidRDefault="00AA05A5" w:rsidP="00A93364">
      <w:pPr>
        <w:pStyle w:val="ListParagraph"/>
        <w:numPr>
          <w:ilvl w:val="0"/>
          <w:numId w:val="22"/>
        </w:numPr>
      </w:pPr>
      <w:r w:rsidRPr="00AA05A5">
        <w:t>Met</w:t>
      </w:r>
    </w:p>
    <w:p w14:paraId="1A578215" w14:textId="77777777" w:rsidR="007C35F3" w:rsidRPr="00617C76" w:rsidRDefault="007C35F3" w:rsidP="007C35F3">
      <w:pPr>
        <w:pStyle w:val="Heading5"/>
      </w:pPr>
      <w:r w:rsidRPr="00617C76">
        <w:t>Clause 32B:</w:t>
      </w:r>
    </w:p>
    <w:p w14:paraId="2A261AAD" w14:textId="611F36FC" w:rsidR="007C35F3" w:rsidRDefault="00AA05A5" w:rsidP="00A93364">
      <w:pPr>
        <w:pStyle w:val="ListParagraph"/>
        <w:numPr>
          <w:ilvl w:val="0"/>
          <w:numId w:val="23"/>
        </w:numPr>
      </w:pPr>
      <w:r w:rsidRPr="00AA05A5">
        <w:t>Met</w:t>
      </w:r>
    </w:p>
    <w:p w14:paraId="12DA176C" w14:textId="3A04A757" w:rsidR="007C35F3" w:rsidRDefault="00AA05A5" w:rsidP="00A93364">
      <w:pPr>
        <w:pStyle w:val="ListParagraph"/>
        <w:numPr>
          <w:ilvl w:val="0"/>
          <w:numId w:val="23"/>
        </w:numPr>
      </w:pPr>
      <w:r w:rsidRPr="00AA05A5">
        <w:t>Met</w:t>
      </w:r>
    </w:p>
    <w:p w14:paraId="53C14307" w14:textId="57826A0C" w:rsidR="007C35F3" w:rsidRDefault="00AA05A5" w:rsidP="00A93364">
      <w:pPr>
        <w:pStyle w:val="ListParagraph"/>
        <w:numPr>
          <w:ilvl w:val="0"/>
          <w:numId w:val="23"/>
        </w:numPr>
      </w:pPr>
      <w:r w:rsidRPr="00AA05A5">
        <w:t>Met</w:t>
      </w:r>
    </w:p>
    <w:p w14:paraId="6E1A776B" w14:textId="0FFC4467" w:rsidR="00AA05A5" w:rsidRDefault="00AA05A5" w:rsidP="00A93364">
      <w:pPr>
        <w:pStyle w:val="ListParagraph"/>
        <w:numPr>
          <w:ilvl w:val="0"/>
          <w:numId w:val="23"/>
        </w:numPr>
      </w:pPr>
      <w:r>
        <w:t>N/A</w:t>
      </w:r>
    </w:p>
    <w:p w14:paraId="716EBD02" w14:textId="77777777" w:rsidR="007C35F3" w:rsidRPr="00617C76" w:rsidRDefault="007C35F3" w:rsidP="007C35F3">
      <w:pPr>
        <w:pStyle w:val="Heading5"/>
      </w:pPr>
      <w:r w:rsidRPr="00617C76">
        <w:t>Clause 32C:</w:t>
      </w:r>
    </w:p>
    <w:p w14:paraId="4055DE8D" w14:textId="5C55FD46" w:rsidR="007C35F3" w:rsidRDefault="00AA05A5" w:rsidP="00A93364">
      <w:pPr>
        <w:pStyle w:val="ListParagraph"/>
        <w:numPr>
          <w:ilvl w:val="0"/>
          <w:numId w:val="24"/>
        </w:numPr>
      </w:pPr>
      <w:r w:rsidRPr="00AA05A5">
        <w:t>Met</w:t>
      </w:r>
    </w:p>
    <w:p w14:paraId="3947A58F" w14:textId="05860EEE" w:rsidR="007C35F3" w:rsidRDefault="00AA05A5" w:rsidP="00A93364">
      <w:pPr>
        <w:pStyle w:val="ListParagraph"/>
        <w:numPr>
          <w:ilvl w:val="0"/>
          <w:numId w:val="24"/>
        </w:numPr>
      </w:pPr>
      <w:r w:rsidRPr="00AA05A5">
        <w:t>Met</w:t>
      </w:r>
    </w:p>
    <w:p w14:paraId="0CA72CBA" w14:textId="6B31DF7E" w:rsidR="007C35F3" w:rsidRDefault="00AA05A5" w:rsidP="00A93364">
      <w:pPr>
        <w:pStyle w:val="ListParagraph"/>
        <w:numPr>
          <w:ilvl w:val="0"/>
          <w:numId w:val="24"/>
        </w:numPr>
      </w:pPr>
      <w:r w:rsidRPr="00AA05A5">
        <w:t>Met</w:t>
      </w:r>
    </w:p>
    <w:p w14:paraId="046BA3E1" w14:textId="26F9023F" w:rsidR="007C35F3" w:rsidRDefault="00AA05A5" w:rsidP="00A93364">
      <w:pPr>
        <w:pStyle w:val="ListParagraph"/>
        <w:numPr>
          <w:ilvl w:val="0"/>
          <w:numId w:val="24"/>
        </w:numPr>
      </w:pPr>
      <w:r w:rsidRPr="00AA05A5">
        <w:t>Met</w:t>
      </w:r>
    </w:p>
    <w:p w14:paraId="307AAD14" w14:textId="5462F2EB" w:rsidR="007C35F3" w:rsidRDefault="00AA05A5" w:rsidP="00A93364">
      <w:pPr>
        <w:pStyle w:val="ListParagraph"/>
        <w:numPr>
          <w:ilvl w:val="0"/>
          <w:numId w:val="24"/>
        </w:numPr>
      </w:pPr>
      <w:r w:rsidRPr="00AA05A5">
        <w:t>Met</w:t>
      </w:r>
    </w:p>
    <w:p w14:paraId="6D4EB6E6" w14:textId="54030BB4" w:rsidR="007C35F3" w:rsidRDefault="00AA05A5" w:rsidP="00A93364">
      <w:pPr>
        <w:pStyle w:val="ListParagraph"/>
        <w:numPr>
          <w:ilvl w:val="0"/>
          <w:numId w:val="24"/>
        </w:numPr>
      </w:pPr>
      <w:r w:rsidRPr="00AA05A5">
        <w:t>Met</w:t>
      </w:r>
    </w:p>
    <w:p w14:paraId="7FCB7F33" w14:textId="2F8AA305" w:rsidR="007C35F3" w:rsidRDefault="00AA05A5" w:rsidP="00A93364">
      <w:pPr>
        <w:pStyle w:val="ListParagraph"/>
        <w:numPr>
          <w:ilvl w:val="0"/>
          <w:numId w:val="24"/>
        </w:numPr>
      </w:pPr>
      <w:r w:rsidRPr="00AA05A5">
        <w:t>Met</w:t>
      </w:r>
    </w:p>
    <w:p w14:paraId="3CDBCC3A" w14:textId="77777777" w:rsidR="007C35F3" w:rsidRPr="00617C76" w:rsidRDefault="007C35F3" w:rsidP="007C35F3">
      <w:pPr>
        <w:pStyle w:val="Heading5"/>
      </w:pPr>
      <w:r w:rsidRPr="00617C76">
        <w:t>Clause 33:</w:t>
      </w:r>
    </w:p>
    <w:p w14:paraId="57369AEB" w14:textId="0A756013" w:rsidR="007C35F3" w:rsidRDefault="00AA05A5" w:rsidP="007C35F3">
      <w:r w:rsidRPr="00AA05A5">
        <w:t>Met</w:t>
      </w:r>
    </w:p>
    <w:p w14:paraId="64E21F02" w14:textId="77777777" w:rsidR="007C35F3" w:rsidRDefault="007C35F3" w:rsidP="007C35F3">
      <w:pPr>
        <w:pStyle w:val="Heading4"/>
      </w:pPr>
      <w:r w:rsidRPr="00617C76">
        <w:t>Achievements over 2025</w:t>
      </w:r>
    </w:p>
    <w:p w14:paraId="5433BAE5" w14:textId="77777777" w:rsidR="00651B80" w:rsidRDefault="00651B80" w:rsidP="007C35F3">
      <w:r w:rsidRPr="00651B80">
        <w:t xml:space="preserve">The DPP completed the following across 2025: </w:t>
      </w:r>
    </w:p>
    <w:p w14:paraId="5A136D72" w14:textId="77777777" w:rsidR="00651B80" w:rsidRDefault="00651B80" w:rsidP="00A93364">
      <w:pPr>
        <w:pStyle w:val="ListParagraph"/>
        <w:numPr>
          <w:ilvl w:val="0"/>
          <w:numId w:val="25"/>
        </w:numPr>
      </w:pPr>
      <w:r w:rsidRPr="00651B80">
        <w:t>Co</w:t>
      </w:r>
      <w:r w:rsidRPr="00651B80">
        <w:noBreakHyphen/>
        <w:t>Chairs were approached and the DPP establishment process was initiated in early 2025.</w:t>
      </w:r>
    </w:p>
    <w:p w14:paraId="3F7133A9" w14:textId="77777777" w:rsidR="00651B80" w:rsidRDefault="00651B80" w:rsidP="00A93364">
      <w:pPr>
        <w:pStyle w:val="ListParagraph"/>
        <w:numPr>
          <w:ilvl w:val="0"/>
          <w:numId w:val="25"/>
        </w:numPr>
      </w:pPr>
      <w:r w:rsidRPr="00651B80">
        <w:t>The Joint Council on Closing the Gap agreed to the establishment documents (20 June 2025), including an Agreement to Implement (Terms of Reference), a high</w:t>
      </w:r>
      <w:r w:rsidRPr="00651B80">
        <w:noBreakHyphen/>
        <w:t xml:space="preserve">level work plan (year one), and the draft agenda for first meeting. </w:t>
      </w:r>
    </w:p>
    <w:p w14:paraId="7C6ED3F0" w14:textId="77777777" w:rsidR="00651B80" w:rsidRDefault="00651B80" w:rsidP="00A93364">
      <w:pPr>
        <w:pStyle w:val="ListParagraph"/>
        <w:numPr>
          <w:ilvl w:val="0"/>
          <w:numId w:val="25"/>
        </w:numPr>
      </w:pPr>
      <w:r>
        <w:t>F</w:t>
      </w:r>
      <w:r w:rsidRPr="00651B80">
        <w:t>inalised DPP membership, including 9 government representatives, 5 representatives from Aboriginal and Torres Strait Islander organisations, and 5 Aboriginal and Torres Strait Islander experts.</w:t>
      </w:r>
    </w:p>
    <w:p w14:paraId="6654F7CB" w14:textId="77777777" w:rsidR="00651B80" w:rsidRDefault="00651B80" w:rsidP="00A93364">
      <w:pPr>
        <w:pStyle w:val="ListParagraph"/>
        <w:numPr>
          <w:ilvl w:val="0"/>
          <w:numId w:val="25"/>
        </w:numPr>
      </w:pPr>
      <w:r w:rsidRPr="00651B80">
        <w:t>Delivered the DPP Members’ Induction Workshop (16 September 2025).</w:t>
      </w:r>
    </w:p>
    <w:p w14:paraId="39FD764E" w14:textId="77777777" w:rsidR="00651B80" w:rsidRDefault="00651B80" w:rsidP="00A93364">
      <w:pPr>
        <w:pStyle w:val="ListParagraph"/>
        <w:numPr>
          <w:ilvl w:val="0"/>
          <w:numId w:val="25"/>
        </w:numPr>
      </w:pPr>
      <w:r w:rsidRPr="00651B80">
        <w:t>Participated in the Policy Partnership Co</w:t>
      </w:r>
      <w:r w:rsidRPr="00651B80">
        <w:noBreakHyphen/>
        <w:t>Chairs Forum on youth justice to identify cross</w:t>
      </w:r>
      <w:r w:rsidRPr="00651B80">
        <w:noBreakHyphen/>
        <w:t>cutting opportunities for progress on Target 11.</w:t>
      </w:r>
    </w:p>
    <w:p w14:paraId="2E47D5F5" w14:textId="627BF7E2" w:rsidR="007C35F3" w:rsidRPr="007C35F3" w:rsidRDefault="00651B80" w:rsidP="00A93364">
      <w:pPr>
        <w:pStyle w:val="ListParagraph"/>
        <w:numPr>
          <w:ilvl w:val="0"/>
          <w:numId w:val="25"/>
        </w:numPr>
      </w:pPr>
      <w:r w:rsidRPr="00651B80">
        <w:t>Convened an inaugural DPP meeting (16 October 2025)</w:t>
      </w:r>
      <w:r w:rsidR="00FA31F3">
        <w:t>.</w:t>
      </w:r>
    </w:p>
    <w:p w14:paraId="7E6F6A53" w14:textId="2FC91127" w:rsidR="007C35F3" w:rsidRDefault="00BA4108" w:rsidP="007C35F3">
      <w:pPr>
        <w:pStyle w:val="Heading3"/>
      </w:pPr>
      <w:bookmarkStart w:id="13" w:name="_Toc225506035"/>
      <w:r w:rsidRPr="00BA4108">
        <w:lastRenderedPageBreak/>
        <w:t>Mud Crabs - On Country Seafood (OCS) and the Commonwealth Scientific and Industrial Research Organisation (CSIRO)</w:t>
      </w:r>
      <w:bookmarkEnd w:id="13"/>
    </w:p>
    <w:p w14:paraId="134EE4DF" w14:textId="77777777" w:rsidR="007C35F3" w:rsidRDefault="007C35F3" w:rsidP="007C35F3">
      <w:pPr>
        <w:pStyle w:val="Heading4"/>
      </w:pPr>
      <w:r w:rsidRPr="00617C76">
        <w:t>Partnership description</w:t>
      </w:r>
    </w:p>
    <w:p w14:paraId="54AEF615" w14:textId="42C38694" w:rsidR="007C35F3" w:rsidRPr="00837360" w:rsidRDefault="00CC4AA2" w:rsidP="007C35F3">
      <w:r w:rsidRPr="00CC4AA2">
        <w:t>Development of a shelf</w:t>
      </w:r>
      <w:r w:rsidRPr="00CC4AA2">
        <w:noBreakHyphen/>
        <w:t xml:space="preserve">stable and </w:t>
      </w:r>
      <w:proofErr w:type="spellStart"/>
      <w:r w:rsidRPr="00CC4AA2">
        <w:t>biosecure</w:t>
      </w:r>
      <w:proofErr w:type="spellEnd"/>
      <w:r w:rsidRPr="00CC4AA2">
        <w:t xml:space="preserve"> mud crab bait, suitable for recreational and commercial crabbers.</w:t>
      </w:r>
    </w:p>
    <w:p w14:paraId="572370E0" w14:textId="77777777" w:rsidR="007C35F3" w:rsidRDefault="007C35F3" w:rsidP="007C35F3">
      <w:pPr>
        <w:pStyle w:val="Heading4"/>
      </w:pPr>
      <w:r w:rsidRPr="00DF6278">
        <w:t>Aboriginal and Torres Strait Islander parties</w:t>
      </w:r>
    </w:p>
    <w:p w14:paraId="6FB5F958" w14:textId="5ADA11F1" w:rsidR="00CC4AA2" w:rsidRPr="009A75F0" w:rsidRDefault="00CC4AA2" w:rsidP="007C35F3">
      <w:r w:rsidRPr="009A75F0">
        <w:t>On Country Seafood (OCS)</w:t>
      </w:r>
      <w:r w:rsidR="00D426C0">
        <w:t xml:space="preserve"> (endorsing partner)</w:t>
      </w:r>
    </w:p>
    <w:p w14:paraId="05AE14C6" w14:textId="46CE3437" w:rsidR="007C35F3" w:rsidRPr="00837360" w:rsidRDefault="00CC4AA2" w:rsidP="007C35F3">
      <w:r w:rsidRPr="00CC4AA2">
        <w:t>Frank Procter Consulting</w:t>
      </w:r>
    </w:p>
    <w:p w14:paraId="025FA9C7" w14:textId="77777777" w:rsidR="007C35F3" w:rsidRPr="00617C76" w:rsidRDefault="007C35F3" w:rsidP="007C35F3">
      <w:pPr>
        <w:pStyle w:val="Heading4"/>
      </w:pPr>
      <w:r w:rsidRPr="00617C76">
        <w:t>Government parties</w:t>
      </w:r>
    </w:p>
    <w:p w14:paraId="2B00F376" w14:textId="77777777" w:rsidR="007C35F3" w:rsidRDefault="007C35F3" w:rsidP="007C35F3">
      <w:pPr>
        <w:pStyle w:val="Heading5"/>
      </w:pPr>
      <w:r w:rsidRPr="00115C74">
        <w:t xml:space="preserve">COMMONWEALTH PARTIES </w:t>
      </w:r>
    </w:p>
    <w:p w14:paraId="5E88CA3D" w14:textId="1E4B90AE" w:rsidR="007C35F3" w:rsidRPr="009A75F0" w:rsidRDefault="00CC4AA2" w:rsidP="007C35F3">
      <w:r w:rsidRPr="009A75F0">
        <w:t>Commonwealth Scientific and Industrial Research Organisation (CSIRO)</w:t>
      </w:r>
      <w:r w:rsidR="00D426C0">
        <w:t xml:space="preserve"> (endorsing partner)</w:t>
      </w:r>
    </w:p>
    <w:p w14:paraId="40C364DF" w14:textId="77777777" w:rsidR="007C35F3" w:rsidRPr="00115C74" w:rsidRDefault="007C35F3" w:rsidP="007C35F3">
      <w:pPr>
        <w:pStyle w:val="Heading5"/>
      </w:pPr>
      <w:r w:rsidRPr="00115C74">
        <w:t xml:space="preserve">STATE AND TERRITORY PARTIES </w:t>
      </w:r>
    </w:p>
    <w:p w14:paraId="23018945" w14:textId="7EA8E7E3" w:rsidR="007C35F3" w:rsidRPr="00617C76" w:rsidRDefault="00465965" w:rsidP="007C35F3">
      <w:r w:rsidRPr="00465965">
        <w:t>N/A</w:t>
      </w:r>
    </w:p>
    <w:p w14:paraId="0CFBCFC5" w14:textId="77777777" w:rsidR="007C35F3" w:rsidRPr="00617C76" w:rsidRDefault="007C35F3" w:rsidP="007C35F3">
      <w:pPr>
        <w:pStyle w:val="Heading4"/>
      </w:pPr>
      <w:r w:rsidRPr="00617C76">
        <w:t>Priority Reforms and Socio-economic Outcomes</w:t>
      </w:r>
    </w:p>
    <w:p w14:paraId="6A6B5957" w14:textId="77777777" w:rsidR="00465965" w:rsidRDefault="00465965" w:rsidP="00465965">
      <w:r w:rsidRPr="00465965">
        <w:t xml:space="preserve">Priority Reform 1 </w:t>
      </w:r>
    </w:p>
    <w:p w14:paraId="0306EA24" w14:textId="77777777" w:rsidR="00465965" w:rsidRDefault="00465965" w:rsidP="00465965">
      <w:r w:rsidRPr="00465965">
        <w:t xml:space="preserve">Outcome 8 </w:t>
      </w:r>
    </w:p>
    <w:p w14:paraId="2F1326AE" w14:textId="77777777" w:rsidR="00465965" w:rsidRDefault="00465965" w:rsidP="00465965">
      <w:r w:rsidRPr="00465965">
        <w:t xml:space="preserve">Outcome 15 </w:t>
      </w:r>
    </w:p>
    <w:p w14:paraId="335E78C8" w14:textId="3B510AAB" w:rsidR="007C35F3" w:rsidRPr="007C35F3" w:rsidRDefault="00465965" w:rsidP="00465965">
      <w:r w:rsidRPr="00465965">
        <w:t>Outcome 16</w:t>
      </w:r>
    </w:p>
    <w:p w14:paraId="4A4C5DAF" w14:textId="77777777" w:rsidR="007C35F3" w:rsidRPr="00617C76" w:rsidRDefault="007C35F3" w:rsidP="007C35F3">
      <w:pPr>
        <w:pStyle w:val="Heading4"/>
      </w:pPr>
      <w:r w:rsidRPr="00617C76">
        <w:t>Partnership function</w:t>
      </w:r>
    </w:p>
    <w:p w14:paraId="6EB2D1EC" w14:textId="69BE91A9" w:rsidR="007C35F3" w:rsidRPr="00617C76" w:rsidRDefault="00465965" w:rsidP="007C35F3">
      <w:r w:rsidRPr="00465965">
        <w:t>Place</w:t>
      </w:r>
      <w:r w:rsidRPr="00465965">
        <w:noBreakHyphen/>
        <w:t>based</w:t>
      </w:r>
    </w:p>
    <w:p w14:paraId="5D2C3249" w14:textId="77777777" w:rsidR="007C35F3" w:rsidRPr="00617C76" w:rsidRDefault="007C35F3" w:rsidP="007C35F3">
      <w:pPr>
        <w:pStyle w:val="Heading4"/>
      </w:pPr>
      <w:r w:rsidRPr="00617C76">
        <w:t>Partnership timeframe</w:t>
      </w:r>
    </w:p>
    <w:p w14:paraId="0391F590" w14:textId="2797EA4C" w:rsidR="007C35F3" w:rsidRPr="00617C76" w:rsidRDefault="00465965" w:rsidP="007C35F3">
      <w:r w:rsidRPr="00465965">
        <w:t>July 2025 to June 2026</w:t>
      </w:r>
    </w:p>
    <w:p w14:paraId="11863D07" w14:textId="77777777" w:rsidR="007C35F3" w:rsidRPr="00617C76" w:rsidRDefault="007C35F3" w:rsidP="007C35F3">
      <w:pPr>
        <w:pStyle w:val="Heading4"/>
      </w:pPr>
      <w:r w:rsidRPr="00617C76">
        <w:t>Actions taken to strengthen the partnership in 2025</w:t>
      </w:r>
    </w:p>
    <w:p w14:paraId="64BCF785" w14:textId="77777777" w:rsidR="001304F6" w:rsidRDefault="001304F6" w:rsidP="007C35F3">
      <w:r w:rsidRPr="001304F6">
        <w:t xml:space="preserve">Partnerships are accountable and representative. OCS provided the initial project objective, which was underpinned by their deep experience and knowledge of the marine environment. OCS are affiliated with The </w:t>
      </w:r>
      <w:proofErr w:type="spellStart"/>
      <w:r w:rsidRPr="001304F6">
        <w:t>Giangurra</w:t>
      </w:r>
      <w:proofErr w:type="spellEnd"/>
      <w:r w:rsidRPr="001304F6">
        <w:t xml:space="preserve"> Aboriginal Corporation who provide support to the Bessie Point Community (Trinity Bay, Cairns). Traditional Owners are intrinsically involved in all stages of the project’s </w:t>
      </w:r>
      <w:proofErr w:type="gramStart"/>
      <w:r w:rsidRPr="001304F6">
        <w:t>development, and</w:t>
      </w:r>
      <w:proofErr w:type="gramEnd"/>
      <w:r w:rsidRPr="001304F6">
        <w:t xml:space="preserve"> bring a wealth of cultural knowledge of the projects operational area and critical information relating to mud crab (and other species) habits and habitats. </w:t>
      </w:r>
    </w:p>
    <w:p w14:paraId="3855DC57" w14:textId="77777777" w:rsidR="001304F6" w:rsidRDefault="001304F6" w:rsidP="007C35F3">
      <w:r w:rsidRPr="001304F6">
        <w:t xml:space="preserve">This project is led by the perspectives and voices of the Traditional </w:t>
      </w:r>
      <w:proofErr w:type="gramStart"/>
      <w:r w:rsidRPr="001304F6">
        <w:t>Owners</w:t>
      </w:r>
      <w:proofErr w:type="gramEnd"/>
      <w:r w:rsidRPr="001304F6">
        <w:t xml:space="preserve"> and their input is sought at every stage of development. </w:t>
      </w:r>
    </w:p>
    <w:p w14:paraId="0DD95C6B" w14:textId="77777777" w:rsidR="001304F6" w:rsidRDefault="001304F6" w:rsidP="007C35F3">
      <w:r w:rsidRPr="001304F6">
        <w:t xml:space="preserve">The CSIRO developed a strong engagement and communication structure with the project proponents which includes regular communication through phone calls, emails and Teams meetings, and site visits to the Bribie Island facility and the Bessie Point Community. </w:t>
      </w:r>
    </w:p>
    <w:p w14:paraId="65DFF35B" w14:textId="50F2CE18" w:rsidR="007C35F3" w:rsidRPr="00617C76" w:rsidRDefault="001304F6" w:rsidP="007C35F3">
      <w:r w:rsidRPr="001304F6">
        <w:t xml:space="preserve">A formal agreement </w:t>
      </w:r>
      <w:proofErr w:type="gramStart"/>
      <w:r w:rsidRPr="001304F6">
        <w:t>is in place,</w:t>
      </w:r>
      <w:proofErr w:type="gramEnd"/>
      <w:r w:rsidRPr="001304F6">
        <w:t xml:space="preserve"> that is signed by all parties.</w:t>
      </w:r>
    </w:p>
    <w:p w14:paraId="5B87E4A4" w14:textId="77777777" w:rsidR="007C35F3" w:rsidRPr="00617C76" w:rsidRDefault="007C35F3" w:rsidP="007C35F3">
      <w:pPr>
        <w:pStyle w:val="Heading4"/>
      </w:pPr>
      <w:r w:rsidRPr="00617C76">
        <w:lastRenderedPageBreak/>
        <w:t>Strong partnership indicators</w:t>
      </w:r>
    </w:p>
    <w:p w14:paraId="075B47B7" w14:textId="77777777" w:rsidR="007C35F3" w:rsidRPr="00617C76" w:rsidRDefault="007C35F3" w:rsidP="007C35F3">
      <w:pPr>
        <w:pStyle w:val="Heading5"/>
      </w:pPr>
      <w:r w:rsidRPr="00617C76">
        <w:t>Clause 32A:</w:t>
      </w:r>
    </w:p>
    <w:p w14:paraId="53DAECAE" w14:textId="492FC7F9" w:rsidR="007C35F3" w:rsidRDefault="001304F6" w:rsidP="00A93364">
      <w:pPr>
        <w:pStyle w:val="ListParagraph"/>
        <w:numPr>
          <w:ilvl w:val="0"/>
          <w:numId w:val="26"/>
        </w:numPr>
      </w:pPr>
      <w:r w:rsidRPr="001304F6">
        <w:t>Met</w:t>
      </w:r>
    </w:p>
    <w:p w14:paraId="10B6A7B4" w14:textId="452CE488" w:rsidR="007C35F3" w:rsidRDefault="001304F6" w:rsidP="00A93364">
      <w:pPr>
        <w:pStyle w:val="ListParagraph"/>
        <w:numPr>
          <w:ilvl w:val="0"/>
          <w:numId w:val="26"/>
        </w:numPr>
      </w:pPr>
      <w:r w:rsidRPr="001304F6">
        <w:t>Met</w:t>
      </w:r>
    </w:p>
    <w:p w14:paraId="4A4C6BB9" w14:textId="10EB4D1E" w:rsidR="007C35F3" w:rsidRDefault="001304F6" w:rsidP="00A93364">
      <w:pPr>
        <w:pStyle w:val="ListParagraph"/>
        <w:numPr>
          <w:ilvl w:val="0"/>
          <w:numId w:val="26"/>
        </w:numPr>
      </w:pPr>
      <w:r w:rsidRPr="001304F6">
        <w:t>Met</w:t>
      </w:r>
    </w:p>
    <w:p w14:paraId="70CD6F0C" w14:textId="77777777" w:rsidR="007C35F3" w:rsidRPr="00617C76" w:rsidRDefault="007C35F3" w:rsidP="007C35F3">
      <w:pPr>
        <w:pStyle w:val="Heading5"/>
      </w:pPr>
      <w:r w:rsidRPr="00617C76">
        <w:t>Clause 32B:</w:t>
      </w:r>
    </w:p>
    <w:p w14:paraId="142A0D35" w14:textId="525A97B2" w:rsidR="007C35F3" w:rsidRDefault="001304F6" w:rsidP="00A93364">
      <w:pPr>
        <w:pStyle w:val="ListParagraph"/>
        <w:numPr>
          <w:ilvl w:val="0"/>
          <w:numId w:val="27"/>
        </w:numPr>
      </w:pPr>
      <w:r w:rsidRPr="001304F6">
        <w:t>Met</w:t>
      </w:r>
    </w:p>
    <w:p w14:paraId="2C4968D2" w14:textId="32145FE7" w:rsidR="007C35F3" w:rsidRDefault="001304F6" w:rsidP="00A93364">
      <w:pPr>
        <w:pStyle w:val="ListParagraph"/>
        <w:numPr>
          <w:ilvl w:val="0"/>
          <w:numId w:val="27"/>
        </w:numPr>
      </w:pPr>
      <w:r w:rsidRPr="001304F6">
        <w:t>Met</w:t>
      </w:r>
    </w:p>
    <w:p w14:paraId="17470D78" w14:textId="71611B81" w:rsidR="007C35F3" w:rsidRDefault="001304F6" w:rsidP="00A93364">
      <w:pPr>
        <w:pStyle w:val="ListParagraph"/>
        <w:numPr>
          <w:ilvl w:val="0"/>
          <w:numId w:val="27"/>
        </w:numPr>
      </w:pPr>
      <w:r>
        <w:t>Not met</w:t>
      </w:r>
    </w:p>
    <w:p w14:paraId="1BDC6B85" w14:textId="0F71283E" w:rsidR="007C35F3" w:rsidRDefault="001304F6" w:rsidP="00A93364">
      <w:pPr>
        <w:pStyle w:val="ListParagraph"/>
        <w:numPr>
          <w:ilvl w:val="0"/>
          <w:numId w:val="27"/>
        </w:numPr>
      </w:pPr>
      <w:r>
        <w:t>N/A</w:t>
      </w:r>
    </w:p>
    <w:p w14:paraId="72158642" w14:textId="77777777" w:rsidR="007C35F3" w:rsidRPr="00617C76" w:rsidRDefault="007C35F3" w:rsidP="007C35F3">
      <w:pPr>
        <w:pStyle w:val="Heading5"/>
      </w:pPr>
      <w:r w:rsidRPr="00617C76">
        <w:t>Clause 32C:</w:t>
      </w:r>
    </w:p>
    <w:p w14:paraId="3ECC93FA" w14:textId="3B8DAEDB" w:rsidR="007C35F3" w:rsidRDefault="00656EB7" w:rsidP="00A93364">
      <w:pPr>
        <w:pStyle w:val="ListParagraph"/>
        <w:numPr>
          <w:ilvl w:val="0"/>
          <w:numId w:val="28"/>
        </w:numPr>
      </w:pPr>
      <w:r w:rsidRPr="00656EB7">
        <w:t>Met</w:t>
      </w:r>
    </w:p>
    <w:p w14:paraId="4955BD5B" w14:textId="49AD707D" w:rsidR="007C35F3" w:rsidRDefault="00656EB7" w:rsidP="00A93364">
      <w:pPr>
        <w:pStyle w:val="ListParagraph"/>
        <w:numPr>
          <w:ilvl w:val="0"/>
          <w:numId w:val="28"/>
        </w:numPr>
      </w:pPr>
      <w:r w:rsidRPr="00656EB7">
        <w:t>Met</w:t>
      </w:r>
    </w:p>
    <w:p w14:paraId="794E163C" w14:textId="76E97CDC" w:rsidR="007C35F3" w:rsidRDefault="00656EB7" w:rsidP="00A93364">
      <w:pPr>
        <w:pStyle w:val="ListParagraph"/>
        <w:numPr>
          <w:ilvl w:val="0"/>
          <w:numId w:val="28"/>
        </w:numPr>
      </w:pPr>
      <w:r w:rsidRPr="00656EB7">
        <w:t>Met</w:t>
      </w:r>
    </w:p>
    <w:p w14:paraId="43B7F541" w14:textId="1A2551AD" w:rsidR="007C35F3" w:rsidRDefault="00656EB7" w:rsidP="00A93364">
      <w:pPr>
        <w:pStyle w:val="ListParagraph"/>
        <w:numPr>
          <w:ilvl w:val="0"/>
          <w:numId w:val="28"/>
        </w:numPr>
      </w:pPr>
      <w:r>
        <w:t>N/A</w:t>
      </w:r>
    </w:p>
    <w:p w14:paraId="0348A964" w14:textId="09B3928B" w:rsidR="007C35F3" w:rsidRDefault="00656EB7" w:rsidP="00A93364">
      <w:pPr>
        <w:pStyle w:val="ListParagraph"/>
        <w:numPr>
          <w:ilvl w:val="0"/>
          <w:numId w:val="28"/>
        </w:numPr>
      </w:pPr>
      <w:r w:rsidRPr="00656EB7">
        <w:t>Met</w:t>
      </w:r>
    </w:p>
    <w:p w14:paraId="15970E96" w14:textId="65C58680" w:rsidR="007C35F3" w:rsidRDefault="00656EB7" w:rsidP="00A93364">
      <w:pPr>
        <w:pStyle w:val="ListParagraph"/>
        <w:numPr>
          <w:ilvl w:val="0"/>
          <w:numId w:val="28"/>
        </w:numPr>
      </w:pPr>
      <w:r w:rsidRPr="00656EB7">
        <w:t>Met</w:t>
      </w:r>
    </w:p>
    <w:p w14:paraId="5F175F3E" w14:textId="065F7F6D" w:rsidR="007C35F3" w:rsidRDefault="00656EB7" w:rsidP="00A93364">
      <w:pPr>
        <w:pStyle w:val="ListParagraph"/>
        <w:numPr>
          <w:ilvl w:val="0"/>
          <w:numId w:val="28"/>
        </w:numPr>
      </w:pPr>
      <w:r w:rsidRPr="00656EB7">
        <w:t>Met</w:t>
      </w:r>
    </w:p>
    <w:p w14:paraId="1EADBAB2" w14:textId="77777777" w:rsidR="007C35F3" w:rsidRPr="00617C76" w:rsidRDefault="007C35F3" w:rsidP="007C35F3">
      <w:pPr>
        <w:pStyle w:val="Heading5"/>
      </w:pPr>
      <w:r w:rsidRPr="00617C76">
        <w:t>Clause 33:</w:t>
      </w:r>
    </w:p>
    <w:p w14:paraId="09E00B18" w14:textId="39364DCA" w:rsidR="007C35F3" w:rsidRDefault="00656EB7" w:rsidP="007C35F3">
      <w:r w:rsidRPr="00656EB7">
        <w:t>Met</w:t>
      </w:r>
    </w:p>
    <w:p w14:paraId="4E4707E1" w14:textId="0C8F8783" w:rsidR="003E2721" w:rsidRDefault="007C35F3" w:rsidP="00F90163">
      <w:pPr>
        <w:pStyle w:val="Heading4"/>
      </w:pPr>
      <w:r w:rsidRPr="00617C76">
        <w:t>Achievements over 2025</w:t>
      </w:r>
    </w:p>
    <w:p w14:paraId="2CDF0542" w14:textId="56FB0E84" w:rsidR="00656EB7" w:rsidRDefault="00656EB7" w:rsidP="00F90163">
      <w:r w:rsidRPr="00656EB7">
        <w:t>The core idea for this project was developed during discussions by partners during meetings in Cairns, Bribie Island, and Indonesia. Our objective is to co</w:t>
      </w:r>
      <w:r w:rsidRPr="00656EB7">
        <w:noBreakHyphen/>
        <w:t>develop a shelf</w:t>
      </w:r>
      <w:r w:rsidRPr="00656EB7">
        <w:noBreakHyphen/>
        <w:t xml:space="preserve">stable and bio secure mud crab bait, suitable for recreational and commercial crabbers. The achievements listed below contributed to the partnership’s vision for the project: that increased training and employment </w:t>
      </w:r>
      <w:proofErr w:type="gramStart"/>
      <w:r w:rsidRPr="00656EB7">
        <w:t>opportunities</w:t>
      </w:r>
      <w:proofErr w:type="gramEnd"/>
      <w:r w:rsidRPr="00656EB7">
        <w:t xml:space="preserve"> and community benefits are realised for the people of Bessie Point and surrounding Indigenous communities. We have completed: </w:t>
      </w:r>
    </w:p>
    <w:p w14:paraId="00785076" w14:textId="4A978E4D" w:rsidR="00656EB7" w:rsidRDefault="00656EB7" w:rsidP="00A93364">
      <w:pPr>
        <w:pStyle w:val="ListParagraph"/>
        <w:numPr>
          <w:ilvl w:val="0"/>
          <w:numId w:val="29"/>
        </w:numPr>
      </w:pPr>
      <w:r w:rsidRPr="00656EB7">
        <w:t>Co</w:t>
      </w:r>
      <w:r w:rsidRPr="00656EB7">
        <w:noBreakHyphen/>
        <w:t>design of baits and a series of behavioural trials to be conducted during project meeting</w:t>
      </w:r>
      <w:r w:rsidR="00E27261">
        <w:t>s</w:t>
      </w:r>
      <w:r w:rsidRPr="00656EB7">
        <w:t>.</w:t>
      </w:r>
    </w:p>
    <w:p w14:paraId="0D01EE58" w14:textId="77777777" w:rsidR="00656EB7" w:rsidRDefault="00656EB7" w:rsidP="00A93364">
      <w:pPr>
        <w:pStyle w:val="ListParagraph"/>
        <w:numPr>
          <w:ilvl w:val="0"/>
          <w:numId w:val="29"/>
        </w:numPr>
      </w:pPr>
      <w:r w:rsidRPr="00656EB7">
        <w:t>Seawater Trials with Mud Crabs: Conduct attraction testing of selected liquids, natural and artificial chemo attractants (less than 5% of the bait).</w:t>
      </w:r>
    </w:p>
    <w:p w14:paraId="4737D2A3" w14:textId="77777777" w:rsidR="00656EB7" w:rsidRDefault="00656EB7" w:rsidP="00A93364">
      <w:pPr>
        <w:pStyle w:val="ListParagraph"/>
        <w:numPr>
          <w:ilvl w:val="0"/>
          <w:numId w:val="29"/>
        </w:numPr>
      </w:pPr>
      <w:r w:rsidRPr="00656EB7">
        <w:t>Feed Technology Trials (No Crabs): Develop a cost</w:t>
      </w:r>
      <w:r w:rsidRPr="00656EB7">
        <w:noBreakHyphen/>
        <w:t>effective, size</w:t>
      </w:r>
      <w:r w:rsidRPr="00656EB7">
        <w:noBreakHyphen/>
        <w:t>appropriate, shelf</w:t>
      </w:r>
      <w:r w:rsidRPr="00656EB7">
        <w:noBreakHyphen/>
        <w:t>stable, and water</w:t>
      </w:r>
      <w:r w:rsidRPr="00656EB7">
        <w:noBreakHyphen/>
        <w:t>stable feed block (more than 95% of the bait).</w:t>
      </w:r>
    </w:p>
    <w:p w14:paraId="26D44353" w14:textId="77777777" w:rsidR="00656EB7" w:rsidRDefault="00656EB7" w:rsidP="00A93364">
      <w:pPr>
        <w:pStyle w:val="ListParagraph"/>
        <w:numPr>
          <w:ilvl w:val="0"/>
          <w:numId w:val="29"/>
        </w:numPr>
      </w:pPr>
      <w:r w:rsidRPr="00656EB7">
        <w:t>Seawater Trials with Mud Crabs: Conduct attraction testing of feed blocks, selected natural ingredients (more than 95% of the bait).</w:t>
      </w:r>
    </w:p>
    <w:p w14:paraId="51494102" w14:textId="2218A73B" w:rsidR="00F90163" w:rsidRPr="00F90163" w:rsidRDefault="00656EB7" w:rsidP="00A93364">
      <w:pPr>
        <w:pStyle w:val="ListParagraph"/>
        <w:numPr>
          <w:ilvl w:val="0"/>
          <w:numId w:val="29"/>
        </w:numPr>
      </w:pPr>
      <w:r w:rsidRPr="00656EB7">
        <w:t>Bait holder design prototype designed and plastic printed.</w:t>
      </w:r>
    </w:p>
    <w:p w14:paraId="15950CC4" w14:textId="18465F58" w:rsidR="00F90163" w:rsidRDefault="0012055B" w:rsidP="00F90163">
      <w:pPr>
        <w:pStyle w:val="Heading3"/>
      </w:pPr>
      <w:bookmarkStart w:id="14" w:name="_Toc225506036"/>
      <w:proofErr w:type="spellStart"/>
      <w:r w:rsidRPr="0012055B">
        <w:t>Ngiyambandigay</w:t>
      </w:r>
      <w:proofErr w:type="spellEnd"/>
      <w:r w:rsidRPr="0012055B">
        <w:t xml:space="preserve"> </w:t>
      </w:r>
      <w:proofErr w:type="spellStart"/>
      <w:r w:rsidRPr="0012055B">
        <w:t>Wajaarr</w:t>
      </w:r>
      <w:proofErr w:type="spellEnd"/>
      <w:r w:rsidRPr="0012055B">
        <w:t xml:space="preserve"> Aboriginal Corporation (NWAC) capacity development: monitoring Sea Country Indigenous Protected Area (IPA)</w:t>
      </w:r>
      <w:bookmarkEnd w:id="14"/>
    </w:p>
    <w:p w14:paraId="12176A09" w14:textId="77777777" w:rsidR="00F90163" w:rsidRDefault="00F90163" w:rsidP="00F90163">
      <w:pPr>
        <w:pStyle w:val="Heading4"/>
      </w:pPr>
      <w:r w:rsidRPr="00617C76">
        <w:t>Partnership description</w:t>
      </w:r>
    </w:p>
    <w:p w14:paraId="274BA2E7" w14:textId="6ACB73ED" w:rsidR="00F90163" w:rsidRPr="00837360" w:rsidRDefault="0012055B" w:rsidP="00F90163">
      <w:r w:rsidRPr="0012055B">
        <w:t>This co</w:t>
      </w:r>
      <w:r w:rsidRPr="0012055B">
        <w:noBreakHyphen/>
        <w:t xml:space="preserve">design project between NWAC and CSIRO will develop marine monitoring protocols and sampling procedures that will enable NWAC to build a marine observing system within their Indigenous Sea Country Protected Areas (IPA). It will train NWAC sea rangers in marine monitoring processes including planning marine observing, setting up and running marine instruments, and data analysis. The outcome of this project will enable NWAC to maintain this observing system into the future for the </w:t>
      </w:r>
      <w:proofErr w:type="spellStart"/>
      <w:r w:rsidRPr="0012055B">
        <w:t>Gumbaynggirr</w:t>
      </w:r>
      <w:proofErr w:type="spellEnd"/>
      <w:r w:rsidRPr="0012055B">
        <w:t xml:space="preserve"> Nation.</w:t>
      </w:r>
    </w:p>
    <w:p w14:paraId="1BB54446" w14:textId="77777777" w:rsidR="00F90163" w:rsidRDefault="00F90163" w:rsidP="00F90163">
      <w:pPr>
        <w:pStyle w:val="Heading4"/>
      </w:pPr>
      <w:r w:rsidRPr="00DF6278">
        <w:lastRenderedPageBreak/>
        <w:t>Aboriginal and Torres Strait Islander parties</w:t>
      </w:r>
    </w:p>
    <w:p w14:paraId="1408E86E" w14:textId="4F445213" w:rsidR="00F90163" w:rsidRPr="009A75F0" w:rsidRDefault="0012055B" w:rsidP="00F90163">
      <w:proofErr w:type="spellStart"/>
      <w:r w:rsidRPr="009A75F0">
        <w:t>Ngiyambandigay</w:t>
      </w:r>
      <w:proofErr w:type="spellEnd"/>
      <w:r w:rsidRPr="009A75F0">
        <w:t xml:space="preserve"> </w:t>
      </w:r>
      <w:proofErr w:type="spellStart"/>
      <w:r w:rsidRPr="009A75F0">
        <w:t>Wajaarr</w:t>
      </w:r>
      <w:proofErr w:type="spellEnd"/>
      <w:r w:rsidRPr="009A75F0">
        <w:t xml:space="preserve"> Aboriginal Corporation (NWAC)</w:t>
      </w:r>
      <w:r w:rsidR="002117D6">
        <w:t xml:space="preserve"> (endorsing partner)</w:t>
      </w:r>
    </w:p>
    <w:p w14:paraId="34C983E0" w14:textId="77777777" w:rsidR="00F90163" w:rsidRPr="00617C76" w:rsidRDefault="00F90163" w:rsidP="00F90163">
      <w:pPr>
        <w:pStyle w:val="Heading4"/>
      </w:pPr>
      <w:r w:rsidRPr="00617C76">
        <w:t>Government parties</w:t>
      </w:r>
    </w:p>
    <w:p w14:paraId="31D4FFE4" w14:textId="77777777" w:rsidR="00F90163" w:rsidRDefault="00F90163" w:rsidP="00F90163">
      <w:pPr>
        <w:pStyle w:val="Heading5"/>
      </w:pPr>
      <w:r w:rsidRPr="00115C74">
        <w:t xml:space="preserve">COMMONWEALTH PARTIES </w:t>
      </w:r>
    </w:p>
    <w:p w14:paraId="5369ADA9" w14:textId="2274999D" w:rsidR="00F90163" w:rsidRPr="009A75F0" w:rsidRDefault="0012055B" w:rsidP="00F90163">
      <w:r w:rsidRPr="009A75F0">
        <w:t>Commonwealth Scientific and Industrial Research Organisation (CSIRO)</w:t>
      </w:r>
      <w:r w:rsidR="002117D6">
        <w:t xml:space="preserve"> (endorsing partner)</w:t>
      </w:r>
    </w:p>
    <w:p w14:paraId="18381273" w14:textId="77777777" w:rsidR="00F90163" w:rsidRPr="00115C74" w:rsidRDefault="00F90163" w:rsidP="00F90163">
      <w:pPr>
        <w:pStyle w:val="Heading5"/>
      </w:pPr>
      <w:r w:rsidRPr="00115C74">
        <w:t xml:space="preserve">STATE AND TERRITORY PARTIES </w:t>
      </w:r>
    </w:p>
    <w:p w14:paraId="3A288864" w14:textId="109B5603" w:rsidR="00F90163" w:rsidRPr="00617C76" w:rsidRDefault="00F33426" w:rsidP="00F90163">
      <w:r w:rsidRPr="00F33426">
        <w:t>N/A</w:t>
      </w:r>
    </w:p>
    <w:p w14:paraId="40052A29" w14:textId="77777777" w:rsidR="00F90163" w:rsidRPr="00617C76" w:rsidRDefault="00F90163" w:rsidP="00F90163">
      <w:pPr>
        <w:pStyle w:val="Heading4"/>
      </w:pPr>
      <w:r w:rsidRPr="00617C76">
        <w:t>Priority Reforms and Socio-economic Outcomes</w:t>
      </w:r>
    </w:p>
    <w:p w14:paraId="0527F09B" w14:textId="77777777" w:rsidR="00F33426" w:rsidRDefault="00F33426" w:rsidP="00F33426">
      <w:r w:rsidRPr="00F33426">
        <w:t xml:space="preserve">Priority Reform 4 </w:t>
      </w:r>
    </w:p>
    <w:p w14:paraId="64C65BA1" w14:textId="77777777" w:rsidR="00F33426" w:rsidRDefault="00F33426" w:rsidP="00F33426">
      <w:r w:rsidRPr="00F33426">
        <w:t xml:space="preserve">Outcome 15 </w:t>
      </w:r>
    </w:p>
    <w:p w14:paraId="212F4BD3" w14:textId="68461CA9" w:rsidR="00F90163" w:rsidRPr="007C35F3" w:rsidRDefault="00F33426" w:rsidP="00F33426">
      <w:r w:rsidRPr="00F33426">
        <w:t>Outcome 17</w:t>
      </w:r>
    </w:p>
    <w:p w14:paraId="2E7CAAD4" w14:textId="77777777" w:rsidR="00F90163" w:rsidRPr="00617C76" w:rsidRDefault="00F90163" w:rsidP="00F90163">
      <w:pPr>
        <w:pStyle w:val="Heading4"/>
      </w:pPr>
      <w:r w:rsidRPr="00617C76">
        <w:t>Partnership function</w:t>
      </w:r>
    </w:p>
    <w:p w14:paraId="7FB2644C" w14:textId="190707F9" w:rsidR="00F90163" w:rsidRPr="00617C76" w:rsidRDefault="00F33426" w:rsidP="00F90163">
      <w:r w:rsidRPr="00F33426">
        <w:t>Place</w:t>
      </w:r>
      <w:r w:rsidRPr="00F33426">
        <w:noBreakHyphen/>
        <w:t>based</w:t>
      </w:r>
    </w:p>
    <w:p w14:paraId="79BEBD47" w14:textId="77777777" w:rsidR="00F90163" w:rsidRPr="00617C76" w:rsidRDefault="00F90163" w:rsidP="00F90163">
      <w:pPr>
        <w:pStyle w:val="Heading4"/>
      </w:pPr>
      <w:r w:rsidRPr="00617C76">
        <w:t>Partnership timeframe</w:t>
      </w:r>
    </w:p>
    <w:p w14:paraId="25704ECC" w14:textId="40E9C957" w:rsidR="00F90163" w:rsidRPr="00617C76" w:rsidRDefault="00F33426" w:rsidP="00F90163">
      <w:r w:rsidRPr="00F33426">
        <w:t>2025</w:t>
      </w:r>
    </w:p>
    <w:p w14:paraId="608BA147" w14:textId="77777777" w:rsidR="00F90163" w:rsidRPr="00617C76" w:rsidRDefault="00F90163" w:rsidP="00F90163">
      <w:pPr>
        <w:pStyle w:val="Heading4"/>
      </w:pPr>
      <w:r w:rsidRPr="00617C76">
        <w:t>Actions taken to strengthen the partnership in 2025</w:t>
      </w:r>
    </w:p>
    <w:p w14:paraId="67B71155" w14:textId="197D1C36" w:rsidR="00F90163" w:rsidRPr="00617C76" w:rsidRDefault="00E00353" w:rsidP="00F90163">
      <w:r w:rsidRPr="00E00353">
        <w:t>This co</w:t>
      </w:r>
      <w:r w:rsidRPr="00E00353">
        <w:noBreakHyphen/>
        <w:t xml:space="preserve">design project between </w:t>
      </w:r>
      <w:proofErr w:type="spellStart"/>
      <w:r w:rsidRPr="00E00353">
        <w:t>Gumbaynggirr</w:t>
      </w:r>
      <w:proofErr w:type="spellEnd"/>
      <w:r w:rsidRPr="00E00353">
        <w:t xml:space="preserve"> Nation (incorporated within NWAC), and CSIRO Environment and National Collections and Marine Infrastructure Research Units aims to develop marine monitoring protocols and sampling procedures to enable NWAC to build a marine observing system within their Sea Country Indigenous Protected Areas (IPA). The project will train NWAC sea rangers in marine monitoring processes including planning marine observing, setting up and running marine instruments, and data analysis. The project, led by NWAC, will bring together </w:t>
      </w:r>
      <w:proofErr w:type="spellStart"/>
      <w:r w:rsidRPr="00E00353">
        <w:t>Gumbaynggirr</w:t>
      </w:r>
      <w:proofErr w:type="spellEnd"/>
      <w:r w:rsidRPr="00E00353">
        <w:t xml:space="preserve"> Nation lived experience, lived expertise and professional experience, to develop a Sea Country monitoring program for surveying IPA reefs and rocky shores and collection of environmental information. The outcome of this project will enable NWAC to monitor their sea country into the future for the </w:t>
      </w:r>
      <w:proofErr w:type="spellStart"/>
      <w:r w:rsidRPr="00E00353">
        <w:t>Gumbaynggirr</w:t>
      </w:r>
      <w:proofErr w:type="spellEnd"/>
      <w:r w:rsidRPr="00E00353">
        <w:t xml:space="preserve"> Nation</w:t>
      </w:r>
      <w:r>
        <w:t>.</w:t>
      </w:r>
    </w:p>
    <w:p w14:paraId="7520E356" w14:textId="77777777" w:rsidR="00F90163" w:rsidRPr="00617C76" w:rsidRDefault="00F90163" w:rsidP="00F90163">
      <w:pPr>
        <w:pStyle w:val="Heading4"/>
      </w:pPr>
      <w:r w:rsidRPr="00617C76">
        <w:t>Strong partnership indicators</w:t>
      </w:r>
    </w:p>
    <w:p w14:paraId="09BE44F2" w14:textId="77777777" w:rsidR="00F90163" w:rsidRPr="00617C76" w:rsidRDefault="00F90163" w:rsidP="00F90163">
      <w:pPr>
        <w:pStyle w:val="Heading5"/>
      </w:pPr>
      <w:r w:rsidRPr="00617C76">
        <w:t>Clause 32A:</w:t>
      </w:r>
    </w:p>
    <w:p w14:paraId="63679E33" w14:textId="061F441F" w:rsidR="00F90163" w:rsidRDefault="00E00353" w:rsidP="00A93364">
      <w:pPr>
        <w:pStyle w:val="ListParagraph"/>
        <w:numPr>
          <w:ilvl w:val="0"/>
          <w:numId w:val="30"/>
        </w:numPr>
      </w:pPr>
      <w:r w:rsidRPr="00E00353">
        <w:t>Not assessed</w:t>
      </w:r>
    </w:p>
    <w:p w14:paraId="192D03C4" w14:textId="14B7FA3D" w:rsidR="00F90163" w:rsidRDefault="00E00353" w:rsidP="00A93364">
      <w:pPr>
        <w:pStyle w:val="ListParagraph"/>
        <w:numPr>
          <w:ilvl w:val="0"/>
          <w:numId w:val="30"/>
        </w:numPr>
      </w:pPr>
      <w:r w:rsidRPr="00E00353">
        <w:t>Not assessed</w:t>
      </w:r>
    </w:p>
    <w:p w14:paraId="6EF625A1" w14:textId="17FA71EC" w:rsidR="00F90163" w:rsidRDefault="00E00353" w:rsidP="00A93364">
      <w:pPr>
        <w:pStyle w:val="ListParagraph"/>
        <w:numPr>
          <w:ilvl w:val="0"/>
          <w:numId w:val="30"/>
        </w:numPr>
      </w:pPr>
      <w:r w:rsidRPr="00E00353">
        <w:t>Not assessed</w:t>
      </w:r>
    </w:p>
    <w:p w14:paraId="740E90DD" w14:textId="77777777" w:rsidR="00F90163" w:rsidRPr="00617C76" w:rsidRDefault="00F90163" w:rsidP="00F90163">
      <w:pPr>
        <w:pStyle w:val="Heading5"/>
      </w:pPr>
      <w:r w:rsidRPr="00617C76">
        <w:t>Clause 32B:</w:t>
      </w:r>
    </w:p>
    <w:p w14:paraId="6DD86665" w14:textId="0625CF62" w:rsidR="00F90163" w:rsidRDefault="00E00353" w:rsidP="00A93364">
      <w:pPr>
        <w:pStyle w:val="ListParagraph"/>
        <w:numPr>
          <w:ilvl w:val="0"/>
          <w:numId w:val="31"/>
        </w:numPr>
      </w:pPr>
      <w:r w:rsidRPr="00E00353">
        <w:t>Not assessed</w:t>
      </w:r>
    </w:p>
    <w:p w14:paraId="21DD1120" w14:textId="03D601C0" w:rsidR="00F90163" w:rsidRDefault="00E00353" w:rsidP="00A93364">
      <w:pPr>
        <w:pStyle w:val="ListParagraph"/>
        <w:numPr>
          <w:ilvl w:val="0"/>
          <w:numId w:val="31"/>
        </w:numPr>
      </w:pPr>
      <w:r>
        <w:t>Not met</w:t>
      </w:r>
    </w:p>
    <w:p w14:paraId="38E6C9C6" w14:textId="314FA30C" w:rsidR="00F90163" w:rsidRDefault="00E00353" w:rsidP="00A93364">
      <w:pPr>
        <w:pStyle w:val="ListParagraph"/>
        <w:numPr>
          <w:ilvl w:val="0"/>
          <w:numId w:val="31"/>
        </w:numPr>
      </w:pPr>
      <w:r>
        <w:t>Not met</w:t>
      </w:r>
    </w:p>
    <w:p w14:paraId="08D77FE8" w14:textId="2434A597" w:rsidR="00F90163" w:rsidRDefault="00E00353" w:rsidP="00A93364">
      <w:pPr>
        <w:pStyle w:val="ListParagraph"/>
        <w:numPr>
          <w:ilvl w:val="0"/>
          <w:numId w:val="31"/>
        </w:numPr>
      </w:pPr>
      <w:r>
        <w:t>N/A</w:t>
      </w:r>
    </w:p>
    <w:p w14:paraId="4E52ABFD" w14:textId="77777777" w:rsidR="00F90163" w:rsidRPr="00617C76" w:rsidRDefault="00F90163" w:rsidP="00F90163">
      <w:pPr>
        <w:pStyle w:val="Heading5"/>
      </w:pPr>
      <w:r w:rsidRPr="00617C76">
        <w:t>Clause 32C:</w:t>
      </w:r>
    </w:p>
    <w:p w14:paraId="549CF867" w14:textId="07CE764B" w:rsidR="00F90163" w:rsidRDefault="002F1F44" w:rsidP="00A93364">
      <w:pPr>
        <w:pStyle w:val="ListParagraph"/>
        <w:numPr>
          <w:ilvl w:val="0"/>
          <w:numId w:val="32"/>
        </w:numPr>
      </w:pPr>
      <w:r w:rsidRPr="002F1F44">
        <w:t>Met</w:t>
      </w:r>
    </w:p>
    <w:p w14:paraId="24F26C0C" w14:textId="7A266AB2" w:rsidR="00F90163" w:rsidRDefault="002F1F44" w:rsidP="00A93364">
      <w:pPr>
        <w:pStyle w:val="ListParagraph"/>
        <w:numPr>
          <w:ilvl w:val="0"/>
          <w:numId w:val="32"/>
        </w:numPr>
      </w:pPr>
      <w:r w:rsidRPr="002F1F44">
        <w:t>Met</w:t>
      </w:r>
    </w:p>
    <w:p w14:paraId="0327E008" w14:textId="50E57C4D" w:rsidR="00F90163" w:rsidRDefault="002F1F44" w:rsidP="00A93364">
      <w:pPr>
        <w:pStyle w:val="ListParagraph"/>
        <w:numPr>
          <w:ilvl w:val="0"/>
          <w:numId w:val="32"/>
        </w:numPr>
      </w:pPr>
      <w:r w:rsidRPr="002F1F44">
        <w:t>Met</w:t>
      </w:r>
    </w:p>
    <w:p w14:paraId="2BCA33F4" w14:textId="6592B46E" w:rsidR="00F90163" w:rsidRDefault="002F1F44" w:rsidP="00A93364">
      <w:pPr>
        <w:pStyle w:val="ListParagraph"/>
        <w:numPr>
          <w:ilvl w:val="0"/>
          <w:numId w:val="32"/>
        </w:numPr>
      </w:pPr>
      <w:r w:rsidRPr="002F1F44">
        <w:t>Met</w:t>
      </w:r>
    </w:p>
    <w:p w14:paraId="0737CF18" w14:textId="04988527" w:rsidR="00F90163" w:rsidRDefault="002F1F44" w:rsidP="00A93364">
      <w:pPr>
        <w:pStyle w:val="ListParagraph"/>
        <w:numPr>
          <w:ilvl w:val="0"/>
          <w:numId w:val="32"/>
        </w:numPr>
      </w:pPr>
      <w:r w:rsidRPr="002F1F44">
        <w:lastRenderedPageBreak/>
        <w:t>Met</w:t>
      </w:r>
    </w:p>
    <w:p w14:paraId="03107FB9" w14:textId="6321A87C" w:rsidR="00F90163" w:rsidRDefault="002F1F44" w:rsidP="00A93364">
      <w:pPr>
        <w:pStyle w:val="ListParagraph"/>
        <w:numPr>
          <w:ilvl w:val="0"/>
          <w:numId w:val="32"/>
        </w:numPr>
      </w:pPr>
      <w:r w:rsidRPr="002F1F44">
        <w:t>Met</w:t>
      </w:r>
    </w:p>
    <w:p w14:paraId="2B0091EF" w14:textId="3DE2F12C" w:rsidR="00F90163" w:rsidRDefault="002F1F44" w:rsidP="00A93364">
      <w:pPr>
        <w:pStyle w:val="ListParagraph"/>
        <w:numPr>
          <w:ilvl w:val="0"/>
          <w:numId w:val="32"/>
        </w:numPr>
      </w:pPr>
      <w:r w:rsidRPr="002F1F44">
        <w:t>Met</w:t>
      </w:r>
    </w:p>
    <w:p w14:paraId="4FEB3A5E" w14:textId="77777777" w:rsidR="00F90163" w:rsidRPr="00617C76" w:rsidRDefault="00F90163" w:rsidP="00F90163">
      <w:pPr>
        <w:pStyle w:val="Heading5"/>
      </w:pPr>
      <w:r w:rsidRPr="00617C76">
        <w:t>Clause 33:</w:t>
      </w:r>
    </w:p>
    <w:p w14:paraId="0E2B1001" w14:textId="17CB94B1" w:rsidR="00F90163" w:rsidRDefault="002F1F44" w:rsidP="00F90163">
      <w:r w:rsidRPr="002F1F44">
        <w:t>Met</w:t>
      </w:r>
    </w:p>
    <w:p w14:paraId="30433F13" w14:textId="4F96781E" w:rsidR="00F90163" w:rsidRDefault="00F90163" w:rsidP="00F90163">
      <w:pPr>
        <w:pStyle w:val="Heading4"/>
      </w:pPr>
      <w:r w:rsidRPr="00617C76">
        <w:t>Achievements over 2025</w:t>
      </w:r>
    </w:p>
    <w:p w14:paraId="7486F0DE" w14:textId="77777777" w:rsidR="00534C66" w:rsidRDefault="002F1F44" w:rsidP="00F90163">
      <w:r w:rsidRPr="002F1F44">
        <w:t>NWAC and CSIRO staff held a 3</w:t>
      </w:r>
      <w:r w:rsidRPr="002F1F44">
        <w:noBreakHyphen/>
        <w:t xml:space="preserve">day workshop to demonstrate use of and test marine instruments and discuss marine monitoring design principals. Following this NWAC designed a monitoring plan. </w:t>
      </w:r>
    </w:p>
    <w:p w14:paraId="25256795" w14:textId="52752E88" w:rsidR="002F1F44" w:rsidRDefault="002F1F44" w:rsidP="00F90163">
      <w:r w:rsidRPr="002F1F44">
        <w:t xml:space="preserve">The developed project objectives are: </w:t>
      </w:r>
    </w:p>
    <w:p w14:paraId="0E6B1FE9" w14:textId="77777777" w:rsidR="002F1F44" w:rsidRDefault="002F1F44" w:rsidP="00A93364">
      <w:pPr>
        <w:pStyle w:val="ListParagraph"/>
        <w:numPr>
          <w:ilvl w:val="0"/>
          <w:numId w:val="33"/>
        </w:numPr>
      </w:pPr>
      <w:r w:rsidRPr="002F1F44">
        <w:t xml:space="preserve">Incorporate </w:t>
      </w:r>
      <w:proofErr w:type="spellStart"/>
      <w:r w:rsidRPr="002F1F44">
        <w:t>Gumbaynggirr</w:t>
      </w:r>
      <w:proofErr w:type="spellEnd"/>
      <w:r w:rsidRPr="002F1F44">
        <w:t xml:space="preserve"> knowledge and seasonal indicators to guide monitoring activities in line with cultural and ecological rhythms.</w:t>
      </w:r>
    </w:p>
    <w:p w14:paraId="2EC2A79C" w14:textId="77777777" w:rsidR="002F1F44" w:rsidRDefault="002F1F44" w:rsidP="00A93364">
      <w:pPr>
        <w:pStyle w:val="ListParagraph"/>
        <w:numPr>
          <w:ilvl w:val="0"/>
          <w:numId w:val="33"/>
        </w:numPr>
      </w:pPr>
      <w:r w:rsidRPr="002F1F44">
        <w:t xml:space="preserve">Acknowledge </w:t>
      </w:r>
      <w:proofErr w:type="spellStart"/>
      <w:r w:rsidRPr="002F1F44">
        <w:t>Gaagal</w:t>
      </w:r>
      <w:proofErr w:type="spellEnd"/>
      <w:r w:rsidRPr="002F1F44">
        <w:t xml:space="preserve"> as a totem and ensure the project upholds cultural respect and understanding of the ocean’s significance to the </w:t>
      </w:r>
      <w:proofErr w:type="spellStart"/>
      <w:r w:rsidRPr="002F1F44">
        <w:t>Gumbaynggirr</w:t>
      </w:r>
      <w:proofErr w:type="spellEnd"/>
      <w:r w:rsidRPr="002F1F44">
        <w:t xml:space="preserve"> Nation.</w:t>
      </w:r>
    </w:p>
    <w:p w14:paraId="6A42D1B6" w14:textId="77777777" w:rsidR="002F1F44" w:rsidRDefault="002F1F44" w:rsidP="00A93364">
      <w:pPr>
        <w:pStyle w:val="ListParagraph"/>
        <w:numPr>
          <w:ilvl w:val="0"/>
          <w:numId w:val="33"/>
        </w:numPr>
      </w:pPr>
      <w:r w:rsidRPr="002F1F44">
        <w:t>Support cultural and environmental stewardship by fostering collaboration between scientists, community members, and Traditional Owners.</w:t>
      </w:r>
    </w:p>
    <w:p w14:paraId="4ACDF2B9" w14:textId="77777777" w:rsidR="002F1F44" w:rsidRDefault="002F1F44" w:rsidP="00A93364">
      <w:pPr>
        <w:pStyle w:val="ListParagraph"/>
        <w:numPr>
          <w:ilvl w:val="0"/>
          <w:numId w:val="33"/>
        </w:numPr>
      </w:pPr>
      <w:r w:rsidRPr="002F1F44">
        <w:t>Monitor environmental change through regular assessment of water quality and marine conditions across the islands.</w:t>
      </w:r>
    </w:p>
    <w:p w14:paraId="2A71AC3A" w14:textId="77777777" w:rsidR="002F1F44" w:rsidRDefault="002F1F44" w:rsidP="00A93364">
      <w:pPr>
        <w:pStyle w:val="ListParagraph"/>
        <w:numPr>
          <w:ilvl w:val="0"/>
          <w:numId w:val="33"/>
        </w:numPr>
      </w:pPr>
      <w:r w:rsidRPr="002F1F44">
        <w:t xml:space="preserve">Compare eastern and western zones of each island to identify spatial differences in water quality, temperature, and ecological health. </w:t>
      </w:r>
    </w:p>
    <w:p w14:paraId="220B3443" w14:textId="29BF4974" w:rsidR="00F90163" w:rsidRPr="00F90163" w:rsidRDefault="002F1F44" w:rsidP="00A93364">
      <w:pPr>
        <w:pStyle w:val="ListParagraph"/>
        <w:numPr>
          <w:ilvl w:val="0"/>
          <w:numId w:val="33"/>
        </w:numPr>
      </w:pPr>
      <w:r w:rsidRPr="002F1F44">
        <w:t>Provide long</w:t>
      </w:r>
      <w:r w:rsidRPr="002F1F44">
        <w:noBreakHyphen/>
        <w:t>term data to inform conservation management, climate resilience strategies, and sustainable use of the marine park.</w:t>
      </w:r>
    </w:p>
    <w:p w14:paraId="0EB668D2" w14:textId="3E40634A" w:rsidR="00F90163" w:rsidRDefault="00534C66" w:rsidP="00F90163">
      <w:pPr>
        <w:pStyle w:val="Heading3"/>
      </w:pPr>
      <w:bookmarkStart w:id="15" w:name="_Toc225506037"/>
      <w:r w:rsidRPr="00534C66">
        <w:t xml:space="preserve">Salty Greens Partnership between the Commonwealth Scientific and Industrial Research Organisation (CSIRO), Tiwi Resources &amp; </w:t>
      </w:r>
      <w:proofErr w:type="spellStart"/>
      <w:r w:rsidRPr="00534C66">
        <w:t>Portaminni</w:t>
      </w:r>
      <w:proofErr w:type="spellEnd"/>
      <w:r w:rsidRPr="00534C66">
        <w:t xml:space="preserve"> Family Trust regarding integrating halophytes with low-input prawn farming</w:t>
      </w:r>
      <w:bookmarkEnd w:id="15"/>
    </w:p>
    <w:p w14:paraId="06DFFC76" w14:textId="77777777" w:rsidR="00F90163" w:rsidRDefault="00F90163" w:rsidP="00F90163">
      <w:pPr>
        <w:pStyle w:val="Heading4"/>
      </w:pPr>
      <w:r w:rsidRPr="00617C76">
        <w:t>Partnership description</w:t>
      </w:r>
    </w:p>
    <w:p w14:paraId="59E4E8DF" w14:textId="275DE6B7" w:rsidR="00F90163" w:rsidRPr="00837360" w:rsidRDefault="00534C66" w:rsidP="00F90163">
      <w:r w:rsidRPr="00534C66">
        <w:t xml:space="preserve">The partnership builds on five years of collaboration between CSIRO, Tiwi Resources and </w:t>
      </w:r>
      <w:proofErr w:type="spellStart"/>
      <w:r w:rsidRPr="00534C66">
        <w:t>Portaminni</w:t>
      </w:r>
      <w:proofErr w:type="spellEnd"/>
      <w:r w:rsidRPr="00534C66">
        <w:t xml:space="preserve"> Family Trust (</w:t>
      </w:r>
      <w:proofErr w:type="spellStart"/>
      <w:r w:rsidRPr="00534C66">
        <w:t>Wurankuwu</w:t>
      </w:r>
      <w:proofErr w:type="spellEnd"/>
      <w:r w:rsidRPr="00534C66">
        <w:t xml:space="preserve"> clan) on developing viable and culturally suited aquaculture enterprises. It explores the integration of halophytes (salt</w:t>
      </w:r>
      <w:r w:rsidRPr="00534C66">
        <w:noBreakHyphen/>
        <w:t>tolerant plants) with prawn farming to enhance production outcomes and create new economic opportunities for the Tiwi community.</w:t>
      </w:r>
    </w:p>
    <w:p w14:paraId="3DC6A115" w14:textId="77777777" w:rsidR="00F90163" w:rsidRDefault="00F90163" w:rsidP="00F90163">
      <w:pPr>
        <w:pStyle w:val="Heading4"/>
      </w:pPr>
      <w:r w:rsidRPr="00DF6278">
        <w:t>Aboriginal and Torres Strait Islander parties</w:t>
      </w:r>
    </w:p>
    <w:p w14:paraId="3F2B6682" w14:textId="13F7695F" w:rsidR="007B27D3" w:rsidRPr="009A75F0" w:rsidRDefault="007B27D3" w:rsidP="00F90163">
      <w:r w:rsidRPr="009A75F0">
        <w:t>Tiwi Resources</w:t>
      </w:r>
      <w:r w:rsidR="002117D6">
        <w:t xml:space="preserve"> (endorsing partner)</w:t>
      </w:r>
    </w:p>
    <w:p w14:paraId="081E75F4" w14:textId="1D00B4F9" w:rsidR="00F90163" w:rsidRPr="00837360" w:rsidRDefault="007B27D3" w:rsidP="00F90163">
      <w:proofErr w:type="spellStart"/>
      <w:r w:rsidRPr="007B27D3">
        <w:t>Portaminni</w:t>
      </w:r>
      <w:proofErr w:type="spellEnd"/>
      <w:r w:rsidRPr="007B27D3">
        <w:t xml:space="preserve"> Family Trust</w:t>
      </w:r>
    </w:p>
    <w:p w14:paraId="139FC485" w14:textId="77777777" w:rsidR="00F90163" w:rsidRPr="00617C76" w:rsidRDefault="00F90163" w:rsidP="00F90163">
      <w:pPr>
        <w:pStyle w:val="Heading4"/>
      </w:pPr>
      <w:r w:rsidRPr="00617C76">
        <w:t>Government parties</w:t>
      </w:r>
    </w:p>
    <w:p w14:paraId="7342E29A" w14:textId="77777777" w:rsidR="00F90163" w:rsidRDefault="00F90163" w:rsidP="00F90163">
      <w:pPr>
        <w:pStyle w:val="Heading5"/>
      </w:pPr>
      <w:r w:rsidRPr="00115C74">
        <w:t xml:space="preserve">COMMONWEALTH PARTIES </w:t>
      </w:r>
    </w:p>
    <w:p w14:paraId="67FC284D" w14:textId="4C5786EC" w:rsidR="00F90163" w:rsidRPr="009A75F0" w:rsidRDefault="007B27D3" w:rsidP="00F90163">
      <w:r w:rsidRPr="009A75F0">
        <w:t>Commonwealth Scientific and Industrial Research Organisation (CSIRO)</w:t>
      </w:r>
      <w:r w:rsidR="002117D6">
        <w:t xml:space="preserve"> (endorsing partner)</w:t>
      </w:r>
    </w:p>
    <w:p w14:paraId="4FA303A3" w14:textId="77777777" w:rsidR="00F90163" w:rsidRPr="00115C74" w:rsidRDefault="00F90163" w:rsidP="00F90163">
      <w:pPr>
        <w:pStyle w:val="Heading5"/>
      </w:pPr>
      <w:r w:rsidRPr="00115C74">
        <w:t xml:space="preserve">STATE AND TERRITORY PARTIES </w:t>
      </w:r>
    </w:p>
    <w:p w14:paraId="3BCF731C" w14:textId="470675A0" w:rsidR="00F90163" w:rsidRPr="00617C76" w:rsidRDefault="007B27D3" w:rsidP="00F90163">
      <w:r w:rsidRPr="007B27D3">
        <w:t>N/A</w:t>
      </w:r>
    </w:p>
    <w:p w14:paraId="207FCC6B" w14:textId="77777777" w:rsidR="00F90163" w:rsidRPr="00617C76" w:rsidRDefault="00F90163" w:rsidP="00F90163">
      <w:pPr>
        <w:pStyle w:val="Heading4"/>
      </w:pPr>
      <w:r w:rsidRPr="00617C76">
        <w:t>Priority Reforms and Socio-economic Outcomes</w:t>
      </w:r>
    </w:p>
    <w:p w14:paraId="193E5F2D" w14:textId="77777777" w:rsidR="000B51BB" w:rsidRDefault="000B51BB" w:rsidP="007B27D3">
      <w:r w:rsidRPr="000B51BB">
        <w:t xml:space="preserve">Priority Reform 1 </w:t>
      </w:r>
    </w:p>
    <w:p w14:paraId="61D1F724" w14:textId="591517C9" w:rsidR="00F90163" w:rsidRPr="007C35F3" w:rsidRDefault="000B51BB" w:rsidP="007B27D3">
      <w:r w:rsidRPr="000B51BB">
        <w:lastRenderedPageBreak/>
        <w:t>Outcome 8</w:t>
      </w:r>
    </w:p>
    <w:p w14:paraId="4F030ADA" w14:textId="77777777" w:rsidR="00F90163" w:rsidRPr="00617C76" w:rsidRDefault="00F90163" w:rsidP="00F90163">
      <w:pPr>
        <w:pStyle w:val="Heading4"/>
      </w:pPr>
      <w:r w:rsidRPr="00617C76">
        <w:t>Partnership function</w:t>
      </w:r>
    </w:p>
    <w:p w14:paraId="42C420D1" w14:textId="3A10FE4E" w:rsidR="00F90163" w:rsidRPr="00617C76" w:rsidRDefault="000B51BB" w:rsidP="00F90163">
      <w:r w:rsidRPr="000B51BB">
        <w:t>Place</w:t>
      </w:r>
      <w:r w:rsidRPr="000B51BB">
        <w:noBreakHyphen/>
        <w:t>based</w:t>
      </w:r>
    </w:p>
    <w:p w14:paraId="792BC0AC" w14:textId="77777777" w:rsidR="00F90163" w:rsidRPr="00617C76" w:rsidRDefault="00F90163" w:rsidP="00F90163">
      <w:pPr>
        <w:pStyle w:val="Heading4"/>
      </w:pPr>
      <w:r w:rsidRPr="00617C76">
        <w:t>Partnership timeframe</w:t>
      </w:r>
    </w:p>
    <w:p w14:paraId="1E8B8304" w14:textId="70BFB35B" w:rsidR="00F90163" w:rsidRPr="00617C76" w:rsidRDefault="000B51BB" w:rsidP="00F90163">
      <w:r w:rsidRPr="000B51BB">
        <w:t>July 2025 to June 2026</w:t>
      </w:r>
    </w:p>
    <w:p w14:paraId="692E0618" w14:textId="77777777" w:rsidR="00F90163" w:rsidRPr="00617C76" w:rsidRDefault="00F90163" w:rsidP="00F90163">
      <w:pPr>
        <w:pStyle w:val="Heading4"/>
      </w:pPr>
      <w:r w:rsidRPr="00617C76">
        <w:t>Actions taken to strengthen the partnership in 2025</w:t>
      </w:r>
    </w:p>
    <w:p w14:paraId="2C6220CD" w14:textId="77777777" w:rsidR="000B51BB" w:rsidRDefault="000B51BB" w:rsidP="00F90163">
      <w:r w:rsidRPr="000B51BB">
        <w:t xml:space="preserve">During 2025, the Salty Greens partnership has been strengthened through increased Tiwi leadership, and deeper collaboration between Tiwi Resources, the </w:t>
      </w:r>
      <w:proofErr w:type="spellStart"/>
      <w:r w:rsidRPr="000B51BB">
        <w:t>Wurankuwu</w:t>
      </w:r>
      <w:proofErr w:type="spellEnd"/>
      <w:r w:rsidRPr="000B51BB">
        <w:t xml:space="preserve"> clan (</w:t>
      </w:r>
      <w:proofErr w:type="spellStart"/>
      <w:r w:rsidRPr="000B51BB">
        <w:t>Portaminni</w:t>
      </w:r>
      <w:proofErr w:type="spellEnd"/>
      <w:r w:rsidRPr="000B51BB">
        <w:t xml:space="preserve"> Family Trust) and CSIRO. </w:t>
      </w:r>
    </w:p>
    <w:p w14:paraId="1B1BE60F" w14:textId="77777777" w:rsidR="000B51BB" w:rsidRDefault="000B51BB" w:rsidP="00F90163">
      <w:r w:rsidRPr="000B51BB">
        <w:t xml:space="preserve">Tiwi Resources continue to act as the primary governance entity, guiding project priorities, overseeing participation, and ensuring accountability to community structures. Tiwi Resources work alongside CSIRO scientists in planning and implementation—embedding Indigenous leadership and lived experience at every stage. </w:t>
      </w:r>
    </w:p>
    <w:p w14:paraId="238D7248" w14:textId="77777777" w:rsidR="000B51BB" w:rsidRDefault="000B51BB" w:rsidP="00F90163">
      <w:r w:rsidRPr="000B51BB">
        <w:t>Co</w:t>
      </w:r>
      <w:r w:rsidRPr="000B51BB">
        <w:noBreakHyphen/>
        <w:t>design workshops and regular partnership meetings have strengthened transparency, shared decision</w:t>
      </w:r>
      <w:r w:rsidRPr="000B51BB">
        <w:noBreakHyphen/>
        <w:t xml:space="preserve">making, and consensus processes. </w:t>
      </w:r>
    </w:p>
    <w:p w14:paraId="25ACB82A" w14:textId="185582F3" w:rsidR="00F90163" w:rsidRPr="00617C76" w:rsidRDefault="000B51BB" w:rsidP="00F90163">
      <w:r w:rsidRPr="000B51BB">
        <w:t>A formal partnership between CSIRO and Tiwi Resources ensures that the partnership supports Tiwi</w:t>
      </w:r>
      <w:r w:rsidRPr="000B51BB">
        <w:noBreakHyphen/>
        <w:t>led participation in meetings, workshops, training and field activities, building research capability and strengthening internal governance. Overall, the partnership now operates with greater trust, mutual respect, and joint ownership, demonstrating a strong, enduring model for Indigenous</w:t>
      </w:r>
      <w:r w:rsidRPr="000B51BB">
        <w:noBreakHyphen/>
        <w:t>led research collaboration.</w:t>
      </w:r>
    </w:p>
    <w:p w14:paraId="6E21D6E2" w14:textId="77777777" w:rsidR="00F90163" w:rsidRPr="00617C76" w:rsidRDefault="00F90163" w:rsidP="00F90163">
      <w:pPr>
        <w:pStyle w:val="Heading4"/>
      </w:pPr>
      <w:r w:rsidRPr="00617C76">
        <w:t>Strong partnership indicators</w:t>
      </w:r>
    </w:p>
    <w:p w14:paraId="233D7BB6" w14:textId="77777777" w:rsidR="00F90163" w:rsidRPr="00617C76" w:rsidRDefault="00F90163" w:rsidP="00F90163">
      <w:pPr>
        <w:pStyle w:val="Heading5"/>
      </w:pPr>
      <w:r w:rsidRPr="00617C76">
        <w:t>Clause 32A:</w:t>
      </w:r>
    </w:p>
    <w:p w14:paraId="08BFC645" w14:textId="7428B94B" w:rsidR="00F90163" w:rsidRDefault="008048AD" w:rsidP="00A93364">
      <w:pPr>
        <w:pStyle w:val="ListParagraph"/>
        <w:numPr>
          <w:ilvl w:val="0"/>
          <w:numId w:val="34"/>
        </w:numPr>
      </w:pPr>
      <w:r w:rsidRPr="008048AD">
        <w:t>Met</w:t>
      </w:r>
    </w:p>
    <w:p w14:paraId="4025EDAE" w14:textId="51B337A6" w:rsidR="00F90163" w:rsidRDefault="008048AD" w:rsidP="00A93364">
      <w:pPr>
        <w:pStyle w:val="ListParagraph"/>
        <w:numPr>
          <w:ilvl w:val="0"/>
          <w:numId w:val="34"/>
        </w:numPr>
      </w:pPr>
      <w:r>
        <w:t>Not met</w:t>
      </w:r>
    </w:p>
    <w:p w14:paraId="0A1BF0EC" w14:textId="2D629868" w:rsidR="00F90163" w:rsidRDefault="008048AD" w:rsidP="00A93364">
      <w:pPr>
        <w:pStyle w:val="ListParagraph"/>
        <w:numPr>
          <w:ilvl w:val="0"/>
          <w:numId w:val="34"/>
        </w:numPr>
      </w:pPr>
      <w:r w:rsidRPr="008048AD">
        <w:t>Met</w:t>
      </w:r>
    </w:p>
    <w:p w14:paraId="6CF656DD" w14:textId="77777777" w:rsidR="00F90163" w:rsidRPr="00617C76" w:rsidRDefault="00F90163" w:rsidP="00F90163">
      <w:pPr>
        <w:pStyle w:val="Heading5"/>
      </w:pPr>
      <w:r w:rsidRPr="00617C76">
        <w:t>Clause 32B:</w:t>
      </w:r>
    </w:p>
    <w:p w14:paraId="416F40EA" w14:textId="6F78C8E5" w:rsidR="00F90163" w:rsidRDefault="008048AD" w:rsidP="00A93364">
      <w:pPr>
        <w:pStyle w:val="ListParagraph"/>
        <w:numPr>
          <w:ilvl w:val="0"/>
          <w:numId w:val="35"/>
        </w:numPr>
      </w:pPr>
      <w:r w:rsidRPr="008048AD">
        <w:t>Met</w:t>
      </w:r>
    </w:p>
    <w:p w14:paraId="641A28BF" w14:textId="53FAE7F7" w:rsidR="00F90163" w:rsidRDefault="008048AD" w:rsidP="00A93364">
      <w:pPr>
        <w:pStyle w:val="ListParagraph"/>
        <w:numPr>
          <w:ilvl w:val="0"/>
          <w:numId w:val="35"/>
        </w:numPr>
      </w:pPr>
      <w:r w:rsidRPr="008048AD">
        <w:t>Met</w:t>
      </w:r>
    </w:p>
    <w:p w14:paraId="5A9A1C20" w14:textId="2735699A" w:rsidR="00F90163" w:rsidRDefault="008048AD" w:rsidP="00A93364">
      <w:pPr>
        <w:pStyle w:val="ListParagraph"/>
        <w:numPr>
          <w:ilvl w:val="0"/>
          <w:numId w:val="35"/>
        </w:numPr>
      </w:pPr>
      <w:r>
        <w:t>Not met</w:t>
      </w:r>
    </w:p>
    <w:p w14:paraId="6535D150" w14:textId="1111199E" w:rsidR="00F90163" w:rsidRDefault="008048AD" w:rsidP="00A93364">
      <w:pPr>
        <w:pStyle w:val="ListParagraph"/>
        <w:numPr>
          <w:ilvl w:val="0"/>
          <w:numId w:val="35"/>
        </w:numPr>
      </w:pPr>
      <w:r>
        <w:t>N/A</w:t>
      </w:r>
    </w:p>
    <w:p w14:paraId="5CABD429" w14:textId="77777777" w:rsidR="00F90163" w:rsidRPr="00617C76" w:rsidRDefault="00F90163" w:rsidP="00F90163">
      <w:pPr>
        <w:pStyle w:val="Heading5"/>
      </w:pPr>
      <w:r w:rsidRPr="00617C76">
        <w:t>Clause 32C:</w:t>
      </w:r>
    </w:p>
    <w:p w14:paraId="46F70A87" w14:textId="1D2B5A70" w:rsidR="00F90163" w:rsidRDefault="008048AD" w:rsidP="00A93364">
      <w:pPr>
        <w:pStyle w:val="ListParagraph"/>
        <w:numPr>
          <w:ilvl w:val="0"/>
          <w:numId w:val="36"/>
        </w:numPr>
      </w:pPr>
      <w:r w:rsidRPr="008048AD">
        <w:t>Met</w:t>
      </w:r>
    </w:p>
    <w:p w14:paraId="0E5BAA86" w14:textId="7A045E47" w:rsidR="00F90163" w:rsidRDefault="008048AD" w:rsidP="00A93364">
      <w:pPr>
        <w:pStyle w:val="ListParagraph"/>
        <w:numPr>
          <w:ilvl w:val="0"/>
          <w:numId w:val="36"/>
        </w:numPr>
      </w:pPr>
      <w:r w:rsidRPr="008048AD">
        <w:t>Met</w:t>
      </w:r>
    </w:p>
    <w:p w14:paraId="6DA9831C" w14:textId="36444EC7" w:rsidR="00F90163" w:rsidRDefault="008048AD" w:rsidP="00A93364">
      <w:pPr>
        <w:pStyle w:val="ListParagraph"/>
        <w:numPr>
          <w:ilvl w:val="0"/>
          <w:numId w:val="36"/>
        </w:numPr>
      </w:pPr>
      <w:r w:rsidRPr="008048AD">
        <w:t>Met</w:t>
      </w:r>
    </w:p>
    <w:p w14:paraId="1B17BE5D" w14:textId="32EC5AB3" w:rsidR="00F90163" w:rsidRDefault="008048AD" w:rsidP="00A93364">
      <w:pPr>
        <w:pStyle w:val="ListParagraph"/>
        <w:numPr>
          <w:ilvl w:val="0"/>
          <w:numId w:val="36"/>
        </w:numPr>
      </w:pPr>
      <w:r w:rsidRPr="008048AD">
        <w:t>Met</w:t>
      </w:r>
    </w:p>
    <w:p w14:paraId="78EEAC8E" w14:textId="3928A5FE" w:rsidR="00F90163" w:rsidRDefault="008048AD" w:rsidP="00A93364">
      <w:pPr>
        <w:pStyle w:val="ListParagraph"/>
        <w:numPr>
          <w:ilvl w:val="0"/>
          <w:numId w:val="36"/>
        </w:numPr>
      </w:pPr>
      <w:r w:rsidRPr="008048AD">
        <w:t>Met</w:t>
      </w:r>
    </w:p>
    <w:p w14:paraId="775EBB51" w14:textId="5FB95FBD" w:rsidR="00F90163" w:rsidRDefault="008048AD" w:rsidP="00A93364">
      <w:pPr>
        <w:pStyle w:val="ListParagraph"/>
        <w:numPr>
          <w:ilvl w:val="0"/>
          <w:numId w:val="36"/>
        </w:numPr>
      </w:pPr>
      <w:r w:rsidRPr="008048AD">
        <w:t>Met</w:t>
      </w:r>
    </w:p>
    <w:p w14:paraId="08451CD2" w14:textId="3D8979FF" w:rsidR="00F90163" w:rsidRDefault="008048AD" w:rsidP="00A93364">
      <w:pPr>
        <w:pStyle w:val="ListParagraph"/>
        <w:numPr>
          <w:ilvl w:val="0"/>
          <w:numId w:val="36"/>
        </w:numPr>
      </w:pPr>
      <w:r w:rsidRPr="008048AD">
        <w:t>Met</w:t>
      </w:r>
    </w:p>
    <w:p w14:paraId="5E6F6AA5" w14:textId="77777777" w:rsidR="00F90163" w:rsidRPr="00617C76" w:rsidRDefault="00F90163" w:rsidP="00F90163">
      <w:pPr>
        <w:pStyle w:val="Heading5"/>
      </w:pPr>
      <w:r w:rsidRPr="00617C76">
        <w:t>Clause 33:</w:t>
      </w:r>
    </w:p>
    <w:p w14:paraId="735B2B48" w14:textId="0967BC05" w:rsidR="00F90163" w:rsidRDefault="008048AD" w:rsidP="00F90163">
      <w:r w:rsidRPr="008048AD">
        <w:t>Met</w:t>
      </w:r>
    </w:p>
    <w:p w14:paraId="70960599" w14:textId="77C1F857" w:rsidR="00F90163" w:rsidRDefault="00F90163" w:rsidP="00F90163">
      <w:pPr>
        <w:pStyle w:val="Heading4"/>
      </w:pPr>
      <w:r w:rsidRPr="00617C76">
        <w:t>Achievements over 2025</w:t>
      </w:r>
    </w:p>
    <w:p w14:paraId="30B69D33" w14:textId="77777777" w:rsidR="00F87406" w:rsidRDefault="00F87406" w:rsidP="00F90163">
      <w:r w:rsidRPr="00F87406">
        <w:t>A core focus of the project is co</w:t>
      </w:r>
      <w:r w:rsidRPr="00F87406">
        <w:noBreakHyphen/>
        <w:t>developing and testing approaches to integrate halophytes (salt</w:t>
      </w:r>
      <w:r w:rsidRPr="00F87406">
        <w:noBreakHyphen/>
        <w:t>tolerant plants) with prawn farming to enhance the cultural and economic viability of low</w:t>
      </w:r>
      <w:r w:rsidRPr="00F87406">
        <w:noBreakHyphen/>
        <w:t xml:space="preserve">input aquaculture systems. </w:t>
      </w:r>
    </w:p>
    <w:p w14:paraId="79D0016D" w14:textId="77777777" w:rsidR="00F87406" w:rsidRDefault="00F87406" w:rsidP="00F90163">
      <w:r w:rsidRPr="00F87406">
        <w:lastRenderedPageBreak/>
        <w:t xml:space="preserve">During 2025, the Salty Greens partnership undertook the following activities: </w:t>
      </w:r>
    </w:p>
    <w:p w14:paraId="3048F1F3" w14:textId="77777777" w:rsidR="00F87406" w:rsidRDefault="00F87406" w:rsidP="00A93364">
      <w:pPr>
        <w:pStyle w:val="ListParagraph"/>
        <w:numPr>
          <w:ilvl w:val="0"/>
          <w:numId w:val="37"/>
        </w:numPr>
      </w:pPr>
      <w:r w:rsidRPr="00F87406">
        <w:t xml:space="preserve">Indigenous leadership: Tiwi leadership in aquaculture research was strengthened, with Tiwi Resources and the </w:t>
      </w:r>
      <w:proofErr w:type="spellStart"/>
      <w:r w:rsidRPr="00F87406">
        <w:t>Wurankuwu</w:t>
      </w:r>
      <w:proofErr w:type="spellEnd"/>
      <w:r w:rsidRPr="00F87406">
        <w:t xml:space="preserve"> clan jointly shaping project priorities, fieldwork, and evaluation. </w:t>
      </w:r>
    </w:p>
    <w:p w14:paraId="7C1DF730" w14:textId="77777777" w:rsidR="00F87406" w:rsidRDefault="00F87406" w:rsidP="00A93364">
      <w:pPr>
        <w:pStyle w:val="ListParagraph"/>
        <w:numPr>
          <w:ilvl w:val="0"/>
          <w:numId w:val="37"/>
        </w:numPr>
      </w:pPr>
      <w:r w:rsidRPr="00F87406">
        <w:t>Co</w:t>
      </w:r>
      <w:r w:rsidRPr="00F87406">
        <w:noBreakHyphen/>
        <w:t>design workshops: Partners met for a two</w:t>
      </w:r>
      <w:r w:rsidRPr="00F87406">
        <w:noBreakHyphen/>
        <w:t>day planning workshop to refine research questions, experimental design, and activity sequencing. This collaborative process ensured Tiwi cultural values, traditional ecological knowledge, and community priorities guided all aspects of the work.</w:t>
      </w:r>
    </w:p>
    <w:p w14:paraId="4C1D3020" w14:textId="77777777" w:rsidR="00F87406" w:rsidRDefault="00F87406" w:rsidP="00A93364">
      <w:pPr>
        <w:pStyle w:val="ListParagraph"/>
        <w:numPr>
          <w:ilvl w:val="0"/>
          <w:numId w:val="37"/>
        </w:numPr>
      </w:pPr>
      <w:r w:rsidRPr="00F87406">
        <w:t>Hands</w:t>
      </w:r>
      <w:r w:rsidRPr="00F87406">
        <w:noBreakHyphen/>
        <w:t xml:space="preserve">on training: A representative from the </w:t>
      </w:r>
      <w:proofErr w:type="spellStart"/>
      <w:r w:rsidRPr="00F87406">
        <w:t>Wurankuwu</w:t>
      </w:r>
      <w:proofErr w:type="spellEnd"/>
      <w:r w:rsidRPr="00F87406">
        <w:t xml:space="preserve"> clan completed a week of fieldwork and halophyte propagation trials at CSIRO Darwin, developing skills in data collection, plant husbandry, and aquatic systems management.</w:t>
      </w:r>
    </w:p>
    <w:p w14:paraId="12AE874B" w14:textId="5D6378C6" w:rsidR="00F90163" w:rsidRPr="00F90163" w:rsidRDefault="00F87406" w:rsidP="00A93364">
      <w:pPr>
        <w:pStyle w:val="ListParagraph"/>
        <w:numPr>
          <w:ilvl w:val="0"/>
          <w:numId w:val="37"/>
        </w:numPr>
      </w:pPr>
      <w:r w:rsidRPr="00F87406">
        <w:t>Ongoing collaboration: Regular fortnightly meetings kept all partners informed of project progress and upcoming activities, supporting transparency, shared decision</w:t>
      </w:r>
      <w:r w:rsidRPr="00F87406">
        <w:noBreakHyphen/>
        <w:t>making, and joint ownership of outcomes.</w:t>
      </w:r>
    </w:p>
    <w:p w14:paraId="53B76325" w14:textId="0D563750" w:rsidR="00F90163" w:rsidRDefault="00AC795F" w:rsidP="00F90163">
      <w:pPr>
        <w:pStyle w:val="Heading3"/>
      </w:pPr>
      <w:bookmarkStart w:id="16" w:name="_Toc225506038"/>
      <w:r w:rsidRPr="00AC795F">
        <w:t xml:space="preserve">DJAARA, the Dja </w:t>
      </w:r>
      <w:proofErr w:type="spellStart"/>
      <w:r w:rsidRPr="00AC795F">
        <w:t>Dja</w:t>
      </w:r>
      <w:proofErr w:type="spellEnd"/>
      <w:r w:rsidRPr="00AC795F">
        <w:t xml:space="preserve"> Wurrung Clans Aboriginal Corporation, and Commonwealth Environmental Water Holder (CEWH) partnership agreement – First Nations leadership in environmental watering on </w:t>
      </w:r>
      <w:proofErr w:type="spellStart"/>
      <w:r w:rsidRPr="00AC795F">
        <w:t>Djandak</w:t>
      </w:r>
      <w:proofErr w:type="spellEnd"/>
      <w:r w:rsidRPr="00AC795F">
        <w:t xml:space="preserve"> (Dja </w:t>
      </w:r>
      <w:proofErr w:type="spellStart"/>
      <w:r w:rsidRPr="00AC795F">
        <w:t>Dja</w:t>
      </w:r>
      <w:proofErr w:type="spellEnd"/>
      <w:r w:rsidRPr="00AC795F">
        <w:t xml:space="preserve"> Wurrung Country)</w:t>
      </w:r>
      <w:bookmarkEnd w:id="16"/>
    </w:p>
    <w:p w14:paraId="3D635FA7" w14:textId="77777777" w:rsidR="00F90163" w:rsidRDefault="00F90163" w:rsidP="00F90163">
      <w:pPr>
        <w:pStyle w:val="Heading4"/>
      </w:pPr>
      <w:r w:rsidRPr="00617C76">
        <w:t>Partnership description</w:t>
      </w:r>
    </w:p>
    <w:p w14:paraId="28596203" w14:textId="654BDB69" w:rsidR="00F90163" w:rsidRPr="00837360" w:rsidRDefault="00EA2711" w:rsidP="00F90163">
      <w:r w:rsidRPr="00EA2711">
        <w:t xml:space="preserve">Through its enterprise DJANDAK, the Dja </w:t>
      </w:r>
      <w:proofErr w:type="spellStart"/>
      <w:r w:rsidRPr="00EA2711">
        <w:t>Dja</w:t>
      </w:r>
      <w:proofErr w:type="spellEnd"/>
      <w:r w:rsidRPr="00EA2711">
        <w:t xml:space="preserve"> Wurrung Clans Aboriginal Corporation (DJAARA) will provide Indigenous leadership to plan and deliver water for the environment on several Central Victorian rivers including the Campaspe, Loddon and </w:t>
      </w:r>
      <w:proofErr w:type="spellStart"/>
      <w:r w:rsidRPr="00EA2711">
        <w:t>Coliban</w:t>
      </w:r>
      <w:proofErr w:type="spellEnd"/>
      <w:r w:rsidRPr="00EA2711">
        <w:t xml:space="preserve"> rivers, as part of the 3</w:t>
      </w:r>
      <w:r w:rsidRPr="00EA2711">
        <w:noBreakHyphen/>
        <w:t xml:space="preserve">year partnership agreement which commenced in June 2025. DJAARA represents Dja </w:t>
      </w:r>
      <w:proofErr w:type="spellStart"/>
      <w:r w:rsidRPr="00EA2711">
        <w:t>Dja</w:t>
      </w:r>
      <w:proofErr w:type="spellEnd"/>
      <w:r w:rsidRPr="00EA2711">
        <w:t xml:space="preserve"> Wurrung People.</w:t>
      </w:r>
    </w:p>
    <w:p w14:paraId="0811C67D" w14:textId="77777777" w:rsidR="00F90163" w:rsidRDefault="00F90163" w:rsidP="00F90163">
      <w:pPr>
        <w:pStyle w:val="Heading4"/>
      </w:pPr>
      <w:r w:rsidRPr="00DF6278">
        <w:t>Aboriginal and Torres Strait Islander parties</w:t>
      </w:r>
    </w:p>
    <w:p w14:paraId="2CF86222" w14:textId="7338441E" w:rsidR="00F90163" w:rsidRPr="009A75F0" w:rsidRDefault="00EA2711" w:rsidP="00EA2711">
      <w:r w:rsidRPr="009A75F0">
        <w:t xml:space="preserve">DJANDAK, an enterprise of DJAARA, the Dja </w:t>
      </w:r>
      <w:proofErr w:type="spellStart"/>
      <w:r w:rsidRPr="009A75F0">
        <w:t>Dja</w:t>
      </w:r>
      <w:proofErr w:type="spellEnd"/>
      <w:r w:rsidRPr="009A75F0">
        <w:t xml:space="preserve"> Wurrung Clans Aboriginal Corporation</w:t>
      </w:r>
      <w:r w:rsidR="00FF1311">
        <w:t xml:space="preserve"> (endorsing partner)</w:t>
      </w:r>
    </w:p>
    <w:p w14:paraId="4FD97915" w14:textId="77777777" w:rsidR="00F90163" w:rsidRPr="00617C76" w:rsidRDefault="00F90163" w:rsidP="00F90163">
      <w:pPr>
        <w:pStyle w:val="Heading4"/>
      </w:pPr>
      <w:r w:rsidRPr="00617C76">
        <w:t>Government parties</w:t>
      </w:r>
    </w:p>
    <w:p w14:paraId="65070673" w14:textId="77777777" w:rsidR="00F90163" w:rsidRDefault="00F90163" w:rsidP="00F90163">
      <w:pPr>
        <w:pStyle w:val="Heading5"/>
      </w:pPr>
      <w:r w:rsidRPr="00115C74">
        <w:t xml:space="preserve">COMMONWEALTH PARTIES </w:t>
      </w:r>
    </w:p>
    <w:p w14:paraId="598F523A" w14:textId="76E943D9" w:rsidR="00F90163" w:rsidRPr="009A75F0" w:rsidRDefault="0084130D" w:rsidP="00F90163">
      <w:r w:rsidRPr="009A75F0">
        <w:t>Commonwealth Environmental Water Holder (CEWH),</w:t>
      </w:r>
      <w:r w:rsidRPr="00FF1311">
        <w:t xml:space="preserve"> </w:t>
      </w:r>
      <w:r w:rsidRPr="009A75F0">
        <w:t>Department of Climate Change, Energy, the Environment and Water (DCCEEW)</w:t>
      </w:r>
      <w:r w:rsidR="00FF1311">
        <w:t xml:space="preserve"> (endorsing partner)</w:t>
      </w:r>
    </w:p>
    <w:p w14:paraId="6A525CD9" w14:textId="77777777" w:rsidR="00F90163" w:rsidRPr="00115C74" w:rsidRDefault="00F90163" w:rsidP="00F90163">
      <w:pPr>
        <w:pStyle w:val="Heading5"/>
      </w:pPr>
      <w:r w:rsidRPr="00115C74">
        <w:t xml:space="preserve">STATE AND TERRITORY PARTIES </w:t>
      </w:r>
    </w:p>
    <w:p w14:paraId="74C0F29B" w14:textId="129565EA" w:rsidR="00F90163" w:rsidRPr="00617C76" w:rsidRDefault="0053721C" w:rsidP="00F90163">
      <w:r w:rsidRPr="0053721C">
        <w:t>N/A</w:t>
      </w:r>
    </w:p>
    <w:p w14:paraId="2928153A" w14:textId="77777777" w:rsidR="00F90163" w:rsidRPr="00617C76" w:rsidRDefault="00F90163" w:rsidP="00F90163">
      <w:pPr>
        <w:pStyle w:val="Heading4"/>
      </w:pPr>
      <w:r w:rsidRPr="00617C76">
        <w:t>Priority Reforms and Socio-economic Outcomes</w:t>
      </w:r>
    </w:p>
    <w:p w14:paraId="3C00A8BD" w14:textId="77777777" w:rsidR="0053721C" w:rsidRDefault="0053721C" w:rsidP="0053721C">
      <w:r w:rsidRPr="0053721C">
        <w:t xml:space="preserve">Priority Reform 1 </w:t>
      </w:r>
    </w:p>
    <w:p w14:paraId="039C6188" w14:textId="77777777" w:rsidR="0053721C" w:rsidRDefault="0053721C" w:rsidP="0053721C">
      <w:r w:rsidRPr="0053721C">
        <w:t xml:space="preserve">Priority Reform 2 </w:t>
      </w:r>
    </w:p>
    <w:p w14:paraId="09B53273" w14:textId="77777777" w:rsidR="0053721C" w:rsidRDefault="0053721C" w:rsidP="0053721C">
      <w:r w:rsidRPr="0053721C">
        <w:t xml:space="preserve">Priority Reform 3 </w:t>
      </w:r>
    </w:p>
    <w:p w14:paraId="182D44E8" w14:textId="77777777" w:rsidR="0053721C" w:rsidRDefault="0053721C" w:rsidP="0053721C">
      <w:r w:rsidRPr="0053721C">
        <w:t xml:space="preserve">Priority Reform 4 </w:t>
      </w:r>
    </w:p>
    <w:p w14:paraId="2B7E3FD1" w14:textId="77777777" w:rsidR="0053721C" w:rsidRDefault="0053721C" w:rsidP="0053721C">
      <w:r w:rsidRPr="0053721C">
        <w:t xml:space="preserve">Outcome 7 </w:t>
      </w:r>
    </w:p>
    <w:p w14:paraId="60F17CB3" w14:textId="77777777" w:rsidR="0053721C" w:rsidRDefault="0053721C" w:rsidP="0053721C">
      <w:r w:rsidRPr="0053721C">
        <w:t xml:space="preserve">Outcome 8 </w:t>
      </w:r>
    </w:p>
    <w:p w14:paraId="01C321B9" w14:textId="2562F8DA" w:rsidR="00F90163" w:rsidRPr="007C35F3" w:rsidRDefault="0053721C" w:rsidP="0053721C">
      <w:r w:rsidRPr="0053721C">
        <w:t>Outcome 15</w:t>
      </w:r>
    </w:p>
    <w:p w14:paraId="35F16CE8" w14:textId="77777777" w:rsidR="00F90163" w:rsidRPr="00617C76" w:rsidRDefault="00F90163" w:rsidP="00F90163">
      <w:pPr>
        <w:pStyle w:val="Heading4"/>
      </w:pPr>
      <w:r w:rsidRPr="00617C76">
        <w:t>Partnership function</w:t>
      </w:r>
    </w:p>
    <w:p w14:paraId="09EBCAB1" w14:textId="75CE791A" w:rsidR="00F90163" w:rsidRPr="00617C76" w:rsidRDefault="0053721C" w:rsidP="00F90163">
      <w:r w:rsidRPr="0053721C">
        <w:t>Place</w:t>
      </w:r>
      <w:r w:rsidRPr="0053721C">
        <w:noBreakHyphen/>
        <w:t>based</w:t>
      </w:r>
    </w:p>
    <w:p w14:paraId="35CB9A94" w14:textId="77777777" w:rsidR="00F90163" w:rsidRPr="00617C76" w:rsidRDefault="00F90163" w:rsidP="00F90163">
      <w:pPr>
        <w:pStyle w:val="Heading4"/>
      </w:pPr>
      <w:r w:rsidRPr="00617C76">
        <w:lastRenderedPageBreak/>
        <w:t>Partnership timeframe</w:t>
      </w:r>
    </w:p>
    <w:p w14:paraId="5EF5F508" w14:textId="529EEB0A" w:rsidR="00F90163" w:rsidRPr="00617C76" w:rsidRDefault="00B1522F" w:rsidP="00F90163">
      <w:r w:rsidRPr="00B1522F">
        <w:t>June 2025 to June 2028</w:t>
      </w:r>
    </w:p>
    <w:p w14:paraId="1CC628DF" w14:textId="77777777" w:rsidR="00F90163" w:rsidRPr="00617C76" w:rsidRDefault="00F90163" w:rsidP="00F90163">
      <w:pPr>
        <w:pStyle w:val="Heading4"/>
      </w:pPr>
      <w:r w:rsidRPr="00617C76">
        <w:t>Actions taken to strengthen the partnership in 2025</w:t>
      </w:r>
    </w:p>
    <w:p w14:paraId="791ABB3D" w14:textId="6C89E5FE" w:rsidR="00F90163" w:rsidRPr="00617C76" w:rsidRDefault="00B1522F" w:rsidP="00F90163">
      <w:r w:rsidRPr="00B1522F">
        <w:t>DJANDAK and the CEWH took time to build a relationship, meeting regularly to discuss goals and priorities. The relationship was strengthened by a formalised partnership agreement in June 2025, which supported goals and priorities determined by DJANDAK that align with and support the work of the CEWH.</w:t>
      </w:r>
    </w:p>
    <w:p w14:paraId="118E1743" w14:textId="77777777" w:rsidR="00F90163" w:rsidRPr="00617C76" w:rsidRDefault="00F90163" w:rsidP="00F90163">
      <w:pPr>
        <w:pStyle w:val="Heading4"/>
      </w:pPr>
      <w:r w:rsidRPr="00617C76">
        <w:t>Strong partnership indicators</w:t>
      </w:r>
    </w:p>
    <w:p w14:paraId="131F21CF" w14:textId="77777777" w:rsidR="00F90163" w:rsidRPr="00617C76" w:rsidRDefault="00F90163" w:rsidP="00F90163">
      <w:pPr>
        <w:pStyle w:val="Heading5"/>
      </w:pPr>
      <w:r w:rsidRPr="00617C76">
        <w:t>Clause 32A:</w:t>
      </w:r>
    </w:p>
    <w:p w14:paraId="2C60CC14" w14:textId="76DB54F4" w:rsidR="00F90163" w:rsidRDefault="00B1522F" w:rsidP="00A93364">
      <w:pPr>
        <w:pStyle w:val="ListParagraph"/>
        <w:numPr>
          <w:ilvl w:val="0"/>
          <w:numId w:val="38"/>
        </w:numPr>
      </w:pPr>
      <w:r w:rsidRPr="00B1522F">
        <w:t>Met</w:t>
      </w:r>
    </w:p>
    <w:p w14:paraId="1881F8DB" w14:textId="39468468" w:rsidR="00F90163" w:rsidRDefault="00B1522F" w:rsidP="00A93364">
      <w:pPr>
        <w:pStyle w:val="ListParagraph"/>
        <w:numPr>
          <w:ilvl w:val="0"/>
          <w:numId w:val="38"/>
        </w:numPr>
      </w:pPr>
      <w:r w:rsidRPr="00B1522F">
        <w:t>Met</w:t>
      </w:r>
    </w:p>
    <w:p w14:paraId="4D349803" w14:textId="0C8DA712" w:rsidR="00F90163" w:rsidRDefault="00B1522F" w:rsidP="00A93364">
      <w:pPr>
        <w:pStyle w:val="ListParagraph"/>
        <w:numPr>
          <w:ilvl w:val="0"/>
          <w:numId w:val="38"/>
        </w:numPr>
      </w:pPr>
      <w:r w:rsidRPr="00B1522F">
        <w:t>Met</w:t>
      </w:r>
    </w:p>
    <w:p w14:paraId="75B89C9A" w14:textId="77777777" w:rsidR="00F90163" w:rsidRPr="00617C76" w:rsidRDefault="00F90163" w:rsidP="00F90163">
      <w:pPr>
        <w:pStyle w:val="Heading5"/>
      </w:pPr>
      <w:r w:rsidRPr="00617C76">
        <w:t>Clause 32B:</w:t>
      </w:r>
    </w:p>
    <w:p w14:paraId="465CC744" w14:textId="044DCA1F" w:rsidR="00F90163" w:rsidRDefault="00B1522F" w:rsidP="00A93364">
      <w:pPr>
        <w:pStyle w:val="ListParagraph"/>
        <w:numPr>
          <w:ilvl w:val="0"/>
          <w:numId w:val="39"/>
        </w:numPr>
      </w:pPr>
      <w:r w:rsidRPr="00B1522F">
        <w:t>Met</w:t>
      </w:r>
    </w:p>
    <w:p w14:paraId="70555756" w14:textId="6177C722" w:rsidR="00F90163" w:rsidRDefault="00B1522F" w:rsidP="00A93364">
      <w:pPr>
        <w:pStyle w:val="ListParagraph"/>
        <w:numPr>
          <w:ilvl w:val="0"/>
          <w:numId w:val="39"/>
        </w:numPr>
      </w:pPr>
      <w:r w:rsidRPr="00B1522F">
        <w:t>Met</w:t>
      </w:r>
    </w:p>
    <w:p w14:paraId="15048411" w14:textId="186B748B" w:rsidR="00F90163" w:rsidRDefault="00B1522F" w:rsidP="00A93364">
      <w:pPr>
        <w:pStyle w:val="ListParagraph"/>
        <w:numPr>
          <w:ilvl w:val="0"/>
          <w:numId w:val="39"/>
        </w:numPr>
      </w:pPr>
      <w:r>
        <w:t>Not met</w:t>
      </w:r>
    </w:p>
    <w:p w14:paraId="694B4389" w14:textId="1B21C8FB" w:rsidR="00F90163" w:rsidRDefault="00B1522F" w:rsidP="00A93364">
      <w:pPr>
        <w:pStyle w:val="ListParagraph"/>
        <w:numPr>
          <w:ilvl w:val="0"/>
          <w:numId w:val="39"/>
        </w:numPr>
      </w:pPr>
      <w:r>
        <w:t>N/A</w:t>
      </w:r>
    </w:p>
    <w:p w14:paraId="076AC3ED" w14:textId="77777777" w:rsidR="00F90163" w:rsidRPr="00617C76" w:rsidRDefault="00F90163" w:rsidP="00F90163">
      <w:pPr>
        <w:pStyle w:val="Heading5"/>
      </w:pPr>
      <w:r w:rsidRPr="00617C76">
        <w:t>Clause 32C:</w:t>
      </w:r>
    </w:p>
    <w:p w14:paraId="25EB16D1" w14:textId="6782EB91" w:rsidR="00F90163" w:rsidRDefault="00A22A08" w:rsidP="00A93364">
      <w:pPr>
        <w:pStyle w:val="ListParagraph"/>
        <w:numPr>
          <w:ilvl w:val="0"/>
          <w:numId w:val="40"/>
        </w:numPr>
      </w:pPr>
      <w:r w:rsidRPr="00A22A08">
        <w:t>Met</w:t>
      </w:r>
    </w:p>
    <w:p w14:paraId="46D720D9" w14:textId="645F3AE1" w:rsidR="00F90163" w:rsidRDefault="00A22A08" w:rsidP="00A93364">
      <w:pPr>
        <w:pStyle w:val="ListParagraph"/>
        <w:numPr>
          <w:ilvl w:val="0"/>
          <w:numId w:val="40"/>
        </w:numPr>
      </w:pPr>
      <w:r w:rsidRPr="00A22A08">
        <w:t>Met</w:t>
      </w:r>
    </w:p>
    <w:p w14:paraId="46140544" w14:textId="0C1603E5" w:rsidR="00F90163" w:rsidRDefault="00A22A08" w:rsidP="00A93364">
      <w:pPr>
        <w:pStyle w:val="ListParagraph"/>
        <w:numPr>
          <w:ilvl w:val="0"/>
          <w:numId w:val="40"/>
        </w:numPr>
      </w:pPr>
      <w:r w:rsidRPr="00A22A08">
        <w:t>Met</w:t>
      </w:r>
    </w:p>
    <w:p w14:paraId="091AD2C7" w14:textId="04A9F0F8" w:rsidR="00F90163" w:rsidRDefault="00A22A08" w:rsidP="00A93364">
      <w:pPr>
        <w:pStyle w:val="ListParagraph"/>
        <w:numPr>
          <w:ilvl w:val="0"/>
          <w:numId w:val="40"/>
        </w:numPr>
      </w:pPr>
      <w:r w:rsidRPr="00A22A08">
        <w:t>Met</w:t>
      </w:r>
    </w:p>
    <w:p w14:paraId="6514E44C" w14:textId="381AAC11" w:rsidR="00F90163" w:rsidRDefault="00A22A08" w:rsidP="00A93364">
      <w:pPr>
        <w:pStyle w:val="ListParagraph"/>
        <w:numPr>
          <w:ilvl w:val="0"/>
          <w:numId w:val="40"/>
        </w:numPr>
      </w:pPr>
      <w:r w:rsidRPr="00A22A08">
        <w:t>Met</w:t>
      </w:r>
    </w:p>
    <w:p w14:paraId="6D8726CD" w14:textId="65F67AD5" w:rsidR="00F90163" w:rsidRDefault="00A22A08" w:rsidP="00A93364">
      <w:pPr>
        <w:pStyle w:val="ListParagraph"/>
        <w:numPr>
          <w:ilvl w:val="0"/>
          <w:numId w:val="40"/>
        </w:numPr>
      </w:pPr>
      <w:r w:rsidRPr="00A22A08">
        <w:t>Met</w:t>
      </w:r>
    </w:p>
    <w:p w14:paraId="74E87597" w14:textId="3AC59BD3" w:rsidR="00F90163" w:rsidRDefault="00A22A08" w:rsidP="00A93364">
      <w:pPr>
        <w:pStyle w:val="ListParagraph"/>
        <w:numPr>
          <w:ilvl w:val="0"/>
          <w:numId w:val="40"/>
        </w:numPr>
      </w:pPr>
      <w:r w:rsidRPr="00A22A08">
        <w:t>Met</w:t>
      </w:r>
    </w:p>
    <w:p w14:paraId="14F40A15" w14:textId="77777777" w:rsidR="00F90163" w:rsidRPr="00617C76" w:rsidRDefault="00F90163" w:rsidP="00F90163">
      <w:pPr>
        <w:pStyle w:val="Heading5"/>
      </w:pPr>
      <w:r w:rsidRPr="00617C76">
        <w:t>Clause 33:</w:t>
      </w:r>
    </w:p>
    <w:p w14:paraId="71339494" w14:textId="3A9D59B3" w:rsidR="00F90163" w:rsidRDefault="00A22A08" w:rsidP="00F90163">
      <w:r w:rsidRPr="00A22A08">
        <w:t>Met</w:t>
      </w:r>
    </w:p>
    <w:p w14:paraId="0ECCC70D" w14:textId="39FDA4E6" w:rsidR="00F90163" w:rsidRDefault="00F90163" w:rsidP="00F90163">
      <w:pPr>
        <w:pStyle w:val="Heading4"/>
      </w:pPr>
      <w:r w:rsidRPr="00617C76">
        <w:t>Achievements over 2025</w:t>
      </w:r>
    </w:p>
    <w:p w14:paraId="06B62F45" w14:textId="77777777" w:rsidR="00A22A08" w:rsidRDefault="00A22A08" w:rsidP="00F90163">
      <w:r w:rsidRPr="00A22A08">
        <w:t xml:space="preserve">Activities and deliverables for this period included: </w:t>
      </w:r>
    </w:p>
    <w:p w14:paraId="561DE500" w14:textId="77777777" w:rsidR="00A22A08" w:rsidRDefault="00A22A08" w:rsidP="00A93364">
      <w:pPr>
        <w:pStyle w:val="ListParagraph"/>
        <w:numPr>
          <w:ilvl w:val="0"/>
          <w:numId w:val="41"/>
        </w:numPr>
      </w:pPr>
      <w:r w:rsidRPr="00A22A08">
        <w:t>Development and signing of contract arrangements for the partnership agreement – completed June 2025.</w:t>
      </w:r>
    </w:p>
    <w:p w14:paraId="3F261D2B" w14:textId="42D3E5A6" w:rsidR="00A22A08" w:rsidRDefault="00A22A08" w:rsidP="00A93364">
      <w:pPr>
        <w:pStyle w:val="ListParagraph"/>
        <w:numPr>
          <w:ilvl w:val="0"/>
          <w:numId w:val="41"/>
        </w:numPr>
      </w:pPr>
      <w:r w:rsidRPr="00A22A08">
        <w:t xml:space="preserve">Inception meeting held early August 2025. </w:t>
      </w:r>
    </w:p>
    <w:p w14:paraId="1D608232" w14:textId="77777777" w:rsidR="00A22A08" w:rsidRDefault="00A22A08" w:rsidP="00A93364">
      <w:pPr>
        <w:pStyle w:val="ListParagraph"/>
        <w:numPr>
          <w:ilvl w:val="0"/>
          <w:numId w:val="41"/>
        </w:numPr>
      </w:pPr>
      <w:r w:rsidRPr="00A22A08">
        <w:t>Establishment of the Environmental Water Working Group as a subgroup to an existing multi</w:t>
      </w:r>
      <w:r w:rsidRPr="00A22A08">
        <w:noBreakHyphen/>
        <w:t xml:space="preserve">agency working group under the </w:t>
      </w:r>
      <w:proofErr w:type="spellStart"/>
      <w:r w:rsidRPr="00A22A08">
        <w:t>Dhelkunyangu</w:t>
      </w:r>
      <w:proofErr w:type="spellEnd"/>
      <w:r w:rsidRPr="00A22A08">
        <w:t xml:space="preserve"> </w:t>
      </w:r>
      <w:proofErr w:type="spellStart"/>
      <w:r w:rsidRPr="00A22A08">
        <w:t>Gatjin</w:t>
      </w:r>
      <w:proofErr w:type="spellEnd"/>
      <w:r w:rsidRPr="00A22A08">
        <w:t xml:space="preserve"> (Working Together to Heal Water) DJAARA </w:t>
      </w:r>
      <w:proofErr w:type="spellStart"/>
      <w:r w:rsidRPr="00A22A08">
        <w:t>Gatjin</w:t>
      </w:r>
      <w:proofErr w:type="spellEnd"/>
      <w:r w:rsidRPr="00A22A08">
        <w:t xml:space="preserve"> Strategy (2023). The Environmental Water Working Group met in September 2025 and worked on finalising their Terms of Reference. </w:t>
      </w:r>
    </w:p>
    <w:p w14:paraId="7E0932A5" w14:textId="77777777" w:rsidR="00A22A08" w:rsidRDefault="00A22A08" w:rsidP="00A93364">
      <w:pPr>
        <w:pStyle w:val="ListParagraph"/>
        <w:numPr>
          <w:ilvl w:val="0"/>
          <w:numId w:val="41"/>
        </w:numPr>
      </w:pPr>
      <w:r w:rsidRPr="00A22A08">
        <w:t>DJANDAK has engaged a DJANDAK Environmental Water Officer (DEWO). The position description was finalised and job advertised in August 2025. The DEWO position was filled in October 2025 and a workplan or the DEWO will be completed as a next step.</w:t>
      </w:r>
    </w:p>
    <w:p w14:paraId="6189233C" w14:textId="77777777" w:rsidR="00A22A08" w:rsidRDefault="00A22A08" w:rsidP="00A93364">
      <w:pPr>
        <w:pStyle w:val="ListParagraph"/>
        <w:numPr>
          <w:ilvl w:val="0"/>
          <w:numId w:val="41"/>
        </w:numPr>
      </w:pPr>
      <w:r w:rsidRPr="00A22A08">
        <w:t xml:space="preserve">Planning for development of a DJAARA Environmental Water Plan (DEWP) led by DJANDAK with the CEWH and Victorian partner and delivery agencies. </w:t>
      </w:r>
    </w:p>
    <w:p w14:paraId="28219EA4" w14:textId="53E05E29" w:rsidR="00F90163" w:rsidRPr="00F90163" w:rsidRDefault="00A22A08" w:rsidP="00A93364">
      <w:pPr>
        <w:pStyle w:val="ListParagraph"/>
        <w:numPr>
          <w:ilvl w:val="0"/>
          <w:numId w:val="41"/>
        </w:numPr>
      </w:pPr>
      <w:r w:rsidRPr="00A22A08">
        <w:lastRenderedPageBreak/>
        <w:t>Planning for DJANDAK</w:t>
      </w:r>
      <w:r w:rsidRPr="00A22A08">
        <w:noBreakHyphen/>
        <w:t xml:space="preserve">led cultural values identification and cultural mapping on </w:t>
      </w:r>
      <w:proofErr w:type="spellStart"/>
      <w:r w:rsidRPr="00A22A08">
        <w:t>Djandak</w:t>
      </w:r>
      <w:proofErr w:type="spellEnd"/>
      <w:r w:rsidRPr="00A22A08">
        <w:t xml:space="preserve"> (Dja </w:t>
      </w:r>
      <w:proofErr w:type="spellStart"/>
      <w:r w:rsidRPr="00A22A08">
        <w:t>Dja</w:t>
      </w:r>
      <w:proofErr w:type="spellEnd"/>
      <w:r w:rsidRPr="00A22A08">
        <w:t xml:space="preserve"> Wurrung Country) in areas where the Australian Government can deliver environmental water, including developing a values identification and cultural mapping implementation plan.</w:t>
      </w:r>
    </w:p>
    <w:p w14:paraId="1BA52768" w14:textId="28B42F87" w:rsidR="00F90163" w:rsidRDefault="00B11347" w:rsidP="00F90163">
      <w:pPr>
        <w:pStyle w:val="Heading3"/>
      </w:pPr>
      <w:bookmarkStart w:id="17" w:name="_Toc225506039"/>
      <w:r w:rsidRPr="00B11347">
        <w:t xml:space="preserve">Partnership Agreement between the </w:t>
      </w:r>
      <w:proofErr w:type="spellStart"/>
      <w:r w:rsidRPr="00B11347">
        <w:t>Burnanga</w:t>
      </w:r>
      <w:proofErr w:type="spellEnd"/>
      <w:r w:rsidRPr="00B11347">
        <w:t xml:space="preserve"> Indigenous Fishing Club (</w:t>
      </w:r>
      <w:proofErr w:type="spellStart"/>
      <w:r w:rsidRPr="00B11347">
        <w:t>Burnanga</w:t>
      </w:r>
      <w:proofErr w:type="spellEnd"/>
      <w:r w:rsidRPr="00B11347">
        <w:t xml:space="preserve">) and the Commonwealth Environmental Water Holder (CEWH) in relation to monitoring outcomes of environmental water delivery on Yorta </w:t>
      </w:r>
      <w:proofErr w:type="spellStart"/>
      <w:r w:rsidRPr="00B11347">
        <w:t>Yorta</w:t>
      </w:r>
      <w:proofErr w:type="spellEnd"/>
      <w:r w:rsidRPr="00B11347">
        <w:t xml:space="preserve"> Country, and knowledge sharing to identify cultural outcomes that can inform environmental water planning and future monitoring programs</w:t>
      </w:r>
      <w:bookmarkEnd w:id="17"/>
    </w:p>
    <w:p w14:paraId="29E583FE" w14:textId="77777777" w:rsidR="00F90163" w:rsidRDefault="00F90163" w:rsidP="00F90163">
      <w:pPr>
        <w:pStyle w:val="Heading4"/>
      </w:pPr>
      <w:r w:rsidRPr="00617C76">
        <w:t>Partnership description</w:t>
      </w:r>
    </w:p>
    <w:p w14:paraId="2825983B" w14:textId="77777777" w:rsidR="002E570E" w:rsidRDefault="002E570E" w:rsidP="00F90163">
      <w:r w:rsidRPr="002E570E">
        <w:t xml:space="preserve">The purpose of the partnership is to: </w:t>
      </w:r>
    </w:p>
    <w:p w14:paraId="31819944" w14:textId="74D6FCDB" w:rsidR="002E570E" w:rsidRDefault="002E570E" w:rsidP="00A93364">
      <w:pPr>
        <w:pStyle w:val="ListParagraph"/>
        <w:numPr>
          <w:ilvl w:val="0"/>
          <w:numId w:val="42"/>
        </w:numPr>
      </w:pPr>
      <w:r w:rsidRPr="002E570E">
        <w:t>Co</w:t>
      </w:r>
      <w:r w:rsidRPr="002E570E">
        <w:noBreakHyphen/>
        <w:t xml:space="preserve">develop a Seasonal Cultural Monitoring framework and monitoring participation plan identifying links between Yorta </w:t>
      </w:r>
      <w:proofErr w:type="spellStart"/>
      <w:r w:rsidRPr="002E570E">
        <w:t>Yorta</w:t>
      </w:r>
      <w:proofErr w:type="spellEnd"/>
      <w:r w:rsidRPr="002E570E">
        <w:t xml:space="preserve"> values to environmental water delivery and monitoring. </w:t>
      </w:r>
    </w:p>
    <w:p w14:paraId="7472E010" w14:textId="77777777" w:rsidR="002E570E" w:rsidRDefault="002E570E" w:rsidP="00A93364">
      <w:pPr>
        <w:pStyle w:val="ListParagraph"/>
        <w:numPr>
          <w:ilvl w:val="0"/>
          <w:numId w:val="42"/>
        </w:numPr>
      </w:pPr>
      <w:r w:rsidRPr="002E570E">
        <w:t xml:space="preserve">Undertake cultural monitoring on Country, leading seasonally informed cultural monitoring of environmental water deliveries and responses/outcomes across key sites. </w:t>
      </w:r>
    </w:p>
    <w:p w14:paraId="65057E7D" w14:textId="0971F93A" w:rsidR="00F90163" w:rsidRPr="00837360" w:rsidRDefault="002E570E" w:rsidP="00A93364">
      <w:pPr>
        <w:pStyle w:val="ListParagraph"/>
        <w:numPr>
          <w:ilvl w:val="0"/>
          <w:numId w:val="42"/>
        </w:numPr>
      </w:pPr>
      <w:r w:rsidRPr="002E570E">
        <w:t xml:space="preserve">Deliver a Voices of Country festival on Yorta </w:t>
      </w:r>
      <w:proofErr w:type="spellStart"/>
      <w:r w:rsidRPr="002E570E">
        <w:t>Yorta</w:t>
      </w:r>
      <w:proofErr w:type="spellEnd"/>
      <w:r w:rsidRPr="002E570E">
        <w:t xml:space="preserve"> Country, with a focus on how environmental water can benefit First Nations and Traditional Owners cultural values.</w:t>
      </w:r>
    </w:p>
    <w:p w14:paraId="1ED26BBC" w14:textId="77777777" w:rsidR="00F90163" w:rsidRDefault="00F90163" w:rsidP="00F90163">
      <w:pPr>
        <w:pStyle w:val="Heading4"/>
      </w:pPr>
      <w:r w:rsidRPr="00DF6278">
        <w:t>Aboriginal and Torres Strait Islander parties</w:t>
      </w:r>
    </w:p>
    <w:p w14:paraId="097BDB79" w14:textId="103AC25E" w:rsidR="00F90163" w:rsidRPr="009A75F0" w:rsidRDefault="002E570E" w:rsidP="00F90163">
      <w:proofErr w:type="spellStart"/>
      <w:r w:rsidRPr="009A75F0">
        <w:t>Burnanga</w:t>
      </w:r>
      <w:proofErr w:type="spellEnd"/>
      <w:r w:rsidRPr="009A75F0">
        <w:t xml:space="preserve"> Indigenous Fishing Club (</w:t>
      </w:r>
      <w:proofErr w:type="spellStart"/>
      <w:r w:rsidRPr="009A75F0">
        <w:t>Burnanga</w:t>
      </w:r>
      <w:proofErr w:type="spellEnd"/>
      <w:r w:rsidRPr="009A75F0">
        <w:t>)</w:t>
      </w:r>
      <w:r w:rsidR="00FF1311">
        <w:t xml:space="preserve"> (endorsing partner)</w:t>
      </w:r>
    </w:p>
    <w:p w14:paraId="6F9F7211" w14:textId="77777777" w:rsidR="00F90163" w:rsidRPr="00617C76" w:rsidRDefault="00F90163" w:rsidP="00F90163">
      <w:pPr>
        <w:pStyle w:val="Heading4"/>
      </w:pPr>
      <w:r w:rsidRPr="00617C76">
        <w:t>Government parties</w:t>
      </w:r>
    </w:p>
    <w:p w14:paraId="52E7F075" w14:textId="77777777" w:rsidR="00F90163" w:rsidRDefault="00F90163" w:rsidP="00F90163">
      <w:pPr>
        <w:pStyle w:val="Heading5"/>
      </w:pPr>
      <w:r w:rsidRPr="00115C74">
        <w:t xml:space="preserve">COMMONWEALTH PARTIES </w:t>
      </w:r>
    </w:p>
    <w:p w14:paraId="2700A321" w14:textId="79319AE5" w:rsidR="00F90163" w:rsidRPr="009A75F0" w:rsidRDefault="001A29F4" w:rsidP="00F90163">
      <w:r w:rsidRPr="009A75F0">
        <w:t>Commonwealth Environmental Water Holder (CEWH), Department of Climate Change, Energy, the Environment and Water (DCCEEW)</w:t>
      </w:r>
      <w:r w:rsidR="00023E48">
        <w:t xml:space="preserve"> (endorsing partner)</w:t>
      </w:r>
    </w:p>
    <w:p w14:paraId="5E7EEEAC" w14:textId="77777777" w:rsidR="00F90163" w:rsidRPr="00115C74" w:rsidRDefault="00F90163" w:rsidP="00F90163">
      <w:pPr>
        <w:pStyle w:val="Heading5"/>
      </w:pPr>
      <w:r w:rsidRPr="00115C74">
        <w:t xml:space="preserve">STATE AND TERRITORY PARTIES </w:t>
      </w:r>
    </w:p>
    <w:p w14:paraId="4697137A" w14:textId="0652C2E8" w:rsidR="00F90163" w:rsidRPr="00617C76" w:rsidRDefault="001A29F4" w:rsidP="00F90163">
      <w:r w:rsidRPr="001A29F4">
        <w:t>N/A</w:t>
      </w:r>
    </w:p>
    <w:p w14:paraId="2CD304BD" w14:textId="77777777" w:rsidR="00F90163" w:rsidRPr="00617C76" w:rsidRDefault="00F90163" w:rsidP="00F90163">
      <w:pPr>
        <w:pStyle w:val="Heading4"/>
      </w:pPr>
      <w:r w:rsidRPr="00617C76">
        <w:t>Priority Reforms and Socio-economic Outcomes</w:t>
      </w:r>
    </w:p>
    <w:p w14:paraId="3AFB5F09" w14:textId="77777777" w:rsidR="00730FB0" w:rsidRDefault="00730FB0" w:rsidP="00730FB0">
      <w:r w:rsidRPr="00730FB0">
        <w:t xml:space="preserve">Priority Reform 1 </w:t>
      </w:r>
    </w:p>
    <w:p w14:paraId="500FC48F" w14:textId="77777777" w:rsidR="00730FB0" w:rsidRDefault="00730FB0" w:rsidP="00730FB0">
      <w:r w:rsidRPr="00730FB0">
        <w:t xml:space="preserve">Priority Reform 2 </w:t>
      </w:r>
    </w:p>
    <w:p w14:paraId="4AA515E3" w14:textId="77777777" w:rsidR="00730FB0" w:rsidRDefault="00730FB0" w:rsidP="00730FB0">
      <w:r w:rsidRPr="00730FB0">
        <w:t xml:space="preserve">Priority Reform 3 </w:t>
      </w:r>
    </w:p>
    <w:p w14:paraId="1A6A9FE5" w14:textId="77777777" w:rsidR="00730FB0" w:rsidRDefault="00730FB0" w:rsidP="00730FB0">
      <w:r w:rsidRPr="00730FB0">
        <w:t xml:space="preserve">Priority Reform 4 </w:t>
      </w:r>
    </w:p>
    <w:p w14:paraId="0CD59252" w14:textId="77777777" w:rsidR="00730FB0" w:rsidRDefault="00730FB0" w:rsidP="00730FB0">
      <w:r w:rsidRPr="00730FB0">
        <w:t>Outcome 7</w:t>
      </w:r>
    </w:p>
    <w:p w14:paraId="1BD54345" w14:textId="77777777" w:rsidR="00730FB0" w:rsidRDefault="00730FB0" w:rsidP="00730FB0">
      <w:r w:rsidRPr="00730FB0">
        <w:t xml:space="preserve">Outcome 8 </w:t>
      </w:r>
    </w:p>
    <w:p w14:paraId="3669A333" w14:textId="58D91A5D" w:rsidR="00F90163" w:rsidRPr="007C35F3" w:rsidRDefault="00730FB0" w:rsidP="00730FB0">
      <w:r w:rsidRPr="00730FB0">
        <w:t>Outcome 15</w:t>
      </w:r>
    </w:p>
    <w:p w14:paraId="0DA69B85" w14:textId="77777777" w:rsidR="00F90163" w:rsidRPr="00617C76" w:rsidRDefault="00F90163" w:rsidP="00F90163">
      <w:pPr>
        <w:pStyle w:val="Heading4"/>
      </w:pPr>
      <w:r w:rsidRPr="00617C76">
        <w:t>Partnership function</w:t>
      </w:r>
    </w:p>
    <w:p w14:paraId="4BA8F570" w14:textId="5B8E138C" w:rsidR="00F90163" w:rsidRPr="00617C76" w:rsidRDefault="00B21EFD" w:rsidP="00F90163">
      <w:r w:rsidRPr="00B21EFD">
        <w:t>Place</w:t>
      </w:r>
      <w:r w:rsidRPr="00B21EFD">
        <w:noBreakHyphen/>
        <w:t>based</w:t>
      </w:r>
    </w:p>
    <w:p w14:paraId="2BDCA567" w14:textId="77777777" w:rsidR="00F90163" w:rsidRPr="00617C76" w:rsidRDefault="00F90163" w:rsidP="00F90163">
      <w:pPr>
        <w:pStyle w:val="Heading4"/>
      </w:pPr>
      <w:r w:rsidRPr="00617C76">
        <w:t>Partnership timeframe</w:t>
      </w:r>
    </w:p>
    <w:p w14:paraId="4AC2207B" w14:textId="4EE24BD9" w:rsidR="00F90163" w:rsidRPr="00617C76" w:rsidRDefault="00B21EFD" w:rsidP="00F90163">
      <w:r w:rsidRPr="00B21EFD">
        <w:t>8 September 2025 to 30 May 2027</w:t>
      </w:r>
    </w:p>
    <w:p w14:paraId="1464F424" w14:textId="77777777" w:rsidR="00F90163" w:rsidRPr="00617C76" w:rsidRDefault="00F90163" w:rsidP="00F90163">
      <w:pPr>
        <w:pStyle w:val="Heading4"/>
      </w:pPr>
      <w:r w:rsidRPr="00617C76">
        <w:lastRenderedPageBreak/>
        <w:t>Actions taken to strengthen the partnership in 2025</w:t>
      </w:r>
    </w:p>
    <w:p w14:paraId="7FF6BA4D" w14:textId="697B274C" w:rsidR="00F90163" w:rsidRPr="00617C76" w:rsidRDefault="003C0B9F" w:rsidP="00F90163">
      <w:r w:rsidRPr="003C0B9F">
        <w:t xml:space="preserve">Building on an existing relationship over 2 years, the relationship was strengthened by formalising a partnership agreement in September 2025. This Agreement supported goals and priorities as determined by </w:t>
      </w:r>
      <w:proofErr w:type="spellStart"/>
      <w:r w:rsidRPr="003C0B9F">
        <w:t>Burnanga</w:t>
      </w:r>
      <w:proofErr w:type="spellEnd"/>
      <w:r w:rsidRPr="003C0B9F">
        <w:t xml:space="preserve"> that align with and support the work of the CEWH.</w:t>
      </w:r>
    </w:p>
    <w:p w14:paraId="37562923" w14:textId="77777777" w:rsidR="00F90163" w:rsidRPr="00617C76" w:rsidRDefault="00F90163" w:rsidP="00F90163">
      <w:pPr>
        <w:pStyle w:val="Heading4"/>
      </w:pPr>
      <w:r w:rsidRPr="00617C76">
        <w:t>Strong partnership indicators</w:t>
      </w:r>
    </w:p>
    <w:p w14:paraId="7F7505A4" w14:textId="77777777" w:rsidR="00F90163" w:rsidRPr="00617C76" w:rsidRDefault="00F90163" w:rsidP="00F90163">
      <w:pPr>
        <w:pStyle w:val="Heading5"/>
      </w:pPr>
      <w:r w:rsidRPr="00617C76">
        <w:t>Clause 32A:</w:t>
      </w:r>
    </w:p>
    <w:p w14:paraId="4766744A" w14:textId="31ACB6E4" w:rsidR="00F90163" w:rsidRDefault="003C0B9F" w:rsidP="0097401A">
      <w:pPr>
        <w:pStyle w:val="ListParagraph"/>
        <w:numPr>
          <w:ilvl w:val="0"/>
          <w:numId w:val="43"/>
        </w:numPr>
      </w:pPr>
      <w:r w:rsidRPr="003C0B9F">
        <w:t>Met</w:t>
      </w:r>
    </w:p>
    <w:p w14:paraId="408823B5" w14:textId="5B98E881" w:rsidR="00F90163" w:rsidRDefault="00DE39D4" w:rsidP="0097401A">
      <w:pPr>
        <w:pStyle w:val="ListParagraph"/>
        <w:numPr>
          <w:ilvl w:val="0"/>
          <w:numId w:val="43"/>
        </w:numPr>
      </w:pPr>
      <w:r w:rsidRPr="00DE39D4">
        <w:t>Met</w:t>
      </w:r>
    </w:p>
    <w:p w14:paraId="41CEB504" w14:textId="46D58022" w:rsidR="00F90163" w:rsidRDefault="00DE39D4" w:rsidP="0097401A">
      <w:pPr>
        <w:pStyle w:val="ListParagraph"/>
        <w:numPr>
          <w:ilvl w:val="0"/>
          <w:numId w:val="43"/>
        </w:numPr>
      </w:pPr>
      <w:r w:rsidRPr="00DE39D4">
        <w:t>Met</w:t>
      </w:r>
    </w:p>
    <w:p w14:paraId="32032143" w14:textId="77777777" w:rsidR="00F90163" w:rsidRPr="00617C76" w:rsidRDefault="00F90163" w:rsidP="00F90163">
      <w:pPr>
        <w:pStyle w:val="Heading5"/>
      </w:pPr>
      <w:r w:rsidRPr="00617C76">
        <w:t>Clause 32B:</w:t>
      </w:r>
    </w:p>
    <w:p w14:paraId="3D1FD3C4" w14:textId="5C954DAF" w:rsidR="00F90163" w:rsidRDefault="00DE39D4" w:rsidP="00DE39D4">
      <w:pPr>
        <w:pStyle w:val="ListParagraph"/>
        <w:numPr>
          <w:ilvl w:val="0"/>
          <w:numId w:val="44"/>
        </w:numPr>
      </w:pPr>
      <w:r w:rsidRPr="00DE39D4">
        <w:t>Met</w:t>
      </w:r>
    </w:p>
    <w:p w14:paraId="090BEA89" w14:textId="506CB4A2" w:rsidR="00F90163" w:rsidRDefault="00DE39D4" w:rsidP="00DE39D4">
      <w:pPr>
        <w:pStyle w:val="ListParagraph"/>
        <w:numPr>
          <w:ilvl w:val="0"/>
          <w:numId w:val="44"/>
        </w:numPr>
      </w:pPr>
      <w:r w:rsidRPr="00DE39D4">
        <w:t>Met</w:t>
      </w:r>
    </w:p>
    <w:p w14:paraId="29314590" w14:textId="2804C9C5" w:rsidR="00F90163" w:rsidRDefault="00DE39D4" w:rsidP="00DE39D4">
      <w:pPr>
        <w:pStyle w:val="ListParagraph"/>
        <w:numPr>
          <w:ilvl w:val="0"/>
          <w:numId w:val="44"/>
        </w:numPr>
      </w:pPr>
      <w:r>
        <w:t>Not met</w:t>
      </w:r>
    </w:p>
    <w:p w14:paraId="62467D34" w14:textId="2623E18D" w:rsidR="00F90163" w:rsidRDefault="00DE39D4" w:rsidP="00DE39D4">
      <w:pPr>
        <w:pStyle w:val="ListParagraph"/>
        <w:numPr>
          <w:ilvl w:val="0"/>
          <w:numId w:val="44"/>
        </w:numPr>
      </w:pPr>
      <w:r>
        <w:t>N/A</w:t>
      </w:r>
    </w:p>
    <w:p w14:paraId="453E1034" w14:textId="77777777" w:rsidR="00F90163" w:rsidRPr="00617C76" w:rsidRDefault="00F90163" w:rsidP="00F90163">
      <w:pPr>
        <w:pStyle w:val="Heading5"/>
      </w:pPr>
      <w:r w:rsidRPr="00617C76">
        <w:t>Clause 32C:</w:t>
      </w:r>
    </w:p>
    <w:p w14:paraId="79006C56" w14:textId="146A3E8B" w:rsidR="00F90163" w:rsidRDefault="00DE39D4" w:rsidP="00DE39D4">
      <w:pPr>
        <w:pStyle w:val="ListParagraph"/>
        <w:numPr>
          <w:ilvl w:val="0"/>
          <w:numId w:val="45"/>
        </w:numPr>
      </w:pPr>
      <w:r w:rsidRPr="00DE39D4">
        <w:t>Met</w:t>
      </w:r>
    </w:p>
    <w:p w14:paraId="20490A18" w14:textId="113CA7F3" w:rsidR="00F90163" w:rsidRDefault="00DE39D4" w:rsidP="00DE39D4">
      <w:pPr>
        <w:pStyle w:val="ListParagraph"/>
        <w:numPr>
          <w:ilvl w:val="0"/>
          <w:numId w:val="45"/>
        </w:numPr>
      </w:pPr>
      <w:r w:rsidRPr="00DE39D4">
        <w:t>Met</w:t>
      </w:r>
    </w:p>
    <w:p w14:paraId="2D14EF18" w14:textId="37AC4EDC" w:rsidR="00F90163" w:rsidRDefault="00DE39D4" w:rsidP="00DE39D4">
      <w:pPr>
        <w:pStyle w:val="ListParagraph"/>
        <w:numPr>
          <w:ilvl w:val="0"/>
          <w:numId w:val="45"/>
        </w:numPr>
      </w:pPr>
      <w:r w:rsidRPr="00DE39D4">
        <w:t>Met</w:t>
      </w:r>
    </w:p>
    <w:p w14:paraId="17254449" w14:textId="34859861" w:rsidR="00F90163" w:rsidRDefault="00DE39D4" w:rsidP="00DE39D4">
      <w:pPr>
        <w:pStyle w:val="ListParagraph"/>
        <w:numPr>
          <w:ilvl w:val="0"/>
          <w:numId w:val="45"/>
        </w:numPr>
      </w:pPr>
      <w:r w:rsidRPr="00DE39D4">
        <w:t>Met</w:t>
      </w:r>
    </w:p>
    <w:p w14:paraId="0BB972D3" w14:textId="65AD7454" w:rsidR="00F90163" w:rsidRDefault="00DE39D4" w:rsidP="00DE39D4">
      <w:pPr>
        <w:pStyle w:val="ListParagraph"/>
        <w:numPr>
          <w:ilvl w:val="0"/>
          <w:numId w:val="45"/>
        </w:numPr>
      </w:pPr>
      <w:r w:rsidRPr="00DE39D4">
        <w:t>Met</w:t>
      </w:r>
    </w:p>
    <w:p w14:paraId="6476B502" w14:textId="73A79B1C" w:rsidR="00F90163" w:rsidRDefault="00DE39D4" w:rsidP="00DE39D4">
      <w:pPr>
        <w:pStyle w:val="ListParagraph"/>
        <w:numPr>
          <w:ilvl w:val="0"/>
          <w:numId w:val="45"/>
        </w:numPr>
      </w:pPr>
      <w:r w:rsidRPr="00DE39D4">
        <w:t>Met</w:t>
      </w:r>
    </w:p>
    <w:p w14:paraId="390AFBF2" w14:textId="3AD56FE6" w:rsidR="00F90163" w:rsidRDefault="00DE39D4" w:rsidP="00DE39D4">
      <w:pPr>
        <w:pStyle w:val="ListParagraph"/>
        <w:numPr>
          <w:ilvl w:val="0"/>
          <w:numId w:val="45"/>
        </w:numPr>
      </w:pPr>
      <w:r w:rsidRPr="00DE39D4">
        <w:t>Met</w:t>
      </w:r>
    </w:p>
    <w:p w14:paraId="7570542B" w14:textId="77777777" w:rsidR="00F90163" w:rsidRPr="00617C76" w:rsidRDefault="00F90163" w:rsidP="00F90163">
      <w:pPr>
        <w:pStyle w:val="Heading5"/>
      </w:pPr>
      <w:r w:rsidRPr="00617C76">
        <w:t>Clause 33:</w:t>
      </w:r>
    </w:p>
    <w:p w14:paraId="7159ECFB" w14:textId="1F04BB02" w:rsidR="00F90163" w:rsidRDefault="00DE39D4" w:rsidP="00F90163">
      <w:r w:rsidRPr="00DE39D4">
        <w:t>Met</w:t>
      </w:r>
    </w:p>
    <w:p w14:paraId="72EE6763" w14:textId="7DD66DD6" w:rsidR="00F90163" w:rsidRDefault="00F90163" w:rsidP="00F90163">
      <w:pPr>
        <w:pStyle w:val="Heading4"/>
      </w:pPr>
      <w:r w:rsidRPr="00617C76">
        <w:t>Achievements over 2025</w:t>
      </w:r>
    </w:p>
    <w:p w14:paraId="23ED43C6" w14:textId="77777777" w:rsidR="0047775F" w:rsidRDefault="0047775F" w:rsidP="00F90163">
      <w:r w:rsidRPr="0047775F">
        <w:t xml:space="preserve">The partnership deliverables in 2025 included the development of: </w:t>
      </w:r>
    </w:p>
    <w:p w14:paraId="72F025BC" w14:textId="1A05279B" w:rsidR="0047775F" w:rsidRDefault="0047775F" w:rsidP="0047775F">
      <w:pPr>
        <w:pStyle w:val="ListParagraph"/>
        <w:numPr>
          <w:ilvl w:val="0"/>
          <w:numId w:val="46"/>
        </w:numPr>
      </w:pPr>
      <w:r w:rsidRPr="0047775F">
        <w:t xml:space="preserve">A workplan for Cultural Monitoring Framework, calendar and monitoring and participation plan. </w:t>
      </w:r>
    </w:p>
    <w:p w14:paraId="3E0D4769" w14:textId="77777777" w:rsidR="0047775F" w:rsidRDefault="0047775F" w:rsidP="0047775F">
      <w:pPr>
        <w:pStyle w:val="ListParagraph"/>
        <w:numPr>
          <w:ilvl w:val="0"/>
          <w:numId w:val="46"/>
        </w:numPr>
      </w:pPr>
      <w:r w:rsidRPr="0047775F">
        <w:t>A draft framework, calendar and monitoring participation plan.</w:t>
      </w:r>
    </w:p>
    <w:p w14:paraId="7BE6E016" w14:textId="77777777" w:rsidR="0047775F" w:rsidRDefault="0047775F" w:rsidP="0047775F">
      <w:pPr>
        <w:pStyle w:val="ListParagraph"/>
        <w:numPr>
          <w:ilvl w:val="0"/>
          <w:numId w:val="46"/>
        </w:numPr>
      </w:pPr>
      <w:r w:rsidRPr="0047775F">
        <w:t xml:space="preserve">A final framework, calendar and monitoring participation plan. </w:t>
      </w:r>
    </w:p>
    <w:p w14:paraId="1A0D561D" w14:textId="51C7DFF0" w:rsidR="00F90163" w:rsidRPr="00F90163" w:rsidRDefault="0047775F" w:rsidP="0047775F">
      <w:pPr>
        <w:pStyle w:val="ListParagraph"/>
        <w:numPr>
          <w:ilvl w:val="0"/>
          <w:numId w:val="46"/>
        </w:numPr>
      </w:pPr>
      <w:r w:rsidRPr="0047775F">
        <w:t>A quarterly progress report one for year one.</w:t>
      </w:r>
    </w:p>
    <w:p w14:paraId="3E17F270" w14:textId="04B0BB93" w:rsidR="00F90163" w:rsidRDefault="004C34DB" w:rsidP="00F90163">
      <w:pPr>
        <w:pStyle w:val="Heading3"/>
      </w:pPr>
      <w:bookmarkStart w:id="18" w:name="_Toc225506040"/>
      <w:r w:rsidRPr="004C34DB">
        <w:t>First Nations Heritage Protection Partnership</w:t>
      </w:r>
      <w:bookmarkEnd w:id="18"/>
    </w:p>
    <w:p w14:paraId="37BC83C3" w14:textId="77777777" w:rsidR="00F90163" w:rsidRDefault="00F90163" w:rsidP="00F90163">
      <w:pPr>
        <w:pStyle w:val="Heading4"/>
      </w:pPr>
      <w:r w:rsidRPr="00617C76">
        <w:t>Partnership description</w:t>
      </w:r>
    </w:p>
    <w:p w14:paraId="561797D8" w14:textId="0DA5F968" w:rsidR="00F90163" w:rsidRPr="00837360" w:rsidRDefault="007D7D31" w:rsidP="00F90163">
      <w:r w:rsidRPr="007D7D31">
        <w:t xml:space="preserve">The partnership works to facilitate consultations and engagements with First Nations communities, organisations, groups, industry, and governments across Australia on options to reform the </w:t>
      </w:r>
      <w:r w:rsidRPr="007D7D31">
        <w:rPr>
          <w:i/>
          <w:iCs/>
        </w:rPr>
        <w:t>Aboriginal and Torres Strait Islander Heritage Protection Act 1984</w:t>
      </w:r>
      <w:r w:rsidRPr="007D7D31">
        <w:t>.</w:t>
      </w:r>
    </w:p>
    <w:p w14:paraId="622928A9" w14:textId="77777777" w:rsidR="00F90163" w:rsidRDefault="00F90163" w:rsidP="00F90163">
      <w:pPr>
        <w:pStyle w:val="Heading4"/>
      </w:pPr>
      <w:r w:rsidRPr="00DF6278">
        <w:t>Aboriginal and Torres Strait Islander parties</w:t>
      </w:r>
    </w:p>
    <w:p w14:paraId="6009CA83" w14:textId="35BA466A" w:rsidR="00F90163" w:rsidRPr="009A75F0" w:rsidRDefault="007D7D31" w:rsidP="00F90163">
      <w:r w:rsidRPr="009A75F0">
        <w:t>First Nations Heritage Protection Alliance</w:t>
      </w:r>
      <w:r w:rsidR="00023E48">
        <w:t xml:space="preserve"> (endorsing partner)</w:t>
      </w:r>
    </w:p>
    <w:p w14:paraId="72AAEBBD" w14:textId="77777777" w:rsidR="00F90163" w:rsidRPr="00617C76" w:rsidRDefault="00F90163" w:rsidP="00F90163">
      <w:pPr>
        <w:pStyle w:val="Heading4"/>
      </w:pPr>
      <w:r w:rsidRPr="00617C76">
        <w:t>Government parties</w:t>
      </w:r>
    </w:p>
    <w:p w14:paraId="22229DEF" w14:textId="77777777" w:rsidR="00F90163" w:rsidRDefault="00F90163" w:rsidP="00F90163">
      <w:pPr>
        <w:pStyle w:val="Heading5"/>
      </w:pPr>
      <w:r w:rsidRPr="00115C74">
        <w:t xml:space="preserve">COMMONWEALTH PARTIES </w:t>
      </w:r>
    </w:p>
    <w:p w14:paraId="25119F6F" w14:textId="067B3057" w:rsidR="00F90163" w:rsidRPr="009A75F0" w:rsidRDefault="007D7D31" w:rsidP="00F90163">
      <w:r w:rsidRPr="009A75F0">
        <w:t>Department of Climate Change, Energy, the Environment and Water (DCCEEW)</w:t>
      </w:r>
      <w:r w:rsidR="00023E48">
        <w:t xml:space="preserve"> (endorsing partner)</w:t>
      </w:r>
    </w:p>
    <w:p w14:paraId="301E3559" w14:textId="77777777" w:rsidR="00F90163" w:rsidRPr="00115C74" w:rsidRDefault="00F90163" w:rsidP="00F90163">
      <w:pPr>
        <w:pStyle w:val="Heading5"/>
      </w:pPr>
      <w:r w:rsidRPr="00115C74">
        <w:lastRenderedPageBreak/>
        <w:t xml:space="preserve">STATE AND TERRITORY PARTIES </w:t>
      </w:r>
    </w:p>
    <w:p w14:paraId="11F170E0" w14:textId="42B48BB4" w:rsidR="00F90163" w:rsidRPr="00617C76" w:rsidRDefault="00C07C0D" w:rsidP="00F90163">
      <w:r w:rsidRPr="00C07C0D">
        <w:t>N/A</w:t>
      </w:r>
    </w:p>
    <w:p w14:paraId="7683F72C" w14:textId="77777777" w:rsidR="00F90163" w:rsidRPr="00617C76" w:rsidRDefault="00F90163" w:rsidP="00F90163">
      <w:pPr>
        <w:pStyle w:val="Heading4"/>
      </w:pPr>
      <w:r w:rsidRPr="00617C76">
        <w:t>Priority Reforms and Socio-economic Outcomes</w:t>
      </w:r>
    </w:p>
    <w:p w14:paraId="0BD64BBE" w14:textId="77777777" w:rsidR="00C07C0D" w:rsidRDefault="00C07C0D" w:rsidP="00C07C0D">
      <w:r w:rsidRPr="00C07C0D">
        <w:t xml:space="preserve">Priority Reform 1 </w:t>
      </w:r>
    </w:p>
    <w:p w14:paraId="0DFFFF5C" w14:textId="77777777" w:rsidR="00C07C0D" w:rsidRDefault="00C07C0D" w:rsidP="00C07C0D">
      <w:r w:rsidRPr="00C07C0D">
        <w:t xml:space="preserve">Outcome 8 </w:t>
      </w:r>
    </w:p>
    <w:p w14:paraId="23B466FC" w14:textId="77777777" w:rsidR="00C07C0D" w:rsidRDefault="00C07C0D" w:rsidP="00C07C0D">
      <w:r w:rsidRPr="00C07C0D">
        <w:t xml:space="preserve">Outcome 15 </w:t>
      </w:r>
    </w:p>
    <w:p w14:paraId="3FAE3CDC" w14:textId="30F4357A" w:rsidR="00F90163" w:rsidRPr="007C35F3" w:rsidRDefault="00C07C0D" w:rsidP="00C07C0D">
      <w:r w:rsidRPr="00C07C0D">
        <w:t>Outcome 16</w:t>
      </w:r>
    </w:p>
    <w:p w14:paraId="1A6190BA" w14:textId="77777777" w:rsidR="00F90163" w:rsidRPr="00617C76" w:rsidRDefault="00F90163" w:rsidP="00F90163">
      <w:pPr>
        <w:pStyle w:val="Heading4"/>
      </w:pPr>
      <w:r w:rsidRPr="00617C76">
        <w:t>Partnership function</w:t>
      </w:r>
    </w:p>
    <w:p w14:paraId="2BF9EA04" w14:textId="430E3A42" w:rsidR="00F90163" w:rsidRPr="00617C76" w:rsidRDefault="00C07C0D" w:rsidP="00F90163">
      <w:r w:rsidRPr="00C07C0D">
        <w:t>Policy</w:t>
      </w:r>
    </w:p>
    <w:p w14:paraId="2D936901" w14:textId="77777777" w:rsidR="00F90163" w:rsidRPr="00617C76" w:rsidRDefault="00F90163" w:rsidP="00F90163">
      <w:pPr>
        <w:pStyle w:val="Heading4"/>
      </w:pPr>
      <w:r w:rsidRPr="00617C76">
        <w:t>Partnership timeframe</w:t>
      </w:r>
    </w:p>
    <w:p w14:paraId="0B302522" w14:textId="18709606" w:rsidR="00F90163" w:rsidRPr="00617C76" w:rsidRDefault="00C07C0D" w:rsidP="00F90163">
      <w:r w:rsidRPr="00C07C0D">
        <w:t>July 2024 to June 2026</w:t>
      </w:r>
    </w:p>
    <w:p w14:paraId="510D2DB1" w14:textId="77777777" w:rsidR="00F90163" w:rsidRPr="00617C76" w:rsidRDefault="00F90163" w:rsidP="00F90163">
      <w:pPr>
        <w:pStyle w:val="Heading4"/>
      </w:pPr>
      <w:r w:rsidRPr="00617C76">
        <w:t>Actions taken to strengthen the partnership in 2025</w:t>
      </w:r>
    </w:p>
    <w:p w14:paraId="019EBCD1" w14:textId="41FD7FC4" w:rsidR="00F90163" w:rsidRPr="00617C76" w:rsidRDefault="005D53E1" w:rsidP="00F90163">
      <w:r w:rsidRPr="005D53E1">
        <w:t>The partnership has been strengthened through jointly consulting and engaging with a range of stakeholders with an interest in the reforms, including peak First Nations organisations, industry peaks, state and territory governments, and other Australian Government agencies.</w:t>
      </w:r>
    </w:p>
    <w:p w14:paraId="41BE456A" w14:textId="77777777" w:rsidR="00F90163" w:rsidRPr="00617C76" w:rsidRDefault="00F90163" w:rsidP="00F90163">
      <w:pPr>
        <w:pStyle w:val="Heading4"/>
      </w:pPr>
      <w:r w:rsidRPr="00617C76">
        <w:t>Strong partnership indicators</w:t>
      </w:r>
    </w:p>
    <w:p w14:paraId="3B79C2C9" w14:textId="77777777" w:rsidR="00F90163" w:rsidRPr="00617C76" w:rsidRDefault="00F90163" w:rsidP="00F90163">
      <w:pPr>
        <w:pStyle w:val="Heading5"/>
      </w:pPr>
      <w:r w:rsidRPr="00617C76">
        <w:t>Clause 32A:</w:t>
      </w:r>
    </w:p>
    <w:p w14:paraId="49325EB4" w14:textId="700AF3BD" w:rsidR="00F90163" w:rsidRDefault="005D53E1" w:rsidP="005D53E1">
      <w:pPr>
        <w:pStyle w:val="ListParagraph"/>
        <w:numPr>
          <w:ilvl w:val="0"/>
          <w:numId w:val="47"/>
        </w:numPr>
      </w:pPr>
      <w:r w:rsidRPr="005D53E1">
        <w:t>Met</w:t>
      </w:r>
    </w:p>
    <w:p w14:paraId="2C67F662" w14:textId="0BDEDC23" w:rsidR="00F90163" w:rsidRDefault="005D53E1" w:rsidP="005D53E1">
      <w:pPr>
        <w:pStyle w:val="ListParagraph"/>
        <w:numPr>
          <w:ilvl w:val="0"/>
          <w:numId w:val="47"/>
        </w:numPr>
      </w:pPr>
      <w:r w:rsidRPr="005D53E1">
        <w:t>Met</w:t>
      </w:r>
    </w:p>
    <w:p w14:paraId="2B63E305" w14:textId="21905266" w:rsidR="00F90163" w:rsidRDefault="005D53E1" w:rsidP="005D53E1">
      <w:pPr>
        <w:pStyle w:val="ListParagraph"/>
        <w:numPr>
          <w:ilvl w:val="0"/>
          <w:numId w:val="47"/>
        </w:numPr>
      </w:pPr>
      <w:r w:rsidRPr="005D53E1">
        <w:t>Met</w:t>
      </w:r>
    </w:p>
    <w:p w14:paraId="3209135B" w14:textId="77777777" w:rsidR="00F90163" w:rsidRPr="00617C76" w:rsidRDefault="00F90163" w:rsidP="00F90163">
      <w:pPr>
        <w:pStyle w:val="Heading5"/>
      </w:pPr>
      <w:r w:rsidRPr="00617C76">
        <w:t>Clause 32B:</w:t>
      </w:r>
    </w:p>
    <w:p w14:paraId="21384A0D" w14:textId="797E1F74" w:rsidR="00F90163" w:rsidRDefault="005D53E1" w:rsidP="005D53E1">
      <w:pPr>
        <w:pStyle w:val="ListParagraph"/>
        <w:numPr>
          <w:ilvl w:val="0"/>
          <w:numId w:val="48"/>
        </w:numPr>
      </w:pPr>
      <w:r w:rsidRPr="005D53E1">
        <w:t>Met</w:t>
      </w:r>
    </w:p>
    <w:p w14:paraId="077D8CD9" w14:textId="13C981F1" w:rsidR="00F90163" w:rsidRDefault="005D53E1" w:rsidP="005D53E1">
      <w:pPr>
        <w:pStyle w:val="ListParagraph"/>
        <w:numPr>
          <w:ilvl w:val="0"/>
          <w:numId w:val="48"/>
        </w:numPr>
      </w:pPr>
      <w:r w:rsidRPr="005D53E1">
        <w:t>Met</w:t>
      </w:r>
    </w:p>
    <w:p w14:paraId="7691162E" w14:textId="01631299" w:rsidR="00F90163" w:rsidRDefault="005D53E1" w:rsidP="005D53E1">
      <w:pPr>
        <w:pStyle w:val="ListParagraph"/>
        <w:numPr>
          <w:ilvl w:val="0"/>
          <w:numId w:val="48"/>
        </w:numPr>
      </w:pPr>
      <w:r w:rsidRPr="005D53E1">
        <w:t>Met</w:t>
      </w:r>
    </w:p>
    <w:p w14:paraId="370CC924" w14:textId="62D5E2AE" w:rsidR="00F90163" w:rsidRDefault="00AF6E56" w:rsidP="005D53E1">
      <w:pPr>
        <w:pStyle w:val="ListParagraph"/>
        <w:numPr>
          <w:ilvl w:val="0"/>
          <w:numId w:val="48"/>
        </w:numPr>
      </w:pPr>
      <w:r>
        <w:t>N/A</w:t>
      </w:r>
    </w:p>
    <w:p w14:paraId="008D293F" w14:textId="77777777" w:rsidR="00F90163" w:rsidRPr="00617C76" w:rsidRDefault="00F90163" w:rsidP="00F90163">
      <w:pPr>
        <w:pStyle w:val="Heading5"/>
      </w:pPr>
      <w:r w:rsidRPr="00617C76">
        <w:t>Clause 32C:</w:t>
      </w:r>
    </w:p>
    <w:p w14:paraId="42740E15" w14:textId="5DACB316" w:rsidR="00F90163" w:rsidRDefault="004B7D13" w:rsidP="005D53E1">
      <w:pPr>
        <w:pStyle w:val="ListParagraph"/>
        <w:numPr>
          <w:ilvl w:val="0"/>
          <w:numId w:val="49"/>
        </w:numPr>
      </w:pPr>
      <w:r w:rsidRPr="004B7D13">
        <w:t>Met</w:t>
      </w:r>
    </w:p>
    <w:p w14:paraId="794D1E4F" w14:textId="7692381D" w:rsidR="00F90163" w:rsidRDefault="004B7D13" w:rsidP="005D53E1">
      <w:pPr>
        <w:pStyle w:val="ListParagraph"/>
        <w:numPr>
          <w:ilvl w:val="0"/>
          <w:numId w:val="49"/>
        </w:numPr>
      </w:pPr>
      <w:r w:rsidRPr="004B7D13">
        <w:t>Met</w:t>
      </w:r>
    </w:p>
    <w:p w14:paraId="1E90AA79" w14:textId="0079074A" w:rsidR="00F90163" w:rsidRDefault="004B7D13" w:rsidP="005D53E1">
      <w:pPr>
        <w:pStyle w:val="ListParagraph"/>
        <w:numPr>
          <w:ilvl w:val="0"/>
          <w:numId w:val="49"/>
        </w:numPr>
      </w:pPr>
      <w:r w:rsidRPr="004B7D13">
        <w:t>Met</w:t>
      </w:r>
    </w:p>
    <w:p w14:paraId="2EE89B7B" w14:textId="0D3FBF67" w:rsidR="00F90163" w:rsidRDefault="004B7D13" w:rsidP="005D53E1">
      <w:pPr>
        <w:pStyle w:val="ListParagraph"/>
        <w:numPr>
          <w:ilvl w:val="0"/>
          <w:numId w:val="49"/>
        </w:numPr>
      </w:pPr>
      <w:r w:rsidRPr="004B7D13">
        <w:t>Met</w:t>
      </w:r>
    </w:p>
    <w:p w14:paraId="2CA18804" w14:textId="6C33AC85" w:rsidR="00F90163" w:rsidRDefault="004B7D13" w:rsidP="005D53E1">
      <w:pPr>
        <w:pStyle w:val="ListParagraph"/>
        <w:numPr>
          <w:ilvl w:val="0"/>
          <w:numId w:val="49"/>
        </w:numPr>
      </w:pPr>
      <w:r w:rsidRPr="004B7D13">
        <w:t>Met</w:t>
      </w:r>
    </w:p>
    <w:p w14:paraId="4BEBBC1F" w14:textId="259ED2F7" w:rsidR="00F90163" w:rsidRDefault="004B7D13" w:rsidP="005D53E1">
      <w:pPr>
        <w:pStyle w:val="ListParagraph"/>
        <w:numPr>
          <w:ilvl w:val="0"/>
          <w:numId w:val="49"/>
        </w:numPr>
      </w:pPr>
      <w:r w:rsidRPr="004B7D13">
        <w:t>Met</w:t>
      </w:r>
    </w:p>
    <w:p w14:paraId="2D9CD3B8" w14:textId="6A5A4D83" w:rsidR="00F90163" w:rsidRDefault="004B7D13" w:rsidP="005D53E1">
      <w:pPr>
        <w:pStyle w:val="ListParagraph"/>
        <w:numPr>
          <w:ilvl w:val="0"/>
          <w:numId w:val="49"/>
        </w:numPr>
      </w:pPr>
      <w:r w:rsidRPr="004B7D13">
        <w:t>Met</w:t>
      </w:r>
    </w:p>
    <w:p w14:paraId="7473073E" w14:textId="77777777" w:rsidR="00F90163" w:rsidRPr="00617C76" w:rsidRDefault="00F90163" w:rsidP="00F90163">
      <w:pPr>
        <w:pStyle w:val="Heading5"/>
      </w:pPr>
      <w:r w:rsidRPr="00617C76">
        <w:t>Clause 33:</w:t>
      </w:r>
    </w:p>
    <w:p w14:paraId="7BE9C7B6" w14:textId="58A6AE92" w:rsidR="00F90163" w:rsidRDefault="004B7D13" w:rsidP="00F90163">
      <w:r w:rsidRPr="004B7D13">
        <w:t>Met</w:t>
      </w:r>
    </w:p>
    <w:p w14:paraId="529F8A6D" w14:textId="77777777" w:rsidR="00F90163" w:rsidRDefault="00F90163" w:rsidP="00F90163">
      <w:pPr>
        <w:pStyle w:val="Heading4"/>
      </w:pPr>
      <w:r w:rsidRPr="00617C76">
        <w:t>Achievements over 2025</w:t>
      </w:r>
    </w:p>
    <w:p w14:paraId="4D8E546F" w14:textId="2C546969" w:rsidR="00F90163" w:rsidRPr="003E2721" w:rsidRDefault="004B7D13" w:rsidP="00F90163">
      <w:r w:rsidRPr="004B7D13">
        <w:t>In 2025 the partnership undertook further targeted consultation and engagement activities on the reforms, with feedback informing a proposed reform package prepared for broader consultation.</w:t>
      </w:r>
    </w:p>
    <w:p w14:paraId="024FC4EB" w14:textId="5824261F" w:rsidR="00F90163" w:rsidRDefault="00CD5229" w:rsidP="00F90163">
      <w:pPr>
        <w:pStyle w:val="Heading3"/>
      </w:pPr>
      <w:bookmarkStart w:id="19" w:name="_Toc225506041"/>
      <w:r w:rsidRPr="00CD5229">
        <w:lastRenderedPageBreak/>
        <w:t>Great Barrier Reef Traditional Owner Taskforce</w:t>
      </w:r>
      <w:bookmarkEnd w:id="19"/>
    </w:p>
    <w:p w14:paraId="49422105" w14:textId="77777777" w:rsidR="00F90163" w:rsidRDefault="00F90163" w:rsidP="00F90163">
      <w:pPr>
        <w:pStyle w:val="Heading4"/>
      </w:pPr>
      <w:r w:rsidRPr="00617C76">
        <w:t>Partnership description</w:t>
      </w:r>
    </w:p>
    <w:p w14:paraId="08F998C2" w14:textId="0DDAB18E" w:rsidR="00F90163" w:rsidRPr="00837360" w:rsidRDefault="001F6586" w:rsidP="00F90163">
      <w:r w:rsidRPr="001F6586">
        <w:t>The Australian Government is supporting the Great Barrier Reef Traditional Owner Taskforce (</w:t>
      </w:r>
      <w:proofErr w:type="spellStart"/>
      <w:r w:rsidRPr="001F6586">
        <w:t>ReefTO</w:t>
      </w:r>
      <w:proofErr w:type="spellEnd"/>
      <w:r w:rsidRPr="001F6586">
        <w:t xml:space="preserve"> Taskforce) to deliver on Traditional Owner priorities in the Reef 2050 Traditional Owner Implementation Plan (TO Implementation Plan).</w:t>
      </w:r>
    </w:p>
    <w:p w14:paraId="6A661015" w14:textId="77777777" w:rsidR="00F90163" w:rsidRDefault="00F90163" w:rsidP="00F90163">
      <w:pPr>
        <w:pStyle w:val="Heading4"/>
      </w:pPr>
      <w:r w:rsidRPr="00DF6278">
        <w:t>Aboriginal and Torres Strait Islander parties</w:t>
      </w:r>
    </w:p>
    <w:p w14:paraId="6883EC03" w14:textId="516FA02C" w:rsidR="00F90163" w:rsidRPr="009A75F0" w:rsidRDefault="001F6586" w:rsidP="00F90163">
      <w:r w:rsidRPr="009A75F0">
        <w:t>Great Barrier Reef Traditional Owner Taskforce (</w:t>
      </w:r>
      <w:proofErr w:type="spellStart"/>
      <w:r w:rsidRPr="009A75F0">
        <w:t>ReefTO</w:t>
      </w:r>
      <w:proofErr w:type="spellEnd"/>
      <w:r w:rsidRPr="009A75F0">
        <w:t xml:space="preserve"> Taskforce)</w:t>
      </w:r>
      <w:r w:rsidR="009E2215">
        <w:t xml:space="preserve"> (endorsing partner)</w:t>
      </w:r>
    </w:p>
    <w:p w14:paraId="28022EFF" w14:textId="77777777" w:rsidR="00F90163" w:rsidRPr="00617C76" w:rsidRDefault="00F90163" w:rsidP="00F90163">
      <w:pPr>
        <w:pStyle w:val="Heading4"/>
      </w:pPr>
      <w:r w:rsidRPr="00617C76">
        <w:t>Government parties</w:t>
      </w:r>
    </w:p>
    <w:p w14:paraId="76D1A26F" w14:textId="77777777" w:rsidR="00F90163" w:rsidRDefault="00F90163" w:rsidP="00F90163">
      <w:pPr>
        <w:pStyle w:val="Heading5"/>
      </w:pPr>
      <w:r w:rsidRPr="00115C74">
        <w:t xml:space="preserve">COMMONWEALTH PARTIES </w:t>
      </w:r>
    </w:p>
    <w:p w14:paraId="63516632" w14:textId="6CDCD9A0" w:rsidR="00F90163" w:rsidRPr="009A75F0" w:rsidRDefault="001F6586" w:rsidP="00F90163">
      <w:r w:rsidRPr="009A75F0">
        <w:t>Department of Climate Change, Energy, the Environment and Water (DCCEEW)</w:t>
      </w:r>
      <w:r w:rsidR="009E2215">
        <w:t xml:space="preserve"> (endorsing partner)</w:t>
      </w:r>
    </w:p>
    <w:p w14:paraId="44CA7F54" w14:textId="77777777" w:rsidR="00F90163" w:rsidRPr="00115C74" w:rsidRDefault="00F90163" w:rsidP="00F90163">
      <w:pPr>
        <w:pStyle w:val="Heading5"/>
      </w:pPr>
      <w:r w:rsidRPr="00115C74">
        <w:t xml:space="preserve">STATE AND TERRITORY PARTIES </w:t>
      </w:r>
    </w:p>
    <w:p w14:paraId="27839A53" w14:textId="5189C874" w:rsidR="00F90163" w:rsidRPr="00D04048" w:rsidRDefault="00D04048" w:rsidP="00F90163">
      <w:r w:rsidRPr="00D04048">
        <w:t>Queensland Government Department of Environment, Tourism, Science and Innovation (QDETSI)</w:t>
      </w:r>
    </w:p>
    <w:p w14:paraId="7EC42FB3" w14:textId="77777777" w:rsidR="00F90163" w:rsidRPr="00617C76" w:rsidRDefault="00F90163" w:rsidP="00F90163">
      <w:pPr>
        <w:pStyle w:val="Heading4"/>
      </w:pPr>
      <w:r w:rsidRPr="00617C76">
        <w:t>Priority Reforms and Socio-economic Outcomes</w:t>
      </w:r>
    </w:p>
    <w:p w14:paraId="1E1179E8" w14:textId="77777777" w:rsidR="00B96E3B" w:rsidRDefault="00574D18" w:rsidP="00574D18">
      <w:r w:rsidRPr="00574D18">
        <w:t xml:space="preserve">Priority Reform 1 </w:t>
      </w:r>
    </w:p>
    <w:p w14:paraId="5266A5E5" w14:textId="77777777" w:rsidR="00B96E3B" w:rsidRDefault="00574D18" w:rsidP="00574D18">
      <w:r w:rsidRPr="00574D18">
        <w:t xml:space="preserve">Priority Reform 2 </w:t>
      </w:r>
    </w:p>
    <w:p w14:paraId="1206848E" w14:textId="77777777" w:rsidR="00B96E3B" w:rsidRDefault="00574D18" w:rsidP="00574D18">
      <w:r w:rsidRPr="00574D18">
        <w:t xml:space="preserve">Priority Reform 3 </w:t>
      </w:r>
    </w:p>
    <w:p w14:paraId="74382A9C" w14:textId="77777777" w:rsidR="00B96E3B" w:rsidRDefault="00574D18" w:rsidP="00574D18">
      <w:r w:rsidRPr="00574D18">
        <w:t xml:space="preserve">Outcome 8 </w:t>
      </w:r>
    </w:p>
    <w:p w14:paraId="4766E628" w14:textId="1F17EEFD" w:rsidR="00F90163" w:rsidRPr="007C35F3" w:rsidRDefault="00574D18" w:rsidP="00574D18">
      <w:r w:rsidRPr="00574D18">
        <w:t>Outcome 15</w:t>
      </w:r>
    </w:p>
    <w:p w14:paraId="51985762" w14:textId="77777777" w:rsidR="00F90163" w:rsidRPr="00617C76" w:rsidRDefault="00F90163" w:rsidP="00F90163">
      <w:pPr>
        <w:pStyle w:val="Heading4"/>
      </w:pPr>
      <w:r w:rsidRPr="00617C76">
        <w:t>Partnership function</w:t>
      </w:r>
    </w:p>
    <w:p w14:paraId="5C5D360C" w14:textId="034E46E3" w:rsidR="00F90163" w:rsidRPr="00617C76" w:rsidRDefault="00474E1F" w:rsidP="00F90163">
      <w:r w:rsidRPr="00474E1F">
        <w:t>Place</w:t>
      </w:r>
      <w:r w:rsidRPr="00474E1F">
        <w:noBreakHyphen/>
        <w:t>based</w:t>
      </w:r>
    </w:p>
    <w:p w14:paraId="7EEF5654" w14:textId="77777777" w:rsidR="00F90163" w:rsidRPr="00617C76" w:rsidRDefault="00F90163" w:rsidP="00F90163">
      <w:pPr>
        <w:pStyle w:val="Heading4"/>
      </w:pPr>
      <w:r w:rsidRPr="00617C76">
        <w:t>Partnership timeframe</w:t>
      </w:r>
    </w:p>
    <w:p w14:paraId="3ECFCAE7" w14:textId="63D44B78" w:rsidR="00F90163" w:rsidRPr="00617C76" w:rsidRDefault="00474E1F" w:rsidP="00F90163">
      <w:r w:rsidRPr="00474E1F">
        <w:t>Current to 30 June 2028</w:t>
      </w:r>
    </w:p>
    <w:p w14:paraId="44A7D975" w14:textId="77777777" w:rsidR="00F90163" w:rsidRPr="00617C76" w:rsidRDefault="00F90163" w:rsidP="00F90163">
      <w:pPr>
        <w:pStyle w:val="Heading4"/>
      </w:pPr>
      <w:r w:rsidRPr="00617C76">
        <w:t>Actions taken to strengthen the partnership in 2025</w:t>
      </w:r>
    </w:p>
    <w:p w14:paraId="0B19A5EA" w14:textId="77777777" w:rsidR="007B7503" w:rsidRDefault="007B7503" w:rsidP="00F90163">
      <w:r w:rsidRPr="007B7503">
        <w:t xml:space="preserve">In February 2025, the Australian Government entered an agreement with the Pollination Foundation, the host of the Great Barrier Reef Traditional Owner Taskforce, for a $14 million grant to support the </w:t>
      </w:r>
      <w:proofErr w:type="spellStart"/>
      <w:r w:rsidRPr="007B7503">
        <w:t>ReefTO</w:t>
      </w:r>
      <w:proofErr w:type="spellEnd"/>
      <w:r w:rsidRPr="007B7503">
        <w:t xml:space="preserve"> Taskforce to deliver on 3 key objectives: </w:t>
      </w:r>
    </w:p>
    <w:p w14:paraId="54B2FA23" w14:textId="178B361E" w:rsidR="007B7503" w:rsidRDefault="007B7503" w:rsidP="000920DA">
      <w:pPr>
        <w:pStyle w:val="ListParagraph"/>
        <w:numPr>
          <w:ilvl w:val="0"/>
          <w:numId w:val="50"/>
        </w:numPr>
      </w:pPr>
      <w:r w:rsidRPr="007B7503">
        <w:t>Engaging with Traditional Owners on options for a Sea Country Alliance (reef</w:t>
      </w:r>
      <w:r w:rsidRPr="007B7503">
        <w:noBreakHyphen/>
        <w:t xml:space="preserve">wide and regionally) and implementing the preferred option. </w:t>
      </w:r>
    </w:p>
    <w:p w14:paraId="4D736C2F" w14:textId="37A70D1F" w:rsidR="007B7503" w:rsidRDefault="007B7503" w:rsidP="000920DA">
      <w:pPr>
        <w:pStyle w:val="ListParagraph"/>
        <w:numPr>
          <w:ilvl w:val="0"/>
          <w:numId w:val="50"/>
        </w:numPr>
      </w:pPr>
      <w:r w:rsidRPr="007B7503">
        <w:t xml:space="preserve">Overseeing the delivery of strategic policy and capacity building actions in the TO Implementation Plan while a Sea Country Alliance is being established. </w:t>
      </w:r>
    </w:p>
    <w:p w14:paraId="7570222A" w14:textId="77777777" w:rsidR="007A2DBE" w:rsidRDefault="007B7503" w:rsidP="000920DA">
      <w:pPr>
        <w:pStyle w:val="ListParagraph"/>
        <w:numPr>
          <w:ilvl w:val="0"/>
          <w:numId w:val="50"/>
        </w:numPr>
      </w:pPr>
      <w:r w:rsidRPr="007B7503">
        <w:t xml:space="preserve">Monitoring and reporting on the delivery of Traditional Owner actions in the TO Implementation Plan, including actions delivered by </w:t>
      </w:r>
      <w:proofErr w:type="spellStart"/>
      <w:r w:rsidRPr="007B7503">
        <w:t>ReefTO</w:t>
      </w:r>
      <w:proofErr w:type="spellEnd"/>
      <w:r w:rsidRPr="007B7503">
        <w:t xml:space="preserve"> and by other agencies. </w:t>
      </w:r>
    </w:p>
    <w:p w14:paraId="764E39AA" w14:textId="761742F2" w:rsidR="00F90163" w:rsidRPr="00617C76" w:rsidRDefault="007B7503" w:rsidP="007A2DBE">
      <w:r w:rsidRPr="007B7503">
        <w:t xml:space="preserve">The </w:t>
      </w:r>
      <w:proofErr w:type="spellStart"/>
      <w:r w:rsidRPr="007B7503">
        <w:t>ReefTO</w:t>
      </w:r>
      <w:proofErr w:type="spellEnd"/>
      <w:r w:rsidRPr="007B7503">
        <w:t xml:space="preserve"> Taskforce is Traditional Owner</w:t>
      </w:r>
      <w:r w:rsidRPr="007B7503">
        <w:noBreakHyphen/>
        <w:t>led, with support from the Australian and Queensland governments.</w:t>
      </w:r>
    </w:p>
    <w:p w14:paraId="320718A2" w14:textId="77777777" w:rsidR="00F90163" w:rsidRPr="00617C76" w:rsidRDefault="00F90163" w:rsidP="00F90163">
      <w:pPr>
        <w:pStyle w:val="Heading4"/>
      </w:pPr>
      <w:r w:rsidRPr="00617C76">
        <w:t>Strong partnership indicators</w:t>
      </w:r>
    </w:p>
    <w:p w14:paraId="5548CBA7" w14:textId="77777777" w:rsidR="00F90163" w:rsidRPr="00617C76" w:rsidRDefault="00F90163" w:rsidP="00F90163">
      <w:pPr>
        <w:pStyle w:val="Heading5"/>
      </w:pPr>
      <w:r w:rsidRPr="00617C76">
        <w:t>Clause 32A:</w:t>
      </w:r>
    </w:p>
    <w:p w14:paraId="64B9A679" w14:textId="3CBDC23B" w:rsidR="00F90163" w:rsidRDefault="00923D75" w:rsidP="000920DA">
      <w:pPr>
        <w:pStyle w:val="ListParagraph"/>
        <w:numPr>
          <w:ilvl w:val="0"/>
          <w:numId w:val="51"/>
        </w:numPr>
      </w:pPr>
      <w:r w:rsidRPr="00923D75">
        <w:t>Met</w:t>
      </w:r>
    </w:p>
    <w:p w14:paraId="413463DF" w14:textId="0EA106BD" w:rsidR="00F90163" w:rsidRDefault="00923D75" w:rsidP="000920DA">
      <w:pPr>
        <w:pStyle w:val="ListParagraph"/>
        <w:numPr>
          <w:ilvl w:val="0"/>
          <w:numId w:val="51"/>
        </w:numPr>
      </w:pPr>
      <w:r w:rsidRPr="00923D75">
        <w:t>Met</w:t>
      </w:r>
    </w:p>
    <w:p w14:paraId="11E83BC7" w14:textId="569E066A" w:rsidR="00F90163" w:rsidRDefault="00923D75" w:rsidP="000920DA">
      <w:pPr>
        <w:pStyle w:val="ListParagraph"/>
        <w:numPr>
          <w:ilvl w:val="0"/>
          <w:numId w:val="51"/>
        </w:numPr>
      </w:pPr>
      <w:r w:rsidRPr="00923D75">
        <w:t>Met</w:t>
      </w:r>
    </w:p>
    <w:p w14:paraId="154A0C00" w14:textId="77777777" w:rsidR="00F90163" w:rsidRPr="00617C76" w:rsidRDefault="00F90163" w:rsidP="00F90163">
      <w:pPr>
        <w:pStyle w:val="Heading5"/>
      </w:pPr>
      <w:r w:rsidRPr="00617C76">
        <w:lastRenderedPageBreak/>
        <w:t>Clause 32B:</w:t>
      </w:r>
    </w:p>
    <w:p w14:paraId="54BB1325" w14:textId="5117B383" w:rsidR="00F90163" w:rsidRDefault="00923D75" w:rsidP="000920DA">
      <w:pPr>
        <w:pStyle w:val="ListParagraph"/>
        <w:numPr>
          <w:ilvl w:val="0"/>
          <w:numId w:val="52"/>
        </w:numPr>
      </w:pPr>
      <w:r w:rsidRPr="00923D75">
        <w:t>Met</w:t>
      </w:r>
    </w:p>
    <w:p w14:paraId="27DA66A8" w14:textId="6E9E8775" w:rsidR="00F90163" w:rsidRDefault="00923D75" w:rsidP="000920DA">
      <w:pPr>
        <w:pStyle w:val="ListParagraph"/>
        <w:numPr>
          <w:ilvl w:val="0"/>
          <w:numId w:val="52"/>
        </w:numPr>
      </w:pPr>
      <w:r w:rsidRPr="00923D75">
        <w:t>Met</w:t>
      </w:r>
    </w:p>
    <w:p w14:paraId="00A10A4F" w14:textId="2C9D5272" w:rsidR="00F90163" w:rsidRDefault="00923D75" w:rsidP="000920DA">
      <w:pPr>
        <w:pStyle w:val="ListParagraph"/>
        <w:numPr>
          <w:ilvl w:val="0"/>
          <w:numId w:val="52"/>
        </w:numPr>
      </w:pPr>
      <w:r w:rsidRPr="00923D75">
        <w:t>Met</w:t>
      </w:r>
    </w:p>
    <w:p w14:paraId="3D1532EB" w14:textId="3A948A64" w:rsidR="00F90163" w:rsidRDefault="00923D75" w:rsidP="000920DA">
      <w:pPr>
        <w:pStyle w:val="ListParagraph"/>
        <w:numPr>
          <w:ilvl w:val="0"/>
          <w:numId w:val="52"/>
        </w:numPr>
      </w:pPr>
      <w:r>
        <w:t>N/A</w:t>
      </w:r>
    </w:p>
    <w:p w14:paraId="714F4061" w14:textId="77777777" w:rsidR="00F90163" w:rsidRPr="00617C76" w:rsidRDefault="00F90163" w:rsidP="00F90163">
      <w:pPr>
        <w:pStyle w:val="Heading5"/>
      </w:pPr>
      <w:r w:rsidRPr="00617C76">
        <w:t>Clause 32C:</w:t>
      </w:r>
    </w:p>
    <w:p w14:paraId="0865BAD5" w14:textId="2193F8E4" w:rsidR="00F90163" w:rsidRDefault="00923D75" w:rsidP="000920DA">
      <w:pPr>
        <w:pStyle w:val="ListParagraph"/>
        <w:numPr>
          <w:ilvl w:val="0"/>
          <w:numId w:val="53"/>
        </w:numPr>
      </w:pPr>
      <w:r w:rsidRPr="00923D75">
        <w:t>Met</w:t>
      </w:r>
    </w:p>
    <w:p w14:paraId="41BD3EF1" w14:textId="5BE1271A" w:rsidR="00F90163" w:rsidRDefault="00923D75" w:rsidP="000920DA">
      <w:pPr>
        <w:pStyle w:val="ListParagraph"/>
        <w:numPr>
          <w:ilvl w:val="0"/>
          <w:numId w:val="53"/>
        </w:numPr>
      </w:pPr>
      <w:r w:rsidRPr="00923D75">
        <w:t>Met</w:t>
      </w:r>
    </w:p>
    <w:p w14:paraId="14247AEC" w14:textId="2BCC4391" w:rsidR="00F90163" w:rsidRDefault="00923D75" w:rsidP="000920DA">
      <w:pPr>
        <w:pStyle w:val="ListParagraph"/>
        <w:numPr>
          <w:ilvl w:val="0"/>
          <w:numId w:val="53"/>
        </w:numPr>
      </w:pPr>
      <w:r w:rsidRPr="00923D75">
        <w:t>Met</w:t>
      </w:r>
    </w:p>
    <w:p w14:paraId="568C5B44" w14:textId="64FB053C" w:rsidR="00F90163" w:rsidRDefault="00923D75" w:rsidP="000920DA">
      <w:pPr>
        <w:pStyle w:val="ListParagraph"/>
        <w:numPr>
          <w:ilvl w:val="0"/>
          <w:numId w:val="53"/>
        </w:numPr>
      </w:pPr>
      <w:r w:rsidRPr="00923D75">
        <w:t>Met</w:t>
      </w:r>
    </w:p>
    <w:p w14:paraId="61962DFF" w14:textId="34B10AA6" w:rsidR="00F90163" w:rsidRDefault="007A2DBE" w:rsidP="000920DA">
      <w:pPr>
        <w:pStyle w:val="ListParagraph"/>
        <w:numPr>
          <w:ilvl w:val="0"/>
          <w:numId w:val="53"/>
        </w:numPr>
      </w:pPr>
      <w:r w:rsidRPr="007A2DBE">
        <w:t>Met</w:t>
      </w:r>
    </w:p>
    <w:p w14:paraId="596F77DC" w14:textId="786DF5E6" w:rsidR="00F90163" w:rsidRDefault="00923D75" w:rsidP="000920DA">
      <w:pPr>
        <w:pStyle w:val="ListParagraph"/>
        <w:numPr>
          <w:ilvl w:val="0"/>
          <w:numId w:val="53"/>
        </w:numPr>
      </w:pPr>
      <w:r w:rsidRPr="00923D75">
        <w:t>Met</w:t>
      </w:r>
    </w:p>
    <w:p w14:paraId="2456262A" w14:textId="3F783887" w:rsidR="00F90163" w:rsidRDefault="007A2DBE" w:rsidP="000920DA">
      <w:pPr>
        <w:pStyle w:val="ListParagraph"/>
        <w:numPr>
          <w:ilvl w:val="0"/>
          <w:numId w:val="53"/>
        </w:numPr>
      </w:pPr>
      <w:r w:rsidRPr="007A2DBE">
        <w:t>Met</w:t>
      </w:r>
    </w:p>
    <w:p w14:paraId="1802DAAC" w14:textId="77777777" w:rsidR="00F90163" w:rsidRPr="00617C76" w:rsidRDefault="00F90163" w:rsidP="00F90163">
      <w:pPr>
        <w:pStyle w:val="Heading5"/>
      </w:pPr>
      <w:r w:rsidRPr="00617C76">
        <w:t>Clause 33:</w:t>
      </w:r>
    </w:p>
    <w:p w14:paraId="408BC1EA" w14:textId="0B405B72" w:rsidR="00F90163" w:rsidRDefault="007A2DBE" w:rsidP="00F90163">
      <w:r w:rsidRPr="007A2DBE">
        <w:t>Met</w:t>
      </w:r>
    </w:p>
    <w:p w14:paraId="4C9B0825" w14:textId="77777777" w:rsidR="00F90163" w:rsidRDefault="00F90163" w:rsidP="00F90163">
      <w:pPr>
        <w:pStyle w:val="Heading4"/>
      </w:pPr>
      <w:r w:rsidRPr="00617C76">
        <w:t>Achievements over 2025</w:t>
      </w:r>
    </w:p>
    <w:p w14:paraId="21C43A1B" w14:textId="77777777" w:rsidR="009A465A" w:rsidRDefault="009A465A" w:rsidP="00F90163">
      <w:r w:rsidRPr="009A465A">
        <w:t xml:space="preserve">In March 2025, the </w:t>
      </w:r>
      <w:proofErr w:type="spellStart"/>
      <w:r w:rsidRPr="009A465A">
        <w:t>ReefTO</w:t>
      </w:r>
      <w:proofErr w:type="spellEnd"/>
      <w:r w:rsidRPr="009A465A">
        <w:t xml:space="preserve"> Taskforce held its first Sea Country Forum, attended by over 160 Traditional Owners representing 65 Traditional Owner groups. At this forum, Traditional Owners identified their priorities for delivery in the TO Implementation Plan including:</w:t>
      </w:r>
    </w:p>
    <w:p w14:paraId="2FCA8186" w14:textId="77777777" w:rsidR="009A465A" w:rsidRDefault="009A465A" w:rsidP="002232A3">
      <w:pPr>
        <w:pStyle w:val="ListParagraph"/>
        <w:numPr>
          <w:ilvl w:val="0"/>
          <w:numId w:val="54"/>
        </w:numPr>
      </w:pPr>
      <w:r w:rsidRPr="009A465A">
        <w:t>Expansion and strengthening of Traditional Use of Marine Resources Agreements (TUMRA), Indigenous Protected Areas (IPA), and Ranger Programs.</w:t>
      </w:r>
    </w:p>
    <w:p w14:paraId="06E53B2C" w14:textId="77777777" w:rsidR="009A465A" w:rsidRDefault="009A465A" w:rsidP="002232A3">
      <w:pPr>
        <w:pStyle w:val="ListParagraph"/>
        <w:numPr>
          <w:ilvl w:val="0"/>
          <w:numId w:val="54"/>
        </w:numPr>
      </w:pPr>
      <w:r w:rsidRPr="009A465A">
        <w:t>Support for market</w:t>
      </w:r>
      <w:r w:rsidRPr="009A465A">
        <w:noBreakHyphen/>
        <w:t>based opportunities and enterprise development.</w:t>
      </w:r>
    </w:p>
    <w:p w14:paraId="29787918" w14:textId="77777777" w:rsidR="009A465A" w:rsidRDefault="009A465A" w:rsidP="002232A3">
      <w:pPr>
        <w:pStyle w:val="ListParagraph"/>
        <w:numPr>
          <w:ilvl w:val="0"/>
          <w:numId w:val="54"/>
        </w:numPr>
      </w:pPr>
      <w:r w:rsidRPr="009A465A">
        <w:t>Establishment of a Traditional Owner</w:t>
      </w:r>
      <w:r w:rsidRPr="009A465A">
        <w:noBreakHyphen/>
        <w:t>Led Research Coordination Unit.</w:t>
      </w:r>
    </w:p>
    <w:p w14:paraId="1B3AC812" w14:textId="77777777" w:rsidR="002232A3" w:rsidRDefault="009A465A" w:rsidP="002232A3">
      <w:pPr>
        <w:pStyle w:val="ListParagraph"/>
        <w:numPr>
          <w:ilvl w:val="0"/>
          <w:numId w:val="54"/>
        </w:numPr>
      </w:pPr>
      <w:r w:rsidRPr="009A465A">
        <w:t xml:space="preserve">Strengthening traditional knowledge management and protection. </w:t>
      </w:r>
    </w:p>
    <w:p w14:paraId="511372EE" w14:textId="5A2D69A5" w:rsidR="009A465A" w:rsidRDefault="009A465A" w:rsidP="00F90163">
      <w:r w:rsidRPr="009A465A">
        <w:t xml:space="preserve">By July 2026, the </w:t>
      </w:r>
      <w:proofErr w:type="spellStart"/>
      <w:r w:rsidRPr="009A465A">
        <w:t>ReefTO</w:t>
      </w:r>
      <w:proofErr w:type="spellEnd"/>
      <w:r w:rsidRPr="009A465A">
        <w:t xml:space="preserve"> Taskforce aims to:</w:t>
      </w:r>
    </w:p>
    <w:p w14:paraId="5AF0E5D5" w14:textId="77777777" w:rsidR="009A465A" w:rsidRDefault="009A465A" w:rsidP="002232A3">
      <w:pPr>
        <w:pStyle w:val="ListParagraph"/>
        <w:numPr>
          <w:ilvl w:val="0"/>
          <w:numId w:val="55"/>
        </w:numPr>
      </w:pPr>
      <w:r w:rsidRPr="009A465A">
        <w:t>Engage with at least 80% of organisations representing Reef Traditional Owners with inherent Sea Country rights within the Great Barrier Reef World Heritage Area</w:t>
      </w:r>
      <w:r>
        <w:t>.</w:t>
      </w:r>
    </w:p>
    <w:p w14:paraId="36AFAB9A" w14:textId="77777777" w:rsidR="002232A3" w:rsidRDefault="009A465A" w:rsidP="002232A3">
      <w:pPr>
        <w:pStyle w:val="ListParagraph"/>
        <w:numPr>
          <w:ilvl w:val="0"/>
          <w:numId w:val="55"/>
        </w:numPr>
      </w:pPr>
      <w:r w:rsidRPr="009A465A">
        <w:t xml:space="preserve">Invite participation from alliances and groups with cultural connections to the Reef, including: </w:t>
      </w:r>
    </w:p>
    <w:p w14:paraId="1BB50E0E" w14:textId="77777777" w:rsidR="00B45404" w:rsidRDefault="009A465A" w:rsidP="00B45404">
      <w:pPr>
        <w:pStyle w:val="ListParagraph"/>
        <w:numPr>
          <w:ilvl w:val="1"/>
          <w:numId w:val="55"/>
        </w:numPr>
      </w:pPr>
      <w:r w:rsidRPr="009A465A">
        <w:t xml:space="preserve">Traditional Owners with inherent Sea Country rights in the Great Barrier Reef World Heritage Area; and </w:t>
      </w:r>
    </w:p>
    <w:p w14:paraId="17AF12FC" w14:textId="5615C1B5" w:rsidR="002232A3" w:rsidRDefault="009A465A" w:rsidP="00B45404">
      <w:pPr>
        <w:pStyle w:val="ListParagraph"/>
        <w:numPr>
          <w:ilvl w:val="1"/>
          <w:numId w:val="55"/>
        </w:numPr>
      </w:pPr>
      <w:r w:rsidRPr="009A465A">
        <w:t xml:space="preserve">Where possible, groups and alliances whose cultural responsibilities are linked to the Reef through catchments and river systems. </w:t>
      </w:r>
    </w:p>
    <w:p w14:paraId="094E29D6" w14:textId="77777777" w:rsidR="002232A3" w:rsidRDefault="009A465A" w:rsidP="002232A3">
      <w:pPr>
        <w:pStyle w:val="ListParagraph"/>
        <w:numPr>
          <w:ilvl w:val="0"/>
          <w:numId w:val="55"/>
        </w:numPr>
      </w:pPr>
      <w:r w:rsidRPr="009A465A">
        <w:t>Provide multiple engagement channels, including in</w:t>
      </w:r>
      <w:r w:rsidRPr="009A465A">
        <w:noBreakHyphen/>
        <w:t xml:space="preserve">person, online, written submissions, and public events. </w:t>
      </w:r>
    </w:p>
    <w:p w14:paraId="729460FC" w14:textId="68791CAE" w:rsidR="00F90163" w:rsidRPr="003E2721" w:rsidRDefault="009A465A" w:rsidP="002232A3">
      <w:pPr>
        <w:pStyle w:val="ListParagraph"/>
        <w:numPr>
          <w:ilvl w:val="0"/>
          <w:numId w:val="55"/>
        </w:numPr>
      </w:pPr>
      <w:r w:rsidRPr="009A465A">
        <w:t>Increase awareness of the TO Implementation Plan and associated opportunities to get involved in project activities.</w:t>
      </w:r>
    </w:p>
    <w:p w14:paraId="0509A400" w14:textId="6926DAE4" w:rsidR="00B8027C" w:rsidRDefault="00042808" w:rsidP="00B8027C">
      <w:pPr>
        <w:pStyle w:val="Heading3"/>
      </w:pPr>
      <w:bookmarkStart w:id="20" w:name="_Toc225506042"/>
      <w:r w:rsidRPr="00042808">
        <w:t>Inland Waters Target 15c (IWT) Working Group</w:t>
      </w:r>
      <w:bookmarkEnd w:id="20"/>
    </w:p>
    <w:p w14:paraId="5DE54B26" w14:textId="77777777" w:rsidR="00B8027C" w:rsidRDefault="00B8027C" w:rsidP="00B8027C">
      <w:pPr>
        <w:pStyle w:val="Heading4"/>
      </w:pPr>
      <w:r w:rsidRPr="00617C76">
        <w:t>Partnership description</w:t>
      </w:r>
    </w:p>
    <w:p w14:paraId="4080D5A6" w14:textId="44A1A9D6" w:rsidR="00B8027C" w:rsidRPr="00837360" w:rsidRDefault="00042808" w:rsidP="00B8027C">
      <w:r w:rsidRPr="00042808">
        <w:t>The IWT Working Group is co</w:t>
      </w:r>
      <w:r w:rsidRPr="00042808">
        <w:noBreakHyphen/>
        <w:t>chaired by the National Native Title Council (NNTC) and the Department of Climate Change, Energy, the Environment and Water (</w:t>
      </w:r>
      <w:proofErr w:type="spellStart"/>
      <w:r w:rsidRPr="00042808">
        <w:t>Cth</w:t>
      </w:r>
      <w:proofErr w:type="spellEnd"/>
      <w:r w:rsidRPr="00042808">
        <w:t xml:space="preserve"> DCCEEW). The NNTC is the formal partner to the Australian Government in the establishment of the IWT. The IWT working group includes representatives from jurisdictional governments, the Coalition of Aboriginal and Torres Strait Islander Peak Organisations (Coalition </w:t>
      </w:r>
      <w:r w:rsidRPr="00042808">
        <w:lastRenderedPageBreak/>
        <w:t>of Peaks), the National Indigenous Australians Agency, the Committee on Aboriginal and Torres Strait Islander Water Interests, and the Bureau of Meteorology.</w:t>
      </w:r>
    </w:p>
    <w:p w14:paraId="29911E98" w14:textId="77777777" w:rsidR="00B8027C" w:rsidRDefault="00B8027C" w:rsidP="00B8027C">
      <w:pPr>
        <w:pStyle w:val="Heading4"/>
      </w:pPr>
      <w:r w:rsidRPr="00DF6278">
        <w:t>Aboriginal and Torres Strait Islander parties</w:t>
      </w:r>
    </w:p>
    <w:p w14:paraId="4346780F" w14:textId="3ECC722D" w:rsidR="00042808" w:rsidRPr="009A75F0" w:rsidRDefault="00042808" w:rsidP="00B8027C">
      <w:r w:rsidRPr="009A75F0">
        <w:t xml:space="preserve">National Native Title Council (NNTC) </w:t>
      </w:r>
      <w:r w:rsidR="009E2215">
        <w:t>(endorsing partner)</w:t>
      </w:r>
    </w:p>
    <w:p w14:paraId="0E24F655" w14:textId="77777777" w:rsidR="00042808" w:rsidRDefault="00042808" w:rsidP="00B8027C">
      <w:r w:rsidRPr="00042808">
        <w:t xml:space="preserve">Jurisdictional Peaks representatives and Traditional Owner representative organisations </w:t>
      </w:r>
    </w:p>
    <w:p w14:paraId="3F4F662A" w14:textId="0178B0D8" w:rsidR="00B8027C" w:rsidRPr="00837360" w:rsidRDefault="00042808" w:rsidP="00B8027C">
      <w:r w:rsidRPr="00042808">
        <w:t>The Coalition of Aboriginal and Torres Strait Islander Peak Organisations (Coalition of Peaks)</w:t>
      </w:r>
    </w:p>
    <w:p w14:paraId="640F34E5" w14:textId="77777777" w:rsidR="00B8027C" w:rsidRPr="00617C76" w:rsidRDefault="00B8027C" w:rsidP="00B8027C">
      <w:pPr>
        <w:pStyle w:val="Heading4"/>
      </w:pPr>
      <w:r w:rsidRPr="00617C76">
        <w:t>Government parties</w:t>
      </w:r>
    </w:p>
    <w:p w14:paraId="366D14A7" w14:textId="77777777" w:rsidR="00B8027C" w:rsidRDefault="00B8027C" w:rsidP="00B8027C">
      <w:pPr>
        <w:pStyle w:val="Heading5"/>
      </w:pPr>
      <w:r w:rsidRPr="00115C74">
        <w:t xml:space="preserve">COMMONWEALTH PARTIES </w:t>
      </w:r>
    </w:p>
    <w:p w14:paraId="1D7C995A" w14:textId="66F2146A" w:rsidR="00B81E1E" w:rsidRDefault="00B81E1E" w:rsidP="00B8027C">
      <w:r w:rsidRPr="009A75F0">
        <w:t>Department of Climate Change, Energy, the Environment and Water (</w:t>
      </w:r>
      <w:proofErr w:type="spellStart"/>
      <w:r w:rsidRPr="009A75F0">
        <w:t>Cth</w:t>
      </w:r>
      <w:proofErr w:type="spellEnd"/>
      <w:r w:rsidRPr="009A75F0">
        <w:t xml:space="preserve"> DCCEEW)</w:t>
      </w:r>
      <w:r w:rsidRPr="00B81E1E">
        <w:t xml:space="preserve"> </w:t>
      </w:r>
      <w:r w:rsidR="009E2215">
        <w:t xml:space="preserve">(endorsing partner) </w:t>
      </w:r>
      <w:r w:rsidRPr="00B81E1E">
        <w:t xml:space="preserve">advised by the Committee on Aboriginal and Torres Strait Islander Water Interests </w:t>
      </w:r>
    </w:p>
    <w:p w14:paraId="2544EE46" w14:textId="6075AD0C" w:rsidR="00B81E1E" w:rsidRDefault="00B81E1E" w:rsidP="00B8027C">
      <w:r w:rsidRPr="00B81E1E">
        <w:t xml:space="preserve">National Indigenous Australians Agency </w:t>
      </w:r>
    </w:p>
    <w:p w14:paraId="11BE0DE2" w14:textId="0C474594" w:rsidR="00B8027C" w:rsidRDefault="00B81E1E" w:rsidP="00B8027C">
      <w:r w:rsidRPr="00B81E1E">
        <w:t>Bureau of Meteorology</w:t>
      </w:r>
    </w:p>
    <w:p w14:paraId="432747F4" w14:textId="77777777" w:rsidR="00B8027C" w:rsidRPr="00115C74" w:rsidRDefault="00B8027C" w:rsidP="00B8027C">
      <w:pPr>
        <w:pStyle w:val="Heading5"/>
      </w:pPr>
      <w:r w:rsidRPr="00115C74">
        <w:t xml:space="preserve">STATE AND TERRITORY PARTIES </w:t>
      </w:r>
    </w:p>
    <w:p w14:paraId="2054A2BB" w14:textId="77777777" w:rsidR="00B81E1E" w:rsidRDefault="00B81E1E" w:rsidP="00B8027C">
      <w:r w:rsidRPr="00B81E1E">
        <w:t xml:space="preserve">Office of Water (Australian Capital Territory Government) </w:t>
      </w:r>
    </w:p>
    <w:p w14:paraId="44F44092" w14:textId="77777777" w:rsidR="00B81E1E" w:rsidRDefault="00B81E1E" w:rsidP="00B8027C">
      <w:r w:rsidRPr="00B81E1E">
        <w:t xml:space="preserve">Department of Climate Change, Energy, the Environment and Water (New South Wales) </w:t>
      </w:r>
    </w:p>
    <w:p w14:paraId="5312B691" w14:textId="77777777" w:rsidR="00B81E1E" w:rsidRDefault="00B81E1E" w:rsidP="00B8027C">
      <w:r w:rsidRPr="00B81E1E">
        <w:t xml:space="preserve">Department of Local Government, Water and Volunteers (Queensland) </w:t>
      </w:r>
    </w:p>
    <w:p w14:paraId="6FDC1F69" w14:textId="77777777" w:rsidR="00B81E1E" w:rsidRDefault="00B81E1E" w:rsidP="00B8027C">
      <w:r w:rsidRPr="00B81E1E">
        <w:t xml:space="preserve">Department of Water and Environmental Regulation (Western Australia) </w:t>
      </w:r>
    </w:p>
    <w:p w14:paraId="2FA59107" w14:textId="77777777" w:rsidR="00B81E1E" w:rsidRDefault="00B81E1E" w:rsidP="00B8027C">
      <w:r w:rsidRPr="00B81E1E">
        <w:t xml:space="preserve">Department for Environment and Water (South Australia) </w:t>
      </w:r>
    </w:p>
    <w:p w14:paraId="53FBC0E7" w14:textId="77777777" w:rsidR="00B81E1E" w:rsidRDefault="00B81E1E" w:rsidP="00B8027C">
      <w:r w:rsidRPr="00B81E1E">
        <w:t xml:space="preserve">Department of the Chief Minister and Cabinet and Department of Lands, Planning and Environment (Northern Territory) </w:t>
      </w:r>
    </w:p>
    <w:p w14:paraId="13B867F2" w14:textId="77777777" w:rsidR="00B81E1E" w:rsidRDefault="00B81E1E" w:rsidP="00B8027C">
      <w:r w:rsidRPr="00B81E1E">
        <w:t xml:space="preserve">Department of Energy, Environment and Climate Action (Victoria) </w:t>
      </w:r>
    </w:p>
    <w:p w14:paraId="550045F7" w14:textId="7C2432A9" w:rsidR="00B8027C" w:rsidRPr="00617C76" w:rsidRDefault="00B81E1E" w:rsidP="00B8027C">
      <w:r w:rsidRPr="00B81E1E">
        <w:t>Department of Natural Resources and Environment (Tasmania)</w:t>
      </w:r>
    </w:p>
    <w:p w14:paraId="0688E4E8" w14:textId="77777777" w:rsidR="00B8027C" w:rsidRPr="00617C76" w:rsidRDefault="00B8027C" w:rsidP="00B8027C">
      <w:pPr>
        <w:pStyle w:val="Heading4"/>
      </w:pPr>
      <w:r w:rsidRPr="00617C76">
        <w:t>Priority Reforms and Socio-economic Outcomes</w:t>
      </w:r>
    </w:p>
    <w:p w14:paraId="4412C381" w14:textId="77777777" w:rsidR="00C43373" w:rsidRDefault="00C43373" w:rsidP="00C43373">
      <w:r w:rsidRPr="00C43373">
        <w:t xml:space="preserve">Priority Reform 1 </w:t>
      </w:r>
    </w:p>
    <w:p w14:paraId="05396942" w14:textId="77777777" w:rsidR="00C43373" w:rsidRDefault="00C43373" w:rsidP="00C43373">
      <w:r w:rsidRPr="00C43373">
        <w:t xml:space="preserve">Priority Reform 2 </w:t>
      </w:r>
    </w:p>
    <w:p w14:paraId="20050370" w14:textId="77777777" w:rsidR="00C43373" w:rsidRDefault="00C43373" w:rsidP="00C43373">
      <w:r w:rsidRPr="00C43373">
        <w:t xml:space="preserve">Priority Reform 3 </w:t>
      </w:r>
    </w:p>
    <w:p w14:paraId="6951C430" w14:textId="77777777" w:rsidR="00C43373" w:rsidRDefault="00C43373" w:rsidP="00C43373">
      <w:r w:rsidRPr="00C43373">
        <w:t xml:space="preserve">Priority Reform 4 </w:t>
      </w:r>
    </w:p>
    <w:p w14:paraId="4CC25965" w14:textId="7B619303" w:rsidR="00B8027C" w:rsidRPr="007C35F3" w:rsidRDefault="00C43373" w:rsidP="00C43373">
      <w:r w:rsidRPr="00C43373">
        <w:t>Outcome 15</w:t>
      </w:r>
    </w:p>
    <w:p w14:paraId="56EC4B9C" w14:textId="77777777" w:rsidR="00B8027C" w:rsidRPr="00617C76" w:rsidRDefault="00B8027C" w:rsidP="00B8027C">
      <w:pPr>
        <w:pStyle w:val="Heading4"/>
      </w:pPr>
      <w:r w:rsidRPr="00617C76">
        <w:t>Partnership function</w:t>
      </w:r>
    </w:p>
    <w:p w14:paraId="19ED4202" w14:textId="77777777" w:rsidR="00466B56" w:rsidRDefault="00466B56" w:rsidP="00B8027C">
      <w:r w:rsidRPr="00466B56">
        <w:t xml:space="preserve">Policy </w:t>
      </w:r>
    </w:p>
    <w:p w14:paraId="421D8A4C" w14:textId="1606B227" w:rsidR="00B8027C" w:rsidRPr="00617C76" w:rsidRDefault="00466B56" w:rsidP="00B8027C">
      <w:r w:rsidRPr="00466B56">
        <w:t>Other</w:t>
      </w:r>
    </w:p>
    <w:p w14:paraId="024F4B4C" w14:textId="77777777" w:rsidR="00B8027C" w:rsidRPr="00617C76" w:rsidRDefault="00B8027C" w:rsidP="00B8027C">
      <w:pPr>
        <w:pStyle w:val="Heading4"/>
      </w:pPr>
      <w:r w:rsidRPr="00617C76">
        <w:t>Partnership timeframe</w:t>
      </w:r>
    </w:p>
    <w:p w14:paraId="3708533D" w14:textId="59E7C89B" w:rsidR="00B8027C" w:rsidRPr="00617C76" w:rsidRDefault="00466B56" w:rsidP="00B8027C">
      <w:r w:rsidRPr="00466B56">
        <w:t>Current</w:t>
      </w:r>
    </w:p>
    <w:p w14:paraId="556E2094" w14:textId="77777777" w:rsidR="00B8027C" w:rsidRPr="00617C76" w:rsidRDefault="00B8027C" w:rsidP="00B8027C">
      <w:pPr>
        <w:pStyle w:val="Heading4"/>
      </w:pPr>
      <w:r w:rsidRPr="00617C76">
        <w:lastRenderedPageBreak/>
        <w:t>Actions taken to strengthen the partnership in 2025</w:t>
      </w:r>
    </w:p>
    <w:p w14:paraId="3BA9E047" w14:textId="77777777" w:rsidR="00F565D7" w:rsidRDefault="00466B56" w:rsidP="00B8027C">
      <w:r w:rsidRPr="00466B56">
        <w:t>The partnership has been strengthened through the development and agreement by all parties to a set of principles which guide and support the development of the IWT through partnerships and shared decision</w:t>
      </w:r>
      <w:r w:rsidRPr="00466B56">
        <w:noBreakHyphen/>
        <w:t xml:space="preserve">making: </w:t>
      </w:r>
    </w:p>
    <w:p w14:paraId="4F5E9FA8" w14:textId="77777777" w:rsidR="00F565D7" w:rsidRDefault="00466B56" w:rsidP="00F565D7">
      <w:pPr>
        <w:spacing w:after="0"/>
        <w:ind w:left="720"/>
      </w:pPr>
      <w:r w:rsidRPr="00466B56">
        <w:t xml:space="preserve">Principle 1: Adherence to National Closing the Gap Priority Reforms. </w:t>
      </w:r>
    </w:p>
    <w:p w14:paraId="6AAD0063" w14:textId="77777777" w:rsidR="00F565D7" w:rsidRDefault="00466B56" w:rsidP="00F565D7">
      <w:pPr>
        <w:spacing w:after="0"/>
        <w:ind w:left="720"/>
      </w:pPr>
      <w:r w:rsidRPr="00466B56">
        <w:t xml:space="preserve">Principle 2: Nationally consistent data methodology. </w:t>
      </w:r>
    </w:p>
    <w:p w14:paraId="104A86FD" w14:textId="77777777" w:rsidR="00F565D7" w:rsidRDefault="00466B56" w:rsidP="00F565D7">
      <w:pPr>
        <w:spacing w:after="0"/>
        <w:ind w:left="720"/>
      </w:pPr>
      <w:r w:rsidRPr="00466B56">
        <w:t xml:space="preserve">Principle 3: Recognise and increase Aboriginal and Torres Strait Islander peoples’ rights to water. </w:t>
      </w:r>
    </w:p>
    <w:p w14:paraId="479A3985" w14:textId="77777777" w:rsidR="00F565D7" w:rsidRDefault="00466B56" w:rsidP="00F565D7">
      <w:pPr>
        <w:spacing w:after="0"/>
        <w:ind w:left="720"/>
      </w:pPr>
      <w:r w:rsidRPr="00466B56">
        <w:t xml:space="preserve">Principle 4: Protection of Cultural and scientific knowledge. </w:t>
      </w:r>
    </w:p>
    <w:p w14:paraId="6CF44EED" w14:textId="77777777" w:rsidR="00F565D7" w:rsidRDefault="00466B56" w:rsidP="00F565D7">
      <w:pPr>
        <w:ind w:left="720"/>
      </w:pPr>
      <w:r w:rsidRPr="00466B56">
        <w:t xml:space="preserve">Principle 5: Respectful engagement with Aboriginal and Torres Strait Islander peoples. </w:t>
      </w:r>
    </w:p>
    <w:p w14:paraId="4AEB6252" w14:textId="76AF51EB" w:rsidR="00F565D7" w:rsidRDefault="00466B56" w:rsidP="00B8027C">
      <w:r w:rsidRPr="00466B56">
        <w:t xml:space="preserve">Through the </w:t>
      </w:r>
      <w:proofErr w:type="spellStart"/>
      <w:r w:rsidRPr="00466B56">
        <w:t>Cth</w:t>
      </w:r>
      <w:proofErr w:type="spellEnd"/>
      <w:r w:rsidRPr="00466B56">
        <w:t xml:space="preserve"> DCCEEW’s work agreeing to these principles we have seen more robust conversations between jurisdictional governments and Aboriginal Peaks and greater progress towards establishing an IWT in the National Agreement. Resourcing the NNTC under clause 33 has strengthened abilities to engage nationally and ensure up</w:t>
      </w:r>
      <w:r w:rsidRPr="00466B56">
        <w:noBreakHyphen/>
        <w:t>to</w:t>
      </w:r>
      <w:r w:rsidRPr="00466B56">
        <w:noBreakHyphen/>
        <w:t xml:space="preserve">date information is presented and policy positions more coherent. </w:t>
      </w:r>
    </w:p>
    <w:p w14:paraId="7CE4C14D" w14:textId="15B9A083" w:rsidR="00B8027C" w:rsidRPr="00617C76" w:rsidRDefault="00466B56" w:rsidP="00B8027C">
      <w:r w:rsidRPr="00466B56">
        <w:t>Additionally, the Coalition of Peaks</w:t>
      </w:r>
      <w:r w:rsidR="002D7CA5">
        <w:t>’</w:t>
      </w:r>
      <w:r w:rsidRPr="00466B56">
        <w:t xml:space="preserve"> position on the IWT jurisdictional approach details their expectations of the Australian Government with regards to upholding integrity, transparency, consistency and committing to working in partnership and in shared decision</w:t>
      </w:r>
      <w:r w:rsidRPr="00466B56">
        <w:noBreakHyphen/>
        <w:t>making with Aboriginal and Torres Strait Islander peoples.</w:t>
      </w:r>
    </w:p>
    <w:p w14:paraId="6ED8AA9E" w14:textId="77777777" w:rsidR="00B8027C" w:rsidRPr="00617C76" w:rsidRDefault="00B8027C" w:rsidP="00B8027C">
      <w:pPr>
        <w:pStyle w:val="Heading4"/>
      </w:pPr>
      <w:r w:rsidRPr="00617C76">
        <w:t>Strong partnership indicators</w:t>
      </w:r>
    </w:p>
    <w:p w14:paraId="09167526" w14:textId="77777777" w:rsidR="00B8027C" w:rsidRPr="00617C76" w:rsidRDefault="00B8027C" w:rsidP="00B8027C">
      <w:pPr>
        <w:pStyle w:val="Heading5"/>
      </w:pPr>
      <w:r w:rsidRPr="00617C76">
        <w:t>Clause 32A:</w:t>
      </w:r>
    </w:p>
    <w:p w14:paraId="3D98EF1F" w14:textId="7ED8A23B" w:rsidR="00B8027C" w:rsidRDefault="008A62EB" w:rsidP="008A62EB">
      <w:pPr>
        <w:pStyle w:val="ListParagraph"/>
        <w:numPr>
          <w:ilvl w:val="0"/>
          <w:numId w:val="56"/>
        </w:numPr>
      </w:pPr>
      <w:r w:rsidRPr="008A62EB">
        <w:t>Met</w:t>
      </w:r>
    </w:p>
    <w:p w14:paraId="2F1A5A92" w14:textId="4C818F98" w:rsidR="00B8027C" w:rsidRDefault="008A62EB" w:rsidP="008A62EB">
      <w:pPr>
        <w:pStyle w:val="ListParagraph"/>
        <w:numPr>
          <w:ilvl w:val="0"/>
          <w:numId w:val="56"/>
        </w:numPr>
      </w:pPr>
      <w:r w:rsidRPr="008A62EB">
        <w:t>Met</w:t>
      </w:r>
    </w:p>
    <w:p w14:paraId="21115281" w14:textId="331B2D5F" w:rsidR="00B8027C" w:rsidRDefault="008A62EB" w:rsidP="008A62EB">
      <w:pPr>
        <w:pStyle w:val="ListParagraph"/>
        <w:numPr>
          <w:ilvl w:val="0"/>
          <w:numId w:val="56"/>
        </w:numPr>
      </w:pPr>
      <w:r w:rsidRPr="008A62EB">
        <w:t>Met</w:t>
      </w:r>
    </w:p>
    <w:p w14:paraId="3096F2EF" w14:textId="77777777" w:rsidR="00B8027C" w:rsidRPr="00617C76" w:rsidRDefault="00B8027C" w:rsidP="00B8027C">
      <w:pPr>
        <w:pStyle w:val="Heading5"/>
      </w:pPr>
      <w:r w:rsidRPr="00617C76">
        <w:t>Clause 32B:</w:t>
      </w:r>
    </w:p>
    <w:p w14:paraId="29F28D06" w14:textId="74E076B3" w:rsidR="00B8027C" w:rsidRDefault="008A62EB" w:rsidP="008A62EB">
      <w:pPr>
        <w:pStyle w:val="ListParagraph"/>
        <w:numPr>
          <w:ilvl w:val="0"/>
          <w:numId w:val="57"/>
        </w:numPr>
      </w:pPr>
      <w:r w:rsidRPr="008A62EB">
        <w:t>Met</w:t>
      </w:r>
    </w:p>
    <w:p w14:paraId="5918DC9F" w14:textId="782F690A" w:rsidR="00B8027C" w:rsidRDefault="008A62EB" w:rsidP="008A62EB">
      <w:pPr>
        <w:pStyle w:val="ListParagraph"/>
        <w:numPr>
          <w:ilvl w:val="0"/>
          <w:numId w:val="57"/>
        </w:numPr>
      </w:pPr>
      <w:r w:rsidRPr="008A62EB">
        <w:t>Met</w:t>
      </w:r>
    </w:p>
    <w:p w14:paraId="29D49781" w14:textId="214481BB" w:rsidR="00B8027C" w:rsidRDefault="008A62EB" w:rsidP="008A62EB">
      <w:pPr>
        <w:pStyle w:val="ListParagraph"/>
        <w:numPr>
          <w:ilvl w:val="0"/>
          <w:numId w:val="57"/>
        </w:numPr>
      </w:pPr>
      <w:r>
        <w:t>Not met</w:t>
      </w:r>
    </w:p>
    <w:p w14:paraId="5BC4FE3D" w14:textId="4E058966" w:rsidR="00B8027C" w:rsidRDefault="008A62EB" w:rsidP="008A62EB">
      <w:pPr>
        <w:pStyle w:val="ListParagraph"/>
        <w:numPr>
          <w:ilvl w:val="0"/>
          <w:numId w:val="57"/>
        </w:numPr>
      </w:pPr>
      <w:r>
        <w:t>Not met</w:t>
      </w:r>
    </w:p>
    <w:p w14:paraId="2F5A43DA" w14:textId="77777777" w:rsidR="00B8027C" w:rsidRPr="00617C76" w:rsidRDefault="00B8027C" w:rsidP="00B8027C">
      <w:pPr>
        <w:pStyle w:val="Heading5"/>
      </w:pPr>
      <w:r w:rsidRPr="00617C76">
        <w:t>Clause 32C:</w:t>
      </w:r>
    </w:p>
    <w:p w14:paraId="34E9C5EE" w14:textId="21841781" w:rsidR="00B8027C" w:rsidRDefault="008A62EB" w:rsidP="008A62EB">
      <w:pPr>
        <w:pStyle w:val="ListParagraph"/>
        <w:numPr>
          <w:ilvl w:val="0"/>
          <w:numId w:val="58"/>
        </w:numPr>
      </w:pPr>
      <w:r w:rsidRPr="008A62EB">
        <w:t>Met</w:t>
      </w:r>
    </w:p>
    <w:p w14:paraId="075B1D19" w14:textId="57D1364B" w:rsidR="00B8027C" w:rsidRDefault="008A62EB" w:rsidP="008A62EB">
      <w:pPr>
        <w:pStyle w:val="ListParagraph"/>
        <w:numPr>
          <w:ilvl w:val="0"/>
          <w:numId w:val="58"/>
        </w:numPr>
      </w:pPr>
      <w:r w:rsidRPr="008A62EB">
        <w:t>Met</w:t>
      </w:r>
    </w:p>
    <w:p w14:paraId="4D77EF32" w14:textId="2BD68CE0" w:rsidR="00B8027C" w:rsidRDefault="008A62EB" w:rsidP="008A62EB">
      <w:pPr>
        <w:pStyle w:val="ListParagraph"/>
        <w:numPr>
          <w:ilvl w:val="0"/>
          <w:numId w:val="58"/>
        </w:numPr>
      </w:pPr>
      <w:r w:rsidRPr="008A62EB">
        <w:t>Met</w:t>
      </w:r>
    </w:p>
    <w:p w14:paraId="0D2023F7" w14:textId="27D86223" w:rsidR="00B8027C" w:rsidRDefault="008A62EB" w:rsidP="008A62EB">
      <w:pPr>
        <w:pStyle w:val="ListParagraph"/>
        <w:numPr>
          <w:ilvl w:val="0"/>
          <w:numId w:val="58"/>
        </w:numPr>
      </w:pPr>
      <w:r w:rsidRPr="008A62EB">
        <w:t>Met</w:t>
      </w:r>
    </w:p>
    <w:p w14:paraId="25106332" w14:textId="261E40DF" w:rsidR="00B8027C" w:rsidRDefault="008A62EB" w:rsidP="008A62EB">
      <w:pPr>
        <w:pStyle w:val="ListParagraph"/>
        <w:numPr>
          <w:ilvl w:val="0"/>
          <w:numId w:val="58"/>
        </w:numPr>
      </w:pPr>
      <w:r w:rsidRPr="008A62EB">
        <w:t>Met</w:t>
      </w:r>
    </w:p>
    <w:p w14:paraId="00BA2BF1" w14:textId="7B813096" w:rsidR="00B8027C" w:rsidRDefault="008A62EB" w:rsidP="008A62EB">
      <w:pPr>
        <w:pStyle w:val="ListParagraph"/>
        <w:numPr>
          <w:ilvl w:val="0"/>
          <w:numId w:val="58"/>
        </w:numPr>
      </w:pPr>
      <w:r>
        <w:t>N/A</w:t>
      </w:r>
    </w:p>
    <w:p w14:paraId="01346790" w14:textId="24061329" w:rsidR="00B8027C" w:rsidRDefault="008A62EB" w:rsidP="008A62EB">
      <w:pPr>
        <w:pStyle w:val="ListParagraph"/>
        <w:numPr>
          <w:ilvl w:val="0"/>
          <w:numId w:val="58"/>
        </w:numPr>
      </w:pPr>
      <w:r w:rsidRPr="008A62EB">
        <w:t>Met</w:t>
      </w:r>
    </w:p>
    <w:p w14:paraId="5275BCD4" w14:textId="77777777" w:rsidR="00B8027C" w:rsidRPr="00617C76" w:rsidRDefault="00B8027C" w:rsidP="00B8027C">
      <w:pPr>
        <w:pStyle w:val="Heading5"/>
      </w:pPr>
      <w:r w:rsidRPr="00617C76">
        <w:t>Clause 33:</w:t>
      </w:r>
    </w:p>
    <w:p w14:paraId="09D9FB3A" w14:textId="48E94270" w:rsidR="00B8027C" w:rsidRDefault="008A62EB" w:rsidP="00B8027C">
      <w:r w:rsidRPr="008A62EB">
        <w:t>Met</w:t>
      </w:r>
    </w:p>
    <w:p w14:paraId="0A87A203" w14:textId="77777777" w:rsidR="00B8027C" w:rsidRDefault="00B8027C" w:rsidP="00B8027C">
      <w:pPr>
        <w:pStyle w:val="Heading4"/>
      </w:pPr>
      <w:r w:rsidRPr="00617C76">
        <w:t>Achievements over 2025</w:t>
      </w:r>
    </w:p>
    <w:p w14:paraId="271B610F" w14:textId="77777777" w:rsidR="00E03E82" w:rsidRDefault="00E03E82" w:rsidP="00B8027C">
      <w:r w:rsidRPr="00E03E82">
        <w:t xml:space="preserve">The partnership has achieved the following strategic priorities to support establishment of an IWT: </w:t>
      </w:r>
    </w:p>
    <w:p w14:paraId="756C3D50" w14:textId="77777777" w:rsidR="00E03E82" w:rsidRDefault="00E03E82" w:rsidP="00B8027C">
      <w:r w:rsidRPr="00E03E82">
        <w:t xml:space="preserve">January 2025: finalisation of: </w:t>
      </w:r>
    </w:p>
    <w:p w14:paraId="4622976F" w14:textId="7D55C34C" w:rsidR="00E03E82" w:rsidRDefault="00E03E82" w:rsidP="00A219F3">
      <w:pPr>
        <w:pStyle w:val="ListParagraph"/>
        <w:numPr>
          <w:ilvl w:val="0"/>
          <w:numId w:val="60"/>
        </w:numPr>
      </w:pPr>
      <w:r w:rsidRPr="00E03E82">
        <w:t xml:space="preserve">A principles and objectives framework to guide jurisdictional IWT enabling reforms, actions, and implementation planning. </w:t>
      </w:r>
    </w:p>
    <w:p w14:paraId="18A999DF" w14:textId="14CAF950" w:rsidR="00E03E82" w:rsidRDefault="00E03E82" w:rsidP="00A219F3">
      <w:pPr>
        <w:pStyle w:val="ListParagraph"/>
        <w:numPr>
          <w:ilvl w:val="0"/>
          <w:numId w:val="60"/>
        </w:numPr>
      </w:pPr>
      <w:r w:rsidRPr="00E03E82">
        <w:lastRenderedPageBreak/>
        <w:t>High</w:t>
      </w:r>
      <w:r w:rsidRPr="00E03E82">
        <w:noBreakHyphen/>
        <w:t xml:space="preserve">level data parameters to provide national consistency to the collection and analysis of inland waters data, including determining baseline inland waters metrics. </w:t>
      </w:r>
    </w:p>
    <w:p w14:paraId="10E50C62" w14:textId="77777777" w:rsidR="00E03E82" w:rsidRDefault="00E03E82" w:rsidP="00B8027C">
      <w:r w:rsidRPr="00E03E82">
        <w:t xml:space="preserve">April 2025: Agreement to a set of national IWT definitions. </w:t>
      </w:r>
    </w:p>
    <w:p w14:paraId="5675934A" w14:textId="77777777" w:rsidR="00E03E82" w:rsidRDefault="00E03E82" w:rsidP="00B8027C">
      <w:r w:rsidRPr="00E03E82">
        <w:t xml:space="preserve">April 2025: IWT Handbook endorsed by the Coalition of Peaks members. </w:t>
      </w:r>
    </w:p>
    <w:p w14:paraId="5C105664" w14:textId="77777777" w:rsidR="00152035" w:rsidRDefault="00E03E82" w:rsidP="00B8027C">
      <w:r w:rsidRPr="00E03E82">
        <w:t>June 2025: In</w:t>
      </w:r>
      <w:r w:rsidRPr="00E03E82">
        <w:noBreakHyphen/>
      </w:r>
      <w:proofErr w:type="gramStart"/>
      <w:r w:rsidRPr="00E03E82">
        <w:t>principle</w:t>
      </w:r>
      <w:proofErr w:type="gramEnd"/>
      <w:r w:rsidRPr="00E03E82">
        <w:t xml:space="preserve"> agreement by the Joint Council on Closing the Gap members present at the 20 June 2025 meeting:</w:t>
      </w:r>
    </w:p>
    <w:p w14:paraId="1A988C86" w14:textId="193394E4" w:rsidR="00152035" w:rsidRDefault="00E03E82" w:rsidP="00152035">
      <w:pPr>
        <w:pStyle w:val="ListParagraph"/>
        <w:numPr>
          <w:ilvl w:val="0"/>
          <w:numId w:val="59"/>
        </w:numPr>
      </w:pPr>
      <w:r w:rsidRPr="00E03E82">
        <w:t xml:space="preserve">To formalise an IWT in the National Agreement by embedding a new Target 15c. </w:t>
      </w:r>
    </w:p>
    <w:p w14:paraId="4D22F248" w14:textId="120C4835" w:rsidR="00152035" w:rsidRDefault="00E03E82" w:rsidP="00152035">
      <w:pPr>
        <w:pStyle w:val="ListParagraph"/>
        <w:numPr>
          <w:ilvl w:val="0"/>
          <w:numId w:val="59"/>
        </w:numPr>
      </w:pPr>
      <w:r w:rsidRPr="00E03E82">
        <w:t>To make the IWT Target a 10</w:t>
      </w:r>
      <w:r w:rsidRPr="00E03E82">
        <w:noBreakHyphen/>
        <w:t xml:space="preserve">year target, with an end date of 2035. </w:t>
      </w:r>
    </w:p>
    <w:p w14:paraId="105EFA93" w14:textId="6953C113" w:rsidR="00B8027C" w:rsidRPr="003E2721" w:rsidRDefault="00E03E82" w:rsidP="00B8027C">
      <w:r w:rsidRPr="00E03E82">
        <w:t>Additionally, several jurisdictions have established partnership arrangements to negotiate their jurisdictional targets and reform activities.</w:t>
      </w:r>
    </w:p>
    <w:p w14:paraId="50D811E9" w14:textId="1E9DE169" w:rsidR="00B8027C" w:rsidRDefault="00423C4C" w:rsidP="00B8027C">
      <w:pPr>
        <w:pStyle w:val="Heading3"/>
      </w:pPr>
      <w:bookmarkStart w:id="21" w:name="_Toc225506043"/>
      <w:r w:rsidRPr="00423C4C">
        <w:t>Connected Beginnings Advisory Group</w:t>
      </w:r>
      <w:bookmarkEnd w:id="21"/>
    </w:p>
    <w:p w14:paraId="0C340A67" w14:textId="77777777" w:rsidR="00B8027C" w:rsidRDefault="00B8027C" w:rsidP="00B8027C">
      <w:pPr>
        <w:pStyle w:val="Heading4"/>
      </w:pPr>
      <w:r w:rsidRPr="00617C76">
        <w:t>Partnership description</w:t>
      </w:r>
    </w:p>
    <w:p w14:paraId="437FB8AE" w14:textId="64A8A51C" w:rsidR="00B8027C" w:rsidRPr="00837360" w:rsidRDefault="007270E9" w:rsidP="00B8027C">
      <w:r w:rsidRPr="007270E9">
        <w:t>The group brings together leaders from Aboriginal and Torres Strait Islander peak bodies, philanthropy, Connected Beginnings funded sites and Aboriginal Community Controlled Organisation (ACCO) early years services. The group was established in 2022 to provide strategic advice on the expansion of the program (target to reach 50 sites by June 2025). Connected Beginnings Advisory Group is co</w:t>
      </w:r>
      <w:r w:rsidRPr="007270E9">
        <w:noBreakHyphen/>
        <w:t>chaired by the Department of Education and SNAICC.</w:t>
      </w:r>
    </w:p>
    <w:p w14:paraId="15DCCBF2" w14:textId="77777777" w:rsidR="00B8027C" w:rsidRDefault="00B8027C" w:rsidP="00B8027C">
      <w:pPr>
        <w:pStyle w:val="Heading4"/>
      </w:pPr>
      <w:r w:rsidRPr="00DF6278">
        <w:t>Aboriginal and Torres Strait Islander parties</w:t>
      </w:r>
    </w:p>
    <w:p w14:paraId="3740AF69" w14:textId="38EC6F16" w:rsidR="007270E9" w:rsidRPr="009A75F0" w:rsidRDefault="007270E9" w:rsidP="00B8027C">
      <w:r w:rsidRPr="009A75F0">
        <w:t>SNAICC – National Voice for our Children (Co</w:t>
      </w:r>
      <w:r w:rsidRPr="009A75F0">
        <w:noBreakHyphen/>
        <w:t xml:space="preserve">Chair) </w:t>
      </w:r>
      <w:r w:rsidR="00815658">
        <w:t>(endorsing partner)</w:t>
      </w:r>
    </w:p>
    <w:p w14:paraId="66F41A1D" w14:textId="626DBB97" w:rsidR="007270E9" w:rsidRPr="009A75F0" w:rsidRDefault="007270E9" w:rsidP="00B8027C">
      <w:r w:rsidRPr="009A75F0">
        <w:t xml:space="preserve">National Aboriginal Community Controlled Health Organisation (NACCHO) </w:t>
      </w:r>
      <w:r w:rsidR="00815658">
        <w:t>(endorsing partner)</w:t>
      </w:r>
    </w:p>
    <w:p w14:paraId="7109BC75" w14:textId="77777777" w:rsidR="008B745A" w:rsidRDefault="007270E9" w:rsidP="00B8027C">
      <w:r w:rsidRPr="007270E9">
        <w:t xml:space="preserve">First Peoples Disability Network </w:t>
      </w:r>
      <w:proofErr w:type="spellStart"/>
      <w:r w:rsidRPr="007270E9">
        <w:t>Coolabaroo</w:t>
      </w:r>
      <w:proofErr w:type="spellEnd"/>
      <w:r w:rsidRPr="007270E9">
        <w:t xml:space="preserve"> </w:t>
      </w:r>
    </w:p>
    <w:p w14:paraId="72FC6D63" w14:textId="7E4325B0" w:rsidR="007270E9" w:rsidRDefault="007270E9" w:rsidP="00B8027C">
      <w:proofErr w:type="spellStart"/>
      <w:r w:rsidRPr="007270E9">
        <w:t>Nikinpa</w:t>
      </w:r>
      <w:proofErr w:type="spellEnd"/>
      <w:r w:rsidRPr="007270E9">
        <w:t xml:space="preserve"> Aboriginal Children’s Service </w:t>
      </w:r>
    </w:p>
    <w:p w14:paraId="0A573C22" w14:textId="77777777" w:rsidR="007270E9" w:rsidRDefault="007270E9" w:rsidP="00B8027C">
      <w:proofErr w:type="spellStart"/>
      <w:r w:rsidRPr="007270E9">
        <w:t>Marninwarntikura</w:t>
      </w:r>
      <w:proofErr w:type="spellEnd"/>
      <w:r w:rsidRPr="007270E9">
        <w:t xml:space="preserve"> Women’s Resource Centre </w:t>
      </w:r>
    </w:p>
    <w:p w14:paraId="61A5EE1F" w14:textId="77777777" w:rsidR="007270E9" w:rsidRDefault="007270E9" w:rsidP="00B8027C">
      <w:r w:rsidRPr="007270E9">
        <w:t xml:space="preserve">Tasmanian Aboriginal Centre </w:t>
      </w:r>
    </w:p>
    <w:p w14:paraId="5288C97F" w14:textId="4FAAAC6F" w:rsidR="00B8027C" w:rsidRPr="00837360" w:rsidRDefault="007270E9" w:rsidP="00B8027C">
      <w:r w:rsidRPr="007270E9">
        <w:t>An Aboriginal representative from the Centre of Health Equity, University of Melbourne</w:t>
      </w:r>
    </w:p>
    <w:p w14:paraId="64A6EB05" w14:textId="77777777" w:rsidR="00B8027C" w:rsidRPr="00617C76" w:rsidRDefault="00B8027C" w:rsidP="00B8027C">
      <w:pPr>
        <w:pStyle w:val="Heading4"/>
      </w:pPr>
      <w:r w:rsidRPr="00617C76">
        <w:t>Government parties</w:t>
      </w:r>
    </w:p>
    <w:p w14:paraId="72930F81" w14:textId="77777777" w:rsidR="00B8027C" w:rsidRDefault="00B8027C" w:rsidP="00B8027C">
      <w:pPr>
        <w:pStyle w:val="Heading5"/>
      </w:pPr>
      <w:r w:rsidRPr="00115C74">
        <w:t xml:space="preserve">COMMONWEALTH PARTIES </w:t>
      </w:r>
    </w:p>
    <w:p w14:paraId="22EB8C1F" w14:textId="511F9A47" w:rsidR="00126EFC" w:rsidRPr="009A75F0" w:rsidRDefault="00126EFC" w:rsidP="00B8027C">
      <w:r w:rsidRPr="009A75F0">
        <w:t>Department of Education</w:t>
      </w:r>
      <w:r w:rsidR="00815658">
        <w:t xml:space="preserve"> (endorsing partner)</w:t>
      </w:r>
    </w:p>
    <w:p w14:paraId="0EC6CF43" w14:textId="02AC314A" w:rsidR="00B8027C" w:rsidRDefault="00126EFC" w:rsidP="00B8027C">
      <w:r w:rsidRPr="00126EFC">
        <w:t>Department of Health, Disability and Ageing</w:t>
      </w:r>
    </w:p>
    <w:p w14:paraId="7C09F981" w14:textId="77777777" w:rsidR="00B8027C" w:rsidRPr="00115C74" w:rsidRDefault="00B8027C" w:rsidP="00B8027C">
      <w:pPr>
        <w:pStyle w:val="Heading5"/>
      </w:pPr>
      <w:r w:rsidRPr="00115C74">
        <w:t xml:space="preserve">STATE AND TERRITORY PARTIES </w:t>
      </w:r>
    </w:p>
    <w:p w14:paraId="25B5C499" w14:textId="38968A48" w:rsidR="00B8027C" w:rsidRPr="00617C76" w:rsidRDefault="00126EFC" w:rsidP="00B8027C">
      <w:r>
        <w:t>N/A</w:t>
      </w:r>
    </w:p>
    <w:p w14:paraId="4943E970" w14:textId="77777777" w:rsidR="00B8027C" w:rsidRPr="00617C76" w:rsidRDefault="00B8027C" w:rsidP="00B8027C">
      <w:pPr>
        <w:pStyle w:val="Heading4"/>
      </w:pPr>
      <w:r w:rsidRPr="00617C76">
        <w:t>Priority Reforms and Socio-economic Outcomes</w:t>
      </w:r>
    </w:p>
    <w:p w14:paraId="27E1FE90" w14:textId="77777777" w:rsidR="00126EFC" w:rsidRDefault="00126EFC" w:rsidP="00152035">
      <w:r w:rsidRPr="00126EFC">
        <w:t xml:space="preserve">Priority Reform 1 </w:t>
      </w:r>
    </w:p>
    <w:p w14:paraId="3D2FB5BB" w14:textId="77777777" w:rsidR="00126EFC" w:rsidRDefault="00126EFC" w:rsidP="00152035">
      <w:r w:rsidRPr="00126EFC">
        <w:t xml:space="preserve">Priority Reform 3 </w:t>
      </w:r>
    </w:p>
    <w:p w14:paraId="55901BFE" w14:textId="77777777" w:rsidR="00126EFC" w:rsidRDefault="00126EFC" w:rsidP="00152035">
      <w:r w:rsidRPr="00126EFC">
        <w:t xml:space="preserve">Outcome 2 </w:t>
      </w:r>
    </w:p>
    <w:p w14:paraId="43B66FD1" w14:textId="77777777" w:rsidR="00126EFC" w:rsidRDefault="00126EFC" w:rsidP="00152035">
      <w:r w:rsidRPr="00126EFC">
        <w:t xml:space="preserve">Outcome 3 </w:t>
      </w:r>
    </w:p>
    <w:p w14:paraId="4D5F4EF2" w14:textId="148EC208" w:rsidR="00B8027C" w:rsidRPr="007C35F3" w:rsidRDefault="00126EFC" w:rsidP="00152035">
      <w:r w:rsidRPr="00126EFC">
        <w:lastRenderedPageBreak/>
        <w:t>Outcome 4</w:t>
      </w:r>
    </w:p>
    <w:p w14:paraId="5C646AE9" w14:textId="77777777" w:rsidR="00B8027C" w:rsidRPr="00617C76" w:rsidRDefault="00B8027C" w:rsidP="00B8027C">
      <w:pPr>
        <w:pStyle w:val="Heading4"/>
      </w:pPr>
      <w:r w:rsidRPr="00617C76">
        <w:t>Partnership function</w:t>
      </w:r>
    </w:p>
    <w:p w14:paraId="032466B7" w14:textId="77777777" w:rsidR="00741D66" w:rsidRDefault="00741D66" w:rsidP="00B8027C">
      <w:r w:rsidRPr="00741D66">
        <w:t xml:space="preserve">Policy </w:t>
      </w:r>
    </w:p>
    <w:p w14:paraId="1366540C" w14:textId="3337EA4D" w:rsidR="00B8027C" w:rsidRPr="00617C76" w:rsidRDefault="00741D66" w:rsidP="00B8027C">
      <w:r w:rsidRPr="00741D66">
        <w:t>Place</w:t>
      </w:r>
      <w:r w:rsidRPr="00741D66">
        <w:noBreakHyphen/>
        <w:t>based</w:t>
      </w:r>
    </w:p>
    <w:p w14:paraId="57B31D4F" w14:textId="77777777" w:rsidR="00B8027C" w:rsidRPr="00617C76" w:rsidRDefault="00B8027C" w:rsidP="00B8027C">
      <w:pPr>
        <w:pStyle w:val="Heading4"/>
      </w:pPr>
      <w:r w:rsidRPr="00617C76">
        <w:t>Partnership timeframe</w:t>
      </w:r>
    </w:p>
    <w:p w14:paraId="0D784E72" w14:textId="0CB26B4E" w:rsidR="00B8027C" w:rsidRPr="00617C76" w:rsidRDefault="00741D66" w:rsidP="00B8027C">
      <w:r w:rsidRPr="00741D66">
        <w:t>March 2022 to March 2025</w:t>
      </w:r>
    </w:p>
    <w:p w14:paraId="5B6630B9" w14:textId="77777777" w:rsidR="00B8027C" w:rsidRPr="00617C76" w:rsidRDefault="00B8027C" w:rsidP="00B8027C">
      <w:pPr>
        <w:pStyle w:val="Heading4"/>
      </w:pPr>
      <w:r w:rsidRPr="00617C76">
        <w:t>Actions taken to strengthen the partnership in 2025</w:t>
      </w:r>
    </w:p>
    <w:p w14:paraId="7A6803B8" w14:textId="38B7C717" w:rsidR="00B8027C" w:rsidRPr="00617C76" w:rsidRDefault="00741D66" w:rsidP="00B8027C">
      <w:r w:rsidRPr="00741D66">
        <w:t>In June 2025, the Connected Beginnings Program Partners (Department of Education, SNAICC, Department of Health, Disability and Ageing and NACCHO) agreed it was timely to reflect upon the future governance of the program to ensure it reflects the priorities of the program and addresses the Connected Beginnings mid</w:t>
      </w:r>
      <w:r w:rsidRPr="00741D66">
        <w:noBreakHyphen/>
        <w:t>term evaluation recommendations. Therefore, Connected Beginnings Advisory Group has been put on hold while Program Partners consider the future governance of the program.</w:t>
      </w:r>
    </w:p>
    <w:p w14:paraId="036393DF" w14:textId="77777777" w:rsidR="00B8027C" w:rsidRPr="00617C76" w:rsidRDefault="00B8027C" w:rsidP="00B8027C">
      <w:pPr>
        <w:pStyle w:val="Heading4"/>
      </w:pPr>
      <w:r w:rsidRPr="00617C76">
        <w:t>Strong partnership indicators</w:t>
      </w:r>
    </w:p>
    <w:p w14:paraId="1E2C8664" w14:textId="77777777" w:rsidR="00B8027C" w:rsidRPr="00617C76" w:rsidRDefault="00B8027C" w:rsidP="00B8027C">
      <w:pPr>
        <w:pStyle w:val="Heading5"/>
      </w:pPr>
      <w:r w:rsidRPr="00617C76">
        <w:t>Clause 32A:</w:t>
      </w:r>
    </w:p>
    <w:p w14:paraId="2D2C5C88" w14:textId="33739A6C" w:rsidR="00B8027C" w:rsidRDefault="004F6974" w:rsidP="00A219F3">
      <w:pPr>
        <w:pStyle w:val="ListParagraph"/>
        <w:numPr>
          <w:ilvl w:val="0"/>
          <w:numId w:val="61"/>
        </w:numPr>
      </w:pPr>
      <w:r w:rsidRPr="004F6974">
        <w:t>Met</w:t>
      </w:r>
    </w:p>
    <w:p w14:paraId="19E69BB5" w14:textId="7A176CCD" w:rsidR="00B8027C" w:rsidRDefault="004F6974" w:rsidP="00A219F3">
      <w:pPr>
        <w:pStyle w:val="ListParagraph"/>
        <w:numPr>
          <w:ilvl w:val="0"/>
          <w:numId w:val="61"/>
        </w:numPr>
      </w:pPr>
      <w:r w:rsidRPr="004F6974">
        <w:t>Met</w:t>
      </w:r>
    </w:p>
    <w:p w14:paraId="3EF0417A" w14:textId="7149D610" w:rsidR="00B8027C" w:rsidRDefault="004F6974" w:rsidP="00A219F3">
      <w:pPr>
        <w:pStyle w:val="ListParagraph"/>
        <w:numPr>
          <w:ilvl w:val="0"/>
          <w:numId w:val="61"/>
        </w:numPr>
      </w:pPr>
      <w:r w:rsidRPr="004F6974">
        <w:t>Met</w:t>
      </w:r>
    </w:p>
    <w:p w14:paraId="220CAD2E" w14:textId="77777777" w:rsidR="00B8027C" w:rsidRPr="00617C76" w:rsidRDefault="00B8027C" w:rsidP="00B8027C">
      <w:pPr>
        <w:pStyle w:val="Heading5"/>
      </w:pPr>
      <w:r w:rsidRPr="00617C76">
        <w:t>Clause 32B:</w:t>
      </w:r>
    </w:p>
    <w:p w14:paraId="5B5C789A" w14:textId="1057A6A7" w:rsidR="00B8027C" w:rsidRDefault="004F6974" w:rsidP="00A219F3">
      <w:pPr>
        <w:pStyle w:val="ListParagraph"/>
        <w:numPr>
          <w:ilvl w:val="0"/>
          <w:numId w:val="62"/>
        </w:numPr>
      </w:pPr>
      <w:r w:rsidRPr="004F6974">
        <w:t>Met</w:t>
      </w:r>
    </w:p>
    <w:p w14:paraId="058BA34F" w14:textId="674A58BE" w:rsidR="00B8027C" w:rsidRDefault="004F6974" w:rsidP="00A219F3">
      <w:pPr>
        <w:pStyle w:val="ListParagraph"/>
        <w:numPr>
          <w:ilvl w:val="0"/>
          <w:numId w:val="62"/>
        </w:numPr>
      </w:pPr>
      <w:r w:rsidRPr="004F6974">
        <w:t>Met</w:t>
      </w:r>
    </w:p>
    <w:p w14:paraId="5904CEBC" w14:textId="04C5752A" w:rsidR="00B8027C" w:rsidRDefault="004F6974" w:rsidP="00A219F3">
      <w:pPr>
        <w:pStyle w:val="ListParagraph"/>
        <w:numPr>
          <w:ilvl w:val="0"/>
          <w:numId w:val="62"/>
        </w:numPr>
      </w:pPr>
      <w:r>
        <w:t>Not met</w:t>
      </w:r>
    </w:p>
    <w:p w14:paraId="287BF59D" w14:textId="576448B4" w:rsidR="00B8027C" w:rsidRDefault="004F6974" w:rsidP="00A219F3">
      <w:pPr>
        <w:pStyle w:val="ListParagraph"/>
        <w:numPr>
          <w:ilvl w:val="0"/>
          <w:numId w:val="62"/>
        </w:numPr>
      </w:pPr>
      <w:r>
        <w:t>N/A</w:t>
      </w:r>
    </w:p>
    <w:p w14:paraId="368A506B" w14:textId="77777777" w:rsidR="00B8027C" w:rsidRPr="00617C76" w:rsidRDefault="00B8027C" w:rsidP="00B8027C">
      <w:pPr>
        <w:pStyle w:val="Heading5"/>
      </w:pPr>
      <w:r w:rsidRPr="00617C76">
        <w:t>Clause 32C:</w:t>
      </w:r>
    </w:p>
    <w:p w14:paraId="733BDE2D" w14:textId="52AE0493" w:rsidR="00B8027C" w:rsidRDefault="004F6974" w:rsidP="00A219F3">
      <w:pPr>
        <w:pStyle w:val="ListParagraph"/>
        <w:numPr>
          <w:ilvl w:val="0"/>
          <w:numId w:val="63"/>
        </w:numPr>
      </w:pPr>
      <w:r w:rsidRPr="004F6974">
        <w:t>Met</w:t>
      </w:r>
    </w:p>
    <w:p w14:paraId="5AC76539" w14:textId="3DF1BA28" w:rsidR="00B8027C" w:rsidRDefault="004F6974" w:rsidP="00A219F3">
      <w:pPr>
        <w:pStyle w:val="ListParagraph"/>
        <w:numPr>
          <w:ilvl w:val="0"/>
          <w:numId w:val="63"/>
        </w:numPr>
      </w:pPr>
      <w:r w:rsidRPr="004F6974">
        <w:t>Met</w:t>
      </w:r>
    </w:p>
    <w:p w14:paraId="2E8325BB" w14:textId="0B0A5B1C" w:rsidR="00B8027C" w:rsidRDefault="004F6974" w:rsidP="00A219F3">
      <w:pPr>
        <w:pStyle w:val="ListParagraph"/>
        <w:numPr>
          <w:ilvl w:val="0"/>
          <w:numId w:val="63"/>
        </w:numPr>
      </w:pPr>
      <w:r w:rsidRPr="004F6974">
        <w:t>Met</w:t>
      </w:r>
    </w:p>
    <w:p w14:paraId="784B5198" w14:textId="1ED423D3" w:rsidR="00B8027C" w:rsidRDefault="004F6974" w:rsidP="00A219F3">
      <w:pPr>
        <w:pStyle w:val="ListParagraph"/>
        <w:numPr>
          <w:ilvl w:val="0"/>
          <w:numId w:val="63"/>
        </w:numPr>
      </w:pPr>
      <w:r>
        <w:t>Not met</w:t>
      </w:r>
    </w:p>
    <w:p w14:paraId="7C862C2D" w14:textId="34C133F0" w:rsidR="00B8027C" w:rsidRDefault="004F6974" w:rsidP="00A219F3">
      <w:pPr>
        <w:pStyle w:val="ListParagraph"/>
        <w:numPr>
          <w:ilvl w:val="0"/>
          <w:numId w:val="63"/>
        </w:numPr>
      </w:pPr>
      <w:r w:rsidRPr="004F6974">
        <w:t>Met</w:t>
      </w:r>
    </w:p>
    <w:p w14:paraId="4259B335" w14:textId="3CC63C07" w:rsidR="00B8027C" w:rsidRDefault="004F6974" w:rsidP="00A219F3">
      <w:pPr>
        <w:pStyle w:val="ListParagraph"/>
        <w:numPr>
          <w:ilvl w:val="0"/>
          <w:numId w:val="63"/>
        </w:numPr>
      </w:pPr>
      <w:r>
        <w:t>Not met</w:t>
      </w:r>
    </w:p>
    <w:p w14:paraId="063CD1A6" w14:textId="36560B5D" w:rsidR="00B8027C" w:rsidRDefault="004F6974" w:rsidP="00A219F3">
      <w:pPr>
        <w:pStyle w:val="ListParagraph"/>
        <w:numPr>
          <w:ilvl w:val="0"/>
          <w:numId w:val="63"/>
        </w:numPr>
      </w:pPr>
      <w:r w:rsidRPr="004F6974">
        <w:t>Met</w:t>
      </w:r>
    </w:p>
    <w:p w14:paraId="6643752A" w14:textId="77777777" w:rsidR="00B8027C" w:rsidRPr="00617C76" w:rsidRDefault="00B8027C" w:rsidP="00B8027C">
      <w:pPr>
        <w:pStyle w:val="Heading5"/>
      </w:pPr>
      <w:r w:rsidRPr="00617C76">
        <w:t>Clause 33:</w:t>
      </w:r>
    </w:p>
    <w:p w14:paraId="44F2BE60" w14:textId="2B3348A1" w:rsidR="00B8027C" w:rsidRDefault="00D479F8" w:rsidP="00B8027C">
      <w:r>
        <w:t>Not m</w:t>
      </w:r>
      <w:r w:rsidR="004F6974" w:rsidRPr="004F6974">
        <w:t>et</w:t>
      </w:r>
    </w:p>
    <w:p w14:paraId="2F7E34DB" w14:textId="77777777" w:rsidR="00B8027C" w:rsidRDefault="00B8027C" w:rsidP="00B8027C">
      <w:pPr>
        <w:pStyle w:val="Heading4"/>
      </w:pPr>
      <w:r w:rsidRPr="00617C76">
        <w:t>Achievements over 2025</w:t>
      </w:r>
    </w:p>
    <w:p w14:paraId="17BE7015" w14:textId="759623D8" w:rsidR="00B8027C" w:rsidRPr="003E2721" w:rsidRDefault="00001849" w:rsidP="00B8027C">
      <w:r w:rsidRPr="00001849">
        <w:t>In January 2025, Connected Beginnings reached the milestone of reaching 50 sites. Connected Beginnings Advisory Group has played a key role to support the expansion through strong culturally led approaches throughout its 3 years in operation from 2022, including Connected Beginnings’ data strategy and ACCO Leadership Transition Framework.</w:t>
      </w:r>
    </w:p>
    <w:p w14:paraId="3B15AB0F" w14:textId="268C2F12" w:rsidR="00B8027C" w:rsidRDefault="00DE71A0" w:rsidP="00B8027C">
      <w:pPr>
        <w:pStyle w:val="Heading3"/>
      </w:pPr>
      <w:bookmarkStart w:id="22" w:name="_Toc225506044"/>
      <w:r w:rsidRPr="00DE71A0">
        <w:lastRenderedPageBreak/>
        <w:t>Early Childhood Care and Development Policy Partnership (ECCDPP)</w:t>
      </w:r>
      <w:bookmarkEnd w:id="22"/>
    </w:p>
    <w:p w14:paraId="495022B5" w14:textId="77777777" w:rsidR="00B8027C" w:rsidRDefault="00B8027C" w:rsidP="00B8027C">
      <w:pPr>
        <w:pStyle w:val="Heading4"/>
      </w:pPr>
      <w:r w:rsidRPr="00617C76">
        <w:t>Partnership description</w:t>
      </w:r>
    </w:p>
    <w:p w14:paraId="67841821" w14:textId="77777777" w:rsidR="00DE71A0" w:rsidRDefault="00DE71A0" w:rsidP="00B8027C">
      <w:r w:rsidRPr="00DE71A0">
        <w:t>The ECCDPP brings together Australian governments and Aboriginal and Torres Strait Islander representatives to participate in shared decision</w:t>
      </w:r>
      <w:r w:rsidRPr="00DE71A0">
        <w:noBreakHyphen/>
        <w:t>making to make joined</w:t>
      </w:r>
      <w:r w:rsidRPr="00DE71A0">
        <w:noBreakHyphen/>
        <w:t xml:space="preserve">up recommendations to governments via the Joint Council on Closing the Gap (Joint Council) on Closing the Gap targets and to deliver progress on early childhood care and development outcomes. </w:t>
      </w:r>
    </w:p>
    <w:p w14:paraId="225065CD" w14:textId="439C8AC2" w:rsidR="00B8027C" w:rsidRPr="00837360" w:rsidRDefault="00DE71A0" w:rsidP="00B8027C">
      <w:r w:rsidRPr="00DE71A0">
        <w:t>This is a formal Policy Partnership under the National Agreement between the Commonwealth, states and territories and Aboriginal and Torres Strait Islander representatives.</w:t>
      </w:r>
    </w:p>
    <w:p w14:paraId="015E4078" w14:textId="77777777" w:rsidR="00B8027C" w:rsidRDefault="00B8027C" w:rsidP="00B8027C">
      <w:pPr>
        <w:pStyle w:val="Heading4"/>
      </w:pPr>
      <w:r w:rsidRPr="00DF6278">
        <w:t>Aboriginal and Torres Strait Islander parties</w:t>
      </w:r>
    </w:p>
    <w:p w14:paraId="4DD48623" w14:textId="75267B57" w:rsidR="005B5ECF" w:rsidRPr="009A75F0" w:rsidRDefault="005B5ECF" w:rsidP="00B8027C">
      <w:r w:rsidRPr="009A75F0">
        <w:t xml:space="preserve">SNAICC – National Voice for our Children (SNAICC) </w:t>
      </w:r>
      <w:r w:rsidR="000E1DF2">
        <w:t>(endorsing partner)</w:t>
      </w:r>
    </w:p>
    <w:p w14:paraId="1D3E0531" w14:textId="77777777" w:rsidR="005B5ECF" w:rsidRPr="005B5ECF" w:rsidRDefault="005B5ECF" w:rsidP="00B8027C">
      <w:r w:rsidRPr="005B5ECF">
        <w:t xml:space="preserve">National Aboriginal Community Controlled Health Organisation </w:t>
      </w:r>
    </w:p>
    <w:p w14:paraId="66F6CF5B" w14:textId="77777777" w:rsidR="005B5ECF" w:rsidRPr="005B5ECF" w:rsidRDefault="005B5ECF" w:rsidP="00B8027C">
      <w:r w:rsidRPr="005B5ECF">
        <w:t xml:space="preserve">First Peoples Disability Network </w:t>
      </w:r>
    </w:p>
    <w:p w14:paraId="17A4B369" w14:textId="77777777" w:rsidR="003073CF" w:rsidRDefault="005B5ECF" w:rsidP="00B8027C">
      <w:r w:rsidRPr="005B5ECF">
        <w:t>Tasmanian Aboriginal Centre</w:t>
      </w:r>
    </w:p>
    <w:p w14:paraId="674C9D1D" w14:textId="75D2160C" w:rsidR="005B5ECF" w:rsidRPr="005B5ECF" w:rsidRDefault="005B5ECF" w:rsidP="00B8027C">
      <w:r w:rsidRPr="005B5ECF">
        <w:t xml:space="preserve">Victorian Aboriginal Education Association Incorporated </w:t>
      </w:r>
    </w:p>
    <w:p w14:paraId="4F183E0B" w14:textId="77777777" w:rsidR="005B5ECF" w:rsidRPr="005B5ECF" w:rsidRDefault="005B5ECF" w:rsidP="00B8027C">
      <w:r w:rsidRPr="005B5ECF">
        <w:t xml:space="preserve">Aboriginal Family Support Services </w:t>
      </w:r>
    </w:p>
    <w:p w14:paraId="17DBEAA7" w14:textId="0134511C" w:rsidR="00B8027C" w:rsidRPr="005B5ECF" w:rsidRDefault="005B5ECF" w:rsidP="00B8027C">
      <w:r w:rsidRPr="005B5ECF">
        <w:t>Other independent First Nations and community representatives</w:t>
      </w:r>
    </w:p>
    <w:p w14:paraId="6AC5BED7" w14:textId="77777777" w:rsidR="00B8027C" w:rsidRPr="00617C76" w:rsidRDefault="00B8027C" w:rsidP="00B8027C">
      <w:pPr>
        <w:pStyle w:val="Heading4"/>
      </w:pPr>
      <w:r w:rsidRPr="00617C76">
        <w:t>Government parties</w:t>
      </w:r>
    </w:p>
    <w:p w14:paraId="3F372FF6" w14:textId="77777777" w:rsidR="00B8027C" w:rsidRDefault="00B8027C" w:rsidP="00B8027C">
      <w:pPr>
        <w:pStyle w:val="Heading5"/>
      </w:pPr>
      <w:r w:rsidRPr="00115C74">
        <w:t xml:space="preserve">COMMONWEALTH PARTIES </w:t>
      </w:r>
    </w:p>
    <w:p w14:paraId="371EF3FB" w14:textId="77F4E9D9" w:rsidR="00AD7DA4" w:rsidRPr="009A75F0" w:rsidRDefault="00AD7DA4" w:rsidP="00B8027C">
      <w:r w:rsidRPr="009A75F0">
        <w:t xml:space="preserve">Department of Education </w:t>
      </w:r>
      <w:r w:rsidR="000E1DF2">
        <w:t>(endorsing partner)</w:t>
      </w:r>
    </w:p>
    <w:p w14:paraId="665C4DE3" w14:textId="77777777" w:rsidR="00AD7DA4" w:rsidRPr="00AD7DA4" w:rsidRDefault="00AD7DA4" w:rsidP="00B8027C">
      <w:r w:rsidRPr="00AD7DA4">
        <w:t xml:space="preserve">Department of Social Services </w:t>
      </w:r>
    </w:p>
    <w:p w14:paraId="4337B72D" w14:textId="3982B4BB" w:rsidR="00B8027C" w:rsidRPr="00AD7DA4" w:rsidRDefault="00AD7DA4" w:rsidP="00B8027C">
      <w:r w:rsidRPr="00AD7DA4">
        <w:t>National Indigenous Australians Agency</w:t>
      </w:r>
    </w:p>
    <w:p w14:paraId="4B7B05C6" w14:textId="77777777" w:rsidR="00B8027C" w:rsidRPr="00115C74" w:rsidRDefault="00B8027C" w:rsidP="00B8027C">
      <w:pPr>
        <w:pStyle w:val="Heading5"/>
      </w:pPr>
      <w:r w:rsidRPr="00115C74">
        <w:t xml:space="preserve">STATE AND TERRITORY PARTIES </w:t>
      </w:r>
    </w:p>
    <w:p w14:paraId="49996142" w14:textId="1CE1BD6E" w:rsidR="00B8027C" w:rsidRPr="00617C76" w:rsidRDefault="00F575F9" w:rsidP="00B8027C">
      <w:r w:rsidRPr="00F575F9">
        <w:t>State and territory equivalents, as nominated by their jurisdiction</w:t>
      </w:r>
    </w:p>
    <w:p w14:paraId="1C350323" w14:textId="77777777" w:rsidR="00B8027C" w:rsidRPr="00617C76" w:rsidRDefault="00B8027C" w:rsidP="00B8027C">
      <w:pPr>
        <w:pStyle w:val="Heading4"/>
      </w:pPr>
      <w:r w:rsidRPr="00617C76">
        <w:t>Priority Reforms and Socio-economic Outcomes</w:t>
      </w:r>
    </w:p>
    <w:p w14:paraId="06003758" w14:textId="77777777" w:rsidR="00F575F9" w:rsidRDefault="00F575F9" w:rsidP="00152035">
      <w:r w:rsidRPr="00F575F9">
        <w:t xml:space="preserve">Priority Reform 1 </w:t>
      </w:r>
    </w:p>
    <w:p w14:paraId="30A4C81E" w14:textId="77777777" w:rsidR="00F575F9" w:rsidRDefault="00F575F9" w:rsidP="00152035">
      <w:r w:rsidRPr="00F575F9">
        <w:t xml:space="preserve">Outcome 2 </w:t>
      </w:r>
    </w:p>
    <w:p w14:paraId="11562974" w14:textId="77777777" w:rsidR="00F575F9" w:rsidRDefault="00F575F9" w:rsidP="00152035">
      <w:r w:rsidRPr="00F575F9">
        <w:t xml:space="preserve">Outcome 3 </w:t>
      </w:r>
    </w:p>
    <w:p w14:paraId="3B0FFD19" w14:textId="77777777" w:rsidR="00F575F9" w:rsidRDefault="00F575F9" w:rsidP="00152035">
      <w:r w:rsidRPr="00F575F9">
        <w:t xml:space="preserve">Outcome 4 </w:t>
      </w:r>
    </w:p>
    <w:p w14:paraId="56FE6DD4" w14:textId="77777777" w:rsidR="00F575F9" w:rsidRDefault="00F575F9" w:rsidP="00152035">
      <w:r w:rsidRPr="00F575F9">
        <w:t xml:space="preserve">Outcome 12 </w:t>
      </w:r>
    </w:p>
    <w:p w14:paraId="38C6073E" w14:textId="6F6D8118" w:rsidR="00B8027C" w:rsidRPr="007C35F3" w:rsidRDefault="00F575F9" w:rsidP="00152035">
      <w:r w:rsidRPr="00F575F9">
        <w:t>Outcome 13</w:t>
      </w:r>
    </w:p>
    <w:p w14:paraId="2010B1D6" w14:textId="77777777" w:rsidR="00B8027C" w:rsidRPr="00617C76" w:rsidRDefault="00B8027C" w:rsidP="00B8027C">
      <w:pPr>
        <w:pStyle w:val="Heading4"/>
      </w:pPr>
      <w:r w:rsidRPr="00617C76">
        <w:t>Partnership function</w:t>
      </w:r>
    </w:p>
    <w:p w14:paraId="3B833031" w14:textId="65A785D2" w:rsidR="00B8027C" w:rsidRPr="00617C76" w:rsidRDefault="00F575F9" w:rsidP="00B8027C">
      <w:r w:rsidRPr="00F575F9">
        <w:t>Policy</w:t>
      </w:r>
    </w:p>
    <w:p w14:paraId="32DC8C49" w14:textId="77777777" w:rsidR="00B8027C" w:rsidRPr="00617C76" w:rsidRDefault="00B8027C" w:rsidP="00B8027C">
      <w:pPr>
        <w:pStyle w:val="Heading4"/>
      </w:pPr>
      <w:r w:rsidRPr="00617C76">
        <w:t>Partnership timeframe</w:t>
      </w:r>
    </w:p>
    <w:p w14:paraId="51FEA71B" w14:textId="3C355807" w:rsidR="00B8027C" w:rsidRPr="00617C76" w:rsidRDefault="00F575F9" w:rsidP="00B8027C">
      <w:r w:rsidRPr="00F575F9">
        <w:t>2022 to 2028</w:t>
      </w:r>
    </w:p>
    <w:p w14:paraId="315DA7CD" w14:textId="77777777" w:rsidR="00B8027C" w:rsidRPr="00617C76" w:rsidRDefault="00B8027C" w:rsidP="00B8027C">
      <w:pPr>
        <w:pStyle w:val="Heading4"/>
      </w:pPr>
      <w:r w:rsidRPr="00617C76">
        <w:lastRenderedPageBreak/>
        <w:t>Actions taken to strengthen the partnership in 2025</w:t>
      </w:r>
    </w:p>
    <w:p w14:paraId="7573AB6E" w14:textId="77777777" w:rsidR="00205EFF" w:rsidRDefault="00205EFF" w:rsidP="00B8027C">
      <w:r w:rsidRPr="00205EFF">
        <w:t xml:space="preserve">The ECCDPP has met all strong partnership elements. </w:t>
      </w:r>
    </w:p>
    <w:p w14:paraId="70FB3A03" w14:textId="3268B1A4" w:rsidR="00B8027C" w:rsidRPr="00617C76" w:rsidRDefault="00205EFF" w:rsidP="00B8027C">
      <w:r w:rsidRPr="00205EFF">
        <w:t>The ECCDPP is a mature shared decision</w:t>
      </w:r>
      <w:r w:rsidRPr="00205EFF">
        <w:noBreakHyphen/>
        <w:t>making mechanism that continues to maintain the strong relationships built over the first term in operation and deliver on its priorities. The ECCDPP has commissioned an independent evaluation of the first term of the Partnership to examine its functioning and impact on its objectives. The evaluation will inform its next term.</w:t>
      </w:r>
    </w:p>
    <w:p w14:paraId="70ED7D6C" w14:textId="77777777" w:rsidR="00B8027C" w:rsidRPr="00617C76" w:rsidRDefault="00B8027C" w:rsidP="00B8027C">
      <w:pPr>
        <w:pStyle w:val="Heading4"/>
      </w:pPr>
      <w:r w:rsidRPr="00617C76">
        <w:t>Strong partnership indicators</w:t>
      </w:r>
    </w:p>
    <w:p w14:paraId="61F18DA5" w14:textId="77777777" w:rsidR="00B8027C" w:rsidRPr="00617C76" w:rsidRDefault="00B8027C" w:rsidP="00B8027C">
      <w:pPr>
        <w:pStyle w:val="Heading5"/>
      </w:pPr>
      <w:r w:rsidRPr="00617C76">
        <w:t>Clause 32A:</w:t>
      </w:r>
    </w:p>
    <w:p w14:paraId="0AD3E510" w14:textId="1AC71493" w:rsidR="00B8027C" w:rsidRDefault="00205EFF" w:rsidP="00A219F3">
      <w:pPr>
        <w:pStyle w:val="ListParagraph"/>
        <w:numPr>
          <w:ilvl w:val="0"/>
          <w:numId w:val="64"/>
        </w:numPr>
      </w:pPr>
      <w:r w:rsidRPr="00205EFF">
        <w:t>Met</w:t>
      </w:r>
    </w:p>
    <w:p w14:paraId="7E073C6C" w14:textId="13D276EC" w:rsidR="00B8027C" w:rsidRDefault="00205EFF" w:rsidP="00A219F3">
      <w:pPr>
        <w:pStyle w:val="ListParagraph"/>
        <w:numPr>
          <w:ilvl w:val="0"/>
          <w:numId w:val="64"/>
        </w:numPr>
      </w:pPr>
      <w:r w:rsidRPr="00205EFF">
        <w:t>Met</w:t>
      </w:r>
    </w:p>
    <w:p w14:paraId="76A6027A" w14:textId="1D5F3C22" w:rsidR="00B8027C" w:rsidRDefault="00205EFF" w:rsidP="00A219F3">
      <w:pPr>
        <w:pStyle w:val="ListParagraph"/>
        <w:numPr>
          <w:ilvl w:val="0"/>
          <w:numId w:val="64"/>
        </w:numPr>
      </w:pPr>
      <w:r w:rsidRPr="00205EFF">
        <w:t>Met</w:t>
      </w:r>
    </w:p>
    <w:p w14:paraId="59B9FD47" w14:textId="77777777" w:rsidR="00B8027C" w:rsidRPr="00617C76" w:rsidRDefault="00B8027C" w:rsidP="00B8027C">
      <w:pPr>
        <w:pStyle w:val="Heading5"/>
      </w:pPr>
      <w:r w:rsidRPr="00617C76">
        <w:t>Clause 32B:</w:t>
      </w:r>
    </w:p>
    <w:p w14:paraId="4F36697B" w14:textId="14219335" w:rsidR="00B8027C" w:rsidRDefault="00205EFF" w:rsidP="00A219F3">
      <w:pPr>
        <w:pStyle w:val="ListParagraph"/>
        <w:numPr>
          <w:ilvl w:val="0"/>
          <w:numId w:val="65"/>
        </w:numPr>
      </w:pPr>
      <w:r w:rsidRPr="00205EFF">
        <w:t>Met</w:t>
      </w:r>
    </w:p>
    <w:p w14:paraId="7579619B" w14:textId="19E5C772" w:rsidR="00B8027C" w:rsidRDefault="00205EFF" w:rsidP="00A219F3">
      <w:pPr>
        <w:pStyle w:val="ListParagraph"/>
        <w:numPr>
          <w:ilvl w:val="0"/>
          <w:numId w:val="65"/>
        </w:numPr>
      </w:pPr>
      <w:r w:rsidRPr="00205EFF">
        <w:t>Met</w:t>
      </w:r>
    </w:p>
    <w:p w14:paraId="4CA273EA" w14:textId="3BF10F1B" w:rsidR="00B8027C" w:rsidRDefault="00205EFF" w:rsidP="00A219F3">
      <w:pPr>
        <w:pStyle w:val="ListParagraph"/>
        <w:numPr>
          <w:ilvl w:val="0"/>
          <w:numId w:val="65"/>
        </w:numPr>
      </w:pPr>
      <w:r w:rsidRPr="00205EFF">
        <w:t>Met</w:t>
      </w:r>
    </w:p>
    <w:p w14:paraId="0F45B48C" w14:textId="63271CD2" w:rsidR="00B8027C" w:rsidRDefault="00205EFF" w:rsidP="00A219F3">
      <w:pPr>
        <w:pStyle w:val="ListParagraph"/>
        <w:numPr>
          <w:ilvl w:val="0"/>
          <w:numId w:val="65"/>
        </w:numPr>
      </w:pPr>
      <w:r>
        <w:t>N/A</w:t>
      </w:r>
    </w:p>
    <w:p w14:paraId="002C1EDA" w14:textId="77777777" w:rsidR="00B8027C" w:rsidRPr="00617C76" w:rsidRDefault="00B8027C" w:rsidP="00B8027C">
      <w:pPr>
        <w:pStyle w:val="Heading5"/>
      </w:pPr>
      <w:r w:rsidRPr="00617C76">
        <w:t>Clause 32C:</w:t>
      </w:r>
    </w:p>
    <w:p w14:paraId="37A84951" w14:textId="77718009" w:rsidR="00B8027C" w:rsidRDefault="00205EFF" w:rsidP="00A219F3">
      <w:pPr>
        <w:pStyle w:val="ListParagraph"/>
        <w:numPr>
          <w:ilvl w:val="0"/>
          <w:numId w:val="66"/>
        </w:numPr>
      </w:pPr>
      <w:r w:rsidRPr="00205EFF">
        <w:t>Met</w:t>
      </w:r>
    </w:p>
    <w:p w14:paraId="4E118424" w14:textId="0FF2FEF3" w:rsidR="00B8027C" w:rsidRDefault="00205EFF" w:rsidP="00A219F3">
      <w:pPr>
        <w:pStyle w:val="ListParagraph"/>
        <w:numPr>
          <w:ilvl w:val="0"/>
          <w:numId w:val="66"/>
        </w:numPr>
      </w:pPr>
      <w:r w:rsidRPr="00205EFF">
        <w:t>Met</w:t>
      </w:r>
    </w:p>
    <w:p w14:paraId="11072788" w14:textId="2D9F1768" w:rsidR="00B8027C" w:rsidRDefault="00205EFF" w:rsidP="00A219F3">
      <w:pPr>
        <w:pStyle w:val="ListParagraph"/>
        <w:numPr>
          <w:ilvl w:val="0"/>
          <w:numId w:val="66"/>
        </w:numPr>
      </w:pPr>
      <w:r w:rsidRPr="00205EFF">
        <w:t>Met</w:t>
      </w:r>
    </w:p>
    <w:p w14:paraId="5A8446B3" w14:textId="399A5801" w:rsidR="00B8027C" w:rsidRDefault="00205EFF" w:rsidP="00A219F3">
      <w:pPr>
        <w:pStyle w:val="ListParagraph"/>
        <w:numPr>
          <w:ilvl w:val="0"/>
          <w:numId w:val="66"/>
        </w:numPr>
      </w:pPr>
      <w:r w:rsidRPr="00205EFF">
        <w:t>Met</w:t>
      </w:r>
    </w:p>
    <w:p w14:paraId="1F992702" w14:textId="791A3DC8" w:rsidR="00B8027C" w:rsidRDefault="00205EFF" w:rsidP="00A219F3">
      <w:pPr>
        <w:pStyle w:val="ListParagraph"/>
        <w:numPr>
          <w:ilvl w:val="0"/>
          <w:numId w:val="66"/>
        </w:numPr>
      </w:pPr>
      <w:r w:rsidRPr="00205EFF">
        <w:t>Met</w:t>
      </w:r>
    </w:p>
    <w:p w14:paraId="517A335E" w14:textId="6452B5C7" w:rsidR="00B8027C" w:rsidRDefault="00205EFF" w:rsidP="00A219F3">
      <w:pPr>
        <w:pStyle w:val="ListParagraph"/>
        <w:numPr>
          <w:ilvl w:val="0"/>
          <w:numId w:val="66"/>
        </w:numPr>
      </w:pPr>
      <w:r w:rsidRPr="00205EFF">
        <w:t>Met</w:t>
      </w:r>
    </w:p>
    <w:p w14:paraId="58118D77" w14:textId="27EC2864" w:rsidR="00B8027C" w:rsidRDefault="00205EFF" w:rsidP="00A219F3">
      <w:pPr>
        <w:pStyle w:val="ListParagraph"/>
        <w:numPr>
          <w:ilvl w:val="0"/>
          <w:numId w:val="66"/>
        </w:numPr>
      </w:pPr>
      <w:r w:rsidRPr="00205EFF">
        <w:t>Met</w:t>
      </w:r>
    </w:p>
    <w:p w14:paraId="346CF2C9" w14:textId="77777777" w:rsidR="00B8027C" w:rsidRPr="00617C76" w:rsidRDefault="00B8027C" w:rsidP="00B8027C">
      <w:pPr>
        <w:pStyle w:val="Heading5"/>
      </w:pPr>
      <w:r w:rsidRPr="00617C76">
        <w:t>Clause 33:</w:t>
      </w:r>
    </w:p>
    <w:p w14:paraId="52AAD9B7" w14:textId="4FBDF185" w:rsidR="00B8027C" w:rsidRDefault="00205EFF" w:rsidP="00B8027C">
      <w:r w:rsidRPr="00205EFF">
        <w:t>Met</w:t>
      </w:r>
    </w:p>
    <w:p w14:paraId="7F6F335E" w14:textId="77777777" w:rsidR="00B8027C" w:rsidRDefault="00B8027C" w:rsidP="00B8027C">
      <w:pPr>
        <w:pStyle w:val="Heading4"/>
      </w:pPr>
      <w:r w:rsidRPr="00617C76">
        <w:t>Achievements over 2025</w:t>
      </w:r>
    </w:p>
    <w:p w14:paraId="30245408" w14:textId="77777777" w:rsidR="00115D8E" w:rsidRDefault="00115D8E" w:rsidP="00B8027C">
      <w:r w:rsidRPr="00115D8E">
        <w:t>In 2025, the ECCDPP continued its work to improve early childhood outcomes for Aboriginal and Torres Strait Islander children and families through 4 in</w:t>
      </w:r>
      <w:r w:rsidRPr="00115D8E">
        <w:noBreakHyphen/>
        <w:t xml:space="preserve">person meetings. The ECCDPP agreed to a Year 3 Workplan to support the objectives of the ECCDPP and guide its actions and activities over the year. </w:t>
      </w:r>
    </w:p>
    <w:p w14:paraId="4AE9F6DC" w14:textId="77777777" w:rsidR="00115D8E" w:rsidRDefault="00115D8E" w:rsidP="00B8027C">
      <w:r w:rsidRPr="00115D8E">
        <w:t xml:space="preserve">The Year 3 Workplan and meeting outcomes are published on the Australian Government Department of Education and SNAICC websites. </w:t>
      </w:r>
    </w:p>
    <w:p w14:paraId="179283E1" w14:textId="77777777" w:rsidR="00115D8E" w:rsidRDefault="00115D8E" w:rsidP="00B8027C">
      <w:r w:rsidRPr="00115D8E">
        <w:t xml:space="preserve">Over 2025, the ECCDPP: </w:t>
      </w:r>
    </w:p>
    <w:p w14:paraId="4F25EB80" w14:textId="77777777" w:rsidR="00115D8E" w:rsidRDefault="00115D8E" w:rsidP="00B8027C">
      <w:r w:rsidRPr="00115D8E">
        <w:t xml:space="preserve">Published the ECCDPP 2024 Annual Report which details the achievements and progress of the partnership in its second year of operation, from 1 January 2024 to December 2024. </w:t>
      </w:r>
    </w:p>
    <w:p w14:paraId="1FBF8143" w14:textId="77777777" w:rsidR="00115D8E" w:rsidRDefault="00115D8E" w:rsidP="00B8027C">
      <w:r w:rsidRPr="00115D8E">
        <w:t xml:space="preserve">Delivered the ECCDPP Probity Framework to guide procurement and governance processes when working in partnership with Aboriginal and Torres Strait Islander representatives through the ECCDPP. </w:t>
      </w:r>
    </w:p>
    <w:p w14:paraId="0E0D66DE" w14:textId="77777777" w:rsidR="00115D8E" w:rsidRDefault="00115D8E" w:rsidP="00B8027C">
      <w:r w:rsidRPr="00115D8E">
        <w:t xml:space="preserve">Commissioned an independent evaluation of the ECCDPP’s first term in operation, with the report to be finalised in March 2026. </w:t>
      </w:r>
    </w:p>
    <w:p w14:paraId="4740A9F7" w14:textId="77777777" w:rsidR="00C61D96" w:rsidRDefault="00115D8E" w:rsidP="00B8027C">
      <w:r w:rsidRPr="00115D8E">
        <w:lastRenderedPageBreak/>
        <w:t>Provided input into implementation advice with the Early Childhood Policy Group, for consideration by Education Ministers in December 2025. This action follows an ECCDPP recommendation to Joint Council in June 2024 that jurisdictions develop implementation advice in response to the findings of 2 ECCDPP research reports: Funding Model Options for Aboriginal Community</w:t>
      </w:r>
      <w:r w:rsidRPr="00115D8E">
        <w:noBreakHyphen/>
        <w:t xml:space="preserve">Controlled Organisations Integrated Early Years Services Report, and Evidence review on optimal hours of early childhood education and care (ECEC) for Aboriginal and Torres Strait Islander children. Both reports are available on the department’s website. </w:t>
      </w:r>
    </w:p>
    <w:p w14:paraId="6812A0F2" w14:textId="7334AF94" w:rsidR="00B8027C" w:rsidRPr="003E2721" w:rsidRDefault="00115D8E" w:rsidP="00B8027C">
      <w:r w:rsidRPr="00115D8E">
        <w:t>Tabled its second set of recommendations to Joint Council in November 2025. The recommendations reflect existing work undertaken by the ECCDPP over its first term and are in alignment with its focus for the second term.</w:t>
      </w:r>
    </w:p>
    <w:p w14:paraId="05D1C075" w14:textId="0DD094DC" w:rsidR="00152035" w:rsidRDefault="00C61D96" w:rsidP="00152035">
      <w:pPr>
        <w:pStyle w:val="Heading3"/>
      </w:pPr>
      <w:bookmarkStart w:id="23" w:name="_Toc225506045"/>
      <w:r w:rsidRPr="00C61D96">
        <w:t>Formal Partnership Agreement between the Australian Government Department of Education (Education) and the National Aboriginal and Torres Strait Islander Education Corporation (NATSIEC)</w:t>
      </w:r>
      <w:bookmarkEnd w:id="23"/>
    </w:p>
    <w:p w14:paraId="5AD0FEA3" w14:textId="77777777" w:rsidR="00152035" w:rsidRDefault="00152035" w:rsidP="00152035">
      <w:pPr>
        <w:pStyle w:val="Heading4"/>
      </w:pPr>
      <w:r w:rsidRPr="00617C76">
        <w:t>Partnership description</w:t>
      </w:r>
    </w:p>
    <w:p w14:paraId="1F2B974E" w14:textId="77777777" w:rsidR="00C61D96" w:rsidRDefault="00C61D96" w:rsidP="00152035">
      <w:r w:rsidRPr="00C61D96">
        <w:t xml:space="preserve">The Partnership Agreement aims to fundamentally transform how Education and NATSIEC work together. It aims to establish a genuine partnership approach to improving education outcomes for Aboriginal and Torres Strait Islander people across the education lifecycle. </w:t>
      </w:r>
    </w:p>
    <w:p w14:paraId="630C9C1F" w14:textId="77777777" w:rsidR="00C61D96" w:rsidRDefault="00C61D96" w:rsidP="00152035">
      <w:r w:rsidRPr="00C61D96">
        <w:t xml:space="preserve">The partnership further aims to assist NATSIEC and Education to implement commitments and continue progress against education targets under the National Agreement. </w:t>
      </w:r>
    </w:p>
    <w:p w14:paraId="1EC5A944" w14:textId="665842EE" w:rsidR="00152035" w:rsidRPr="00837360" w:rsidRDefault="00C61D96" w:rsidP="00152035">
      <w:r w:rsidRPr="00C61D96">
        <w:t>The Partnership Agreement formalises governance arrangements between Education and NATSIEC to ensure both parties work effectively in partnership on policy and program design, implementation and evaluation.</w:t>
      </w:r>
    </w:p>
    <w:p w14:paraId="1FFB6308" w14:textId="77777777" w:rsidR="00152035" w:rsidRDefault="00152035" w:rsidP="00152035">
      <w:pPr>
        <w:pStyle w:val="Heading4"/>
      </w:pPr>
      <w:r w:rsidRPr="00DF6278">
        <w:t>Aboriginal and Torres Strait Islander parties</w:t>
      </w:r>
    </w:p>
    <w:p w14:paraId="0A12EEC5" w14:textId="5E1C323D" w:rsidR="00152035" w:rsidRPr="009A75F0" w:rsidRDefault="0057125A" w:rsidP="00152035">
      <w:r w:rsidRPr="009A75F0">
        <w:t>National Aboriginal and Torres Strait Islander Education Corporation (NATSIEC)</w:t>
      </w:r>
      <w:r w:rsidR="000E1DF2">
        <w:t xml:space="preserve"> (endorsing partner)</w:t>
      </w:r>
    </w:p>
    <w:p w14:paraId="135EAC46" w14:textId="77777777" w:rsidR="00152035" w:rsidRPr="00617C76" w:rsidRDefault="00152035" w:rsidP="00152035">
      <w:pPr>
        <w:pStyle w:val="Heading4"/>
      </w:pPr>
      <w:r w:rsidRPr="00617C76">
        <w:t>Government parties</w:t>
      </w:r>
    </w:p>
    <w:p w14:paraId="3203AF74" w14:textId="77777777" w:rsidR="00152035" w:rsidRDefault="00152035" w:rsidP="00152035">
      <w:pPr>
        <w:pStyle w:val="Heading5"/>
      </w:pPr>
      <w:r w:rsidRPr="00115C74">
        <w:t xml:space="preserve">COMMONWEALTH PARTIES </w:t>
      </w:r>
    </w:p>
    <w:p w14:paraId="526ECD8E" w14:textId="59468B10" w:rsidR="00152035" w:rsidRPr="009A75F0" w:rsidRDefault="0057125A" w:rsidP="00152035">
      <w:r w:rsidRPr="009A75F0">
        <w:t>Department of Education (Education)</w:t>
      </w:r>
      <w:r w:rsidR="000E1DF2">
        <w:t xml:space="preserve"> (endorsing partner)</w:t>
      </w:r>
    </w:p>
    <w:p w14:paraId="7FD0A74F" w14:textId="77777777" w:rsidR="00152035" w:rsidRPr="00115C74" w:rsidRDefault="00152035" w:rsidP="00152035">
      <w:pPr>
        <w:pStyle w:val="Heading5"/>
      </w:pPr>
      <w:r w:rsidRPr="00115C74">
        <w:t xml:space="preserve">STATE AND TERRITORY PARTIES </w:t>
      </w:r>
    </w:p>
    <w:p w14:paraId="02AF8308" w14:textId="3CFEC9C4" w:rsidR="00152035" w:rsidRPr="00617C76" w:rsidRDefault="0057125A" w:rsidP="00152035">
      <w:r w:rsidRPr="0057125A">
        <w:t>N/A</w:t>
      </w:r>
    </w:p>
    <w:p w14:paraId="22426ACD" w14:textId="77777777" w:rsidR="00152035" w:rsidRPr="00617C76" w:rsidRDefault="00152035" w:rsidP="00152035">
      <w:pPr>
        <w:pStyle w:val="Heading4"/>
      </w:pPr>
      <w:r w:rsidRPr="00617C76">
        <w:t>Priority Reforms and Socio-economic Outcomes</w:t>
      </w:r>
    </w:p>
    <w:p w14:paraId="1BFFD317" w14:textId="77777777" w:rsidR="0057125A" w:rsidRDefault="0057125A" w:rsidP="00152035">
      <w:r w:rsidRPr="0057125A">
        <w:t xml:space="preserve">Priority Reform 1 </w:t>
      </w:r>
    </w:p>
    <w:p w14:paraId="1DCCD1D0" w14:textId="77777777" w:rsidR="0057125A" w:rsidRDefault="0057125A" w:rsidP="00152035">
      <w:r w:rsidRPr="0057125A">
        <w:t xml:space="preserve">Priority Reform 2 </w:t>
      </w:r>
    </w:p>
    <w:p w14:paraId="080D2F1E" w14:textId="77777777" w:rsidR="0057125A" w:rsidRDefault="0057125A" w:rsidP="00152035">
      <w:r w:rsidRPr="0057125A">
        <w:t xml:space="preserve">Priority Reform 3 </w:t>
      </w:r>
    </w:p>
    <w:p w14:paraId="1FA7A4F6" w14:textId="77777777" w:rsidR="0057125A" w:rsidRDefault="0057125A" w:rsidP="00152035">
      <w:r w:rsidRPr="0057125A">
        <w:t xml:space="preserve">Outcome 3 </w:t>
      </w:r>
    </w:p>
    <w:p w14:paraId="51CF4950" w14:textId="77777777" w:rsidR="0057125A" w:rsidRDefault="0057125A" w:rsidP="00152035">
      <w:r w:rsidRPr="0057125A">
        <w:t xml:space="preserve">Outcome 4 </w:t>
      </w:r>
    </w:p>
    <w:p w14:paraId="6047EB73" w14:textId="77777777" w:rsidR="0057125A" w:rsidRDefault="0057125A" w:rsidP="00152035">
      <w:r w:rsidRPr="0057125A">
        <w:t xml:space="preserve">Outcome 5 </w:t>
      </w:r>
    </w:p>
    <w:p w14:paraId="72AADD1E" w14:textId="77777777" w:rsidR="0057125A" w:rsidRDefault="0057125A" w:rsidP="00152035">
      <w:r w:rsidRPr="0057125A">
        <w:t xml:space="preserve">Outcome 6 </w:t>
      </w:r>
    </w:p>
    <w:p w14:paraId="19DB5C17" w14:textId="77777777" w:rsidR="0057125A" w:rsidRDefault="0057125A" w:rsidP="00152035">
      <w:r w:rsidRPr="0057125A">
        <w:t xml:space="preserve">Outcome 7 </w:t>
      </w:r>
    </w:p>
    <w:p w14:paraId="3D1662DE" w14:textId="77777777" w:rsidR="0057125A" w:rsidRDefault="0057125A" w:rsidP="00152035">
      <w:r w:rsidRPr="0057125A">
        <w:t xml:space="preserve">Outcome 14 </w:t>
      </w:r>
    </w:p>
    <w:p w14:paraId="69080A59" w14:textId="0F68A88A" w:rsidR="00152035" w:rsidRPr="007C35F3" w:rsidRDefault="0057125A" w:rsidP="00152035">
      <w:r w:rsidRPr="0057125A">
        <w:lastRenderedPageBreak/>
        <w:t>Outcome 16</w:t>
      </w:r>
    </w:p>
    <w:p w14:paraId="7481DAEF" w14:textId="77777777" w:rsidR="00152035" w:rsidRPr="00617C76" w:rsidRDefault="00152035" w:rsidP="00152035">
      <w:pPr>
        <w:pStyle w:val="Heading4"/>
      </w:pPr>
      <w:r w:rsidRPr="00617C76">
        <w:t>Partnership function</w:t>
      </w:r>
    </w:p>
    <w:p w14:paraId="34B90487" w14:textId="741D8730" w:rsidR="00152035" w:rsidRPr="00617C76" w:rsidRDefault="00F74905" w:rsidP="00152035">
      <w:r w:rsidRPr="00F74905">
        <w:t>Policy</w:t>
      </w:r>
    </w:p>
    <w:p w14:paraId="38EF72B4" w14:textId="77777777" w:rsidR="00152035" w:rsidRPr="00617C76" w:rsidRDefault="00152035" w:rsidP="00152035">
      <w:pPr>
        <w:pStyle w:val="Heading4"/>
      </w:pPr>
      <w:r w:rsidRPr="00617C76">
        <w:t>Partnership timeframe</w:t>
      </w:r>
    </w:p>
    <w:p w14:paraId="55103E0E" w14:textId="27356A73" w:rsidR="00152035" w:rsidRPr="00617C76" w:rsidRDefault="00F74905" w:rsidP="00152035">
      <w:r w:rsidRPr="00F74905">
        <w:t>2025 to 2030</w:t>
      </w:r>
    </w:p>
    <w:p w14:paraId="6B2970AE" w14:textId="77777777" w:rsidR="00152035" w:rsidRPr="00617C76" w:rsidRDefault="00152035" w:rsidP="00152035">
      <w:pPr>
        <w:pStyle w:val="Heading4"/>
      </w:pPr>
      <w:r w:rsidRPr="00617C76">
        <w:t>Actions taken to strengthen the partnership in 2025</w:t>
      </w:r>
    </w:p>
    <w:p w14:paraId="34E8BB6B" w14:textId="77777777" w:rsidR="00F74905" w:rsidRDefault="00F74905" w:rsidP="00152035">
      <w:r w:rsidRPr="00F74905">
        <w:t>The following activities have been undertaken or are underway to strengthen the Partnership in 2025:</w:t>
      </w:r>
    </w:p>
    <w:p w14:paraId="545B5A5D" w14:textId="77777777" w:rsidR="00F74905" w:rsidRDefault="00F74905" w:rsidP="00A219F3">
      <w:pPr>
        <w:pStyle w:val="ListParagraph"/>
        <w:numPr>
          <w:ilvl w:val="0"/>
          <w:numId w:val="67"/>
        </w:numPr>
      </w:pPr>
      <w:r w:rsidRPr="00F74905">
        <w:t xml:space="preserve">The core funding agreement was executed (February 2025) </w:t>
      </w:r>
    </w:p>
    <w:p w14:paraId="626D61FB" w14:textId="77777777" w:rsidR="00F74905" w:rsidRDefault="00F74905" w:rsidP="00A219F3">
      <w:pPr>
        <w:pStyle w:val="ListParagraph"/>
        <w:numPr>
          <w:ilvl w:val="0"/>
          <w:numId w:val="67"/>
        </w:numPr>
      </w:pPr>
      <w:r w:rsidRPr="00F74905">
        <w:t>The Partnership Agreement was formally signed (March 2025)</w:t>
      </w:r>
    </w:p>
    <w:p w14:paraId="038D4749" w14:textId="77777777" w:rsidR="00F74905" w:rsidRDefault="00F74905" w:rsidP="00A219F3">
      <w:pPr>
        <w:pStyle w:val="ListParagraph"/>
        <w:numPr>
          <w:ilvl w:val="0"/>
          <w:numId w:val="67"/>
        </w:numPr>
      </w:pPr>
      <w:r w:rsidRPr="00F74905">
        <w:t>The Strategic Operational Plan with shared priorities is nearing finalisation</w:t>
      </w:r>
    </w:p>
    <w:p w14:paraId="5DAF7D1B" w14:textId="77777777" w:rsidR="00F74905" w:rsidRDefault="00F74905" w:rsidP="00A219F3">
      <w:pPr>
        <w:pStyle w:val="ListParagraph"/>
        <w:numPr>
          <w:ilvl w:val="0"/>
          <w:numId w:val="67"/>
        </w:numPr>
      </w:pPr>
      <w:r w:rsidRPr="00F74905">
        <w:t>Engagement Protocols and Ways of Working documents are being developed</w:t>
      </w:r>
    </w:p>
    <w:p w14:paraId="46B8C61B" w14:textId="77777777" w:rsidR="00F74905" w:rsidRDefault="00F74905" w:rsidP="00A219F3">
      <w:pPr>
        <w:pStyle w:val="ListParagraph"/>
        <w:numPr>
          <w:ilvl w:val="0"/>
          <w:numId w:val="67"/>
        </w:numPr>
      </w:pPr>
      <w:r>
        <w:t>R</w:t>
      </w:r>
      <w:r w:rsidRPr="00F74905">
        <w:t>egular meetings were held to share information, foster collaboration, align goals and influence decision</w:t>
      </w:r>
      <w:r w:rsidRPr="00F74905">
        <w:noBreakHyphen/>
        <w:t>making</w:t>
      </w:r>
    </w:p>
    <w:p w14:paraId="6739F2F6" w14:textId="77777777" w:rsidR="00861DC3" w:rsidRDefault="00F74905" w:rsidP="00A219F3">
      <w:pPr>
        <w:pStyle w:val="ListParagraph"/>
        <w:numPr>
          <w:ilvl w:val="0"/>
          <w:numId w:val="67"/>
        </w:numPr>
      </w:pPr>
      <w:r w:rsidRPr="00F74905">
        <w:t>Support and guidance were provided for high</w:t>
      </w:r>
      <w:r w:rsidRPr="00F74905">
        <w:noBreakHyphen/>
        <w:t xml:space="preserve">level (ministerial) engagements </w:t>
      </w:r>
    </w:p>
    <w:p w14:paraId="7B26C64B" w14:textId="77777777" w:rsidR="00861DC3" w:rsidRDefault="00F74905" w:rsidP="00A219F3">
      <w:pPr>
        <w:pStyle w:val="ListParagraph"/>
        <w:numPr>
          <w:ilvl w:val="0"/>
          <w:numId w:val="67"/>
        </w:numPr>
      </w:pPr>
      <w:r w:rsidRPr="00F74905">
        <w:t xml:space="preserve">Collaborative work was initiated between departmental teams and NATSIEC on specific projects </w:t>
      </w:r>
    </w:p>
    <w:p w14:paraId="2FD4BBFF" w14:textId="1E92A73E" w:rsidR="00152035" w:rsidRPr="00617C76" w:rsidRDefault="00F74905" w:rsidP="00152035">
      <w:r w:rsidRPr="00F74905">
        <w:t>In addition to the foundational activities already underway, Education is initiating the following approaches to generate a deeper and more sustainable partnership with NATSIEC: embedding cultural safety and respect, co</w:t>
      </w:r>
      <w:r w:rsidRPr="00F74905">
        <w:noBreakHyphen/>
        <w:t>design and shared decision</w:t>
      </w:r>
      <w:r w:rsidRPr="00F74905">
        <w:noBreakHyphen/>
        <w:t>making, capacity building and knowledge exchange, strengthening local and regional engagement and formalising long</w:t>
      </w:r>
      <w:r w:rsidRPr="00F74905">
        <w:noBreakHyphen/>
        <w:t>term commitments.</w:t>
      </w:r>
    </w:p>
    <w:p w14:paraId="0F3CF7FC" w14:textId="77777777" w:rsidR="00152035" w:rsidRPr="00617C76" w:rsidRDefault="00152035" w:rsidP="00152035">
      <w:pPr>
        <w:pStyle w:val="Heading4"/>
      </w:pPr>
      <w:r w:rsidRPr="00617C76">
        <w:t>Strong partnership indicators</w:t>
      </w:r>
    </w:p>
    <w:p w14:paraId="310249ED" w14:textId="77777777" w:rsidR="00152035" w:rsidRPr="00617C76" w:rsidRDefault="00152035" w:rsidP="00152035">
      <w:pPr>
        <w:pStyle w:val="Heading5"/>
      </w:pPr>
      <w:r w:rsidRPr="00617C76">
        <w:t>Clause 32A:</w:t>
      </w:r>
    </w:p>
    <w:p w14:paraId="3FDAD899" w14:textId="1FFBA744" w:rsidR="00152035" w:rsidRDefault="001901B2" w:rsidP="00A219F3">
      <w:pPr>
        <w:pStyle w:val="ListParagraph"/>
        <w:numPr>
          <w:ilvl w:val="0"/>
          <w:numId w:val="68"/>
        </w:numPr>
      </w:pPr>
      <w:r>
        <w:t>Not met</w:t>
      </w:r>
    </w:p>
    <w:p w14:paraId="49B434B5" w14:textId="526471AF" w:rsidR="00152035" w:rsidRDefault="00F5148C" w:rsidP="00A219F3">
      <w:pPr>
        <w:pStyle w:val="ListParagraph"/>
        <w:numPr>
          <w:ilvl w:val="0"/>
          <w:numId w:val="68"/>
        </w:numPr>
      </w:pPr>
      <w:r w:rsidRPr="00F5148C">
        <w:t>Met</w:t>
      </w:r>
    </w:p>
    <w:p w14:paraId="2156D667" w14:textId="65A333BE" w:rsidR="00152035" w:rsidRDefault="0013251E" w:rsidP="00A219F3">
      <w:pPr>
        <w:pStyle w:val="ListParagraph"/>
        <w:numPr>
          <w:ilvl w:val="0"/>
          <w:numId w:val="68"/>
        </w:numPr>
      </w:pPr>
      <w:r>
        <w:t>N/A</w:t>
      </w:r>
    </w:p>
    <w:p w14:paraId="1B6BEE4F" w14:textId="77777777" w:rsidR="00152035" w:rsidRPr="00617C76" w:rsidRDefault="00152035" w:rsidP="00152035">
      <w:pPr>
        <w:pStyle w:val="Heading5"/>
      </w:pPr>
      <w:r w:rsidRPr="00617C76">
        <w:t>Clause 32B:</w:t>
      </w:r>
    </w:p>
    <w:p w14:paraId="16A20BB7" w14:textId="7CE24DD4" w:rsidR="00152035" w:rsidRDefault="00F5148C" w:rsidP="00A219F3">
      <w:pPr>
        <w:pStyle w:val="ListParagraph"/>
        <w:numPr>
          <w:ilvl w:val="0"/>
          <w:numId w:val="69"/>
        </w:numPr>
      </w:pPr>
      <w:r w:rsidRPr="00F5148C">
        <w:t>Met</w:t>
      </w:r>
    </w:p>
    <w:p w14:paraId="61A83C1A" w14:textId="490DB399" w:rsidR="00152035" w:rsidRDefault="00F5148C" w:rsidP="00A219F3">
      <w:pPr>
        <w:pStyle w:val="ListParagraph"/>
        <w:numPr>
          <w:ilvl w:val="0"/>
          <w:numId w:val="69"/>
        </w:numPr>
      </w:pPr>
      <w:r w:rsidRPr="00F5148C">
        <w:t>Met</w:t>
      </w:r>
    </w:p>
    <w:p w14:paraId="0E169C5F" w14:textId="03D3016A" w:rsidR="00152035" w:rsidRDefault="00F5148C" w:rsidP="00A219F3">
      <w:pPr>
        <w:pStyle w:val="ListParagraph"/>
        <w:numPr>
          <w:ilvl w:val="0"/>
          <w:numId w:val="69"/>
        </w:numPr>
      </w:pPr>
      <w:r w:rsidRPr="00F5148C">
        <w:t>Met</w:t>
      </w:r>
    </w:p>
    <w:p w14:paraId="1479A3B5" w14:textId="7E44E237" w:rsidR="00152035" w:rsidRDefault="00F5148C" w:rsidP="00A219F3">
      <w:pPr>
        <w:pStyle w:val="ListParagraph"/>
        <w:numPr>
          <w:ilvl w:val="0"/>
          <w:numId w:val="69"/>
        </w:numPr>
      </w:pPr>
      <w:r>
        <w:t>N/A</w:t>
      </w:r>
    </w:p>
    <w:p w14:paraId="198A1D44" w14:textId="77777777" w:rsidR="00152035" w:rsidRPr="00617C76" w:rsidRDefault="00152035" w:rsidP="00152035">
      <w:pPr>
        <w:pStyle w:val="Heading5"/>
      </w:pPr>
      <w:r w:rsidRPr="00617C76">
        <w:t>Clause 32C:</w:t>
      </w:r>
    </w:p>
    <w:p w14:paraId="62916A41" w14:textId="03E58B16" w:rsidR="00152035" w:rsidRDefault="00F5148C" w:rsidP="00A219F3">
      <w:pPr>
        <w:pStyle w:val="ListParagraph"/>
        <w:numPr>
          <w:ilvl w:val="0"/>
          <w:numId w:val="70"/>
        </w:numPr>
      </w:pPr>
      <w:r w:rsidRPr="00F5148C">
        <w:t>Met</w:t>
      </w:r>
    </w:p>
    <w:p w14:paraId="7FA6346C" w14:textId="477EDDBA" w:rsidR="00152035" w:rsidRDefault="00F5148C" w:rsidP="00A219F3">
      <w:pPr>
        <w:pStyle w:val="ListParagraph"/>
        <w:numPr>
          <w:ilvl w:val="0"/>
          <w:numId w:val="70"/>
        </w:numPr>
      </w:pPr>
      <w:r>
        <w:t>Not met</w:t>
      </w:r>
    </w:p>
    <w:p w14:paraId="26361A42" w14:textId="3646B915" w:rsidR="00152035" w:rsidRDefault="00F5148C" w:rsidP="00A219F3">
      <w:pPr>
        <w:pStyle w:val="ListParagraph"/>
        <w:numPr>
          <w:ilvl w:val="0"/>
          <w:numId w:val="70"/>
        </w:numPr>
      </w:pPr>
      <w:r>
        <w:t>Not met</w:t>
      </w:r>
    </w:p>
    <w:p w14:paraId="049A15BF" w14:textId="6875E060" w:rsidR="00152035" w:rsidRDefault="00F5148C" w:rsidP="00A219F3">
      <w:pPr>
        <w:pStyle w:val="ListParagraph"/>
        <w:numPr>
          <w:ilvl w:val="0"/>
          <w:numId w:val="70"/>
        </w:numPr>
      </w:pPr>
      <w:r>
        <w:t>Not met</w:t>
      </w:r>
    </w:p>
    <w:p w14:paraId="2640E39B" w14:textId="08B8467E" w:rsidR="00152035" w:rsidRDefault="00F5148C" w:rsidP="00A219F3">
      <w:pPr>
        <w:pStyle w:val="ListParagraph"/>
        <w:numPr>
          <w:ilvl w:val="0"/>
          <w:numId w:val="70"/>
        </w:numPr>
      </w:pPr>
      <w:r w:rsidRPr="00F5148C">
        <w:t>Met</w:t>
      </w:r>
    </w:p>
    <w:p w14:paraId="22687306" w14:textId="06AC82DC" w:rsidR="00152035" w:rsidRDefault="00F5148C" w:rsidP="00A219F3">
      <w:pPr>
        <w:pStyle w:val="ListParagraph"/>
        <w:numPr>
          <w:ilvl w:val="0"/>
          <w:numId w:val="70"/>
        </w:numPr>
      </w:pPr>
      <w:r>
        <w:t>Not met</w:t>
      </w:r>
    </w:p>
    <w:p w14:paraId="1C116C1F" w14:textId="7B8AEB5F" w:rsidR="00152035" w:rsidRDefault="00F5148C" w:rsidP="00A219F3">
      <w:pPr>
        <w:pStyle w:val="ListParagraph"/>
        <w:numPr>
          <w:ilvl w:val="0"/>
          <w:numId w:val="70"/>
        </w:numPr>
      </w:pPr>
      <w:r>
        <w:t>Not met</w:t>
      </w:r>
    </w:p>
    <w:p w14:paraId="636DAAEA" w14:textId="77777777" w:rsidR="00152035" w:rsidRPr="00617C76" w:rsidRDefault="00152035" w:rsidP="00152035">
      <w:pPr>
        <w:pStyle w:val="Heading5"/>
      </w:pPr>
      <w:r w:rsidRPr="00617C76">
        <w:t>Clause 33:</w:t>
      </w:r>
    </w:p>
    <w:p w14:paraId="0142C20E" w14:textId="367A5659" w:rsidR="00152035" w:rsidRDefault="00F5148C" w:rsidP="00152035">
      <w:r w:rsidRPr="00F5148C">
        <w:t>Met</w:t>
      </w:r>
    </w:p>
    <w:p w14:paraId="791B4DE7" w14:textId="77777777" w:rsidR="00152035" w:rsidRDefault="00152035" w:rsidP="00152035">
      <w:pPr>
        <w:pStyle w:val="Heading4"/>
      </w:pPr>
      <w:r w:rsidRPr="00617C76">
        <w:lastRenderedPageBreak/>
        <w:t>Achievements over 2025</w:t>
      </w:r>
    </w:p>
    <w:p w14:paraId="265C03AC" w14:textId="77777777" w:rsidR="00CF0473" w:rsidRDefault="00CF0473" w:rsidP="00152035">
      <w:r w:rsidRPr="00CF0473">
        <w:t>Education and NATSIEC entered into the formal Partnership Agreement on 7 March 2025. This Partnership Agreement is one of Education’s actions to meet the commitments under Priority Reform One of the National Agreement – Formal Partnerships and Shared Decision</w:t>
      </w:r>
      <w:r w:rsidRPr="00CF0473">
        <w:noBreakHyphen/>
        <w:t>Making. To strengthen the partnership, the Australian Government is providing $12.5 million to NATSIEC from financial year 2024</w:t>
      </w:r>
      <w:r w:rsidRPr="00CF0473">
        <w:noBreakHyphen/>
        <w:t>25 to 2027</w:t>
      </w:r>
      <w:r w:rsidRPr="00CF0473">
        <w:noBreakHyphen/>
        <w:t xml:space="preserve">28 to support NATSIEC’s role as the national representative peak body for First Nations education, and to facilitate working in partnership with the Australian Government. </w:t>
      </w:r>
    </w:p>
    <w:p w14:paraId="79CD458F" w14:textId="77777777" w:rsidR="00CF0473" w:rsidRDefault="00CF0473" w:rsidP="00152035">
      <w:r w:rsidRPr="00CF0473">
        <w:t>Education and NATSIEC are working together to develop and implement shared priorities. Since the Partnership Agreement was formally signed in March 2025, both parties have focused on the early implementation stage, during which parties have been jointly defining foundational principles, governance and initial focus areas. These priorities will be formalised into a Strategic Operational Plan that is currently being finalised, which will aim to function as a high</w:t>
      </w:r>
      <w:r w:rsidRPr="00CF0473">
        <w:noBreakHyphen/>
        <w:t xml:space="preserve">level guide throughout the life of the Partnership Agreement. </w:t>
      </w:r>
    </w:p>
    <w:p w14:paraId="27888750" w14:textId="33059FB9" w:rsidR="00152035" w:rsidRPr="003E2721" w:rsidRDefault="00CF0473" w:rsidP="00152035">
      <w:r w:rsidRPr="00CF0473">
        <w:t>Education and NATSIEC meet regularly to strengthen relationships, share information, foster collaboration, align goals and support shared decision</w:t>
      </w:r>
      <w:r w:rsidRPr="00CF0473">
        <w:noBreakHyphen/>
        <w:t>making across multiple levels.</w:t>
      </w:r>
    </w:p>
    <w:p w14:paraId="2D935294" w14:textId="1345F5BD" w:rsidR="00FC740B" w:rsidRDefault="00962DCA" w:rsidP="00FC740B">
      <w:pPr>
        <w:pStyle w:val="Heading3"/>
      </w:pPr>
      <w:bookmarkStart w:id="24" w:name="_Toc225506046"/>
      <w:r w:rsidRPr="00962DCA">
        <w:t>Formal Partnership Agreement between the Australian Government Department of Education and SNAICC</w:t>
      </w:r>
      <w:bookmarkEnd w:id="24"/>
    </w:p>
    <w:p w14:paraId="07D3C060" w14:textId="77777777" w:rsidR="00FC740B" w:rsidRDefault="00FC740B" w:rsidP="00FC740B">
      <w:pPr>
        <w:pStyle w:val="Heading4"/>
      </w:pPr>
      <w:r w:rsidRPr="00617C76">
        <w:t>Partnership description</w:t>
      </w:r>
    </w:p>
    <w:p w14:paraId="6187D6B9" w14:textId="4382F21F" w:rsidR="00FC740B" w:rsidRPr="00837360" w:rsidRDefault="00912DAF" w:rsidP="00FC740B">
      <w:r w:rsidRPr="00912DAF">
        <w:t>This Partnership Agreement aims to transform the way the Australian Government Department of Education and SNAICC work together to improve early childhood education outcomes for Aboriginal and Torres Strait Islander children.</w:t>
      </w:r>
    </w:p>
    <w:p w14:paraId="33456BB9" w14:textId="77777777" w:rsidR="00FC740B" w:rsidRDefault="00FC740B" w:rsidP="00FC740B">
      <w:pPr>
        <w:pStyle w:val="Heading4"/>
      </w:pPr>
      <w:r w:rsidRPr="00DF6278">
        <w:t>Aboriginal and Torres Strait Islander parties</w:t>
      </w:r>
    </w:p>
    <w:p w14:paraId="09425CFF" w14:textId="36FED38C" w:rsidR="00FC740B" w:rsidRPr="009A75F0" w:rsidRDefault="00912DAF" w:rsidP="00FC740B">
      <w:r w:rsidRPr="009A75F0">
        <w:t>SNAICC – National Voice for our Children (SNAICC)</w:t>
      </w:r>
      <w:r w:rsidR="00AA7A95">
        <w:t xml:space="preserve"> (endorsing partner)</w:t>
      </w:r>
    </w:p>
    <w:p w14:paraId="51F64C5F" w14:textId="77777777" w:rsidR="00FC740B" w:rsidRPr="00617C76" w:rsidRDefault="00FC740B" w:rsidP="00FC740B">
      <w:pPr>
        <w:pStyle w:val="Heading4"/>
      </w:pPr>
      <w:r w:rsidRPr="00617C76">
        <w:t>Government parties</w:t>
      </w:r>
    </w:p>
    <w:p w14:paraId="70DCB904" w14:textId="77777777" w:rsidR="00FC740B" w:rsidRDefault="00FC740B" w:rsidP="00FC740B">
      <w:pPr>
        <w:pStyle w:val="Heading5"/>
      </w:pPr>
      <w:r w:rsidRPr="00115C74">
        <w:t xml:space="preserve">COMMONWEALTH PARTIES </w:t>
      </w:r>
    </w:p>
    <w:p w14:paraId="5EB2CCDB" w14:textId="3935C7DA" w:rsidR="00FC740B" w:rsidRPr="009A75F0" w:rsidRDefault="00912DAF" w:rsidP="00FC740B">
      <w:r w:rsidRPr="009A75F0">
        <w:t>Department of Education</w:t>
      </w:r>
      <w:r w:rsidR="00AA7A95">
        <w:t xml:space="preserve"> (endorsing partner)</w:t>
      </w:r>
    </w:p>
    <w:p w14:paraId="0C69D7E3" w14:textId="77777777" w:rsidR="00FC740B" w:rsidRPr="00115C74" w:rsidRDefault="00FC740B" w:rsidP="00FC740B">
      <w:pPr>
        <w:pStyle w:val="Heading5"/>
      </w:pPr>
      <w:r w:rsidRPr="00115C74">
        <w:t xml:space="preserve">STATE AND TERRITORY PARTIES </w:t>
      </w:r>
    </w:p>
    <w:p w14:paraId="538BC946" w14:textId="5C491D6D" w:rsidR="00FC740B" w:rsidRPr="00617C76" w:rsidRDefault="00912DAF" w:rsidP="00FC740B">
      <w:r w:rsidRPr="00912DAF">
        <w:t>N/A</w:t>
      </w:r>
    </w:p>
    <w:p w14:paraId="34B569E8" w14:textId="77777777" w:rsidR="00FC740B" w:rsidRPr="00617C76" w:rsidRDefault="00FC740B" w:rsidP="00FC740B">
      <w:pPr>
        <w:pStyle w:val="Heading4"/>
      </w:pPr>
      <w:r w:rsidRPr="00617C76">
        <w:t>Priority Reforms and Socio-economic Outcomes</w:t>
      </w:r>
    </w:p>
    <w:p w14:paraId="5F02E77C" w14:textId="77777777" w:rsidR="005A30EE" w:rsidRDefault="005A30EE" w:rsidP="00FC740B">
      <w:r w:rsidRPr="005A30EE">
        <w:t xml:space="preserve">Priority Reform 1 </w:t>
      </w:r>
    </w:p>
    <w:p w14:paraId="3AAB5E01" w14:textId="77777777" w:rsidR="005A30EE" w:rsidRDefault="005A30EE" w:rsidP="00FC740B">
      <w:r w:rsidRPr="005A30EE">
        <w:t xml:space="preserve">Priority Reform 2 </w:t>
      </w:r>
    </w:p>
    <w:p w14:paraId="10DDABCD" w14:textId="77777777" w:rsidR="005A30EE" w:rsidRDefault="005A30EE" w:rsidP="00FC740B">
      <w:r w:rsidRPr="005A30EE">
        <w:t xml:space="preserve">Priority Reform 3 </w:t>
      </w:r>
    </w:p>
    <w:p w14:paraId="69901681" w14:textId="77777777" w:rsidR="005A30EE" w:rsidRDefault="005A30EE" w:rsidP="00FC740B">
      <w:r w:rsidRPr="005A30EE">
        <w:t xml:space="preserve">Priority Reform 4 </w:t>
      </w:r>
    </w:p>
    <w:p w14:paraId="6A565830" w14:textId="77777777" w:rsidR="005A30EE" w:rsidRDefault="005A30EE" w:rsidP="00FC740B">
      <w:r w:rsidRPr="005A30EE">
        <w:t xml:space="preserve">Outcome 3 </w:t>
      </w:r>
    </w:p>
    <w:p w14:paraId="2EACBD34" w14:textId="57BC3551" w:rsidR="00FC740B" w:rsidRPr="007C35F3" w:rsidRDefault="005A30EE" w:rsidP="00FC740B">
      <w:r w:rsidRPr="005A30EE">
        <w:t>Outcome 4</w:t>
      </w:r>
    </w:p>
    <w:p w14:paraId="33E33827" w14:textId="77777777" w:rsidR="00FC740B" w:rsidRPr="00617C76" w:rsidRDefault="00FC740B" w:rsidP="00FC740B">
      <w:pPr>
        <w:pStyle w:val="Heading4"/>
      </w:pPr>
      <w:r w:rsidRPr="00617C76">
        <w:t>Partnership function</w:t>
      </w:r>
    </w:p>
    <w:p w14:paraId="2EEDF5DA" w14:textId="23572BE6" w:rsidR="00FC740B" w:rsidRPr="00617C76" w:rsidRDefault="005A30EE" w:rsidP="00FC740B">
      <w:r w:rsidRPr="005A30EE">
        <w:t>Policy</w:t>
      </w:r>
    </w:p>
    <w:p w14:paraId="79FD832F" w14:textId="77777777" w:rsidR="00FC740B" w:rsidRPr="00617C76" w:rsidRDefault="00FC740B" w:rsidP="00FC740B">
      <w:pPr>
        <w:pStyle w:val="Heading4"/>
      </w:pPr>
      <w:r w:rsidRPr="00617C76">
        <w:t>Partnership timeframe</w:t>
      </w:r>
    </w:p>
    <w:p w14:paraId="0D9E9DDC" w14:textId="57D520A5" w:rsidR="00FC740B" w:rsidRPr="00617C76" w:rsidRDefault="005A30EE" w:rsidP="00FC740B">
      <w:r w:rsidRPr="005A30EE">
        <w:t>2025 to 2030 (initial period of 5 years)</w:t>
      </w:r>
    </w:p>
    <w:p w14:paraId="191AB719" w14:textId="77777777" w:rsidR="00FC740B" w:rsidRPr="00617C76" w:rsidRDefault="00FC740B" w:rsidP="00FC740B">
      <w:pPr>
        <w:pStyle w:val="Heading4"/>
      </w:pPr>
      <w:r w:rsidRPr="00617C76">
        <w:lastRenderedPageBreak/>
        <w:t>Actions taken to strengthen the partnership in 2025</w:t>
      </w:r>
    </w:p>
    <w:p w14:paraId="3F89515F" w14:textId="77777777" w:rsidR="00467499" w:rsidRDefault="005A30EE" w:rsidP="00FC740B">
      <w:r w:rsidRPr="005A30EE">
        <w:t xml:space="preserve">During the reporting period the following activities have strengthened the Partnership: </w:t>
      </w:r>
    </w:p>
    <w:p w14:paraId="76609F3E" w14:textId="77777777" w:rsidR="00467499" w:rsidRDefault="005A30EE" w:rsidP="00467499">
      <w:pPr>
        <w:pStyle w:val="ListParagraph"/>
        <w:numPr>
          <w:ilvl w:val="0"/>
          <w:numId w:val="71"/>
        </w:numPr>
      </w:pPr>
      <w:r w:rsidRPr="005A30EE">
        <w:t xml:space="preserve">Core funding implemented (February 2025). </w:t>
      </w:r>
    </w:p>
    <w:p w14:paraId="1D9C2B4C" w14:textId="77777777" w:rsidR="00467499" w:rsidRDefault="005A30EE" w:rsidP="00467499">
      <w:pPr>
        <w:pStyle w:val="ListParagraph"/>
        <w:numPr>
          <w:ilvl w:val="0"/>
          <w:numId w:val="71"/>
        </w:numPr>
      </w:pPr>
      <w:r w:rsidRPr="005A30EE">
        <w:t>Partnership Agreement finalised (March 2025).</w:t>
      </w:r>
    </w:p>
    <w:p w14:paraId="1ABE3809" w14:textId="77777777" w:rsidR="00467499" w:rsidRDefault="005A30EE" w:rsidP="00467499">
      <w:pPr>
        <w:pStyle w:val="ListParagraph"/>
        <w:numPr>
          <w:ilvl w:val="0"/>
          <w:numId w:val="71"/>
        </w:numPr>
      </w:pPr>
      <w:r w:rsidRPr="005A30EE">
        <w:t xml:space="preserve">Government arrangements established (June 2025). </w:t>
      </w:r>
    </w:p>
    <w:p w14:paraId="304F9777" w14:textId="77777777" w:rsidR="00467499" w:rsidRDefault="005A30EE" w:rsidP="00467499">
      <w:pPr>
        <w:pStyle w:val="ListParagraph"/>
        <w:numPr>
          <w:ilvl w:val="0"/>
          <w:numId w:val="71"/>
        </w:numPr>
      </w:pPr>
      <w:r w:rsidRPr="005A30EE">
        <w:t xml:space="preserve">Engagement protocols (under development). </w:t>
      </w:r>
    </w:p>
    <w:p w14:paraId="30EEFA12" w14:textId="1C958D04" w:rsidR="00FC740B" w:rsidRPr="00617C76" w:rsidRDefault="005A30EE" w:rsidP="00467499">
      <w:pPr>
        <w:pStyle w:val="ListParagraph"/>
        <w:numPr>
          <w:ilvl w:val="0"/>
          <w:numId w:val="71"/>
        </w:numPr>
      </w:pPr>
      <w:r w:rsidRPr="005A30EE">
        <w:t>Regular Partnership Meetings to share information, foster collaboration, align goals and drive decision making (ongoing).</w:t>
      </w:r>
    </w:p>
    <w:p w14:paraId="5AFC6306" w14:textId="77777777" w:rsidR="00FC740B" w:rsidRPr="00617C76" w:rsidRDefault="00FC740B" w:rsidP="00FC740B">
      <w:pPr>
        <w:pStyle w:val="Heading4"/>
      </w:pPr>
      <w:r w:rsidRPr="00617C76">
        <w:t>Strong partnership indicators</w:t>
      </w:r>
    </w:p>
    <w:p w14:paraId="1F6FB8E5" w14:textId="77777777" w:rsidR="00FC740B" w:rsidRPr="00617C76" w:rsidRDefault="00FC740B" w:rsidP="00FC740B">
      <w:pPr>
        <w:pStyle w:val="Heading5"/>
      </w:pPr>
      <w:r w:rsidRPr="00617C76">
        <w:t>Clause 32A:</w:t>
      </w:r>
    </w:p>
    <w:p w14:paraId="1C14E942" w14:textId="0D70E6ED" w:rsidR="00FC740B" w:rsidRDefault="00593045" w:rsidP="00467499">
      <w:pPr>
        <w:pStyle w:val="ListParagraph"/>
        <w:numPr>
          <w:ilvl w:val="0"/>
          <w:numId w:val="72"/>
        </w:numPr>
      </w:pPr>
      <w:r w:rsidRPr="00593045">
        <w:t>Met</w:t>
      </w:r>
    </w:p>
    <w:p w14:paraId="69454810" w14:textId="49D28D89" w:rsidR="00FC740B" w:rsidRDefault="00593045" w:rsidP="00467499">
      <w:pPr>
        <w:pStyle w:val="ListParagraph"/>
        <w:numPr>
          <w:ilvl w:val="0"/>
          <w:numId w:val="72"/>
        </w:numPr>
      </w:pPr>
      <w:r w:rsidRPr="00593045">
        <w:t>Met</w:t>
      </w:r>
    </w:p>
    <w:p w14:paraId="21EA8BC5" w14:textId="41B6E672" w:rsidR="00FC740B" w:rsidRDefault="00593045" w:rsidP="00467499">
      <w:pPr>
        <w:pStyle w:val="ListParagraph"/>
        <w:numPr>
          <w:ilvl w:val="0"/>
          <w:numId w:val="72"/>
        </w:numPr>
      </w:pPr>
      <w:r w:rsidRPr="00593045">
        <w:t>Met</w:t>
      </w:r>
    </w:p>
    <w:p w14:paraId="3E00C501" w14:textId="77777777" w:rsidR="00FC740B" w:rsidRPr="00617C76" w:rsidRDefault="00FC740B" w:rsidP="00FC740B">
      <w:pPr>
        <w:pStyle w:val="Heading5"/>
      </w:pPr>
      <w:r w:rsidRPr="00617C76">
        <w:t>Clause 32B:</w:t>
      </w:r>
    </w:p>
    <w:p w14:paraId="3E92994C" w14:textId="243F4C36" w:rsidR="00FC740B" w:rsidRDefault="00593045" w:rsidP="00467499">
      <w:pPr>
        <w:pStyle w:val="ListParagraph"/>
        <w:numPr>
          <w:ilvl w:val="0"/>
          <w:numId w:val="73"/>
        </w:numPr>
      </w:pPr>
      <w:r w:rsidRPr="00593045">
        <w:t>Met</w:t>
      </w:r>
    </w:p>
    <w:p w14:paraId="190FBB99" w14:textId="207ACE23" w:rsidR="00FC740B" w:rsidRDefault="00593045" w:rsidP="00467499">
      <w:pPr>
        <w:pStyle w:val="ListParagraph"/>
        <w:numPr>
          <w:ilvl w:val="0"/>
          <w:numId w:val="73"/>
        </w:numPr>
      </w:pPr>
      <w:r w:rsidRPr="00593045">
        <w:t>Met</w:t>
      </w:r>
    </w:p>
    <w:p w14:paraId="0B9C9EE6" w14:textId="3BD3B588" w:rsidR="00FC740B" w:rsidRDefault="00593045" w:rsidP="00467499">
      <w:pPr>
        <w:pStyle w:val="ListParagraph"/>
        <w:numPr>
          <w:ilvl w:val="0"/>
          <w:numId w:val="73"/>
        </w:numPr>
      </w:pPr>
      <w:r w:rsidRPr="00593045">
        <w:t>Met</w:t>
      </w:r>
    </w:p>
    <w:p w14:paraId="12888785" w14:textId="4446A7B2" w:rsidR="00FC740B" w:rsidRDefault="00593045" w:rsidP="00467499">
      <w:pPr>
        <w:pStyle w:val="ListParagraph"/>
        <w:numPr>
          <w:ilvl w:val="0"/>
          <w:numId w:val="73"/>
        </w:numPr>
      </w:pPr>
      <w:r>
        <w:t>N/A</w:t>
      </w:r>
    </w:p>
    <w:p w14:paraId="1AC3A201" w14:textId="77777777" w:rsidR="00FC740B" w:rsidRPr="00617C76" w:rsidRDefault="00FC740B" w:rsidP="00FC740B">
      <w:pPr>
        <w:pStyle w:val="Heading5"/>
      </w:pPr>
      <w:r w:rsidRPr="00617C76">
        <w:t>Clause 32C:</w:t>
      </w:r>
    </w:p>
    <w:p w14:paraId="5E2ACC0A" w14:textId="279B0AAE" w:rsidR="00FC740B" w:rsidRDefault="00593045" w:rsidP="00467499">
      <w:pPr>
        <w:pStyle w:val="ListParagraph"/>
        <w:numPr>
          <w:ilvl w:val="0"/>
          <w:numId w:val="74"/>
        </w:numPr>
      </w:pPr>
      <w:r w:rsidRPr="00593045">
        <w:t>Met</w:t>
      </w:r>
    </w:p>
    <w:p w14:paraId="2AE28702" w14:textId="727BBA3C" w:rsidR="00FC740B" w:rsidRDefault="00593045" w:rsidP="00467499">
      <w:pPr>
        <w:pStyle w:val="ListParagraph"/>
        <w:numPr>
          <w:ilvl w:val="0"/>
          <w:numId w:val="74"/>
        </w:numPr>
      </w:pPr>
      <w:r w:rsidRPr="00593045">
        <w:t>Met</w:t>
      </w:r>
    </w:p>
    <w:p w14:paraId="4F62165E" w14:textId="120A3FF8" w:rsidR="00FC740B" w:rsidRDefault="00593045" w:rsidP="00467499">
      <w:pPr>
        <w:pStyle w:val="ListParagraph"/>
        <w:numPr>
          <w:ilvl w:val="0"/>
          <w:numId w:val="74"/>
        </w:numPr>
      </w:pPr>
      <w:r w:rsidRPr="00593045">
        <w:t>Met</w:t>
      </w:r>
    </w:p>
    <w:p w14:paraId="0100E84C" w14:textId="7307C31D" w:rsidR="00FC740B" w:rsidRDefault="00593045" w:rsidP="00467499">
      <w:pPr>
        <w:pStyle w:val="ListParagraph"/>
        <w:numPr>
          <w:ilvl w:val="0"/>
          <w:numId w:val="74"/>
        </w:numPr>
      </w:pPr>
      <w:r w:rsidRPr="00593045">
        <w:t>Met</w:t>
      </w:r>
    </w:p>
    <w:p w14:paraId="1ADC5E6A" w14:textId="1011FEC3" w:rsidR="00FC740B" w:rsidRDefault="00593045" w:rsidP="00467499">
      <w:pPr>
        <w:pStyle w:val="ListParagraph"/>
        <w:numPr>
          <w:ilvl w:val="0"/>
          <w:numId w:val="74"/>
        </w:numPr>
      </w:pPr>
      <w:r w:rsidRPr="00593045">
        <w:t>Met</w:t>
      </w:r>
    </w:p>
    <w:p w14:paraId="131EC1D5" w14:textId="52D513CF" w:rsidR="00FC740B" w:rsidRDefault="00593045" w:rsidP="00467499">
      <w:pPr>
        <w:pStyle w:val="ListParagraph"/>
        <w:numPr>
          <w:ilvl w:val="0"/>
          <w:numId w:val="74"/>
        </w:numPr>
      </w:pPr>
      <w:r w:rsidRPr="00593045">
        <w:t>Met</w:t>
      </w:r>
    </w:p>
    <w:p w14:paraId="1DFEC5A3" w14:textId="6CE7EB96" w:rsidR="00FC740B" w:rsidRDefault="00593045" w:rsidP="00467499">
      <w:pPr>
        <w:pStyle w:val="ListParagraph"/>
        <w:numPr>
          <w:ilvl w:val="0"/>
          <w:numId w:val="74"/>
        </w:numPr>
      </w:pPr>
      <w:r w:rsidRPr="00593045">
        <w:t>Met</w:t>
      </w:r>
    </w:p>
    <w:p w14:paraId="51F0B15A" w14:textId="77777777" w:rsidR="00FC740B" w:rsidRPr="00617C76" w:rsidRDefault="00FC740B" w:rsidP="00FC740B">
      <w:pPr>
        <w:pStyle w:val="Heading5"/>
      </w:pPr>
      <w:r w:rsidRPr="00617C76">
        <w:t>Clause 33:</w:t>
      </w:r>
    </w:p>
    <w:p w14:paraId="19D0B58F" w14:textId="31AB509A" w:rsidR="00FC740B" w:rsidRDefault="00593045" w:rsidP="00FC740B">
      <w:r w:rsidRPr="00593045">
        <w:t>Met</w:t>
      </w:r>
    </w:p>
    <w:p w14:paraId="76D1E14C" w14:textId="77777777" w:rsidR="00FC740B" w:rsidRDefault="00FC740B" w:rsidP="00FC740B">
      <w:pPr>
        <w:pStyle w:val="Heading4"/>
      </w:pPr>
      <w:r w:rsidRPr="00617C76">
        <w:t>Achievements over 2025</w:t>
      </w:r>
    </w:p>
    <w:p w14:paraId="4A04E070" w14:textId="77777777" w:rsidR="00D0547E" w:rsidRDefault="00593045" w:rsidP="00FC740B">
      <w:r w:rsidRPr="00593045">
        <w:t xml:space="preserve">The Department of Education and SNAICC entered into the formal Partnership Agreement, on 5 March 2025. The Partnership Agreement fulfills a key commitment made in the Closing the Gap Commonwealth 2025 Implementation Plan and intends to provide accountability and transparency to how the Department of Education engages SNAICC on matters affecting First Nations children in early childhood education and care. </w:t>
      </w:r>
    </w:p>
    <w:p w14:paraId="33A31584" w14:textId="77777777" w:rsidR="00D0547E" w:rsidRDefault="00593045" w:rsidP="00FC740B">
      <w:r w:rsidRPr="00593045">
        <w:t xml:space="preserve">To strengthen the partnership, the Australian Government is providing $16.6 million to SNAICC from financial year 2024–25 to 2027–28 (ongoing thereafter), to support their core operations and ensure a coordinated approach to improving outcomes of First Nations children. </w:t>
      </w:r>
    </w:p>
    <w:p w14:paraId="66FD8B5A" w14:textId="77777777" w:rsidR="009A1D94" w:rsidRDefault="00593045" w:rsidP="00FC740B">
      <w:r w:rsidRPr="00593045">
        <w:t xml:space="preserve">Throughout 2025, the partnership has built on the commitments made by the Australian Government and Aboriginal and Torres Strait Islander representatives under the National Agreement, including the commitment to develop a fundamentally new way of working with Aboriginal and Torres Strait Islander people on matters affecting First Nations children in the early years. </w:t>
      </w:r>
    </w:p>
    <w:p w14:paraId="6CBD2335" w14:textId="7219E89C" w:rsidR="00FC740B" w:rsidRPr="003E2721" w:rsidRDefault="00593045" w:rsidP="00FC740B">
      <w:r w:rsidRPr="00593045">
        <w:lastRenderedPageBreak/>
        <w:t>Formal governance has been established to give effect to the commitments outlined in the Partnership Agreement. The Department of Education and SNAICC meet regularly to strengthen relationships, share information, foster collaboration, align goals and drive shared decision</w:t>
      </w:r>
      <w:r w:rsidRPr="00593045">
        <w:noBreakHyphen/>
        <w:t>making at every level.</w:t>
      </w:r>
    </w:p>
    <w:p w14:paraId="456FE2CE" w14:textId="5C8A1C8C" w:rsidR="00FC740B" w:rsidRDefault="009A1D94" w:rsidP="00FC740B">
      <w:pPr>
        <w:pStyle w:val="Heading3"/>
      </w:pPr>
      <w:bookmarkStart w:id="25" w:name="_Toc225506047"/>
      <w:r w:rsidRPr="009A1D94">
        <w:t>First Nations Vocational Education and Training (VET) Interim Partnership Committee (IPC)</w:t>
      </w:r>
      <w:bookmarkEnd w:id="25"/>
    </w:p>
    <w:p w14:paraId="705CDD9D" w14:textId="77777777" w:rsidR="00FC740B" w:rsidRDefault="00FC740B" w:rsidP="00FC740B">
      <w:pPr>
        <w:pStyle w:val="Heading4"/>
      </w:pPr>
      <w:r w:rsidRPr="00617C76">
        <w:t>Partnership description</w:t>
      </w:r>
    </w:p>
    <w:p w14:paraId="1C189D7D" w14:textId="77777777" w:rsidR="009A1D94" w:rsidRDefault="009A1D94" w:rsidP="00FC740B">
      <w:r w:rsidRPr="009A1D94">
        <w:t xml:space="preserve">The First Nations VET IPC was established in October 2024 to enable new ways of working and to progress the design of the nationally networked VET policy partnership (VETPP), anticipated to be established in early 2026. </w:t>
      </w:r>
    </w:p>
    <w:p w14:paraId="35AEB5A4" w14:textId="003C15AF" w:rsidR="00FC740B" w:rsidRPr="00837360" w:rsidRDefault="009A1D94" w:rsidP="00FC740B">
      <w:r w:rsidRPr="009A1D94">
        <w:t>The VETPP will be a nationally networked, joined</w:t>
      </w:r>
      <w:r w:rsidRPr="009A1D94">
        <w:noBreakHyphen/>
        <w:t>up approach to improving and evaluating VET outcomes for Aboriginal and Torres Strait Islander people, with a specific focus on reform to the VET and skills systems in Australia and a commitment to self</w:t>
      </w:r>
      <w:r w:rsidRPr="009A1D94">
        <w:noBreakHyphen/>
        <w:t>determined approaches to improve training, employment and social outcomes for Aboriginal and Torres Strait Islander peoples. The intended outcome of the VETPP is to drive Aboriginal and Torres Strait outcomes through the VET system.</w:t>
      </w:r>
    </w:p>
    <w:p w14:paraId="0A7B13BF" w14:textId="77777777" w:rsidR="00FC740B" w:rsidRDefault="00FC740B" w:rsidP="00FC740B">
      <w:pPr>
        <w:pStyle w:val="Heading4"/>
      </w:pPr>
      <w:r w:rsidRPr="00DF6278">
        <w:t>Aboriginal and Torres Strait Islander parties</w:t>
      </w:r>
    </w:p>
    <w:p w14:paraId="3657825C" w14:textId="019BA2A2" w:rsidR="00F13C4B" w:rsidRPr="009A75F0" w:rsidRDefault="00F13C4B" w:rsidP="00FC740B">
      <w:r w:rsidRPr="009A75F0">
        <w:t>The Coalition of Aboriginal and Torres Strait Islander Peak Organisations (Coalition of Peaks)</w:t>
      </w:r>
      <w:r w:rsidR="00AA7A95">
        <w:t xml:space="preserve"> (endorsing partner)</w:t>
      </w:r>
      <w:r w:rsidRPr="009A75F0">
        <w:t xml:space="preserve"> </w:t>
      </w:r>
    </w:p>
    <w:p w14:paraId="2CAD991D" w14:textId="77777777" w:rsidR="00F13C4B" w:rsidRPr="00F13C4B" w:rsidRDefault="00F13C4B" w:rsidP="00FC740B">
      <w:r w:rsidRPr="00F13C4B">
        <w:t xml:space="preserve">SNAICC – National Voice for our Children </w:t>
      </w:r>
    </w:p>
    <w:p w14:paraId="63A3B890" w14:textId="77777777" w:rsidR="00F13C4B" w:rsidRPr="00F13C4B" w:rsidRDefault="00F13C4B" w:rsidP="00FC740B">
      <w:r w:rsidRPr="00F13C4B">
        <w:t xml:space="preserve">First Nations Advocates Against Family Violence </w:t>
      </w:r>
    </w:p>
    <w:p w14:paraId="76600B6C" w14:textId="77777777" w:rsidR="00F13C4B" w:rsidRPr="00F13C4B" w:rsidRDefault="00F13C4B" w:rsidP="00FC740B">
      <w:r w:rsidRPr="00F13C4B">
        <w:t xml:space="preserve">National Aboriginal Community Controlled Health Organisation </w:t>
      </w:r>
    </w:p>
    <w:p w14:paraId="565C25E7" w14:textId="77777777" w:rsidR="00F13C4B" w:rsidRPr="00F13C4B" w:rsidRDefault="00F13C4B" w:rsidP="00FC740B">
      <w:r w:rsidRPr="00F13C4B">
        <w:t xml:space="preserve">Alliance of First Nations’ Independent Education &amp; Training Providers </w:t>
      </w:r>
    </w:p>
    <w:p w14:paraId="2EB13E96" w14:textId="5DA321FF" w:rsidR="00FC740B" w:rsidRPr="00F13C4B" w:rsidRDefault="00F13C4B" w:rsidP="00FC740B">
      <w:r w:rsidRPr="00F13C4B">
        <w:t>Aboriginal Health Council of Western Australia</w:t>
      </w:r>
    </w:p>
    <w:p w14:paraId="60BABCCF" w14:textId="77777777" w:rsidR="00FC740B" w:rsidRPr="00617C76" w:rsidRDefault="00FC740B" w:rsidP="00FC740B">
      <w:pPr>
        <w:pStyle w:val="Heading4"/>
      </w:pPr>
      <w:r w:rsidRPr="00617C76">
        <w:t>Government parties</w:t>
      </w:r>
    </w:p>
    <w:p w14:paraId="76EA3381" w14:textId="77777777" w:rsidR="00FC740B" w:rsidRDefault="00FC740B" w:rsidP="00FC740B">
      <w:pPr>
        <w:pStyle w:val="Heading5"/>
      </w:pPr>
      <w:r w:rsidRPr="00115C74">
        <w:t xml:space="preserve">COMMONWEALTH PARTIES </w:t>
      </w:r>
    </w:p>
    <w:p w14:paraId="5D3187E1" w14:textId="0080BC9F" w:rsidR="002E1CBA" w:rsidRPr="009A75F0" w:rsidRDefault="002E1CBA" w:rsidP="00FC740B">
      <w:r w:rsidRPr="009A75F0">
        <w:t>Department of Employment and Workplace Relations (DEWR)</w:t>
      </w:r>
      <w:r w:rsidR="00C40658">
        <w:t xml:space="preserve"> (endorsing partner)</w:t>
      </w:r>
    </w:p>
    <w:p w14:paraId="11C6C1B2" w14:textId="3CF1A916" w:rsidR="00FC740B" w:rsidRPr="002E1CBA" w:rsidRDefault="002E1CBA" w:rsidP="00FC740B">
      <w:r w:rsidRPr="002E1CBA">
        <w:t>National Indigenous Australians Agency</w:t>
      </w:r>
      <w:r>
        <w:t xml:space="preserve"> (NIAA)</w:t>
      </w:r>
    </w:p>
    <w:p w14:paraId="11017773" w14:textId="77777777" w:rsidR="00FC740B" w:rsidRPr="00115C74" w:rsidRDefault="00FC740B" w:rsidP="00FC740B">
      <w:pPr>
        <w:pStyle w:val="Heading5"/>
      </w:pPr>
      <w:r w:rsidRPr="00115C74">
        <w:t xml:space="preserve">STATE AND TERRITORY PARTIES </w:t>
      </w:r>
    </w:p>
    <w:p w14:paraId="00502995" w14:textId="36433DAF" w:rsidR="00FC740B" w:rsidRPr="00617C76" w:rsidRDefault="00AA3F7F" w:rsidP="00FC740B">
      <w:r w:rsidRPr="00AA3F7F">
        <w:t>Skills and training representatives from the Department of Education (New South Wales), the Department of State Development (South Australia) and the Department of Training and Workforce Development (Western Australia)</w:t>
      </w:r>
    </w:p>
    <w:p w14:paraId="1E57F274" w14:textId="77777777" w:rsidR="00FC740B" w:rsidRPr="00617C76" w:rsidRDefault="00FC740B" w:rsidP="00FC740B">
      <w:pPr>
        <w:pStyle w:val="Heading4"/>
      </w:pPr>
      <w:r w:rsidRPr="00617C76">
        <w:t>Priority Reforms and Socio-economic Outcomes</w:t>
      </w:r>
    </w:p>
    <w:p w14:paraId="227BBBA4" w14:textId="77777777" w:rsidR="00CF7FB8" w:rsidRDefault="00CF7FB8" w:rsidP="00FC740B">
      <w:r w:rsidRPr="00CF7FB8">
        <w:t xml:space="preserve">Priority Reform 1 </w:t>
      </w:r>
    </w:p>
    <w:p w14:paraId="73219431" w14:textId="77777777" w:rsidR="00CF7FB8" w:rsidRDefault="00CF7FB8" w:rsidP="00FC740B">
      <w:r w:rsidRPr="00CF7FB8">
        <w:t xml:space="preserve">Priority Reform 2 </w:t>
      </w:r>
    </w:p>
    <w:p w14:paraId="119DEA10" w14:textId="77777777" w:rsidR="00CF7FB8" w:rsidRDefault="00CF7FB8" w:rsidP="00FC740B">
      <w:r w:rsidRPr="00CF7FB8">
        <w:t xml:space="preserve">Priority Reform 3 </w:t>
      </w:r>
    </w:p>
    <w:p w14:paraId="2EAC902F" w14:textId="77777777" w:rsidR="00CF7FB8" w:rsidRDefault="00CF7FB8" w:rsidP="00FC740B">
      <w:r w:rsidRPr="00CF7FB8">
        <w:t xml:space="preserve">Priority Reform 4 </w:t>
      </w:r>
    </w:p>
    <w:p w14:paraId="604B4F79" w14:textId="77777777" w:rsidR="00CF7FB8" w:rsidRDefault="00CF7FB8" w:rsidP="00FC740B">
      <w:r w:rsidRPr="00CF7FB8">
        <w:t xml:space="preserve">Outcome 5 </w:t>
      </w:r>
    </w:p>
    <w:p w14:paraId="35D1C662" w14:textId="77777777" w:rsidR="00CF7FB8" w:rsidRDefault="00CF7FB8" w:rsidP="00FC740B">
      <w:r w:rsidRPr="00CF7FB8">
        <w:t xml:space="preserve">Outcome 6 </w:t>
      </w:r>
    </w:p>
    <w:p w14:paraId="649F03FF" w14:textId="77777777" w:rsidR="00CF7FB8" w:rsidRDefault="00CF7FB8" w:rsidP="00FC740B">
      <w:r w:rsidRPr="00CF7FB8">
        <w:t xml:space="preserve">Outcome 7 </w:t>
      </w:r>
    </w:p>
    <w:p w14:paraId="2EFCFDE5" w14:textId="4BB472A5" w:rsidR="00FC740B" w:rsidRPr="007C35F3" w:rsidRDefault="00CF7FB8" w:rsidP="00FC740B">
      <w:r w:rsidRPr="00CF7FB8">
        <w:lastRenderedPageBreak/>
        <w:t>Outcome 8</w:t>
      </w:r>
    </w:p>
    <w:p w14:paraId="3AA5136F" w14:textId="77777777" w:rsidR="00FC740B" w:rsidRPr="00617C76" w:rsidRDefault="00FC740B" w:rsidP="00FC740B">
      <w:pPr>
        <w:pStyle w:val="Heading4"/>
      </w:pPr>
      <w:r w:rsidRPr="00617C76">
        <w:t>Partnership function</w:t>
      </w:r>
    </w:p>
    <w:p w14:paraId="69E7499C" w14:textId="5E53C3AF" w:rsidR="00FC740B" w:rsidRPr="00617C76" w:rsidRDefault="00CF7FB8" w:rsidP="00FC740B">
      <w:r w:rsidRPr="00CF7FB8">
        <w:t>Policy</w:t>
      </w:r>
    </w:p>
    <w:p w14:paraId="68FFE007" w14:textId="77777777" w:rsidR="00FC740B" w:rsidRPr="00617C76" w:rsidRDefault="00FC740B" w:rsidP="00FC740B">
      <w:pPr>
        <w:pStyle w:val="Heading4"/>
      </w:pPr>
      <w:r w:rsidRPr="00617C76">
        <w:t>Partnership timeframe</w:t>
      </w:r>
    </w:p>
    <w:p w14:paraId="3B425E23" w14:textId="76187E87" w:rsidR="00FC740B" w:rsidRPr="00617C76" w:rsidRDefault="00CF7FB8" w:rsidP="00FC740B">
      <w:r w:rsidRPr="00CF7FB8">
        <w:t>October 2024 until the establishment of the VET Policy Partnership (expected 2026)</w:t>
      </w:r>
    </w:p>
    <w:p w14:paraId="7C222646" w14:textId="77777777" w:rsidR="00FC740B" w:rsidRPr="00617C76" w:rsidRDefault="00FC740B" w:rsidP="00FC740B">
      <w:pPr>
        <w:pStyle w:val="Heading4"/>
      </w:pPr>
      <w:r w:rsidRPr="00617C76">
        <w:t>Actions taken to strengthen the partnership in 2025</w:t>
      </w:r>
    </w:p>
    <w:p w14:paraId="45234929" w14:textId="0D4F833B" w:rsidR="00FC740B" w:rsidRPr="00617C76" w:rsidRDefault="00CF7FB8" w:rsidP="00FC740B">
      <w:r w:rsidRPr="00CF7FB8">
        <w:t>The IPC has consulted widely to inform the design of the future VETPP which include</w:t>
      </w:r>
      <w:r w:rsidR="002D7CA5">
        <w:t>s</w:t>
      </w:r>
      <w:r w:rsidRPr="00CF7FB8">
        <w:t xml:space="preserve"> governance arrangements, membership composition and lessons learned. The IPC has sought to meet in a timely manner to progress work, which includes convening working group meetings at the officer level. Once established, the VETPP will include membership from all jurisdictions and will focus on progressing priorities outlined in the Agreement to Implement and its annual workplan.</w:t>
      </w:r>
    </w:p>
    <w:p w14:paraId="75BA7BF0" w14:textId="77777777" w:rsidR="00FC740B" w:rsidRPr="00617C76" w:rsidRDefault="00FC740B" w:rsidP="00FC740B">
      <w:pPr>
        <w:pStyle w:val="Heading4"/>
      </w:pPr>
      <w:r w:rsidRPr="00617C76">
        <w:t>Strong partnership indicators</w:t>
      </w:r>
    </w:p>
    <w:p w14:paraId="0E31A26C" w14:textId="77777777" w:rsidR="00FC740B" w:rsidRPr="00617C76" w:rsidRDefault="00FC740B" w:rsidP="00FC740B">
      <w:pPr>
        <w:pStyle w:val="Heading5"/>
      </w:pPr>
      <w:r w:rsidRPr="00617C76">
        <w:t>Clause 32A:</w:t>
      </w:r>
    </w:p>
    <w:p w14:paraId="2130C302" w14:textId="20466B71" w:rsidR="00FC740B" w:rsidRDefault="00353809" w:rsidP="00353809">
      <w:pPr>
        <w:pStyle w:val="ListParagraph"/>
        <w:numPr>
          <w:ilvl w:val="0"/>
          <w:numId w:val="75"/>
        </w:numPr>
      </w:pPr>
      <w:r w:rsidRPr="00353809">
        <w:t>Met</w:t>
      </w:r>
    </w:p>
    <w:p w14:paraId="66B5D8EC" w14:textId="4D3339EC" w:rsidR="00FC740B" w:rsidRDefault="00353809" w:rsidP="00353809">
      <w:pPr>
        <w:pStyle w:val="ListParagraph"/>
        <w:numPr>
          <w:ilvl w:val="0"/>
          <w:numId w:val="75"/>
        </w:numPr>
      </w:pPr>
      <w:r w:rsidRPr="00353809">
        <w:t>Met</w:t>
      </w:r>
    </w:p>
    <w:p w14:paraId="694FD496" w14:textId="51061B0D" w:rsidR="00FC740B" w:rsidRDefault="00353809" w:rsidP="00353809">
      <w:pPr>
        <w:pStyle w:val="ListParagraph"/>
        <w:numPr>
          <w:ilvl w:val="0"/>
          <w:numId w:val="75"/>
        </w:numPr>
      </w:pPr>
      <w:r w:rsidRPr="00353809">
        <w:t>Met</w:t>
      </w:r>
    </w:p>
    <w:p w14:paraId="369B6C30" w14:textId="77777777" w:rsidR="00FC740B" w:rsidRPr="00617C76" w:rsidRDefault="00FC740B" w:rsidP="00FC740B">
      <w:pPr>
        <w:pStyle w:val="Heading5"/>
      </w:pPr>
      <w:r w:rsidRPr="00617C76">
        <w:t>Clause 32B:</w:t>
      </w:r>
    </w:p>
    <w:p w14:paraId="03924449" w14:textId="464FAD80" w:rsidR="00FC740B" w:rsidRDefault="00353809" w:rsidP="00353809">
      <w:pPr>
        <w:pStyle w:val="ListParagraph"/>
        <w:numPr>
          <w:ilvl w:val="0"/>
          <w:numId w:val="76"/>
        </w:numPr>
      </w:pPr>
      <w:r w:rsidRPr="00353809">
        <w:t>Met</w:t>
      </w:r>
    </w:p>
    <w:p w14:paraId="1D5245A4" w14:textId="2B791BF3" w:rsidR="00FC740B" w:rsidRDefault="00353809" w:rsidP="00353809">
      <w:pPr>
        <w:pStyle w:val="ListParagraph"/>
        <w:numPr>
          <w:ilvl w:val="0"/>
          <w:numId w:val="76"/>
        </w:numPr>
      </w:pPr>
      <w:r w:rsidRPr="00353809">
        <w:t>Met</w:t>
      </w:r>
    </w:p>
    <w:p w14:paraId="784662FE" w14:textId="58DB2067" w:rsidR="00FC740B" w:rsidRDefault="00353809" w:rsidP="00353809">
      <w:pPr>
        <w:pStyle w:val="ListParagraph"/>
        <w:numPr>
          <w:ilvl w:val="0"/>
          <w:numId w:val="76"/>
        </w:numPr>
      </w:pPr>
      <w:r>
        <w:t>Not met</w:t>
      </w:r>
    </w:p>
    <w:p w14:paraId="3F508FE0" w14:textId="2AFEF05A" w:rsidR="00FC740B" w:rsidRDefault="00353809" w:rsidP="00353809">
      <w:pPr>
        <w:pStyle w:val="ListParagraph"/>
        <w:numPr>
          <w:ilvl w:val="0"/>
          <w:numId w:val="76"/>
        </w:numPr>
      </w:pPr>
      <w:r>
        <w:t>N/A</w:t>
      </w:r>
    </w:p>
    <w:p w14:paraId="10AC69E8" w14:textId="77777777" w:rsidR="00FC740B" w:rsidRPr="00617C76" w:rsidRDefault="00FC740B" w:rsidP="00FC740B">
      <w:pPr>
        <w:pStyle w:val="Heading5"/>
      </w:pPr>
      <w:r w:rsidRPr="00617C76">
        <w:t>Clause 32C:</w:t>
      </w:r>
    </w:p>
    <w:p w14:paraId="4167A17A" w14:textId="7AE5D0E3" w:rsidR="00FC740B" w:rsidRDefault="00353809" w:rsidP="00353809">
      <w:pPr>
        <w:pStyle w:val="ListParagraph"/>
        <w:numPr>
          <w:ilvl w:val="0"/>
          <w:numId w:val="77"/>
        </w:numPr>
      </w:pPr>
      <w:r w:rsidRPr="00353809">
        <w:t>Met</w:t>
      </w:r>
    </w:p>
    <w:p w14:paraId="3FAAA800" w14:textId="5078FDC6" w:rsidR="00FC740B" w:rsidRDefault="00353809" w:rsidP="00353809">
      <w:pPr>
        <w:pStyle w:val="ListParagraph"/>
        <w:numPr>
          <w:ilvl w:val="0"/>
          <w:numId w:val="77"/>
        </w:numPr>
      </w:pPr>
      <w:r w:rsidRPr="00353809">
        <w:t>Met</w:t>
      </w:r>
    </w:p>
    <w:p w14:paraId="10FBEA4F" w14:textId="69D08330" w:rsidR="00FC740B" w:rsidRDefault="00353809" w:rsidP="00353809">
      <w:pPr>
        <w:pStyle w:val="ListParagraph"/>
        <w:numPr>
          <w:ilvl w:val="0"/>
          <w:numId w:val="77"/>
        </w:numPr>
      </w:pPr>
      <w:r w:rsidRPr="00353809">
        <w:t>Met</w:t>
      </w:r>
    </w:p>
    <w:p w14:paraId="2B58982A" w14:textId="5E0D2A54" w:rsidR="00FC740B" w:rsidRDefault="00353809" w:rsidP="00353809">
      <w:pPr>
        <w:pStyle w:val="ListParagraph"/>
        <w:numPr>
          <w:ilvl w:val="0"/>
          <w:numId w:val="77"/>
        </w:numPr>
      </w:pPr>
      <w:r w:rsidRPr="00353809">
        <w:t>Met</w:t>
      </w:r>
    </w:p>
    <w:p w14:paraId="00D25755" w14:textId="2A469084" w:rsidR="00FC740B" w:rsidRDefault="00353809" w:rsidP="00353809">
      <w:pPr>
        <w:pStyle w:val="ListParagraph"/>
        <w:numPr>
          <w:ilvl w:val="0"/>
          <w:numId w:val="77"/>
        </w:numPr>
      </w:pPr>
      <w:r w:rsidRPr="00353809">
        <w:t>Met</w:t>
      </w:r>
    </w:p>
    <w:p w14:paraId="206D03B7" w14:textId="48822D4F" w:rsidR="00FC740B" w:rsidRDefault="00353809" w:rsidP="00353809">
      <w:pPr>
        <w:pStyle w:val="ListParagraph"/>
        <w:numPr>
          <w:ilvl w:val="0"/>
          <w:numId w:val="77"/>
        </w:numPr>
      </w:pPr>
      <w:r w:rsidRPr="00353809">
        <w:t>Met</w:t>
      </w:r>
    </w:p>
    <w:p w14:paraId="113440ED" w14:textId="481DFD68" w:rsidR="00FC740B" w:rsidRDefault="00353809" w:rsidP="00353809">
      <w:pPr>
        <w:pStyle w:val="ListParagraph"/>
        <w:numPr>
          <w:ilvl w:val="0"/>
          <w:numId w:val="77"/>
        </w:numPr>
      </w:pPr>
      <w:r w:rsidRPr="00353809">
        <w:t>Met</w:t>
      </w:r>
    </w:p>
    <w:p w14:paraId="1CAB80FB" w14:textId="77777777" w:rsidR="00FC740B" w:rsidRPr="00617C76" w:rsidRDefault="00FC740B" w:rsidP="00FC740B">
      <w:pPr>
        <w:pStyle w:val="Heading5"/>
      </w:pPr>
      <w:r w:rsidRPr="00617C76">
        <w:t>Clause 33:</w:t>
      </w:r>
    </w:p>
    <w:p w14:paraId="7A7FD3D7" w14:textId="01939293" w:rsidR="00FC740B" w:rsidRDefault="00353809" w:rsidP="00FC740B">
      <w:r w:rsidRPr="00353809">
        <w:t>Met</w:t>
      </w:r>
    </w:p>
    <w:p w14:paraId="14EEDF93" w14:textId="77777777" w:rsidR="00FC740B" w:rsidRDefault="00FC740B" w:rsidP="00FC740B">
      <w:pPr>
        <w:pStyle w:val="Heading4"/>
      </w:pPr>
      <w:r w:rsidRPr="00617C76">
        <w:t>Achievements over 2025</w:t>
      </w:r>
    </w:p>
    <w:p w14:paraId="1CD544BF" w14:textId="77777777" w:rsidR="00C72330" w:rsidRDefault="00C72330" w:rsidP="00FC740B">
      <w:r w:rsidRPr="00C72330">
        <w:t>The National Skills Agreement 2024</w:t>
      </w:r>
      <w:r w:rsidRPr="00C72330">
        <w:noBreakHyphen/>
        <w:t>28 (NSA) sets out the Australian Government’s commitment to working with the states and territories, and the Coalition of Peaks to establish a nationally networked VETPP, commencing with the First Nations VET IPC. Co</w:t>
      </w:r>
      <w:r w:rsidRPr="00C72330">
        <w:noBreakHyphen/>
        <w:t xml:space="preserve">chaired by DEWR and the Coalition of Peaks, the IPC is made up of equal representatives from the First Nations organisations and governments. </w:t>
      </w:r>
    </w:p>
    <w:p w14:paraId="6E425B1C" w14:textId="77777777" w:rsidR="00C72330" w:rsidRDefault="00C72330" w:rsidP="00FC740B">
      <w:r w:rsidRPr="00C72330">
        <w:t>In 2025, the IPC met 4 times and progressed the design of the nationally networked VETPP for consideration by Skills Ministers. Progress has been made to co</w:t>
      </w:r>
      <w:r w:rsidRPr="00C72330">
        <w:noBreakHyphen/>
        <w:t xml:space="preserve">design key enabling documents for the VETPP, including the Agreement to Implement. </w:t>
      </w:r>
    </w:p>
    <w:p w14:paraId="6FE6EA73" w14:textId="77777777" w:rsidR="00C72330" w:rsidRDefault="00C72330" w:rsidP="00FC740B">
      <w:r w:rsidRPr="00C72330">
        <w:lastRenderedPageBreak/>
        <w:t xml:space="preserve">In December 2025, Skills Ministers considered the First Nations VETPP </w:t>
      </w:r>
      <w:r w:rsidRPr="00C72330">
        <w:noBreakHyphen/>
        <w:t xml:space="preserve"> including the proposed approach to implementation. Establishment in early 2026 was proposed; with Queensland noting that its involvement is subject to the jurisdiction formalising government positions where required. </w:t>
      </w:r>
    </w:p>
    <w:p w14:paraId="2B03BB08" w14:textId="02AE32FE" w:rsidR="00FC740B" w:rsidRDefault="00C72330" w:rsidP="00FC740B">
      <w:r w:rsidRPr="00C72330">
        <w:t>DEWR commenced the process to establish the Indigenous Centre for Vocational Excellence (ICOVE), which is expected to operate as an alternative model to a First Nations skills peak and perform the role of a national, evidence</w:t>
      </w:r>
      <w:r w:rsidRPr="00C72330">
        <w:noBreakHyphen/>
        <w:t>informed best practice VET hub. As a skills peak alternative, the ICOVE will partner with governments in the formation of the VETPP and support its operations in 2026.</w:t>
      </w:r>
    </w:p>
    <w:p w14:paraId="3A227FA1" w14:textId="1A82DF34" w:rsidR="00912DAF" w:rsidRDefault="00C72330" w:rsidP="00912DAF">
      <w:pPr>
        <w:pStyle w:val="Heading3"/>
      </w:pPr>
      <w:bookmarkStart w:id="26" w:name="_Toc225506048"/>
      <w:r w:rsidRPr="00C72330">
        <w:t>Aboriginal and Torres Strait Islander Health Collaboration (Health Collaboration)</w:t>
      </w:r>
      <w:bookmarkEnd w:id="26"/>
    </w:p>
    <w:p w14:paraId="588728DD" w14:textId="77777777" w:rsidR="00912DAF" w:rsidRDefault="00912DAF" w:rsidP="00912DAF">
      <w:pPr>
        <w:pStyle w:val="Heading4"/>
      </w:pPr>
      <w:r w:rsidRPr="00617C76">
        <w:t>Partnership description</w:t>
      </w:r>
    </w:p>
    <w:p w14:paraId="0E23771A" w14:textId="77777777" w:rsidR="00BA5215" w:rsidRDefault="00BA5215" w:rsidP="00912DAF">
      <w:r w:rsidRPr="00BA5215">
        <w:t xml:space="preserve">The Health Collaboration was formally established by the Australian Government in 2023 to advise the Health Chief Executive Forum (HCEF) and Health Ministers Meeting (HMM) on matters relating to Aboriginal and Torres Strait Islander peoples’ health. </w:t>
      </w:r>
    </w:p>
    <w:p w14:paraId="54379D45" w14:textId="339C4C2F" w:rsidR="00912DAF" w:rsidRPr="00837360" w:rsidRDefault="00BA5215" w:rsidP="00912DAF">
      <w:r w:rsidRPr="00BA5215">
        <w:t>It provides a coordinated national approach to First Nations peoples’ wellbeing, providing a forum for Commonwealth, state and territory governments and First Nations health sector representatives to drive health priorities.</w:t>
      </w:r>
    </w:p>
    <w:p w14:paraId="74994AFC" w14:textId="77777777" w:rsidR="00912DAF" w:rsidRDefault="00912DAF" w:rsidP="00912DAF">
      <w:pPr>
        <w:pStyle w:val="Heading4"/>
      </w:pPr>
      <w:r w:rsidRPr="00DF6278">
        <w:t>Aboriginal and Torres Strait Islander parties</w:t>
      </w:r>
    </w:p>
    <w:p w14:paraId="3143D360" w14:textId="42FC1C38" w:rsidR="00BA5215" w:rsidRPr="009A75F0" w:rsidRDefault="00BA5215" w:rsidP="00912DAF">
      <w:r w:rsidRPr="009A75F0">
        <w:t xml:space="preserve">National Aboriginal Community Controlled Health Organisation (NACCHO) </w:t>
      </w:r>
      <w:r w:rsidR="00C40658">
        <w:t>(endorsing partner)</w:t>
      </w:r>
    </w:p>
    <w:p w14:paraId="2AAF6FAA" w14:textId="77777777" w:rsidR="00BA5215" w:rsidRPr="00BA5215" w:rsidRDefault="00BA5215" w:rsidP="00912DAF">
      <w:r w:rsidRPr="00BA5215">
        <w:t xml:space="preserve">National Indigenous Health Leadership Alliance </w:t>
      </w:r>
    </w:p>
    <w:p w14:paraId="02216C9D" w14:textId="77777777" w:rsidR="00BA5215" w:rsidRPr="00BA5215" w:rsidRDefault="00BA5215" w:rsidP="00912DAF">
      <w:r w:rsidRPr="00BA5215">
        <w:t xml:space="preserve">Queensland Aboriginal and Islander Health Council </w:t>
      </w:r>
    </w:p>
    <w:p w14:paraId="41B7959B" w14:textId="77777777" w:rsidR="00BA5215" w:rsidRPr="00BA5215" w:rsidRDefault="00BA5215" w:rsidP="00912DAF">
      <w:proofErr w:type="spellStart"/>
      <w:r w:rsidRPr="00BA5215">
        <w:t>Winnunga</w:t>
      </w:r>
      <w:proofErr w:type="spellEnd"/>
      <w:r w:rsidRPr="00BA5215">
        <w:t xml:space="preserve"> </w:t>
      </w:r>
      <w:proofErr w:type="spellStart"/>
      <w:r w:rsidRPr="00BA5215">
        <w:t>Nimmityjah</w:t>
      </w:r>
      <w:proofErr w:type="spellEnd"/>
      <w:r w:rsidRPr="00BA5215">
        <w:t xml:space="preserve"> Aboriginal Health and Community Services </w:t>
      </w:r>
    </w:p>
    <w:p w14:paraId="1DFD537B" w14:textId="77777777" w:rsidR="00BA5215" w:rsidRPr="00BA5215" w:rsidRDefault="00BA5215" w:rsidP="00912DAF">
      <w:r w:rsidRPr="00BA5215">
        <w:t xml:space="preserve">Aboriginal Health and Medical Research Council </w:t>
      </w:r>
    </w:p>
    <w:p w14:paraId="16309DD3" w14:textId="77777777" w:rsidR="00BA5215" w:rsidRPr="00BA5215" w:rsidRDefault="00BA5215" w:rsidP="00912DAF">
      <w:r w:rsidRPr="00BA5215">
        <w:t xml:space="preserve">Tasmanian Aboriginal Centre </w:t>
      </w:r>
    </w:p>
    <w:p w14:paraId="0309C00B" w14:textId="77777777" w:rsidR="00BA5215" w:rsidRPr="00BA5215" w:rsidRDefault="00BA5215" w:rsidP="00912DAF">
      <w:r w:rsidRPr="00BA5215">
        <w:t>Victorian Aboriginal Community Controlled Health Organisation</w:t>
      </w:r>
    </w:p>
    <w:p w14:paraId="632FE872" w14:textId="77777777" w:rsidR="00BA5215" w:rsidRPr="00BA5215" w:rsidRDefault="00BA5215" w:rsidP="00912DAF">
      <w:r w:rsidRPr="00BA5215">
        <w:t xml:space="preserve"> Aboriginal Health Council of Western Australia </w:t>
      </w:r>
    </w:p>
    <w:p w14:paraId="37DEAD78" w14:textId="2819070B" w:rsidR="00912DAF" w:rsidRPr="00BA5215" w:rsidRDefault="00BA5215" w:rsidP="00912DAF">
      <w:r w:rsidRPr="00BA5215">
        <w:t>Aboriginal Health Council South Australia</w:t>
      </w:r>
    </w:p>
    <w:p w14:paraId="74B19B40" w14:textId="77777777" w:rsidR="00912DAF" w:rsidRPr="00617C76" w:rsidRDefault="00912DAF" w:rsidP="00912DAF">
      <w:pPr>
        <w:pStyle w:val="Heading4"/>
      </w:pPr>
      <w:r w:rsidRPr="00617C76">
        <w:t>Government parties</w:t>
      </w:r>
    </w:p>
    <w:p w14:paraId="5C9DCB1A" w14:textId="77777777" w:rsidR="00912DAF" w:rsidRDefault="00912DAF" w:rsidP="00912DAF">
      <w:pPr>
        <w:pStyle w:val="Heading5"/>
      </w:pPr>
      <w:r w:rsidRPr="00115C74">
        <w:t xml:space="preserve">COMMONWEALTH PARTIES </w:t>
      </w:r>
    </w:p>
    <w:p w14:paraId="2C85912B" w14:textId="43ABF996" w:rsidR="00912DAF" w:rsidRPr="009A75F0" w:rsidRDefault="00DA09E5" w:rsidP="00912DAF">
      <w:r w:rsidRPr="009A75F0">
        <w:t>Department of Health, Disability and Ageing</w:t>
      </w:r>
      <w:r w:rsidR="00C40658">
        <w:t xml:space="preserve"> (endorsing partner)</w:t>
      </w:r>
    </w:p>
    <w:p w14:paraId="1B1EE79B" w14:textId="77777777" w:rsidR="00912DAF" w:rsidRPr="00115C74" w:rsidRDefault="00912DAF" w:rsidP="00912DAF">
      <w:pPr>
        <w:pStyle w:val="Heading5"/>
      </w:pPr>
      <w:r w:rsidRPr="00115C74">
        <w:t xml:space="preserve">STATE AND TERRITORY PARTIES </w:t>
      </w:r>
    </w:p>
    <w:p w14:paraId="0BA7D5A4" w14:textId="6B151FA8" w:rsidR="00912DAF" w:rsidRPr="00617C76" w:rsidRDefault="00DA09E5" w:rsidP="00DA09E5">
      <w:r w:rsidRPr="00DA09E5">
        <w:t>Health officials from state and territory governments</w:t>
      </w:r>
    </w:p>
    <w:p w14:paraId="40BBAE20" w14:textId="77777777" w:rsidR="00912DAF" w:rsidRPr="00617C76" w:rsidRDefault="00912DAF" w:rsidP="00912DAF">
      <w:pPr>
        <w:pStyle w:val="Heading4"/>
      </w:pPr>
      <w:r w:rsidRPr="00617C76">
        <w:t>Priority Reforms and Socio-economic Outcomes</w:t>
      </w:r>
    </w:p>
    <w:p w14:paraId="62406E04" w14:textId="77777777" w:rsidR="00DA09E5" w:rsidRDefault="00DA09E5" w:rsidP="00912DAF">
      <w:r w:rsidRPr="00DA09E5">
        <w:t xml:space="preserve">Priority Reform 1 </w:t>
      </w:r>
    </w:p>
    <w:p w14:paraId="3AF23934" w14:textId="77777777" w:rsidR="00DA09E5" w:rsidRDefault="00DA09E5" w:rsidP="00912DAF">
      <w:r w:rsidRPr="00DA09E5">
        <w:t xml:space="preserve">Priority Reform 2 </w:t>
      </w:r>
    </w:p>
    <w:p w14:paraId="26861E1F" w14:textId="77777777" w:rsidR="00DA09E5" w:rsidRDefault="00DA09E5" w:rsidP="00912DAF">
      <w:r w:rsidRPr="00DA09E5">
        <w:t xml:space="preserve">Priority Reform 3 </w:t>
      </w:r>
    </w:p>
    <w:p w14:paraId="2E7FEAB4" w14:textId="77777777" w:rsidR="00DA09E5" w:rsidRDefault="00DA09E5" w:rsidP="00912DAF">
      <w:r w:rsidRPr="00DA09E5">
        <w:t xml:space="preserve">Priority Reform 4 </w:t>
      </w:r>
    </w:p>
    <w:p w14:paraId="6AD9580E" w14:textId="77777777" w:rsidR="00DA09E5" w:rsidRDefault="00DA09E5" w:rsidP="00912DAF">
      <w:r w:rsidRPr="00DA09E5">
        <w:t xml:space="preserve">Outcome 1 </w:t>
      </w:r>
    </w:p>
    <w:p w14:paraId="2B814854" w14:textId="77777777" w:rsidR="00DA09E5" w:rsidRDefault="00DA09E5" w:rsidP="00912DAF">
      <w:r w:rsidRPr="00DA09E5">
        <w:lastRenderedPageBreak/>
        <w:t xml:space="preserve">Outcome 2 </w:t>
      </w:r>
    </w:p>
    <w:p w14:paraId="087CFC75" w14:textId="77777777" w:rsidR="00DA09E5" w:rsidRDefault="00DA09E5" w:rsidP="00912DAF">
      <w:r w:rsidRPr="00DA09E5">
        <w:t xml:space="preserve">Outcome 10 </w:t>
      </w:r>
    </w:p>
    <w:p w14:paraId="63F8B28E" w14:textId="77777777" w:rsidR="00DA09E5" w:rsidRDefault="00DA09E5" w:rsidP="00912DAF">
      <w:r w:rsidRPr="00DA09E5">
        <w:t xml:space="preserve">Outcome 11 </w:t>
      </w:r>
    </w:p>
    <w:p w14:paraId="71FF64C5" w14:textId="77777777" w:rsidR="00DA09E5" w:rsidRDefault="00DA09E5" w:rsidP="00912DAF">
      <w:r w:rsidRPr="00DA09E5">
        <w:t xml:space="preserve">Outcome 12 </w:t>
      </w:r>
    </w:p>
    <w:p w14:paraId="7B13C847" w14:textId="56E6DED5" w:rsidR="00912DAF" w:rsidRPr="007C35F3" w:rsidRDefault="00DA09E5" w:rsidP="00912DAF">
      <w:r w:rsidRPr="00DA09E5">
        <w:t>Outcome 14</w:t>
      </w:r>
    </w:p>
    <w:p w14:paraId="40F75703" w14:textId="77777777" w:rsidR="00912DAF" w:rsidRPr="00617C76" w:rsidRDefault="00912DAF" w:rsidP="00912DAF">
      <w:pPr>
        <w:pStyle w:val="Heading4"/>
      </w:pPr>
      <w:r w:rsidRPr="00617C76">
        <w:t>Partnership function</w:t>
      </w:r>
    </w:p>
    <w:p w14:paraId="6BD1D472" w14:textId="3834FDCE" w:rsidR="00912DAF" w:rsidRPr="00617C76" w:rsidRDefault="0081568C" w:rsidP="00912DAF">
      <w:r w:rsidRPr="0081568C">
        <w:t>Policy</w:t>
      </w:r>
    </w:p>
    <w:p w14:paraId="6BD008C1" w14:textId="77777777" w:rsidR="00912DAF" w:rsidRPr="00617C76" w:rsidRDefault="00912DAF" w:rsidP="00912DAF">
      <w:pPr>
        <w:pStyle w:val="Heading4"/>
      </w:pPr>
      <w:r w:rsidRPr="00617C76">
        <w:t>Partnership timeframe</w:t>
      </w:r>
    </w:p>
    <w:p w14:paraId="26ECD152" w14:textId="37BDA655" w:rsidR="00912DAF" w:rsidRPr="00617C76" w:rsidRDefault="0081568C" w:rsidP="00912DAF">
      <w:r w:rsidRPr="0081568C">
        <w:t>Current to 30 June 2028</w:t>
      </w:r>
    </w:p>
    <w:p w14:paraId="6626FE58" w14:textId="77777777" w:rsidR="00912DAF" w:rsidRPr="00617C76" w:rsidRDefault="00912DAF" w:rsidP="00912DAF">
      <w:pPr>
        <w:pStyle w:val="Heading4"/>
      </w:pPr>
      <w:r w:rsidRPr="00617C76">
        <w:t>Actions taken to strengthen the partnership in 2025</w:t>
      </w:r>
    </w:p>
    <w:p w14:paraId="00F861B8" w14:textId="7FC4F050" w:rsidR="00912DAF" w:rsidRPr="00617C76" w:rsidRDefault="0081568C" w:rsidP="00912DAF">
      <w:r w:rsidRPr="0081568C">
        <w:t>The Health Collaboration engages across Health Ministers’ governance structures including other collaborations. Members are required to consult, partner, and influence other organisations as required and ensure they advocate and communicate to their jurisdictions and departments on behalf of the Health Collaboration.</w:t>
      </w:r>
    </w:p>
    <w:p w14:paraId="53C98AF6" w14:textId="77777777" w:rsidR="00912DAF" w:rsidRPr="00617C76" w:rsidRDefault="00912DAF" w:rsidP="00912DAF">
      <w:pPr>
        <w:pStyle w:val="Heading4"/>
      </w:pPr>
      <w:r w:rsidRPr="00617C76">
        <w:t>Strong partnership indicators</w:t>
      </w:r>
    </w:p>
    <w:p w14:paraId="75E4E545" w14:textId="77777777" w:rsidR="00912DAF" w:rsidRPr="00617C76" w:rsidRDefault="00912DAF" w:rsidP="00912DAF">
      <w:pPr>
        <w:pStyle w:val="Heading5"/>
      </w:pPr>
      <w:r w:rsidRPr="00617C76">
        <w:t>Clause 32A:</w:t>
      </w:r>
    </w:p>
    <w:p w14:paraId="693C6E91" w14:textId="1EDAADBC" w:rsidR="00912DAF" w:rsidRDefault="0081568C" w:rsidP="0081568C">
      <w:pPr>
        <w:pStyle w:val="ListParagraph"/>
        <w:numPr>
          <w:ilvl w:val="0"/>
          <w:numId w:val="78"/>
        </w:numPr>
      </w:pPr>
      <w:r w:rsidRPr="0081568C">
        <w:t>Met</w:t>
      </w:r>
    </w:p>
    <w:p w14:paraId="4E6A9D19" w14:textId="6D8F91AD" w:rsidR="00912DAF" w:rsidRDefault="0081568C" w:rsidP="0081568C">
      <w:pPr>
        <w:pStyle w:val="ListParagraph"/>
        <w:numPr>
          <w:ilvl w:val="0"/>
          <w:numId w:val="78"/>
        </w:numPr>
      </w:pPr>
      <w:r w:rsidRPr="0081568C">
        <w:t>Met</w:t>
      </w:r>
    </w:p>
    <w:p w14:paraId="6B199B8D" w14:textId="3F5ABFB3" w:rsidR="00912DAF" w:rsidRDefault="0081568C" w:rsidP="0081568C">
      <w:pPr>
        <w:pStyle w:val="ListParagraph"/>
        <w:numPr>
          <w:ilvl w:val="0"/>
          <w:numId w:val="78"/>
        </w:numPr>
      </w:pPr>
      <w:r w:rsidRPr="0081568C">
        <w:t>Met</w:t>
      </w:r>
    </w:p>
    <w:p w14:paraId="50715766" w14:textId="77777777" w:rsidR="00912DAF" w:rsidRPr="00617C76" w:rsidRDefault="00912DAF" w:rsidP="00912DAF">
      <w:pPr>
        <w:pStyle w:val="Heading5"/>
      </w:pPr>
      <w:r w:rsidRPr="00617C76">
        <w:t>Clause 32B:</w:t>
      </w:r>
    </w:p>
    <w:p w14:paraId="2732C28B" w14:textId="7B333294" w:rsidR="00912DAF" w:rsidRDefault="0081568C" w:rsidP="0081568C">
      <w:pPr>
        <w:pStyle w:val="ListParagraph"/>
        <w:numPr>
          <w:ilvl w:val="0"/>
          <w:numId w:val="79"/>
        </w:numPr>
      </w:pPr>
      <w:r w:rsidRPr="0081568C">
        <w:t>Met</w:t>
      </w:r>
    </w:p>
    <w:p w14:paraId="615E03D8" w14:textId="4C9FA02B" w:rsidR="00912DAF" w:rsidRDefault="0081568C" w:rsidP="0081568C">
      <w:pPr>
        <w:pStyle w:val="ListParagraph"/>
        <w:numPr>
          <w:ilvl w:val="0"/>
          <w:numId w:val="79"/>
        </w:numPr>
      </w:pPr>
      <w:r w:rsidRPr="0081568C">
        <w:t>Met</w:t>
      </w:r>
    </w:p>
    <w:p w14:paraId="2E1E5EAE" w14:textId="77777777" w:rsidR="0081568C" w:rsidRDefault="0081568C" w:rsidP="0081568C">
      <w:pPr>
        <w:pStyle w:val="ListParagraph"/>
        <w:numPr>
          <w:ilvl w:val="0"/>
          <w:numId w:val="79"/>
        </w:numPr>
      </w:pPr>
      <w:r>
        <w:t>N/A</w:t>
      </w:r>
    </w:p>
    <w:p w14:paraId="4AC045A5" w14:textId="104C3B1D" w:rsidR="00912DAF" w:rsidRDefault="00E8024A" w:rsidP="0081568C">
      <w:pPr>
        <w:pStyle w:val="ListParagraph"/>
        <w:numPr>
          <w:ilvl w:val="0"/>
          <w:numId w:val="79"/>
        </w:numPr>
      </w:pPr>
      <w:r>
        <w:t>N/A</w:t>
      </w:r>
    </w:p>
    <w:p w14:paraId="4D3CA2AF" w14:textId="77777777" w:rsidR="00912DAF" w:rsidRPr="00617C76" w:rsidRDefault="00912DAF" w:rsidP="00912DAF">
      <w:pPr>
        <w:pStyle w:val="Heading5"/>
      </w:pPr>
      <w:r w:rsidRPr="00617C76">
        <w:t>Clause 32C:</w:t>
      </w:r>
    </w:p>
    <w:p w14:paraId="2A39E1F3" w14:textId="0F23898F" w:rsidR="00912DAF" w:rsidRDefault="00001E45" w:rsidP="0081568C">
      <w:pPr>
        <w:pStyle w:val="ListParagraph"/>
        <w:numPr>
          <w:ilvl w:val="0"/>
          <w:numId w:val="80"/>
        </w:numPr>
      </w:pPr>
      <w:r w:rsidRPr="00001E45">
        <w:t>Met</w:t>
      </w:r>
    </w:p>
    <w:p w14:paraId="099E00F8" w14:textId="74513FDA" w:rsidR="00912DAF" w:rsidRDefault="00001E45" w:rsidP="0081568C">
      <w:pPr>
        <w:pStyle w:val="ListParagraph"/>
        <w:numPr>
          <w:ilvl w:val="0"/>
          <w:numId w:val="80"/>
        </w:numPr>
      </w:pPr>
      <w:r w:rsidRPr="00001E45">
        <w:t>Met</w:t>
      </w:r>
    </w:p>
    <w:p w14:paraId="0D97EDD5" w14:textId="55F3D4C4" w:rsidR="00912DAF" w:rsidRDefault="00001E45" w:rsidP="0081568C">
      <w:pPr>
        <w:pStyle w:val="ListParagraph"/>
        <w:numPr>
          <w:ilvl w:val="0"/>
          <w:numId w:val="80"/>
        </w:numPr>
      </w:pPr>
      <w:r w:rsidRPr="00001E45">
        <w:t>Met</w:t>
      </w:r>
    </w:p>
    <w:p w14:paraId="188BBFA6" w14:textId="0D7635A6" w:rsidR="00912DAF" w:rsidRDefault="00001E45" w:rsidP="0081568C">
      <w:pPr>
        <w:pStyle w:val="ListParagraph"/>
        <w:numPr>
          <w:ilvl w:val="0"/>
          <w:numId w:val="80"/>
        </w:numPr>
      </w:pPr>
      <w:r w:rsidRPr="00001E45">
        <w:t>Met</w:t>
      </w:r>
    </w:p>
    <w:p w14:paraId="444410C8" w14:textId="7214A2D4" w:rsidR="00912DAF" w:rsidRDefault="00001E45" w:rsidP="0081568C">
      <w:pPr>
        <w:pStyle w:val="ListParagraph"/>
        <w:numPr>
          <w:ilvl w:val="0"/>
          <w:numId w:val="80"/>
        </w:numPr>
      </w:pPr>
      <w:r w:rsidRPr="00001E45">
        <w:t>Met</w:t>
      </w:r>
    </w:p>
    <w:p w14:paraId="02449B75" w14:textId="1E3EDC94" w:rsidR="00912DAF" w:rsidRDefault="00001E45" w:rsidP="0081568C">
      <w:pPr>
        <w:pStyle w:val="ListParagraph"/>
        <w:numPr>
          <w:ilvl w:val="0"/>
          <w:numId w:val="80"/>
        </w:numPr>
      </w:pPr>
      <w:r w:rsidRPr="00001E45">
        <w:t>Met</w:t>
      </w:r>
    </w:p>
    <w:p w14:paraId="1D0C7FF8" w14:textId="6C7A297A" w:rsidR="00912DAF" w:rsidRDefault="00001E45" w:rsidP="0081568C">
      <w:pPr>
        <w:pStyle w:val="ListParagraph"/>
        <w:numPr>
          <w:ilvl w:val="0"/>
          <w:numId w:val="80"/>
        </w:numPr>
      </w:pPr>
      <w:r w:rsidRPr="00001E45">
        <w:t>Met</w:t>
      </w:r>
    </w:p>
    <w:p w14:paraId="039603DF" w14:textId="77777777" w:rsidR="00912DAF" w:rsidRPr="00617C76" w:rsidRDefault="00912DAF" w:rsidP="00912DAF">
      <w:pPr>
        <w:pStyle w:val="Heading5"/>
      </w:pPr>
      <w:r w:rsidRPr="00617C76">
        <w:t>Clause 33:</w:t>
      </w:r>
    </w:p>
    <w:p w14:paraId="2D1F4406" w14:textId="058093CD" w:rsidR="00912DAF" w:rsidRDefault="00001E45" w:rsidP="00912DAF">
      <w:r w:rsidRPr="00001E45">
        <w:t>Met</w:t>
      </w:r>
    </w:p>
    <w:p w14:paraId="238174FF" w14:textId="77777777" w:rsidR="00912DAF" w:rsidRDefault="00912DAF" w:rsidP="00912DAF">
      <w:pPr>
        <w:pStyle w:val="Heading4"/>
      </w:pPr>
      <w:r w:rsidRPr="00617C76">
        <w:t>Achievements over 2025</w:t>
      </w:r>
    </w:p>
    <w:p w14:paraId="387213CF" w14:textId="5573C760" w:rsidR="00912DAF" w:rsidRPr="003E2721" w:rsidRDefault="00001E45" w:rsidP="00912DAF">
      <w:r w:rsidRPr="00001E45">
        <w:t>In 2025 the Health Collaboration co</w:t>
      </w:r>
      <w:r w:rsidRPr="00001E45">
        <w:noBreakHyphen/>
        <w:t xml:space="preserve">designed the inaugural First Nations Schedule for the National Health Reform Agreement and commenced the Approach to Implementation of the </w:t>
      </w:r>
      <w:r w:rsidRPr="00A37274">
        <w:rPr>
          <w:i/>
          <w:iCs/>
        </w:rPr>
        <w:t>First Nations Health Care in Prison Review</w:t>
      </w:r>
      <w:r>
        <w:t>.</w:t>
      </w:r>
    </w:p>
    <w:p w14:paraId="4E34A7AE" w14:textId="16E57665" w:rsidR="00912DAF" w:rsidRDefault="00001E45" w:rsidP="00912DAF">
      <w:pPr>
        <w:pStyle w:val="Heading3"/>
      </w:pPr>
      <w:bookmarkStart w:id="27" w:name="_Toc225506049"/>
      <w:r w:rsidRPr="00001E45">
        <w:lastRenderedPageBreak/>
        <w:t>Aboriginal Community Controlled Health Service (ACCHS) Funding Reform Joint Steering Committee</w:t>
      </w:r>
      <w:bookmarkEnd w:id="27"/>
    </w:p>
    <w:p w14:paraId="55119713" w14:textId="77777777" w:rsidR="00912DAF" w:rsidRDefault="00912DAF" w:rsidP="00912DAF">
      <w:pPr>
        <w:pStyle w:val="Heading4"/>
      </w:pPr>
      <w:r w:rsidRPr="00617C76">
        <w:t>Partnership description</w:t>
      </w:r>
    </w:p>
    <w:p w14:paraId="1EDD9E14" w14:textId="74B5FB1B" w:rsidR="00912DAF" w:rsidRPr="00837360" w:rsidRDefault="00EB4092" w:rsidP="00912DAF">
      <w:r w:rsidRPr="00EB4092">
        <w:t>To scope and advise on work required for ACCHS sector funding reform.</w:t>
      </w:r>
    </w:p>
    <w:p w14:paraId="37062781" w14:textId="77777777" w:rsidR="00912DAF" w:rsidRDefault="00912DAF" w:rsidP="00912DAF">
      <w:pPr>
        <w:pStyle w:val="Heading4"/>
      </w:pPr>
      <w:r w:rsidRPr="00DF6278">
        <w:t>Aboriginal and Torres Strait Islander parties</w:t>
      </w:r>
    </w:p>
    <w:p w14:paraId="5BFAFD31" w14:textId="6202B18D" w:rsidR="00BF07B1" w:rsidRPr="009A75F0" w:rsidRDefault="00BF07B1" w:rsidP="00912DAF">
      <w:r w:rsidRPr="009A75F0">
        <w:t>National Aboriginal Community Control Health Organisation (NACCHO)</w:t>
      </w:r>
      <w:r w:rsidR="00C40658">
        <w:t xml:space="preserve"> (endorsing partner)</w:t>
      </w:r>
    </w:p>
    <w:p w14:paraId="02264939" w14:textId="4713C1B4" w:rsidR="00912DAF" w:rsidRPr="00BF07B1" w:rsidRDefault="00BF07B1" w:rsidP="00912DAF">
      <w:r w:rsidRPr="00BF07B1">
        <w:t>Aboriginal Community Controlled Health Service (ACCHS) sector representatives, each acting in expert capacity</w:t>
      </w:r>
    </w:p>
    <w:p w14:paraId="11D3BC84" w14:textId="77777777" w:rsidR="00912DAF" w:rsidRPr="00617C76" w:rsidRDefault="00912DAF" w:rsidP="00912DAF">
      <w:pPr>
        <w:pStyle w:val="Heading4"/>
      </w:pPr>
      <w:r w:rsidRPr="00617C76">
        <w:t>Government parties</w:t>
      </w:r>
    </w:p>
    <w:p w14:paraId="02F3DF43" w14:textId="77777777" w:rsidR="00912DAF" w:rsidRDefault="00912DAF" w:rsidP="00912DAF">
      <w:pPr>
        <w:pStyle w:val="Heading5"/>
      </w:pPr>
      <w:r w:rsidRPr="00115C74">
        <w:t xml:space="preserve">COMMONWEALTH PARTIES </w:t>
      </w:r>
    </w:p>
    <w:p w14:paraId="60C8C682" w14:textId="595F6B48" w:rsidR="00912DAF" w:rsidRPr="009A75F0" w:rsidRDefault="00BF07B1" w:rsidP="00912DAF">
      <w:r w:rsidRPr="009A75F0">
        <w:t>Department of Health, Disability and Ageing</w:t>
      </w:r>
      <w:r w:rsidR="00C40658">
        <w:t xml:space="preserve"> (endorsing partner)</w:t>
      </w:r>
    </w:p>
    <w:p w14:paraId="117459C6" w14:textId="77777777" w:rsidR="00912DAF" w:rsidRPr="00115C74" w:rsidRDefault="00912DAF" w:rsidP="00912DAF">
      <w:pPr>
        <w:pStyle w:val="Heading5"/>
      </w:pPr>
      <w:r w:rsidRPr="00115C74">
        <w:t xml:space="preserve">STATE AND TERRITORY PARTIES </w:t>
      </w:r>
    </w:p>
    <w:p w14:paraId="37A4C4AA" w14:textId="77777777" w:rsidR="00912DAF" w:rsidRPr="00617C76" w:rsidRDefault="00912DAF" w:rsidP="00912DAF">
      <w:r>
        <w:t>N/A</w:t>
      </w:r>
    </w:p>
    <w:p w14:paraId="47198F64" w14:textId="77777777" w:rsidR="00912DAF" w:rsidRPr="00617C76" w:rsidRDefault="00912DAF" w:rsidP="00912DAF">
      <w:pPr>
        <w:pStyle w:val="Heading4"/>
      </w:pPr>
      <w:r w:rsidRPr="00617C76">
        <w:t>Priority Reforms and Socio-economic Outcomes</w:t>
      </w:r>
    </w:p>
    <w:p w14:paraId="2155AD49" w14:textId="77777777" w:rsidR="00BF07B1" w:rsidRPr="00BF07B1" w:rsidRDefault="00BF07B1" w:rsidP="00BF07B1">
      <w:r w:rsidRPr="00BF07B1">
        <w:t>Priority Reform 1</w:t>
      </w:r>
    </w:p>
    <w:p w14:paraId="6EE57B7F" w14:textId="77777777" w:rsidR="00BF07B1" w:rsidRPr="00BF07B1" w:rsidRDefault="00BF07B1" w:rsidP="00BF07B1">
      <w:r w:rsidRPr="00BF07B1">
        <w:t>Priority Reform 2</w:t>
      </w:r>
    </w:p>
    <w:p w14:paraId="3A9EBCCE" w14:textId="74BF96E4" w:rsidR="00912DAF" w:rsidRPr="007C35F3" w:rsidRDefault="00BF07B1" w:rsidP="00BF07B1">
      <w:r w:rsidRPr="00BF07B1">
        <w:t>Priority Reform 3</w:t>
      </w:r>
    </w:p>
    <w:p w14:paraId="76BDFDA1" w14:textId="77777777" w:rsidR="00912DAF" w:rsidRPr="00617C76" w:rsidRDefault="00912DAF" w:rsidP="00912DAF">
      <w:pPr>
        <w:pStyle w:val="Heading4"/>
      </w:pPr>
      <w:r w:rsidRPr="00617C76">
        <w:t>Partnership function</w:t>
      </w:r>
    </w:p>
    <w:p w14:paraId="71B7FEAC" w14:textId="313ADA0C" w:rsidR="00912DAF" w:rsidRPr="00617C76" w:rsidRDefault="00E830C2" w:rsidP="00912DAF">
      <w:r w:rsidRPr="00E830C2">
        <w:t>Policy</w:t>
      </w:r>
    </w:p>
    <w:p w14:paraId="3AB20FFC" w14:textId="77777777" w:rsidR="00912DAF" w:rsidRPr="00617C76" w:rsidRDefault="00912DAF" w:rsidP="00912DAF">
      <w:pPr>
        <w:pStyle w:val="Heading4"/>
      </w:pPr>
      <w:r w:rsidRPr="00617C76">
        <w:t>Partnership timeframe</w:t>
      </w:r>
    </w:p>
    <w:p w14:paraId="5C1C07FE" w14:textId="7BFF6CED" w:rsidR="00912DAF" w:rsidRPr="00617C76" w:rsidRDefault="00E830C2" w:rsidP="00912DAF">
      <w:r>
        <w:t>N/A</w:t>
      </w:r>
    </w:p>
    <w:p w14:paraId="3A6B861F" w14:textId="77777777" w:rsidR="00912DAF" w:rsidRPr="00617C76" w:rsidRDefault="00912DAF" w:rsidP="00912DAF">
      <w:pPr>
        <w:pStyle w:val="Heading4"/>
      </w:pPr>
      <w:r w:rsidRPr="00617C76">
        <w:t>Actions taken to strengthen the partnership in 2025</w:t>
      </w:r>
    </w:p>
    <w:p w14:paraId="4A052DDA" w14:textId="4B7480D3" w:rsidR="00912DAF" w:rsidRPr="00617C76" w:rsidRDefault="00E830C2" w:rsidP="00912DAF">
      <w:r w:rsidRPr="00E830C2">
        <w:t>The ACCHS Funding Reform Joint Steering Committee was established in early 2025 to form a partnership between the department and the ACCHS sector. The Committee is co</w:t>
      </w:r>
      <w:r w:rsidRPr="00E830C2">
        <w:noBreakHyphen/>
        <w:t>led by NACCHO and will ensure the ACCHS funding work is guided by ACCHS sector expertise. All decision making is made by consensus.</w:t>
      </w:r>
    </w:p>
    <w:p w14:paraId="43BCCED3" w14:textId="77777777" w:rsidR="00912DAF" w:rsidRPr="00617C76" w:rsidRDefault="00912DAF" w:rsidP="00912DAF">
      <w:pPr>
        <w:pStyle w:val="Heading4"/>
      </w:pPr>
      <w:r w:rsidRPr="00617C76">
        <w:t>Strong partnership indicators</w:t>
      </w:r>
    </w:p>
    <w:p w14:paraId="3D574B32" w14:textId="77777777" w:rsidR="00912DAF" w:rsidRPr="00617C76" w:rsidRDefault="00912DAF" w:rsidP="00912DAF">
      <w:pPr>
        <w:pStyle w:val="Heading5"/>
      </w:pPr>
      <w:r w:rsidRPr="00617C76">
        <w:t>Clause 32A:</w:t>
      </w:r>
    </w:p>
    <w:p w14:paraId="58EC8F22" w14:textId="11BA7141" w:rsidR="00912DAF" w:rsidRDefault="00E830C2" w:rsidP="00E830C2">
      <w:pPr>
        <w:pStyle w:val="ListParagraph"/>
        <w:numPr>
          <w:ilvl w:val="0"/>
          <w:numId w:val="81"/>
        </w:numPr>
      </w:pPr>
      <w:r w:rsidRPr="00E830C2">
        <w:t>Met</w:t>
      </w:r>
    </w:p>
    <w:p w14:paraId="063C009E" w14:textId="6DE28CA9" w:rsidR="00912DAF" w:rsidRDefault="00E830C2" w:rsidP="00E830C2">
      <w:pPr>
        <w:pStyle w:val="ListParagraph"/>
        <w:numPr>
          <w:ilvl w:val="0"/>
          <w:numId w:val="81"/>
        </w:numPr>
      </w:pPr>
      <w:r w:rsidRPr="00E830C2">
        <w:t>Met</w:t>
      </w:r>
    </w:p>
    <w:p w14:paraId="46F06B24" w14:textId="67AB372B" w:rsidR="00912DAF" w:rsidRDefault="00E830C2" w:rsidP="00E830C2">
      <w:pPr>
        <w:pStyle w:val="ListParagraph"/>
        <w:numPr>
          <w:ilvl w:val="0"/>
          <w:numId w:val="81"/>
        </w:numPr>
      </w:pPr>
      <w:r w:rsidRPr="00E830C2">
        <w:t>Met</w:t>
      </w:r>
    </w:p>
    <w:p w14:paraId="104B1155" w14:textId="77777777" w:rsidR="00912DAF" w:rsidRPr="00617C76" w:rsidRDefault="00912DAF" w:rsidP="00912DAF">
      <w:pPr>
        <w:pStyle w:val="Heading5"/>
      </w:pPr>
      <w:r w:rsidRPr="00617C76">
        <w:t>Clause 32B:</w:t>
      </w:r>
    </w:p>
    <w:p w14:paraId="2AE4A7C5" w14:textId="203EDB9B" w:rsidR="00912DAF" w:rsidRDefault="00E830C2" w:rsidP="00E830C2">
      <w:pPr>
        <w:pStyle w:val="ListParagraph"/>
        <w:numPr>
          <w:ilvl w:val="0"/>
          <w:numId w:val="82"/>
        </w:numPr>
      </w:pPr>
      <w:r w:rsidRPr="00E830C2">
        <w:t>Met</w:t>
      </w:r>
    </w:p>
    <w:p w14:paraId="21050BC2" w14:textId="5C4A7E1D" w:rsidR="00912DAF" w:rsidRDefault="00E830C2" w:rsidP="00E830C2">
      <w:pPr>
        <w:pStyle w:val="ListParagraph"/>
        <w:numPr>
          <w:ilvl w:val="0"/>
          <w:numId w:val="82"/>
        </w:numPr>
      </w:pPr>
      <w:r w:rsidRPr="00E830C2">
        <w:t>Met</w:t>
      </w:r>
    </w:p>
    <w:p w14:paraId="59A0C720" w14:textId="0D960338" w:rsidR="00912DAF" w:rsidRDefault="00E830C2" w:rsidP="00E830C2">
      <w:pPr>
        <w:pStyle w:val="ListParagraph"/>
        <w:numPr>
          <w:ilvl w:val="0"/>
          <w:numId w:val="82"/>
        </w:numPr>
      </w:pPr>
      <w:r>
        <w:t>Not m</w:t>
      </w:r>
      <w:r w:rsidRPr="00E830C2">
        <w:t>et</w:t>
      </w:r>
    </w:p>
    <w:p w14:paraId="0803F291" w14:textId="61405242" w:rsidR="00912DAF" w:rsidRDefault="00E8024A" w:rsidP="00E830C2">
      <w:pPr>
        <w:pStyle w:val="ListParagraph"/>
        <w:numPr>
          <w:ilvl w:val="0"/>
          <w:numId w:val="82"/>
        </w:numPr>
      </w:pPr>
      <w:r>
        <w:t>N/A</w:t>
      </w:r>
    </w:p>
    <w:p w14:paraId="1A7D5349" w14:textId="77777777" w:rsidR="00912DAF" w:rsidRPr="00617C76" w:rsidRDefault="00912DAF" w:rsidP="00912DAF">
      <w:pPr>
        <w:pStyle w:val="Heading5"/>
      </w:pPr>
      <w:r w:rsidRPr="00617C76">
        <w:t>Clause 32C:</w:t>
      </w:r>
    </w:p>
    <w:p w14:paraId="54F0CA3F" w14:textId="363B8CDC" w:rsidR="00912DAF" w:rsidRDefault="00E830C2" w:rsidP="00E830C2">
      <w:pPr>
        <w:pStyle w:val="ListParagraph"/>
        <w:numPr>
          <w:ilvl w:val="0"/>
          <w:numId w:val="83"/>
        </w:numPr>
      </w:pPr>
      <w:r w:rsidRPr="00E830C2">
        <w:t>Met</w:t>
      </w:r>
    </w:p>
    <w:p w14:paraId="348BAB9A" w14:textId="53A1B8B2" w:rsidR="00912DAF" w:rsidRDefault="00E830C2" w:rsidP="00E830C2">
      <w:pPr>
        <w:pStyle w:val="ListParagraph"/>
        <w:numPr>
          <w:ilvl w:val="0"/>
          <w:numId w:val="83"/>
        </w:numPr>
      </w:pPr>
      <w:r w:rsidRPr="00E830C2">
        <w:t>Met</w:t>
      </w:r>
    </w:p>
    <w:p w14:paraId="6D430F2E" w14:textId="69FA605F" w:rsidR="00912DAF" w:rsidRDefault="00E830C2" w:rsidP="00E830C2">
      <w:pPr>
        <w:pStyle w:val="ListParagraph"/>
        <w:numPr>
          <w:ilvl w:val="0"/>
          <w:numId w:val="83"/>
        </w:numPr>
      </w:pPr>
      <w:r w:rsidRPr="00E830C2">
        <w:lastRenderedPageBreak/>
        <w:t>Met</w:t>
      </w:r>
    </w:p>
    <w:p w14:paraId="40AA488E" w14:textId="755CB5E9" w:rsidR="00912DAF" w:rsidRDefault="00E830C2" w:rsidP="00E830C2">
      <w:pPr>
        <w:pStyle w:val="ListParagraph"/>
        <w:numPr>
          <w:ilvl w:val="0"/>
          <w:numId w:val="83"/>
        </w:numPr>
      </w:pPr>
      <w:r>
        <w:t>N/A</w:t>
      </w:r>
    </w:p>
    <w:p w14:paraId="5FAE3857" w14:textId="0C6DD4D0" w:rsidR="00912DAF" w:rsidRDefault="00E830C2" w:rsidP="00E830C2">
      <w:pPr>
        <w:pStyle w:val="ListParagraph"/>
        <w:numPr>
          <w:ilvl w:val="0"/>
          <w:numId w:val="83"/>
        </w:numPr>
      </w:pPr>
      <w:r w:rsidRPr="00E830C2">
        <w:t>Met</w:t>
      </w:r>
    </w:p>
    <w:p w14:paraId="39B449C2" w14:textId="533949F2" w:rsidR="00912DAF" w:rsidRDefault="00E830C2" w:rsidP="00E830C2">
      <w:pPr>
        <w:pStyle w:val="ListParagraph"/>
        <w:numPr>
          <w:ilvl w:val="0"/>
          <w:numId w:val="83"/>
        </w:numPr>
      </w:pPr>
      <w:r w:rsidRPr="00E830C2">
        <w:t>Met</w:t>
      </w:r>
    </w:p>
    <w:p w14:paraId="547E5D62" w14:textId="2F7D4862" w:rsidR="00912DAF" w:rsidRDefault="00E830C2" w:rsidP="00E830C2">
      <w:pPr>
        <w:pStyle w:val="ListParagraph"/>
        <w:numPr>
          <w:ilvl w:val="0"/>
          <w:numId w:val="83"/>
        </w:numPr>
      </w:pPr>
      <w:r w:rsidRPr="00E830C2">
        <w:t>Met</w:t>
      </w:r>
    </w:p>
    <w:p w14:paraId="0ED16480" w14:textId="77777777" w:rsidR="00912DAF" w:rsidRPr="00617C76" w:rsidRDefault="00912DAF" w:rsidP="00912DAF">
      <w:pPr>
        <w:pStyle w:val="Heading5"/>
      </w:pPr>
      <w:r w:rsidRPr="00617C76">
        <w:t>Clause 33:</w:t>
      </w:r>
    </w:p>
    <w:p w14:paraId="12094B8F" w14:textId="4DFEBA50" w:rsidR="00912DAF" w:rsidRDefault="00E830C2" w:rsidP="00912DAF">
      <w:r w:rsidRPr="00E830C2">
        <w:t>Met</w:t>
      </w:r>
    </w:p>
    <w:p w14:paraId="09A46440" w14:textId="77777777" w:rsidR="00912DAF" w:rsidRDefault="00912DAF" w:rsidP="00912DAF">
      <w:pPr>
        <w:pStyle w:val="Heading4"/>
      </w:pPr>
      <w:r w:rsidRPr="00617C76">
        <w:t>Achievements over 2025</w:t>
      </w:r>
    </w:p>
    <w:p w14:paraId="02A6A0AE" w14:textId="7E289545" w:rsidR="00912DAF" w:rsidRDefault="003D35F4" w:rsidP="00912DAF">
      <w:r w:rsidRPr="003D35F4">
        <w:t>The partnership co</w:t>
      </w:r>
      <w:r w:rsidRPr="003D35F4">
        <w:noBreakHyphen/>
        <w:t>designed a workplan detailing the work required to transition to a needs</w:t>
      </w:r>
      <w:r w:rsidRPr="003D35F4">
        <w:noBreakHyphen/>
        <w:t>based funding model and is guiding its implementation.</w:t>
      </w:r>
    </w:p>
    <w:p w14:paraId="3D1255E7" w14:textId="68C4DF61" w:rsidR="00E8024A" w:rsidRDefault="003D35F4" w:rsidP="00E8024A">
      <w:pPr>
        <w:pStyle w:val="Heading3"/>
      </w:pPr>
      <w:bookmarkStart w:id="28" w:name="_Toc225506050"/>
      <w:r w:rsidRPr="003D35F4">
        <w:t>First Nations Health Governance Group</w:t>
      </w:r>
      <w:bookmarkEnd w:id="28"/>
    </w:p>
    <w:p w14:paraId="037666B3" w14:textId="77777777" w:rsidR="00E8024A" w:rsidRDefault="00E8024A" w:rsidP="00E8024A">
      <w:pPr>
        <w:pStyle w:val="Heading4"/>
      </w:pPr>
      <w:r w:rsidRPr="00617C76">
        <w:t>Partnership description</w:t>
      </w:r>
    </w:p>
    <w:p w14:paraId="704E8417" w14:textId="089AC26B" w:rsidR="00E8024A" w:rsidRPr="00837360" w:rsidRDefault="003D35F4" w:rsidP="00E8024A">
      <w:r w:rsidRPr="003D35F4">
        <w:t>The First Nations Health Governance Group (FNHGG) is a formal partnership between the Department of Health, Disability and Ageing and First Nations health experts and leaders to guide work under the National Aboriginal and Torres Strait Islander Health Plan 2021</w:t>
      </w:r>
      <w:r w:rsidRPr="003D35F4">
        <w:noBreakHyphen/>
        <w:t>2031.</w:t>
      </w:r>
    </w:p>
    <w:p w14:paraId="0F2E66DC" w14:textId="77777777" w:rsidR="00E8024A" w:rsidRDefault="00E8024A" w:rsidP="00E8024A">
      <w:pPr>
        <w:pStyle w:val="Heading4"/>
      </w:pPr>
      <w:r w:rsidRPr="00DF6278">
        <w:t>Aboriginal and Torres Strait Islander parties</w:t>
      </w:r>
    </w:p>
    <w:p w14:paraId="3FDBC307" w14:textId="38B7B90D" w:rsidR="0011587B" w:rsidRPr="00B01328" w:rsidRDefault="003D35F4" w:rsidP="00E8024A">
      <w:r w:rsidRPr="00B01328">
        <w:t>National Indigenous Health Leadership Alliance (NIHLA)</w:t>
      </w:r>
      <w:r w:rsidR="004954AF">
        <w:t xml:space="preserve"> (endorsing partner)</w:t>
      </w:r>
    </w:p>
    <w:p w14:paraId="48A8B3A9" w14:textId="67F032E4" w:rsidR="0011587B" w:rsidRPr="00B01328" w:rsidRDefault="003D35F4" w:rsidP="00E8024A">
      <w:r w:rsidRPr="00B01328">
        <w:t>National Aboriginal Community Controlled Health Organisation (NACCHO)</w:t>
      </w:r>
      <w:r w:rsidR="004954AF">
        <w:t xml:space="preserve"> (endorsing partner)</w:t>
      </w:r>
    </w:p>
    <w:p w14:paraId="022CCD2F" w14:textId="5ABCD3DE" w:rsidR="00E8024A" w:rsidRPr="00B01328" w:rsidRDefault="003D35F4" w:rsidP="00E8024A">
      <w:r w:rsidRPr="00B01328">
        <w:t>National Aboriginal and Torres Strait Islander Ageing and Aged Care Council (NATSIAACC)</w:t>
      </w:r>
      <w:r w:rsidR="004954AF">
        <w:t xml:space="preserve"> (endorsing partner)</w:t>
      </w:r>
    </w:p>
    <w:p w14:paraId="0BC82D97" w14:textId="77777777" w:rsidR="00E8024A" w:rsidRPr="00617C76" w:rsidRDefault="00E8024A" w:rsidP="00E8024A">
      <w:pPr>
        <w:pStyle w:val="Heading4"/>
      </w:pPr>
      <w:r w:rsidRPr="00617C76">
        <w:t>Government parties</w:t>
      </w:r>
    </w:p>
    <w:p w14:paraId="19899F1A" w14:textId="77777777" w:rsidR="00E8024A" w:rsidRDefault="00E8024A" w:rsidP="00E8024A">
      <w:pPr>
        <w:pStyle w:val="Heading5"/>
      </w:pPr>
      <w:r w:rsidRPr="00115C74">
        <w:t xml:space="preserve">COMMONWEALTH PARTIES </w:t>
      </w:r>
    </w:p>
    <w:p w14:paraId="4FA9571E" w14:textId="6F0B7D71" w:rsidR="00E8024A" w:rsidRPr="00B01328" w:rsidRDefault="00867B90" w:rsidP="00E8024A">
      <w:r w:rsidRPr="00B01328">
        <w:t>Department of Health, Disability and Ageing</w:t>
      </w:r>
      <w:r w:rsidR="004954AF">
        <w:t xml:space="preserve"> (endorsing partner)</w:t>
      </w:r>
    </w:p>
    <w:p w14:paraId="2E7FEAB6" w14:textId="77777777" w:rsidR="00E8024A" w:rsidRPr="00115C74" w:rsidRDefault="00E8024A" w:rsidP="00E8024A">
      <w:pPr>
        <w:pStyle w:val="Heading5"/>
      </w:pPr>
      <w:r w:rsidRPr="00115C74">
        <w:t xml:space="preserve">STATE AND TERRITORY PARTIES </w:t>
      </w:r>
    </w:p>
    <w:p w14:paraId="7C5C0AF3" w14:textId="77777777" w:rsidR="00E8024A" w:rsidRPr="00617C76" w:rsidRDefault="00E8024A" w:rsidP="00E8024A">
      <w:r>
        <w:t>N/A</w:t>
      </w:r>
    </w:p>
    <w:p w14:paraId="721D0D60" w14:textId="77777777" w:rsidR="00E8024A" w:rsidRPr="00617C76" w:rsidRDefault="00E8024A" w:rsidP="00E8024A">
      <w:pPr>
        <w:pStyle w:val="Heading4"/>
      </w:pPr>
      <w:r w:rsidRPr="00617C76">
        <w:t>Priority Reforms and Socio-economic Outcomes</w:t>
      </w:r>
    </w:p>
    <w:p w14:paraId="74EE2069" w14:textId="77777777" w:rsidR="00867B90" w:rsidRDefault="00867B90" w:rsidP="00E8024A">
      <w:r w:rsidRPr="00867B90">
        <w:t xml:space="preserve">Priority Reform 1 </w:t>
      </w:r>
    </w:p>
    <w:p w14:paraId="352372D7" w14:textId="77777777" w:rsidR="00867B90" w:rsidRDefault="00867B90" w:rsidP="00E8024A">
      <w:r w:rsidRPr="00867B90">
        <w:t xml:space="preserve">Priority Reform 3 </w:t>
      </w:r>
    </w:p>
    <w:p w14:paraId="1D374309" w14:textId="77777777" w:rsidR="00867B90" w:rsidRDefault="00867B90" w:rsidP="00E8024A">
      <w:r w:rsidRPr="00867B90">
        <w:t xml:space="preserve">Outcome 1 </w:t>
      </w:r>
    </w:p>
    <w:p w14:paraId="42EB79C3" w14:textId="77777777" w:rsidR="00867B90" w:rsidRDefault="00867B90" w:rsidP="00E8024A">
      <w:r w:rsidRPr="00867B90">
        <w:t xml:space="preserve">Outcome 2 </w:t>
      </w:r>
    </w:p>
    <w:p w14:paraId="5F971AE0" w14:textId="6C137E91" w:rsidR="00E8024A" w:rsidRPr="007C35F3" w:rsidRDefault="00867B90" w:rsidP="00E8024A">
      <w:r w:rsidRPr="00867B90">
        <w:t>Outcome 14</w:t>
      </w:r>
    </w:p>
    <w:p w14:paraId="42EEFF15" w14:textId="77777777" w:rsidR="00E8024A" w:rsidRPr="00617C76" w:rsidRDefault="00E8024A" w:rsidP="00E8024A">
      <w:pPr>
        <w:pStyle w:val="Heading4"/>
      </w:pPr>
      <w:r w:rsidRPr="00617C76">
        <w:t>Partnership function</w:t>
      </w:r>
    </w:p>
    <w:p w14:paraId="65BC9E32" w14:textId="056894C9" w:rsidR="00E8024A" w:rsidRPr="00617C76" w:rsidRDefault="00867B90" w:rsidP="00E8024A">
      <w:r w:rsidRPr="00867B90">
        <w:t>Policy</w:t>
      </w:r>
    </w:p>
    <w:p w14:paraId="100DCEA4" w14:textId="77777777" w:rsidR="00E8024A" w:rsidRPr="00617C76" w:rsidRDefault="00E8024A" w:rsidP="00E8024A">
      <w:pPr>
        <w:pStyle w:val="Heading4"/>
      </w:pPr>
      <w:r w:rsidRPr="00617C76">
        <w:t>Partnership timeframe</w:t>
      </w:r>
    </w:p>
    <w:p w14:paraId="7CBD2152" w14:textId="2E07AD92" w:rsidR="00E8024A" w:rsidRPr="00617C76" w:rsidRDefault="00D2129E" w:rsidP="00E8024A">
      <w:r w:rsidRPr="00D2129E">
        <w:t>Current to 2031</w:t>
      </w:r>
    </w:p>
    <w:p w14:paraId="7EB44C62" w14:textId="77777777" w:rsidR="00E8024A" w:rsidRPr="00617C76" w:rsidRDefault="00E8024A" w:rsidP="00E8024A">
      <w:pPr>
        <w:pStyle w:val="Heading4"/>
      </w:pPr>
      <w:r w:rsidRPr="00617C76">
        <w:t>Actions taken to strengthen the partnership in 2025</w:t>
      </w:r>
    </w:p>
    <w:p w14:paraId="65E346B5" w14:textId="4DF92E09" w:rsidR="00E8024A" w:rsidRPr="00617C76" w:rsidRDefault="00D2129E" w:rsidP="00E8024A">
      <w:r w:rsidRPr="00D2129E">
        <w:t>The FNHGG held inaugural in</w:t>
      </w:r>
      <w:r w:rsidRPr="00D2129E">
        <w:noBreakHyphen/>
        <w:t xml:space="preserve">person meetings with both Health Ministers and the Closing the Gap Steering Committee. These engagements strengthened shared understanding and ensured that First Nations health </w:t>
      </w:r>
      <w:r w:rsidRPr="00D2129E">
        <w:lastRenderedPageBreak/>
        <w:t>priorities were clearly communicated. They also reinforced the sector’s leadership, built trust, and supported the development of culturally safe, community</w:t>
      </w:r>
      <w:r w:rsidRPr="00D2129E">
        <w:noBreakHyphen/>
        <w:t>led, and responsive health policies.</w:t>
      </w:r>
    </w:p>
    <w:p w14:paraId="5B1C7860" w14:textId="77777777" w:rsidR="00E8024A" w:rsidRPr="00617C76" w:rsidRDefault="00E8024A" w:rsidP="00E8024A">
      <w:pPr>
        <w:pStyle w:val="Heading4"/>
      </w:pPr>
      <w:r w:rsidRPr="00617C76">
        <w:t>Strong partnership indicators</w:t>
      </w:r>
    </w:p>
    <w:p w14:paraId="6E42E6EB" w14:textId="77777777" w:rsidR="00E8024A" w:rsidRPr="00617C76" w:rsidRDefault="00E8024A" w:rsidP="00E8024A">
      <w:pPr>
        <w:pStyle w:val="Heading5"/>
      </w:pPr>
      <w:r w:rsidRPr="00617C76">
        <w:t>Clause 32A:</w:t>
      </w:r>
    </w:p>
    <w:p w14:paraId="17A1C2BB" w14:textId="73F9D6A1" w:rsidR="00E8024A" w:rsidRDefault="0029538A" w:rsidP="0095034E">
      <w:pPr>
        <w:pStyle w:val="ListParagraph"/>
        <w:numPr>
          <w:ilvl w:val="0"/>
          <w:numId w:val="84"/>
        </w:numPr>
      </w:pPr>
      <w:r w:rsidRPr="0029538A">
        <w:t>Met</w:t>
      </w:r>
    </w:p>
    <w:p w14:paraId="33B82F11" w14:textId="37DEF411" w:rsidR="00E8024A" w:rsidRDefault="0029538A" w:rsidP="0095034E">
      <w:pPr>
        <w:pStyle w:val="ListParagraph"/>
        <w:numPr>
          <w:ilvl w:val="0"/>
          <w:numId w:val="84"/>
        </w:numPr>
      </w:pPr>
      <w:r w:rsidRPr="0029538A">
        <w:t>Met</w:t>
      </w:r>
    </w:p>
    <w:p w14:paraId="3BF25C51" w14:textId="1DC6972E" w:rsidR="00E8024A" w:rsidRDefault="0029538A" w:rsidP="0095034E">
      <w:pPr>
        <w:pStyle w:val="ListParagraph"/>
        <w:numPr>
          <w:ilvl w:val="0"/>
          <w:numId w:val="84"/>
        </w:numPr>
      </w:pPr>
      <w:r w:rsidRPr="0029538A">
        <w:t>Met</w:t>
      </w:r>
    </w:p>
    <w:p w14:paraId="5BCC71A8" w14:textId="77777777" w:rsidR="00E8024A" w:rsidRPr="00617C76" w:rsidRDefault="00E8024A" w:rsidP="00E8024A">
      <w:pPr>
        <w:pStyle w:val="Heading5"/>
      </w:pPr>
      <w:r w:rsidRPr="00617C76">
        <w:t>Clause 32B:</w:t>
      </w:r>
    </w:p>
    <w:p w14:paraId="4D3118E4" w14:textId="3163D9E7" w:rsidR="00E8024A" w:rsidRDefault="0029538A" w:rsidP="0095034E">
      <w:pPr>
        <w:pStyle w:val="ListParagraph"/>
        <w:numPr>
          <w:ilvl w:val="0"/>
          <w:numId w:val="85"/>
        </w:numPr>
      </w:pPr>
      <w:r w:rsidRPr="0029538A">
        <w:t>Met</w:t>
      </w:r>
    </w:p>
    <w:p w14:paraId="6F94BB04" w14:textId="0EC611D1" w:rsidR="00E8024A" w:rsidRDefault="0029538A" w:rsidP="0095034E">
      <w:pPr>
        <w:pStyle w:val="ListParagraph"/>
        <w:numPr>
          <w:ilvl w:val="0"/>
          <w:numId w:val="85"/>
        </w:numPr>
      </w:pPr>
      <w:r w:rsidRPr="0029538A">
        <w:t>Met</w:t>
      </w:r>
    </w:p>
    <w:p w14:paraId="37D780A4" w14:textId="58AE3D1B" w:rsidR="00E8024A" w:rsidRDefault="0029538A" w:rsidP="0095034E">
      <w:pPr>
        <w:pStyle w:val="ListParagraph"/>
        <w:numPr>
          <w:ilvl w:val="0"/>
          <w:numId w:val="85"/>
        </w:numPr>
      </w:pPr>
      <w:r w:rsidRPr="0029538A">
        <w:t>Met</w:t>
      </w:r>
    </w:p>
    <w:p w14:paraId="616ED48A" w14:textId="77777777" w:rsidR="00E8024A" w:rsidRDefault="00E8024A" w:rsidP="0095034E">
      <w:pPr>
        <w:pStyle w:val="ListParagraph"/>
        <w:numPr>
          <w:ilvl w:val="0"/>
          <w:numId w:val="85"/>
        </w:numPr>
      </w:pPr>
      <w:r>
        <w:t>N/A</w:t>
      </w:r>
    </w:p>
    <w:p w14:paraId="73DC9E7A" w14:textId="77777777" w:rsidR="00E8024A" w:rsidRPr="00617C76" w:rsidRDefault="00E8024A" w:rsidP="00E8024A">
      <w:pPr>
        <w:pStyle w:val="Heading5"/>
      </w:pPr>
      <w:r w:rsidRPr="00617C76">
        <w:t>Clause 32C:</w:t>
      </w:r>
    </w:p>
    <w:p w14:paraId="71B8A12F" w14:textId="67C78A65" w:rsidR="00E8024A" w:rsidRDefault="0029538A" w:rsidP="0095034E">
      <w:pPr>
        <w:pStyle w:val="ListParagraph"/>
        <w:numPr>
          <w:ilvl w:val="0"/>
          <w:numId w:val="86"/>
        </w:numPr>
      </w:pPr>
      <w:r w:rsidRPr="0029538A">
        <w:t>Met</w:t>
      </w:r>
    </w:p>
    <w:p w14:paraId="530C7372" w14:textId="605DD800" w:rsidR="00E8024A" w:rsidRDefault="0029538A" w:rsidP="0095034E">
      <w:pPr>
        <w:pStyle w:val="ListParagraph"/>
        <w:numPr>
          <w:ilvl w:val="0"/>
          <w:numId w:val="86"/>
        </w:numPr>
      </w:pPr>
      <w:r w:rsidRPr="0029538A">
        <w:t>Met</w:t>
      </w:r>
    </w:p>
    <w:p w14:paraId="1FB5C17F" w14:textId="6F5104FD" w:rsidR="00E8024A" w:rsidRDefault="0029538A" w:rsidP="0095034E">
      <w:pPr>
        <w:pStyle w:val="ListParagraph"/>
        <w:numPr>
          <w:ilvl w:val="0"/>
          <w:numId w:val="86"/>
        </w:numPr>
      </w:pPr>
      <w:r w:rsidRPr="0029538A">
        <w:t>Met</w:t>
      </w:r>
    </w:p>
    <w:p w14:paraId="1ACCD9E4" w14:textId="07731F2F" w:rsidR="00E8024A" w:rsidRDefault="0029538A" w:rsidP="0095034E">
      <w:pPr>
        <w:pStyle w:val="ListParagraph"/>
        <w:numPr>
          <w:ilvl w:val="0"/>
          <w:numId w:val="86"/>
        </w:numPr>
      </w:pPr>
      <w:r w:rsidRPr="0029538A">
        <w:t>Met</w:t>
      </w:r>
    </w:p>
    <w:p w14:paraId="3FCFAE82" w14:textId="04F3E7C6" w:rsidR="00E8024A" w:rsidRDefault="0029538A" w:rsidP="0095034E">
      <w:pPr>
        <w:pStyle w:val="ListParagraph"/>
        <w:numPr>
          <w:ilvl w:val="0"/>
          <w:numId w:val="86"/>
        </w:numPr>
      </w:pPr>
      <w:r w:rsidRPr="0029538A">
        <w:t>Met</w:t>
      </w:r>
    </w:p>
    <w:p w14:paraId="1D669149" w14:textId="3480DD28" w:rsidR="00E8024A" w:rsidRDefault="0095034E" w:rsidP="0095034E">
      <w:pPr>
        <w:pStyle w:val="ListParagraph"/>
        <w:numPr>
          <w:ilvl w:val="0"/>
          <w:numId w:val="86"/>
        </w:numPr>
      </w:pPr>
      <w:r>
        <w:t>N/A</w:t>
      </w:r>
    </w:p>
    <w:p w14:paraId="02E0721E" w14:textId="006D9240" w:rsidR="00E8024A" w:rsidRDefault="0029538A" w:rsidP="0095034E">
      <w:pPr>
        <w:pStyle w:val="ListParagraph"/>
        <w:numPr>
          <w:ilvl w:val="0"/>
          <w:numId w:val="86"/>
        </w:numPr>
      </w:pPr>
      <w:r w:rsidRPr="0029538A">
        <w:t>Met</w:t>
      </w:r>
    </w:p>
    <w:p w14:paraId="77869F25" w14:textId="77777777" w:rsidR="00E8024A" w:rsidRPr="00617C76" w:rsidRDefault="00E8024A" w:rsidP="00E8024A">
      <w:pPr>
        <w:pStyle w:val="Heading5"/>
      </w:pPr>
      <w:r w:rsidRPr="00617C76">
        <w:t>Clause 33:</w:t>
      </w:r>
    </w:p>
    <w:p w14:paraId="02943BC5" w14:textId="0E6B3DEA" w:rsidR="00E8024A" w:rsidRDefault="0029538A" w:rsidP="00E8024A">
      <w:r w:rsidRPr="0029538A">
        <w:t>Met</w:t>
      </w:r>
    </w:p>
    <w:p w14:paraId="0BC59936" w14:textId="77777777" w:rsidR="00E8024A" w:rsidRDefault="00E8024A" w:rsidP="00E8024A">
      <w:pPr>
        <w:pStyle w:val="Heading4"/>
      </w:pPr>
      <w:r w:rsidRPr="00617C76">
        <w:t>Achievements over 2025</w:t>
      </w:r>
    </w:p>
    <w:p w14:paraId="58D71D0B" w14:textId="77777777" w:rsidR="0029538A" w:rsidRDefault="0029538A" w:rsidP="00E8024A">
      <w:r w:rsidRPr="0029538A">
        <w:t>The FNHGG has successfully established and embedded a structured workplan to guide its strategic direction and activities. This workplan was co</w:t>
      </w:r>
      <w:r w:rsidRPr="0029538A">
        <w:noBreakHyphen/>
        <w:t xml:space="preserve">designed with members and formally endorsed by the FNHGG in early 2025, reflecting a strong commitment to collaborative governance. The workplan outlines agreed thematic priorities for meetings, ensuring consistent alignment with the </w:t>
      </w:r>
      <w:r w:rsidRPr="0029538A">
        <w:rPr>
          <w:i/>
          <w:iCs/>
        </w:rPr>
        <w:t>National Aboriginal and Torres Strait Islander Health Plan 2021–2031</w:t>
      </w:r>
      <w:r w:rsidRPr="0029538A">
        <w:t xml:space="preserve">. </w:t>
      </w:r>
    </w:p>
    <w:p w14:paraId="76F44792" w14:textId="77777777" w:rsidR="0029538A" w:rsidRDefault="0029538A" w:rsidP="00E8024A">
      <w:r w:rsidRPr="0029538A">
        <w:t xml:space="preserve">Key themes embedded in the workplan include: </w:t>
      </w:r>
    </w:p>
    <w:p w14:paraId="462BFC40" w14:textId="77777777" w:rsidR="0029538A" w:rsidRDefault="0029538A" w:rsidP="0029538A">
      <w:pPr>
        <w:pStyle w:val="ListParagraph"/>
        <w:numPr>
          <w:ilvl w:val="0"/>
          <w:numId w:val="87"/>
        </w:numPr>
      </w:pPr>
      <w:r w:rsidRPr="0029538A">
        <w:t>Embedding Priority Reforms</w:t>
      </w:r>
    </w:p>
    <w:p w14:paraId="6C8B2C86" w14:textId="77777777" w:rsidR="0029538A" w:rsidRDefault="0029538A" w:rsidP="0029538A">
      <w:pPr>
        <w:pStyle w:val="ListParagraph"/>
        <w:numPr>
          <w:ilvl w:val="0"/>
          <w:numId w:val="87"/>
        </w:numPr>
      </w:pPr>
      <w:r w:rsidRPr="0029538A">
        <w:t xml:space="preserve">Eliminating systemic racism </w:t>
      </w:r>
    </w:p>
    <w:p w14:paraId="2C0EFE4C" w14:textId="77777777" w:rsidR="0029538A" w:rsidRDefault="0029538A" w:rsidP="0029538A">
      <w:pPr>
        <w:pStyle w:val="ListParagraph"/>
        <w:numPr>
          <w:ilvl w:val="0"/>
          <w:numId w:val="87"/>
        </w:numPr>
      </w:pPr>
      <w:r w:rsidRPr="0029538A">
        <w:t xml:space="preserve">Delivering accountability </w:t>
      </w:r>
    </w:p>
    <w:p w14:paraId="36935947" w14:textId="323811C8" w:rsidR="00E8024A" w:rsidRPr="003E2721" w:rsidRDefault="0029538A" w:rsidP="00E8024A">
      <w:r w:rsidRPr="0029538A">
        <w:t>This achievement marks a significant step in strengthening culturally safe and responsive health governance for First Nations peoples.</w:t>
      </w:r>
    </w:p>
    <w:p w14:paraId="0E18E3DC" w14:textId="599CEF76" w:rsidR="00F900A3" w:rsidRDefault="00BA0AAD" w:rsidP="00F900A3">
      <w:pPr>
        <w:pStyle w:val="Heading3"/>
      </w:pPr>
      <w:bookmarkStart w:id="29" w:name="_Toc225506051"/>
      <w:r w:rsidRPr="00BA0AAD">
        <w:t>Partnership between the National Aboriginal Community Controlled Health Organisation (NACCHO) and the Department of Health, Disability and Ageing (DHDA) to deliver activities under the Rheumatic Fever Strategy (RFS)</w:t>
      </w:r>
      <w:bookmarkEnd w:id="29"/>
    </w:p>
    <w:p w14:paraId="6BEA2445" w14:textId="77777777" w:rsidR="00F900A3" w:rsidRDefault="00F900A3" w:rsidP="00F900A3">
      <w:pPr>
        <w:pStyle w:val="Heading4"/>
      </w:pPr>
      <w:r w:rsidRPr="00617C76">
        <w:t>Partnership description</w:t>
      </w:r>
    </w:p>
    <w:p w14:paraId="4C9C6C2A" w14:textId="77777777" w:rsidR="00BA0AAD" w:rsidRDefault="00BA0AAD" w:rsidP="00F900A3">
      <w:r w:rsidRPr="00BA0AAD">
        <w:t xml:space="preserve">The partnership guides national Rheumatic Heart Disease (RHD) policy implementation through the RFS Joint Advisory Committee (JAC) jointly chaired between NACCHO and the department. </w:t>
      </w:r>
    </w:p>
    <w:p w14:paraId="107E5D00" w14:textId="09A2FBA4" w:rsidR="00F900A3" w:rsidRPr="00837360" w:rsidRDefault="00BA0AAD" w:rsidP="00F900A3">
      <w:r w:rsidRPr="00BA0AAD">
        <w:lastRenderedPageBreak/>
        <w:t xml:space="preserve">Further information can be found at </w:t>
      </w:r>
      <w:hyperlink r:id="rId17" w:history="1">
        <w:r w:rsidRPr="00BA0AAD">
          <w:rPr>
            <w:rStyle w:val="Hyperlink"/>
          </w:rPr>
          <w:t>Rheumatic Fever Strategy Joint Advisory Committee | Australian Government Department of Health, Disability and Ageing</w:t>
        </w:r>
      </w:hyperlink>
      <w:r w:rsidRPr="00BA0AAD">
        <w:t>.</w:t>
      </w:r>
    </w:p>
    <w:p w14:paraId="5AC2707C" w14:textId="77777777" w:rsidR="00F900A3" w:rsidRDefault="00F900A3" w:rsidP="00F900A3">
      <w:pPr>
        <w:pStyle w:val="Heading4"/>
      </w:pPr>
      <w:r w:rsidRPr="00DF6278">
        <w:t>Aboriginal and Torres Strait Islander parties</w:t>
      </w:r>
    </w:p>
    <w:p w14:paraId="73C348B1" w14:textId="4DE984A8" w:rsidR="00303331" w:rsidRPr="00E33B95" w:rsidRDefault="00303331" w:rsidP="00F900A3">
      <w:r w:rsidRPr="00E33B95">
        <w:t>National Aboriginal Community Controlled Health Organisation (NACCHO)</w:t>
      </w:r>
      <w:r w:rsidR="00B01328">
        <w:t xml:space="preserve"> (endorsing partner)</w:t>
      </w:r>
    </w:p>
    <w:p w14:paraId="70623AAF" w14:textId="25C89FD2" w:rsidR="00F900A3" w:rsidRPr="00303331" w:rsidRDefault="00303331" w:rsidP="00F900A3">
      <w:r w:rsidRPr="00303331">
        <w:t>Representatives from peak Aboriginal and Torres Strait Islander health organisations (Queensland, Western Australia, South Australia, Northern Territory)</w:t>
      </w:r>
    </w:p>
    <w:p w14:paraId="03722C29" w14:textId="77777777" w:rsidR="00F900A3" w:rsidRPr="00617C76" w:rsidRDefault="00F900A3" w:rsidP="00F900A3">
      <w:pPr>
        <w:pStyle w:val="Heading4"/>
      </w:pPr>
      <w:r w:rsidRPr="00617C76">
        <w:t>Government parties</w:t>
      </w:r>
    </w:p>
    <w:p w14:paraId="4E14D99D" w14:textId="77777777" w:rsidR="00F900A3" w:rsidRDefault="00F900A3" w:rsidP="00F900A3">
      <w:pPr>
        <w:pStyle w:val="Heading5"/>
      </w:pPr>
      <w:r w:rsidRPr="00115C74">
        <w:t xml:space="preserve">COMMONWEALTH PARTIES </w:t>
      </w:r>
    </w:p>
    <w:p w14:paraId="10ED4922" w14:textId="54C8D452" w:rsidR="00F900A3" w:rsidRPr="00E33B95" w:rsidRDefault="00303331" w:rsidP="00F900A3">
      <w:r w:rsidRPr="00E33B95">
        <w:t>Department of Health, Disability and Ageing</w:t>
      </w:r>
      <w:r w:rsidR="00B01328">
        <w:t xml:space="preserve"> (endorsing partner)</w:t>
      </w:r>
    </w:p>
    <w:p w14:paraId="7A1B62CF" w14:textId="77777777" w:rsidR="00F900A3" w:rsidRPr="00115C74" w:rsidRDefault="00F900A3" w:rsidP="00F900A3">
      <w:pPr>
        <w:pStyle w:val="Heading5"/>
      </w:pPr>
      <w:r w:rsidRPr="00115C74">
        <w:t xml:space="preserve">STATE AND TERRITORY PARTIES </w:t>
      </w:r>
    </w:p>
    <w:p w14:paraId="07AA87A7" w14:textId="405208D8" w:rsidR="00F900A3" w:rsidRPr="00617C76" w:rsidRDefault="00E11876" w:rsidP="00F900A3">
      <w:r w:rsidRPr="00E11876">
        <w:t>Representatives from state and territory health departments (Queensland, Western Australia, South Australia, Northern Territory)</w:t>
      </w:r>
    </w:p>
    <w:p w14:paraId="3422CD3D" w14:textId="77777777" w:rsidR="00F900A3" w:rsidRPr="00617C76" w:rsidRDefault="00F900A3" w:rsidP="00F900A3">
      <w:pPr>
        <w:pStyle w:val="Heading4"/>
      </w:pPr>
      <w:r w:rsidRPr="00617C76">
        <w:t>Priority Reforms and Socio-economic Outcomes</w:t>
      </w:r>
    </w:p>
    <w:p w14:paraId="5EEDEA47" w14:textId="77777777" w:rsidR="00E11876" w:rsidRDefault="00E11876" w:rsidP="00F900A3">
      <w:r w:rsidRPr="00E11876">
        <w:t xml:space="preserve">Priority Reform 1 </w:t>
      </w:r>
    </w:p>
    <w:p w14:paraId="36EF1750" w14:textId="77777777" w:rsidR="00E11876" w:rsidRDefault="00E11876" w:rsidP="00F900A3">
      <w:r w:rsidRPr="00E11876">
        <w:t xml:space="preserve">Priority Reform 2 </w:t>
      </w:r>
    </w:p>
    <w:p w14:paraId="71290289" w14:textId="77777777" w:rsidR="00E11876" w:rsidRDefault="00E11876" w:rsidP="00F900A3">
      <w:r w:rsidRPr="00E11876">
        <w:t xml:space="preserve">Priority Reform 3 </w:t>
      </w:r>
    </w:p>
    <w:p w14:paraId="4AE01EC8" w14:textId="77777777" w:rsidR="00A00E26" w:rsidRDefault="00E11876" w:rsidP="00F900A3">
      <w:r w:rsidRPr="00E11876">
        <w:t xml:space="preserve">Priority Reform 4 </w:t>
      </w:r>
    </w:p>
    <w:p w14:paraId="4B824C38" w14:textId="77777777" w:rsidR="0079438F" w:rsidRDefault="00E11876" w:rsidP="00F900A3">
      <w:r w:rsidRPr="00E11876">
        <w:t xml:space="preserve">Outcome 1 </w:t>
      </w:r>
    </w:p>
    <w:p w14:paraId="4A65D7DB" w14:textId="77777777" w:rsidR="0079438F" w:rsidRDefault="00E11876" w:rsidP="00F900A3">
      <w:r w:rsidRPr="00E11876">
        <w:t xml:space="preserve">Outcome 14 </w:t>
      </w:r>
    </w:p>
    <w:p w14:paraId="36286026" w14:textId="60B2E772" w:rsidR="00F900A3" w:rsidRPr="007C35F3" w:rsidRDefault="00E11876" w:rsidP="00F900A3">
      <w:r w:rsidRPr="00E11876">
        <w:t>Outcome 17</w:t>
      </w:r>
    </w:p>
    <w:p w14:paraId="45FD541E" w14:textId="77777777" w:rsidR="00F900A3" w:rsidRPr="00617C76" w:rsidRDefault="00F900A3" w:rsidP="00F900A3">
      <w:pPr>
        <w:pStyle w:val="Heading4"/>
      </w:pPr>
      <w:r w:rsidRPr="00617C76">
        <w:t>Partnership function</w:t>
      </w:r>
    </w:p>
    <w:p w14:paraId="2290D339" w14:textId="227913BB" w:rsidR="00F900A3" w:rsidRPr="00617C76" w:rsidRDefault="0079438F" w:rsidP="00F900A3">
      <w:r w:rsidRPr="0079438F">
        <w:t>Policy</w:t>
      </w:r>
    </w:p>
    <w:p w14:paraId="290400C2" w14:textId="77777777" w:rsidR="00F900A3" w:rsidRPr="00617C76" w:rsidRDefault="00F900A3" w:rsidP="00F900A3">
      <w:pPr>
        <w:pStyle w:val="Heading4"/>
      </w:pPr>
      <w:r w:rsidRPr="00617C76">
        <w:t>Partnership timeframe</w:t>
      </w:r>
    </w:p>
    <w:p w14:paraId="199DDE28" w14:textId="2AEB126F" w:rsidR="00F900A3" w:rsidRPr="00617C76" w:rsidRDefault="0079438F" w:rsidP="00F900A3">
      <w:r w:rsidRPr="0079438F">
        <w:t>2021 to 2028</w:t>
      </w:r>
    </w:p>
    <w:p w14:paraId="5860698A" w14:textId="77777777" w:rsidR="00F900A3" w:rsidRPr="00617C76" w:rsidRDefault="00F900A3" w:rsidP="00F900A3">
      <w:pPr>
        <w:pStyle w:val="Heading4"/>
      </w:pPr>
      <w:r w:rsidRPr="00617C76">
        <w:t>Actions taken to strengthen the partnership in 2025</w:t>
      </w:r>
    </w:p>
    <w:p w14:paraId="05BDB824" w14:textId="08680E41" w:rsidR="00F900A3" w:rsidRPr="00617C76" w:rsidRDefault="0079438F" w:rsidP="00F900A3">
      <w:r w:rsidRPr="0079438F">
        <w:t>The partnership has been strengthened through a review of the JAC Terms of Reference, and through a co</w:t>
      </w:r>
      <w:r w:rsidRPr="0079438F">
        <w:noBreakHyphen/>
        <w:t>design process to develop a forward work plan for the committee. The upcoming independent evaluation of the RFS will also assess the partnership and identify areas for further strengthening.</w:t>
      </w:r>
    </w:p>
    <w:p w14:paraId="5A4DEADC" w14:textId="77777777" w:rsidR="00F900A3" w:rsidRPr="00617C76" w:rsidRDefault="00F900A3" w:rsidP="00F900A3">
      <w:pPr>
        <w:pStyle w:val="Heading4"/>
      </w:pPr>
      <w:r w:rsidRPr="00617C76">
        <w:t>Strong partnership indicators</w:t>
      </w:r>
    </w:p>
    <w:p w14:paraId="7A37D315" w14:textId="77777777" w:rsidR="00F900A3" w:rsidRPr="00617C76" w:rsidRDefault="00F900A3" w:rsidP="00F900A3">
      <w:pPr>
        <w:pStyle w:val="Heading5"/>
      </w:pPr>
      <w:r w:rsidRPr="00617C76">
        <w:t>Clause 32A:</w:t>
      </w:r>
    </w:p>
    <w:p w14:paraId="4AA9D2AD" w14:textId="294D9531" w:rsidR="00F900A3" w:rsidRDefault="0079438F" w:rsidP="0079438F">
      <w:pPr>
        <w:pStyle w:val="ListParagraph"/>
        <w:numPr>
          <w:ilvl w:val="0"/>
          <w:numId w:val="88"/>
        </w:numPr>
      </w:pPr>
      <w:r w:rsidRPr="0079438F">
        <w:t>Met</w:t>
      </w:r>
    </w:p>
    <w:p w14:paraId="70040F09" w14:textId="29776E12" w:rsidR="00F900A3" w:rsidRDefault="0079438F" w:rsidP="0079438F">
      <w:pPr>
        <w:pStyle w:val="ListParagraph"/>
        <w:numPr>
          <w:ilvl w:val="0"/>
          <w:numId w:val="88"/>
        </w:numPr>
      </w:pPr>
      <w:r w:rsidRPr="0079438F">
        <w:t>Met</w:t>
      </w:r>
    </w:p>
    <w:p w14:paraId="66C1C474" w14:textId="63EB0D18" w:rsidR="00F900A3" w:rsidRDefault="0079438F" w:rsidP="0079438F">
      <w:pPr>
        <w:pStyle w:val="ListParagraph"/>
        <w:numPr>
          <w:ilvl w:val="0"/>
          <w:numId w:val="88"/>
        </w:numPr>
      </w:pPr>
      <w:r w:rsidRPr="0079438F">
        <w:t>Met</w:t>
      </w:r>
    </w:p>
    <w:p w14:paraId="329A7D78" w14:textId="77777777" w:rsidR="00F900A3" w:rsidRPr="00617C76" w:rsidRDefault="00F900A3" w:rsidP="00F900A3">
      <w:pPr>
        <w:pStyle w:val="Heading5"/>
      </w:pPr>
      <w:r w:rsidRPr="00617C76">
        <w:t>Clause 32B:</w:t>
      </w:r>
    </w:p>
    <w:p w14:paraId="6BCC2A93" w14:textId="3FDABD2C" w:rsidR="00F900A3" w:rsidRDefault="00AF482B" w:rsidP="0079438F">
      <w:pPr>
        <w:pStyle w:val="ListParagraph"/>
        <w:numPr>
          <w:ilvl w:val="0"/>
          <w:numId w:val="89"/>
        </w:numPr>
      </w:pPr>
      <w:r w:rsidRPr="00AF482B">
        <w:t>Not met</w:t>
      </w:r>
    </w:p>
    <w:p w14:paraId="128A3C45" w14:textId="57C95027" w:rsidR="00F900A3" w:rsidRDefault="00AF482B" w:rsidP="0079438F">
      <w:pPr>
        <w:pStyle w:val="ListParagraph"/>
        <w:numPr>
          <w:ilvl w:val="0"/>
          <w:numId w:val="89"/>
        </w:numPr>
      </w:pPr>
      <w:r w:rsidRPr="00AF482B">
        <w:t>Not met</w:t>
      </w:r>
    </w:p>
    <w:p w14:paraId="5C36E813" w14:textId="54C44678" w:rsidR="00F900A3" w:rsidRDefault="00AF482B" w:rsidP="0079438F">
      <w:pPr>
        <w:pStyle w:val="ListParagraph"/>
        <w:numPr>
          <w:ilvl w:val="0"/>
          <w:numId w:val="89"/>
        </w:numPr>
      </w:pPr>
      <w:r w:rsidRPr="00AF482B">
        <w:t>Not met</w:t>
      </w:r>
    </w:p>
    <w:p w14:paraId="417205E8" w14:textId="77777777" w:rsidR="00F900A3" w:rsidRDefault="00F900A3" w:rsidP="0079438F">
      <w:pPr>
        <w:pStyle w:val="ListParagraph"/>
        <w:numPr>
          <w:ilvl w:val="0"/>
          <w:numId w:val="89"/>
        </w:numPr>
      </w:pPr>
      <w:r>
        <w:t>N/A</w:t>
      </w:r>
    </w:p>
    <w:p w14:paraId="4E59696D" w14:textId="77777777" w:rsidR="00F900A3" w:rsidRPr="00617C76" w:rsidRDefault="00F900A3" w:rsidP="00F900A3">
      <w:pPr>
        <w:pStyle w:val="Heading5"/>
      </w:pPr>
      <w:r w:rsidRPr="00617C76">
        <w:lastRenderedPageBreak/>
        <w:t>Clause 32C:</w:t>
      </w:r>
    </w:p>
    <w:p w14:paraId="572E53C3" w14:textId="2C442A9E" w:rsidR="00F900A3" w:rsidRDefault="00AF482B" w:rsidP="00AF482B">
      <w:pPr>
        <w:pStyle w:val="ListParagraph"/>
        <w:numPr>
          <w:ilvl w:val="0"/>
          <w:numId w:val="90"/>
        </w:numPr>
      </w:pPr>
      <w:r w:rsidRPr="00AF482B">
        <w:t>Met</w:t>
      </w:r>
    </w:p>
    <w:p w14:paraId="27503F86" w14:textId="7270BDD4" w:rsidR="00F900A3" w:rsidRDefault="00AF482B" w:rsidP="00AF482B">
      <w:pPr>
        <w:pStyle w:val="ListParagraph"/>
        <w:numPr>
          <w:ilvl w:val="0"/>
          <w:numId w:val="90"/>
        </w:numPr>
      </w:pPr>
      <w:r w:rsidRPr="00AF482B">
        <w:t>Not met</w:t>
      </w:r>
    </w:p>
    <w:p w14:paraId="4CA1CFCB" w14:textId="3E728014" w:rsidR="00F900A3" w:rsidRDefault="00AF482B" w:rsidP="00AF482B">
      <w:pPr>
        <w:pStyle w:val="ListParagraph"/>
        <w:numPr>
          <w:ilvl w:val="0"/>
          <w:numId w:val="90"/>
        </w:numPr>
      </w:pPr>
      <w:r w:rsidRPr="00AF482B">
        <w:t>Met</w:t>
      </w:r>
    </w:p>
    <w:p w14:paraId="76AD8FF6" w14:textId="6D4317EE" w:rsidR="00F900A3" w:rsidRDefault="00AF482B" w:rsidP="00AF482B">
      <w:pPr>
        <w:pStyle w:val="ListParagraph"/>
        <w:numPr>
          <w:ilvl w:val="0"/>
          <w:numId w:val="90"/>
        </w:numPr>
      </w:pPr>
      <w:r w:rsidRPr="00AF482B">
        <w:t>Met</w:t>
      </w:r>
    </w:p>
    <w:p w14:paraId="7B78BBD0" w14:textId="466354CC" w:rsidR="00F900A3" w:rsidRDefault="00AF482B" w:rsidP="00AF482B">
      <w:pPr>
        <w:pStyle w:val="ListParagraph"/>
        <w:numPr>
          <w:ilvl w:val="0"/>
          <w:numId w:val="90"/>
        </w:numPr>
      </w:pPr>
      <w:r w:rsidRPr="00AF482B">
        <w:t>Met</w:t>
      </w:r>
    </w:p>
    <w:p w14:paraId="61CA06AF" w14:textId="175716CB" w:rsidR="00F900A3" w:rsidRDefault="00AF482B" w:rsidP="00AF482B">
      <w:pPr>
        <w:pStyle w:val="ListParagraph"/>
        <w:numPr>
          <w:ilvl w:val="0"/>
          <w:numId w:val="90"/>
        </w:numPr>
      </w:pPr>
      <w:r w:rsidRPr="00AF482B">
        <w:t>Met</w:t>
      </w:r>
    </w:p>
    <w:p w14:paraId="1E6F459D" w14:textId="44B2ACCE" w:rsidR="00F900A3" w:rsidRDefault="00AF482B" w:rsidP="00AF482B">
      <w:pPr>
        <w:pStyle w:val="ListParagraph"/>
        <w:numPr>
          <w:ilvl w:val="0"/>
          <w:numId w:val="90"/>
        </w:numPr>
      </w:pPr>
      <w:r w:rsidRPr="00AF482B">
        <w:t>Met</w:t>
      </w:r>
    </w:p>
    <w:p w14:paraId="2DCE49F0" w14:textId="77777777" w:rsidR="00F900A3" w:rsidRPr="00617C76" w:rsidRDefault="00F900A3" w:rsidP="00F900A3">
      <w:pPr>
        <w:pStyle w:val="Heading5"/>
      </w:pPr>
      <w:r w:rsidRPr="00617C76">
        <w:t>Clause 33:</w:t>
      </w:r>
    </w:p>
    <w:p w14:paraId="5DF754FA" w14:textId="7531EA38" w:rsidR="00F900A3" w:rsidRDefault="00AF482B" w:rsidP="00F900A3">
      <w:r w:rsidRPr="00AF482B">
        <w:t>Met</w:t>
      </w:r>
    </w:p>
    <w:p w14:paraId="7483DE06" w14:textId="77777777" w:rsidR="00F900A3" w:rsidRDefault="00F900A3" w:rsidP="00F900A3">
      <w:pPr>
        <w:pStyle w:val="Heading4"/>
      </w:pPr>
      <w:r w:rsidRPr="00617C76">
        <w:t>Achievements over 2025</w:t>
      </w:r>
    </w:p>
    <w:p w14:paraId="01E978E8" w14:textId="5FE728C9" w:rsidR="00F900A3" w:rsidRPr="003E2721" w:rsidRDefault="006A4608" w:rsidP="00F900A3">
      <w:r w:rsidRPr="006A4608">
        <w:t>RFS funded activities managed by NACCHO were extended to June 2028, and further commitments to extending the RHD Registers in the Northern Territory, South Australia, Western Australia and Queensland, and national reporting by the Australian Institute of Health and Welfare (AIHW) were also secured. The RFS JAC had 2 meetings in 2025 where members discussed environmental health initiatives, housing and health linkages, the utility and limitations of current data captured and key risks to program success. The JAC reviewed its Terms of Reference regarding membership and role clarity, and co</w:t>
      </w:r>
      <w:r w:rsidRPr="006A4608">
        <w:noBreakHyphen/>
        <w:t>design process, to develop a forward work plan for the committee. NACCHO and the department co</w:t>
      </w:r>
      <w:r w:rsidRPr="006A4608">
        <w:noBreakHyphen/>
        <w:t>designed an evaluation plan for an independent evaluation of the RFS that will commence in 2026.</w:t>
      </w:r>
    </w:p>
    <w:p w14:paraId="2B0C5009" w14:textId="1806414E" w:rsidR="00F900A3" w:rsidRDefault="006A4608" w:rsidP="00F900A3">
      <w:pPr>
        <w:pStyle w:val="Heading3"/>
      </w:pPr>
      <w:bookmarkStart w:id="30" w:name="_Toc225506052"/>
      <w:r w:rsidRPr="006A4608">
        <w:t>Partnership between the Department of Health, Disability and Ageing and the National Aboriginal Community Controlled Health Organisation (NACCHO) regarding the NACCHO Cancer Program</w:t>
      </w:r>
      <w:bookmarkEnd w:id="30"/>
    </w:p>
    <w:p w14:paraId="126727EA" w14:textId="77777777" w:rsidR="00F900A3" w:rsidRDefault="00F900A3" w:rsidP="00F900A3">
      <w:pPr>
        <w:pStyle w:val="Heading4"/>
      </w:pPr>
      <w:r w:rsidRPr="00617C76">
        <w:t>Partnership description</w:t>
      </w:r>
    </w:p>
    <w:p w14:paraId="1A72E9CB" w14:textId="29600D49" w:rsidR="00F900A3" w:rsidRPr="00837360" w:rsidRDefault="006A4608" w:rsidP="00F900A3">
      <w:r w:rsidRPr="006A4608">
        <w:t>This purpose of this partnership is to effectively deliver the NACCHO Cancer Program and support the Aboriginal Community Controlled Health Organisation (ACCHO) sector to respond to and support Aboriginal and Torres Strait Islander people impacted by cancer.</w:t>
      </w:r>
    </w:p>
    <w:p w14:paraId="457FC38C" w14:textId="77777777" w:rsidR="00F900A3" w:rsidRDefault="00F900A3" w:rsidP="00F900A3">
      <w:pPr>
        <w:pStyle w:val="Heading4"/>
      </w:pPr>
      <w:r w:rsidRPr="00DF6278">
        <w:t>Aboriginal and Torres Strait Islander parties</w:t>
      </w:r>
    </w:p>
    <w:p w14:paraId="517DB18B" w14:textId="7AE33B64" w:rsidR="00F900A3" w:rsidRPr="00B27ADE" w:rsidRDefault="00AA2245" w:rsidP="00F900A3">
      <w:r w:rsidRPr="00B27ADE">
        <w:t>National Aboriginal Community Controlled Health Organisation (NACCHO)</w:t>
      </w:r>
      <w:r w:rsidR="0072472D">
        <w:t xml:space="preserve"> (endorsing partner)</w:t>
      </w:r>
    </w:p>
    <w:p w14:paraId="6205AE06" w14:textId="790E67BB" w:rsidR="00AA2245" w:rsidRPr="00AA2245" w:rsidRDefault="00AA2245" w:rsidP="00F900A3">
      <w:r w:rsidRPr="00AA2245">
        <w:t>Aboriginal Community Controlled Health Sector</w:t>
      </w:r>
    </w:p>
    <w:p w14:paraId="5E10F99C" w14:textId="77777777" w:rsidR="00F900A3" w:rsidRPr="00617C76" w:rsidRDefault="00F900A3" w:rsidP="00F900A3">
      <w:pPr>
        <w:pStyle w:val="Heading4"/>
      </w:pPr>
      <w:r w:rsidRPr="00617C76">
        <w:t>Government parties</w:t>
      </w:r>
    </w:p>
    <w:p w14:paraId="4C44C6E3" w14:textId="77777777" w:rsidR="00F900A3" w:rsidRDefault="00F900A3" w:rsidP="00F900A3">
      <w:pPr>
        <w:pStyle w:val="Heading5"/>
      </w:pPr>
      <w:r w:rsidRPr="00115C74">
        <w:t xml:space="preserve">COMMONWEALTH PARTIES </w:t>
      </w:r>
    </w:p>
    <w:p w14:paraId="058EDDEA" w14:textId="69723AAE" w:rsidR="00F900A3" w:rsidRPr="00B27ADE" w:rsidRDefault="00AA2245" w:rsidP="00F900A3">
      <w:r w:rsidRPr="00B27ADE">
        <w:t>Department of Health, Disability and Ageing</w:t>
      </w:r>
      <w:r w:rsidR="0072472D">
        <w:t xml:space="preserve"> (endorsing partner)</w:t>
      </w:r>
    </w:p>
    <w:p w14:paraId="54E41F9E" w14:textId="77777777" w:rsidR="00F900A3" w:rsidRPr="00115C74" w:rsidRDefault="00F900A3" w:rsidP="00F900A3">
      <w:pPr>
        <w:pStyle w:val="Heading5"/>
      </w:pPr>
      <w:r w:rsidRPr="00115C74">
        <w:t xml:space="preserve">STATE AND TERRITORY PARTIES </w:t>
      </w:r>
    </w:p>
    <w:p w14:paraId="4E9DC06C" w14:textId="77777777" w:rsidR="00F900A3" w:rsidRPr="00617C76" w:rsidRDefault="00F900A3" w:rsidP="00F900A3">
      <w:r>
        <w:t>N/A</w:t>
      </w:r>
    </w:p>
    <w:p w14:paraId="14EBC8C7" w14:textId="77777777" w:rsidR="00F900A3" w:rsidRPr="00617C76" w:rsidRDefault="00F900A3" w:rsidP="00F900A3">
      <w:pPr>
        <w:pStyle w:val="Heading4"/>
      </w:pPr>
      <w:r w:rsidRPr="00617C76">
        <w:t>Priority Reforms and Socio-economic Outcomes</w:t>
      </w:r>
    </w:p>
    <w:p w14:paraId="5134C5C0" w14:textId="77777777" w:rsidR="00AA2245" w:rsidRPr="00AA2245" w:rsidRDefault="00AA2245" w:rsidP="00AA2245">
      <w:r w:rsidRPr="00AA2245">
        <w:t>Priority Reform 1</w:t>
      </w:r>
    </w:p>
    <w:p w14:paraId="70932E43" w14:textId="77777777" w:rsidR="00AA2245" w:rsidRPr="00AA2245" w:rsidRDefault="00AA2245" w:rsidP="00AA2245">
      <w:r w:rsidRPr="00AA2245">
        <w:t>Priority Reform 2</w:t>
      </w:r>
    </w:p>
    <w:p w14:paraId="5962C689" w14:textId="77777777" w:rsidR="00AA2245" w:rsidRPr="00AA2245" w:rsidRDefault="00AA2245" w:rsidP="00AA2245">
      <w:r w:rsidRPr="00AA2245">
        <w:t>Priority Reform 3</w:t>
      </w:r>
    </w:p>
    <w:p w14:paraId="3D675BE6" w14:textId="77777777" w:rsidR="00AA2245" w:rsidRPr="00AA2245" w:rsidRDefault="00AA2245" w:rsidP="00AA2245">
      <w:r w:rsidRPr="00AA2245">
        <w:t>Priority Reform 4</w:t>
      </w:r>
    </w:p>
    <w:p w14:paraId="34823018" w14:textId="413D5022" w:rsidR="00F900A3" w:rsidRPr="007C35F3" w:rsidRDefault="00AA2245" w:rsidP="00AA2245">
      <w:r w:rsidRPr="00AA2245">
        <w:lastRenderedPageBreak/>
        <w:t>Outcome 1</w:t>
      </w:r>
    </w:p>
    <w:p w14:paraId="017BCC3C" w14:textId="77777777" w:rsidR="00F900A3" w:rsidRPr="00617C76" w:rsidRDefault="00F900A3" w:rsidP="00F900A3">
      <w:pPr>
        <w:pStyle w:val="Heading4"/>
      </w:pPr>
      <w:r w:rsidRPr="00617C76">
        <w:t>Partnership function</w:t>
      </w:r>
    </w:p>
    <w:p w14:paraId="0BC24C56" w14:textId="77777777" w:rsidR="00965A71" w:rsidRDefault="00965A71" w:rsidP="00F900A3">
      <w:r w:rsidRPr="00965A71">
        <w:t xml:space="preserve">Policy </w:t>
      </w:r>
    </w:p>
    <w:p w14:paraId="0556C02A" w14:textId="51BE474E" w:rsidR="00F900A3" w:rsidRPr="00617C76" w:rsidRDefault="00965A71" w:rsidP="00F900A3">
      <w:r w:rsidRPr="00965A71">
        <w:t>Place</w:t>
      </w:r>
      <w:r w:rsidRPr="00965A71">
        <w:noBreakHyphen/>
        <w:t>based</w:t>
      </w:r>
    </w:p>
    <w:p w14:paraId="6C16BEBB" w14:textId="77777777" w:rsidR="00F900A3" w:rsidRPr="00617C76" w:rsidRDefault="00F900A3" w:rsidP="00F900A3">
      <w:pPr>
        <w:pStyle w:val="Heading4"/>
      </w:pPr>
      <w:r w:rsidRPr="00617C76">
        <w:t>Partnership timeframe</w:t>
      </w:r>
    </w:p>
    <w:p w14:paraId="3FA00F77" w14:textId="2868F3C1" w:rsidR="00F900A3" w:rsidRPr="00617C76" w:rsidRDefault="00965A71" w:rsidP="00F900A3">
      <w:r w:rsidRPr="00965A71">
        <w:t>Financial year 2023</w:t>
      </w:r>
      <w:r w:rsidRPr="00965A71">
        <w:noBreakHyphen/>
        <w:t>24 to 2026</w:t>
      </w:r>
      <w:r w:rsidRPr="00965A71">
        <w:noBreakHyphen/>
        <w:t>27</w:t>
      </w:r>
    </w:p>
    <w:p w14:paraId="7A7E28A9" w14:textId="77777777" w:rsidR="00F900A3" w:rsidRPr="00617C76" w:rsidRDefault="00F900A3" w:rsidP="00F900A3">
      <w:pPr>
        <w:pStyle w:val="Heading4"/>
      </w:pPr>
      <w:r w:rsidRPr="00617C76">
        <w:t>Actions taken to strengthen the partnership in 2025</w:t>
      </w:r>
    </w:p>
    <w:p w14:paraId="54EAD2D4" w14:textId="5CEDFD7E" w:rsidR="00F900A3" w:rsidRPr="00617C76" w:rsidRDefault="00965A71" w:rsidP="00965A71">
      <w:pPr>
        <w:tabs>
          <w:tab w:val="left" w:pos="1314"/>
        </w:tabs>
      </w:pPr>
      <w:r w:rsidRPr="00965A71">
        <w:t>Both parties agree that the current state of the partnership is an example of working in genuine partnership, and that the communication, respect and mutual commitment to achieving outcomes continued in 2025.</w:t>
      </w:r>
    </w:p>
    <w:p w14:paraId="4FA6FD89" w14:textId="77777777" w:rsidR="00F900A3" w:rsidRPr="00617C76" w:rsidRDefault="00F900A3" w:rsidP="00F900A3">
      <w:pPr>
        <w:pStyle w:val="Heading4"/>
      </w:pPr>
      <w:r w:rsidRPr="00617C76">
        <w:t>Strong partnership indicators</w:t>
      </w:r>
    </w:p>
    <w:p w14:paraId="54594789" w14:textId="77777777" w:rsidR="00F900A3" w:rsidRPr="00617C76" w:rsidRDefault="00F900A3" w:rsidP="00F900A3">
      <w:pPr>
        <w:pStyle w:val="Heading5"/>
      </w:pPr>
      <w:r w:rsidRPr="00617C76">
        <w:t>Clause 32A:</w:t>
      </w:r>
    </w:p>
    <w:p w14:paraId="001A39A6" w14:textId="1AE74586" w:rsidR="00F900A3" w:rsidRDefault="00A248C0" w:rsidP="00965A71">
      <w:pPr>
        <w:pStyle w:val="ListParagraph"/>
        <w:numPr>
          <w:ilvl w:val="0"/>
          <w:numId w:val="91"/>
        </w:numPr>
      </w:pPr>
      <w:r w:rsidRPr="00A248C0">
        <w:t>Met</w:t>
      </w:r>
    </w:p>
    <w:p w14:paraId="092257D8" w14:textId="74DEE23A" w:rsidR="00F900A3" w:rsidRDefault="00A248C0" w:rsidP="00965A71">
      <w:pPr>
        <w:pStyle w:val="ListParagraph"/>
        <w:numPr>
          <w:ilvl w:val="0"/>
          <w:numId w:val="91"/>
        </w:numPr>
      </w:pPr>
      <w:r w:rsidRPr="00A248C0">
        <w:t>Met</w:t>
      </w:r>
    </w:p>
    <w:p w14:paraId="0590B857" w14:textId="5473E264" w:rsidR="00F900A3" w:rsidRDefault="00A248C0" w:rsidP="00965A71">
      <w:pPr>
        <w:pStyle w:val="ListParagraph"/>
        <w:numPr>
          <w:ilvl w:val="0"/>
          <w:numId w:val="91"/>
        </w:numPr>
      </w:pPr>
      <w:r w:rsidRPr="00A248C0">
        <w:t>N/A</w:t>
      </w:r>
    </w:p>
    <w:p w14:paraId="1BFC8C4F" w14:textId="77777777" w:rsidR="00F900A3" w:rsidRPr="00617C76" w:rsidRDefault="00F900A3" w:rsidP="00F900A3">
      <w:pPr>
        <w:pStyle w:val="Heading5"/>
      </w:pPr>
      <w:r w:rsidRPr="00617C76">
        <w:t>Clause 32B:</w:t>
      </w:r>
    </w:p>
    <w:p w14:paraId="429F6B73" w14:textId="6A7BB8B3" w:rsidR="00F900A3" w:rsidRDefault="00A248C0" w:rsidP="00965A71">
      <w:pPr>
        <w:pStyle w:val="ListParagraph"/>
        <w:numPr>
          <w:ilvl w:val="0"/>
          <w:numId w:val="92"/>
        </w:numPr>
      </w:pPr>
      <w:r w:rsidRPr="00A248C0">
        <w:t>Met</w:t>
      </w:r>
    </w:p>
    <w:p w14:paraId="78E9E8ED" w14:textId="324353EC" w:rsidR="00F900A3" w:rsidRDefault="00A248C0" w:rsidP="00965A71">
      <w:pPr>
        <w:pStyle w:val="ListParagraph"/>
        <w:numPr>
          <w:ilvl w:val="0"/>
          <w:numId w:val="92"/>
        </w:numPr>
      </w:pPr>
      <w:r w:rsidRPr="00A248C0">
        <w:t>Met</w:t>
      </w:r>
    </w:p>
    <w:p w14:paraId="4099B73F" w14:textId="6A644C4C" w:rsidR="00F900A3" w:rsidRDefault="00A248C0" w:rsidP="00965A71">
      <w:pPr>
        <w:pStyle w:val="ListParagraph"/>
        <w:numPr>
          <w:ilvl w:val="0"/>
          <w:numId w:val="92"/>
        </w:numPr>
      </w:pPr>
      <w:r w:rsidRPr="00A248C0">
        <w:t>N/A</w:t>
      </w:r>
    </w:p>
    <w:p w14:paraId="6417BC22" w14:textId="77777777" w:rsidR="00F900A3" w:rsidRDefault="00F900A3" w:rsidP="00965A71">
      <w:pPr>
        <w:pStyle w:val="ListParagraph"/>
        <w:numPr>
          <w:ilvl w:val="0"/>
          <w:numId w:val="92"/>
        </w:numPr>
      </w:pPr>
      <w:r>
        <w:t>N/A</w:t>
      </w:r>
    </w:p>
    <w:p w14:paraId="7D9952CB" w14:textId="77777777" w:rsidR="00F900A3" w:rsidRPr="00617C76" w:rsidRDefault="00F900A3" w:rsidP="00F900A3">
      <w:pPr>
        <w:pStyle w:val="Heading5"/>
      </w:pPr>
      <w:r w:rsidRPr="00617C76">
        <w:t>Clause 32C:</w:t>
      </w:r>
    </w:p>
    <w:p w14:paraId="7E0A2BE8" w14:textId="762715A3" w:rsidR="00F900A3" w:rsidRDefault="00A248C0" w:rsidP="00965A71">
      <w:pPr>
        <w:pStyle w:val="ListParagraph"/>
        <w:numPr>
          <w:ilvl w:val="0"/>
          <w:numId w:val="93"/>
        </w:numPr>
      </w:pPr>
      <w:r w:rsidRPr="00A248C0">
        <w:t>Met</w:t>
      </w:r>
    </w:p>
    <w:p w14:paraId="67434E5A" w14:textId="10CFC6A6" w:rsidR="00F900A3" w:rsidRDefault="00A248C0" w:rsidP="00965A71">
      <w:pPr>
        <w:pStyle w:val="ListParagraph"/>
        <w:numPr>
          <w:ilvl w:val="0"/>
          <w:numId w:val="93"/>
        </w:numPr>
      </w:pPr>
      <w:r w:rsidRPr="00A248C0">
        <w:t>Met</w:t>
      </w:r>
    </w:p>
    <w:p w14:paraId="1C21C244" w14:textId="0968F663" w:rsidR="00F900A3" w:rsidRDefault="00A248C0" w:rsidP="00965A71">
      <w:pPr>
        <w:pStyle w:val="ListParagraph"/>
        <w:numPr>
          <w:ilvl w:val="0"/>
          <w:numId w:val="93"/>
        </w:numPr>
      </w:pPr>
      <w:r w:rsidRPr="00A248C0">
        <w:t>Met</w:t>
      </w:r>
    </w:p>
    <w:p w14:paraId="56266FF0" w14:textId="2D4CC9F0" w:rsidR="00F900A3" w:rsidRDefault="00A248C0" w:rsidP="00965A71">
      <w:pPr>
        <w:pStyle w:val="ListParagraph"/>
        <w:numPr>
          <w:ilvl w:val="0"/>
          <w:numId w:val="93"/>
        </w:numPr>
      </w:pPr>
      <w:r w:rsidRPr="00A248C0">
        <w:t>Met</w:t>
      </w:r>
    </w:p>
    <w:p w14:paraId="1BA11DBC" w14:textId="761C2017" w:rsidR="00F900A3" w:rsidRDefault="00A248C0" w:rsidP="00965A71">
      <w:pPr>
        <w:pStyle w:val="ListParagraph"/>
        <w:numPr>
          <w:ilvl w:val="0"/>
          <w:numId w:val="93"/>
        </w:numPr>
      </w:pPr>
      <w:r w:rsidRPr="00A248C0">
        <w:t>Met</w:t>
      </w:r>
    </w:p>
    <w:p w14:paraId="0EFE7D15" w14:textId="1AFB0BAD" w:rsidR="00F900A3" w:rsidRDefault="00A248C0" w:rsidP="00965A71">
      <w:pPr>
        <w:pStyle w:val="ListParagraph"/>
        <w:numPr>
          <w:ilvl w:val="0"/>
          <w:numId w:val="93"/>
        </w:numPr>
      </w:pPr>
      <w:r w:rsidRPr="00A248C0">
        <w:t>Met</w:t>
      </w:r>
    </w:p>
    <w:p w14:paraId="5411428E" w14:textId="163BC6D7" w:rsidR="00F900A3" w:rsidRDefault="00A248C0" w:rsidP="00965A71">
      <w:pPr>
        <w:pStyle w:val="ListParagraph"/>
        <w:numPr>
          <w:ilvl w:val="0"/>
          <w:numId w:val="93"/>
        </w:numPr>
      </w:pPr>
      <w:r w:rsidRPr="00A248C0">
        <w:t>Met</w:t>
      </w:r>
    </w:p>
    <w:p w14:paraId="353316B5" w14:textId="77777777" w:rsidR="00F900A3" w:rsidRPr="00617C76" w:rsidRDefault="00F900A3" w:rsidP="00F900A3">
      <w:pPr>
        <w:pStyle w:val="Heading5"/>
      </w:pPr>
      <w:r w:rsidRPr="00617C76">
        <w:t>Clause 33:</w:t>
      </w:r>
    </w:p>
    <w:p w14:paraId="03FADE6C" w14:textId="4F23C2F9" w:rsidR="00F900A3" w:rsidRDefault="00A248C0" w:rsidP="00F900A3">
      <w:r w:rsidRPr="00A248C0">
        <w:t>Met</w:t>
      </w:r>
    </w:p>
    <w:p w14:paraId="4A337F58" w14:textId="77777777" w:rsidR="00F900A3" w:rsidRDefault="00F900A3" w:rsidP="00F900A3">
      <w:pPr>
        <w:pStyle w:val="Heading4"/>
      </w:pPr>
      <w:r w:rsidRPr="00617C76">
        <w:t>Achievements over 2025</w:t>
      </w:r>
    </w:p>
    <w:p w14:paraId="10EC9294" w14:textId="77777777" w:rsidR="009622AC" w:rsidRDefault="009622AC" w:rsidP="00F900A3">
      <w:r w:rsidRPr="009622AC">
        <w:t xml:space="preserve">Achievements between 1 January 2025 and 31 December 2025 include: </w:t>
      </w:r>
    </w:p>
    <w:p w14:paraId="0F61304E" w14:textId="77777777" w:rsidR="009622AC" w:rsidRDefault="009622AC" w:rsidP="009622AC">
      <w:pPr>
        <w:pStyle w:val="ListParagraph"/>
        <w:numPr>
          <w:ilvl w:val="0"/>
          <w:numId w:val="94"/>
        </w:numPr>
      </w:pPr>
      <w:r w:rsidRPr="009622AC">
        <w:t xml:space="preserve">Recruitment of cancer workforce, including Health Promotion Officers and Cancer Support Officers. </w:t>
      </w:r>
    </w:p>
    <w:p w14:paraId="6B8EECD4" w14:textId="77777777" w:rsidR="009622AC" w:rsidRDefault="009622AC" w:rsidP="009622AC">
      <w:pPr>
        <w:pStyle w:val="ListParagraph"/>
        <w:numPr>
          <w:ilvl w:val="0"/>
          <w:numId w:val="94"/>
        </w:numPr>
      </w:pPr>
      <w:r w:rsidRPr="009622AC">
        <w:t xml:space="preserve">Recruitment and establishment of Affiliate Cancer Liaison Officers (CLO) across various jurisdictions. </w:t>
      </w:r>
    </w:p>
    <w:p w14:paraId="47A55CBE" w14:textId="77777777" w:rsidR="009622AC" w:rsidRDefault="009622AC" w:rsidP="009622AC">
      <w:pPr>
        <w:pStyle w:val="ListParagraph"/>
        <w:numPr>
          <w:ilvl w:val="0"/>
          <w:numId w:val="94"/>
        </w:numPr>
      </w:pPr>
      <w:r w:rsidRPr="009622AC">
        <w:t xml:space="preserve">Finalised the development of the </w:t>
      </w:r>
      <w:r w:rsidRPr="009622AC">
        <w:rPr>
          <w:i/>
          <w:iCs/>
        </w:rPr>
        <w:t>Outpatient Chemotherapy Services Evidence Review (Part A)</w:t>
      </w:r>
      <w:r w:rsidRPr="009622AC">
        <w:t xml:space="preserve"> and </w:t>
      </w:r>
      <w:r w:rsidRPr="009622AC">
        <w:rPr>
          <w:i/>
          <w:iCs/>
        </w:rPr>
        <w:t xml:space="preserve">Cancer Care Closer to Home Document: Enhancing ACCHO led cancer care and preparing for </w:t>
      </w:r>
      <w:proofErr w:type="spellStart"/>
      <w:r w:rsidRPr="009622AC">
        <w:rPr>
          <w:i/>
          <w:iCs/>
        </w:rPr>
        <w:t>telechemotherapy</w:t>
      </w:r>
      <w:proofErr w:type="spellEnd"/>
      <w:r w:rsidRPr="009622AC">
        <w:rPr>
          <w:i/>
          <w:iCs/>
        </w:rPr>
        <w:t xml:space="preserve"> (Part B)</w:t>
      </w:r>
      <w:r w:rsidRPr="009622AC">
        <w:t xml:space="preserve">. </w:t>
      </w:r>
    </w:p>
    <w:p w14:paraId="71B76FEF" w14:textId="77777777" w:rsidR="009622AC" w:rsidRDefault="009622AC" w:rsidP="009622AC">
      <w:pPr>
        <w:pStyle w:val="ListParagraph"/>
        <w:numPr>
          <w:ilvl w:val="0"/>
          <w:numId w:val="94"/>
        </w:numPr>
      </w:pPr>
      <w:r w:rsidRPr="009622AC">
        <w:t>Establishment of CLO Network. CLOs will meet monthly and discuss learnings and priorities within their jurisdictions.</w:t>
      </w:r>
    </w:p>
    <w:p w14:paraId="38B140D1" w14:textId="77777777" w:rsidR="009622AC" w:rsidRDefault="009622AC" w:rsidP="009622AC">
      <w:pPr>
        <w:pStyle w:val="ListParagraph"/>
        <w:numPr>
          <w:ilvl w:val="0"/>
          <w:numId w:val="94"/>
        </w:numPr>
      </w:pPr>
      <w:r w:rsidRPr="009622AC">
        <w:t>Co</w:t>
      </w:r>
      <w:r w:rsidRPr="009622AC">
        <w:noBreakHyphen/>
        <w:t>design of onboarding resources for the ACCHO cancer workforce to enable improved cancer outcomes.</w:t>
      </w:r>
    </w:p>
    <w:p w14:paraId="78502B78" w14:textId="77777777" w:rsidR="009622AC" w:rsidRDefault="009622AC" w:rsidP="009622AC">
      <w:pPr>
        <w:pStyle w:val="ListParagraph"/>
        <w:numPr>
          <w:ilvl w:val="0"/>
          <w:numId w:val="94"/>
        </w:numPr>
      </w:pPr>
      <w:r w:rsidRPr="009622AC">
        <w:lastRenderedPageBreak/>
        <w:t xml:space="preserve">Continued Cancer Expert Working Group meetings to inform decision making and tackle complex issues with targeted solutions as they arise. </w:t>
      </w:r>
    </w:p>
    <w:p w14:paraId="37798A77" w14:textId="77777777" w:rsidR="009622AC" w:rsidRDefault="009622AC" w:rsidP="009622AC">
      <w:pPr>
        <w:pStyle w:val="ListParagraph"/>
        <w:numPr>
          <w:ilvl w:val="0"/>
          <w:numId w:val="94"/>
        </w:numPr>
      </w:pPr>
      <w:r w:rsidRPr="009622AC">
        <w:t>NACCHO Members’ Conference concurrent session held for the cancer workforce to share learnings, network and collaboratively innovate.</w:t>
      </w:r>
    </w:p>
    <w:p w14:paraId="34A92FF5" w14:textId="12F40BE8" w:rsidR="00F900A3" w:rsidRPr="003E2721" w:rsidRDefault="009622AC" w:rsidP="009622AC">
      <w:pPr>
        <w:pStyle w:val="ListParagraph"/>
        <w:numPr>
          <w:ilvl w:val="0"/>
          <w:numId w:val="94"/>
        </w:numPr>
      </w:pPr>
      <w:r w:rsidRPr="009622AC">
        <w:t>The development of culturally tailored cancer resources for community and the Cancer Program Workforce to reflect community needs, strengthen workforce practice and enhance cancer treatment and support.</w:t>
      </w:r>
    </w:p>
    <w:p w14:paraId="73A5745F" w14:textId="3EBEB073" w:rsidR="00F900A3" w:rsidRDefault="00405011" w:rsidP="00F900A3">
      <w:pPr>
        <w:pStyle w:val="Heading3"/>
      </w:pPr>
      <w:bookmarkStart w:id="31" w:name="_Toc225506053"/>
      <w:r w:rsidRPr="00405011">
        <w:t>Social and Emotional Wellbeing Policy Partnership (SEWB PP)</w:t>
      </w:r>
      <w:bookmarkEnd w:id="31"/>
    </w:p>
    <w:p w14:paraId="2D6E6849" w14:textId="77777777" w:rsidR="00F900A3" w:rsidRDefault="00F900A3" w:rsidP="00F900A3">
      <w:pPr>
        <w:pStyle w:val="Heading4"/>
      </w:pPr>
      <w:r w:rsidRPr="00617C76">
        <w:t>Partnership description</w:t>
      </w:r>
    </w:p>
    <w:p w14:paraId="7FA37116" w14:textId="1E6E2EC5" w:rsidR="00F900A3" w:rsidRPr="00837360" w:rsidRDefault="00253088" w:rsidP="00F900A3">
      <w:r w:rsidRPr="00253088">
        <w:t>The Department of Health, Disability and Ageing is working in partnership with Gayaa Dhuwi (Proud Spirit) Australia, as the First Nations peak body, on the Social and Emotional Wellbeing Policy Partnership (SEWB PP). The SEWB PP brings together First Nations and government representatives in a joined</w:t>
      </w:r>
      <w:r w:rsidRPr="00253088">
        <w:noBreakHyphen/>
        <w:t xml:space="preserve">up approach to improve social and emotional wellbeing and mental health </w:t>
      </w:r>
      <w:proofErr w:type="gramStart"/>
      <w:r w:rsidRPr="00253088">
        <w:t>outcomes, and</w:t>
      </w:r>
      <w:proofErr w:type="gramEnd"/>
      <w:r w:rsidRPr="00253088">
        <w:t xml:space="preserve"> reduce suicide rates</w:t>
      </w:r>
      <w:r>
        <w:t>.</w:t>
      </w:r>
    </w:p>
    <w:p w14:paraId="3C365E84" w14:textId="77777777" w:rsidR="00F900A3" w:rsidRDefault="00F900A3" w:rsidP="00F900A3">
      <w:pPr>
        <w:pStyle w:val="Heading4"/>
      </w:pPr>
      <w:r w:rsidRPr="00DF6278">
        <w:t>Aboriginal and Torres Strait Islander parties</w:t>
      </w:r>
    </w:p>
    <w:p w14:paraId="3E9EBFCF" w14:textId="155E8717" w:rsidR="00253088" w:rsidRPr="00B27ADE" w:rsidRDefault="00253088" w:rsidP="00F900A3">
      <w:r w:rsidRPr="00B27ADE">
        <w:t>Gayaa Dhuwi (Proud Spirit) Australia</w:t>
      </w:r>
      <w:r w:rsidR="0072472D">
        <w:t xml:space="preserve"> (endorsing partner)</w:t>
      </w:r>
      <w:r w:rsidRPr="00B27ADE">
        <w:t xml:space="preserve"> </w:t>
      </w:r>
    </w:p>
    <w:p w14:paraId="5B0FF331" w14:textId="77777777" w:rsidR="00253088" w:rsidRPr="00C17347" w:rsidRDefault="00253088" w:rsidP="00F900A3">
      <w:r w:rsidRPr="00C17347">
        <w:t xml:space="preserve">Representatives from lead peak organisations </w:t>
      </w:r>
    </w:p>
    <w:p w14:paraId="0CD4BBCF" w14:textId="6B313D77" w:rsidR="00F900A3" w:rsidRPr="00C17347" w:rsidRDefault="00253088" w:rsidP="00F900A3">
      <w:r w:rsidRPr="00C17347">
        <w:t>Independent Aboriginal and Torres Strait Islander representatives</w:t>
      </w:r>
    </w:p>
    <w:p w14:paraId="58359D1C" w14:textId="77777777" w:rsidR="00F900A3" w:rsidRPr="00617C76" w:rsidRDefault="00F900A3" w:rsidP="00F900A3">
      <w:pPr>
        <w:pStyle w:val="Heading4"/>
      </w:pPr>
      <w:r w:rsidRPr="00617C76">
        <w:t>Government parties</w:t>
      </w:r>
    </w:p>
    <w:p w14:paraId="1BD91BC2" w14:textId="77777777" w:rsidR="00F900A3" w:rsidRDefault="00F900A3" w:rsidP="00F900A3">
      <w:pPr>
        <w:pStyle w:val="Heading5"/>
      </w:pPr>
      <w:r w:rsidRPr="00115C74">
        <w:t xml:space="preserve">COMMONWEALTH PARTIES </w:t>
      </w:r>
    </w:p>
    <w:p w14:paraId="730A9A1F" w14:textId="441D73E4" w:rsidR="00F900A3" w:rsidRPr="00B27ADE" w:rsidRDefault="00A963D6" w:rsidP="00F900A3">
      <w:r w:rsidRPr="00B27ADE">
        <w:t>Department of Health, Disability and Ageing</w:t>
      </w:r>
      <w:r w:rsidR="0072472D">
        <w:t xml:space="preserve"> (endorsing partner)</w:t>
      </w:r>
    </w:p>
    <w:p w14:paraId="78C77D63" w14:textId="77777777" w:rsidR="00F900A3" w:rsidRPr="00115C74" w:rsidRDefault="00F900A3" w:rsidP="00F900A3">
      <w:pPr>
        <w:pStyle w:val="Heading5"/>
      </w:pPr>
      <w:r w:rsidRPr="00115C74">
        <w:t xml:space="preserve">STATE AND TERRITORY PARTIES </w:t>
      </w:r>
    </w:p>
    <w:p w14:paraId="18222EFC" w14:textId="1048FD3F" w:rsidR="00F900A3" w:rsidRPr="00617C76" w:rsidRDefault="00E55929" w:rsidP="00F900A3">
      <w:r w:rsidRPr="00E55929">
        <w:t>State and territory equivalents, as nominated by their jurisdiction</w:t>
      </w:r>
    </w:p>
    <w:p w14:paraId="7271424D" w14:textId="77777777" w:rsidR="00F900A3" w:rsidRPr="00617C76" w:rsidRDefault="00F900A3" w:rsidP="00F900A3">
      <w:pPr>
        <w:pStyle w:val="Heading4"/>
      </w:pPr>
      <w:r w:rsidRPr="00617C76">
        <w:t>Priority Reforms and Socio-economic Outcomes</w:t>
      </w:r>
    </w:p>
    <w:p w14:paraId="7CD11378" w14:textId="77777777" w:rsidR="00E55929" w:rsidRDefault="00E55929" w:rsidP="00F900A3">
      <w:r w:rsidRPr="00E55929">
        <w:t xml:space="preserve">Priority Reform 1 </w:t>
      </w:r>
    </w:p>
    <w:p w14:paraId="159B8C58" w14:textId="77777777" w:rsidR="00E55929" w:rsidRDefault="00E55929" w:rsidP="00F900A3">
      <w:r w:rsidRPr="00E55929">
        <w:t xml:space="preserve">Priority Reform 2 </w:t>
      </w:r>
    </w:p>
    <w:p w14:paraId="0DDF3CA4" w14:textId="77777777" w:rsidR="00E55929" w:rsidRDefault="00E55929" w:rsidP="00F900A3">
      <w:r w:rsidRPr="00E55929">
        <w:t xml:space="preserve">Priority Reform 3 </w:t>
      </w:r>
    </w:p>
    <w:p w14:paraId="76A79DE9" w14:textId="77777777" w:rsidR="00E55929" w:rsidRDefault="00E55929" w:rsidP="00F900A3">
      <w:r w:rsidRPr="00E55929">
        <w:t xml:space="preserve">Priority Reform 4 </w:t>
      </w:r>
    </w:p>
    <w:p w14:paraId="7E096C1F" w14:textId="48260C03" w:rsidR="00F900A3" w:rsidRPr="007C35F3" w:rsidRDefault="00E55929" w:rsidP="00F900A3">
      <w:r w:rsidRPr="00E55929">
        <w:t>Outcome 14</w:t>
      </w:r>
    </w:p>
    <w:p w14:paraId="4A85CDAF" w14:textId="77777777" w:rsidR="00F900A3" w:rsidRPr="00617C76" w:rsidRDefault="00F900A3" w:rsidP="00F900A3">
      <w:pPr>
        <w:pStyle w:val="Heading4"/>
      </w:pPr>
      <w:r w:rsidRPr="00617C76">
        <w:t>Partnership function</w:t>
      </w:r>
    </w:p>
    <w:p w14:paraId="0A30861F" w14:textId="7C83A04B" w:rsidR="00F900A3" w:rsidRPr="00617C76" w:rsidRDefault="00C55D0C" w:rsidP="00F900A3">
      <w:r w:rsidRPr="00C55D0C">
        <w:t>Policy</w:t>
      </w:r>
    </w:p>
    <w:p w14:paraId="02961B0C" w14:textId="77777777" w:rsidR="00F900A3" w:rsidRPr="00617C76" w:rsidRDefault="00F900A3" w:rsidP="00F900A3">
      <w:pPr>
        <w:pStyle w:val="Heading4"/>
      </w:pPr>
      <w:r w:rsidRPr="00617C76">
        <w:t>Partnership timeframe</w:t>
      </w:r>
    </w:p>
    <w:p w14:paraId="53984F49" w14:textId="7D4CF893" w:rsidR="00F900A3" w:rsidRPr="00617C76" w:rsidRDefault="00C55D0C" w:rsidP="00F900A3">
      <w:r w:rsidRPr="00C55D0C">
        <w:t>Financial year 2022</w:t>
      </w:r>
      <w:r w:rsidRPr="00C55D0C">
        <w:noBreakHyphen/>
        <w:t>23 to 2027</w:t>
      </w:r>
      <w:r w:rsidRPr="00C55D0C">
        <w:noBreakHyphen/>
        <w:t>28</w:t>
      </w:r>
    </w:p>
    <w:p w14:paraId="152678A5" w14:textId="77777777" w:rsidR="00F900A3" w:rsidRPr="00617C76" w:rsidRDefault="00F900A3" w:rsidP="00F900A3">
      <w:pPr>
        <w:pStyle w:val="Heading4"/>
      </w:pPr>
      <w:r w:rsidRPr="00617C76">
        <w:t>Actions taken to strengthen the partnership in 2025</w:t>
      </w:r>
    </w:p>
    <w:p w14:paraId="7FEF033E" w14:textId="3A6C567F" w:rsidR="00F900A3" w:rsidRPr="00617C76" w:rsidRDefault="00C55D0C" w:rsidP="00F900A3">
      <w:r w:rsidRPr="00C55D0C">
        <w:t xml:space="preserve">In partnership, Gayaa Dhuwi and the department are working to refresh the SEWB PP structure to better meet the needs of Aboriginal and Torres Strait Islander members. This includes a stronger focus on mental health and suicide prevention, enhanced government engagement on current initiatives to actively seek feedback from Aboriginal and Torres Strait Islander members, and a broader, more strategic approach to joint priorities in collaboration with other Policy Partnerships. The refresh will also support forward planning of agendas to align </w:t>
      </w:r>
      <w:r w:rsidRPr="00C55D0C">
        <w:lastRenderedPageBreak/>
        <w:t>more closely with SEWB PP Strategic Plan priorities, while supporting jurisdictional reporting to promote transparency, amplify Aboriginal and Torres Strait Islander voices, and strengthen accountability under the National Agreement.</w:t>
      </w:r>
    </w:p>
    <w:p w14:paraId="0F5C4F4C" w14:textId="77777777" w:rsidR="00F900A3" w:rsidRPr="00617C76" w:rsidRDefault="00F900A3" w:rsidP="00F900A3">
      <w:pPr>
        <w:pStyle w:val="Heading4"/>
      </w:pPr>
      <w:r w:rsidRPr="00617C76">
        <w:t>Strong partnership indicators</w:t>
      </w:r>
    </w:p>
    <w:p w14:paraId="635ACE21" w14:textId="77777777" w:rsidR="00F900A3" w:rsidRPr="00617C76" w:rsidRDefault="00F900A3" w:rsidP="00F900A3">
      <w:pPr>
        <w:pStyle w:val="Heading5"/>
      </w:pPr>
      <w:r w:rsidRPr="00617C76">
        <w:t>Clause 32A:</w:t>
      </w:r>
    </w:p>
    <w:p w14:paraId="2DA2B8AF" w14:textId="2EB32B55" w:rsidR="00F900A3" w:rsidRDefault="00901297" w:rsidP="004E1267">
      <w:pPr>
        <w:pStyle w:val="ListParagraph"/>
        <w:numPr>
          <w:ilvl w:val="0"/>
          <w:numId w:val="95"/>
        </w:numPr>
      </w:pPr>
      <w:r w:rsidRPr="00901297">
        <w:t>Met</w:t>
      </w:r>
    </w:p>
    <w:p w14:paraId="5693CC3E" w14:textId="2B549B09" w:rsidR="00F900A3" w:rsidRDefault="00901297" w:rsidP="004E1267">
      <w:pPr>
        <w:pStyle w:val="ListParagraph"/>
        <w:numPr>
          <w:ilvl w:val="0"/>
          <w:numId w:val="95"/>
        </w:numPr>
      </w:pPr>
      <w:r w:rsidRPr="00901297">
        <w:t>Met</w:t>
      </w:r>
    </w:p>
    <w:p w14:paraId="7F0F48FA" w14:textId="45D21745" w:rsidR="00F900A3" w:rsidRDefault="00901297" w:rsidP="004E1267">
      <w:pPr>
        <w:pStyle w:val="ListParagraph"/>
        <w:numPr>
          <w:ilvl w:val="0"/>
          <w:numId w:val="95"/>
        </w:numPr>
      </w:pPr>
      <w:r w:rsidRPr="00901297">
        <w:t>Met</w:t>
      </w:r>
    </w:p>
    <w:p w14:paraId="086F9297" w14:textId="77777777" w:rsidR="00F900A3" w:rsidRPr="00617C76" w:rsidRDefault="00F900A3" w:rsidP="00F900A3">
      <w:pPr>
        <w:pStyle w:val="Heading5"/>
      </w:pPr>
      <w:r w:rsidRPr="00617C76">
        <w:t>Clause 32B:</w:t>
      </w:r>
    </w:p>
    <w:p w14:paraId="3B575065" w14:textId="15950B2A" w:rsidR="00F900A3" w:rsidRDefault="00901297" w:rsidP="004E1267">
      <w:pPr>
        <w:pStyle w:val="ListParagraph"/>
        <w:numPr>
          <w:ilvl w:val="0"/>
          <w:numId w:val="96"/>
        </w:numPr>
      </w:pPr>
      <w:r w:rsidRPr="00901297">
        <w:t>Met</w:t>
      </w:r>
    </w:p>
    <w:p w14:paraId="1FB40C9C" w14:textId="76F8A6AF" w:rsidR="00F900A3" w:rsidRDefault="00901297" w:rsidP="004E1267">
      <w:pPr>
        <w:pStyle w:val="ListParagraph"/>
        <w:numPr>
          <w:ilvl w:val="0"/>
          <w:numId w:val="96"/>
        </w:numPr>
      </w:pPr>
      <w:r w:rsidRPr="00901297">
        <w:t>Met</w:t>
      </w:r>
    </w:p>
    <w:p w14:paraId="59546EF3" w14:textId="26D6909F" w:rsidR="00F900A3" w:rsidRDefault="00901297" w:rsidP="004E1267">
      <w:pPr>
        <w:pStyle w:val="ListParagraph"/>
        <w:numPr>
          <w:ilvl w:val="0"/>
          <w:numId w:val="96"/>
        </w:numPr>
      </w:pPr>
      <w:r w:rsidRPr="00901297">
        <w:t>Met</w:t>
      </w:r>
    </w:p>
    <w:p w14:paraId="1731358C" w14:textId="77777777" w:rsidR="00F900A3" w:rsidRDefault="00F900A3" w:rsidP="004E1267">
      <w:pPr>
        <w:pStyle w:val="ListParagraph"/>
        <w:numPr>
          <w:ilvl w:val="0"/>
          <w:numId w:val="96"/>
        </w:numPr>
      </w:pPr>
      <w:r>
        <w:t>N/A</w:t>
      </w:r>
    </w:p>
    <w:p w14:paraId="55E00A75" w14:textId="77777777" w:rsidR="00F900A3" w:rsidRPr="00617C76" w:rsidRDefault="00F900A3" w:rsidP="00F900A3">
      <w:pPr>
        <w:pStyle w:val="Heading5"/>
      </w:pPr>
      <w:r w:rsidRPr="00617C76">
        <w:t>Clause 32C:</w:t>
      </w:r>
    </w:p>
    <w:p w14:paraId="0EFE191A" w14:textId="286CD068" w:rsidR="00F900A3" w:rsidRDefault="00901297" w:rsidP="004E1267">
      <w:pPr>
        <w:pStyle w:val="ListParagraph"/>
        <w:numPr>
          <w:ilvl w:val="0"/>
          <w:numId w:val="97"/>
        </w:numPr>
      </w:pPr>
      <w:r w:rsidRPr="00901297">
        <w:t>Met</w:t>
      </w:r>
    </w:p>
    <w:p w14:paraId="4515B1D1" w14:textId="19F6C69A" w:rsidR="00F900A3" w:rsidRDefault="00901297" w:rsidP="004E1267">
      <w:pPr>
        <w:pStyle w:val="ListParagraph"/>
        <w:numPr>
          <w:ilvl w:val="0"/>
          <w:numId w:val="97"/>
        </w:numPr>
      </w:pPr>
      <w:r w:rsidRPr="00901297">
        <w:t>Met</w:t>
      </w:r>
    </w:p>
    <w:p w14:paraId="6C5381AE" w14:textId="2826EB5F" w:rsidR="00F900A3" w:rsidRDefault="00901297" w:rsidP="004E1267">
      <w:pPr>
        <w:pStyle w:val="ListParagraph"/>
        <w:numPr>
          <w:ilvl w:val="0"/>
          <w:numId w:val="97"/>
        </w:numPr>
      </w:pPr>
      <w:r w:rsidRPr="00901297">
        <w:t>Met</w:t>
      </w:r>
    </w:p>
    <w:p w14:paraId="5AA2D97C" w14:textId="6227F2F5" w:rsidR="00F900A3" w:rsidRDefault="00901297" w:rsidP="004E1267">
      <w:pPr>
        <w:pStyle w:val="ListParagraph"/>
        <w:numPr>
          <w:ilvl w:val="0"/>
          <w:numId w:val="97"/>
        </w:numPr>
      </w:pPr>
      <w:r w:rsidRPr="00901297">
        <w:t>Met</w:t>
      </w:r>
    </w:p>
    <w:p w14:paraId="347E4BD4" w14:textId="5C0829BD" w:rsidR="00F900A3" w:rsidRDefault="00901297" w:rsidP="004E1267">
      <w:pPr>
        <w:pStyle w:val="ListParagraph"/>
        <w:numPr>
          <w:ilvl w:val="0"/>
          <w:numId w:val="97"/>
        </w:numPr>
      </w:pPr>
      <w:r w:rsidRPr="00901297">
        <w:t>Met</w:t>
      </w:r>
    </w:p>
    <w:p w14:paraId="6C2FDF6D" w14:textId="772B81FD" w:rsidR="00F900A3" w:rsidRDefault="00901297" w:rsidP="004E1267">
      <w:pPr>
        <w:pStyle w:val="ListParagraph"/>
        <w:numPr>
          <w:ilvl w:val="0"/>
          <w:numId w:val="97"/>
        </w:numPr>
      </w:pPr>
      <w:r w:rsidRPr="00901297">
        <w:t>Met</w:t>
      </w:r>
    </w:p>
    <w:p w14:paraId="039B4985" w14:textId="74274685" w:rsidR="00F900A3" w:rsidRDefault="00901297" w:rsidP="004E1267">
      <w:pPr>
        <w:pStyle w:val="ListParagraph"/>
        <w:numPr>
          <w:ilvl w:val="0"/>
          <w:numId w:val="97"/>
        </w:numPr>
      </w:pPr>
      <w:r w:rsidRPr="00901297">
        <w:t>Met</w:t>
      </w:r>
    </w:p>
    <w:p w14:paraId="77601C99" w14:textId="77777777" w:rsidR="00F900A3" w:rsidRPr="00617C76" w:rsidRDefault="00F900A3" w:rsidP="00F900A3">
      <w:pPr>
        <w:pStyle w:val="Heading5"/>
      </w:pPr>
      <w:r w:rsidRPr="00617C76">
        <w:t>Clause 33:</w:t>
      </w:r>
    </w:p>
    <w:p w14:paraId="3D361D02" w14:textId="7D1E584F" w:rsidR="00F900A3" w:rsidRDefault="00901297" w:rsidP="00F900A3">
      <w:r w:rsidRPr="00901297">
        <w:t>Met</w:t>
      </w:r>
    </w:p>
    <w:p w14:paraId="6003A047" w14:textId="77777777" w:rsidR="00F900A3" w:rsidRDefault="00F900A3" w:rsidP="00F900A3">
      <w:pPr>
        <w:pStyle w:val="Heading4"/>
      </w:pPr>
      <w:r w:rsidRPr="00617C76">
        <w:t>Achievements over 2025</w:t>
      </w:r>
    </w:p>
    <w:p w14:paraId="0628B9BC" w14:textId="3045C6BB" w:rsidR="00F900A3" w:rsidRPr="003E2721" w:rsidRDefault="00901297" w:rsidP="00F900A3">
      <w:r w:rsidRPr="00901297">
        <w:t>In February 2025, the SEWB PP endorsed the Gayaa Dhuwi (Proud Spirit) Declaration Framework and Implementation Plan.</w:t>
      </w:r>
    </w:p>
    <w:p w14:paraId="031B123F" w14:textId="6F357B4E" w:rsidR="00F900A3" w:rsidRDefault="00901297" w:rsidP="00F900A3">
      <w:pPr>
        <w:pStyle w:val="Heading3"/>
      </w:pPr>
      <w:bookmarkStart w:id="32" w:name="_Toc225506054"/>
      <w:r w:rsidRPr="00901297">
        <w:t xml:space="preserve">Partnership for the Square Kilometre Array (SKA) Project and </w:t>
      </w:r>
      <w:proofErr w:type="spellStart"/>
      <w:r w:rsidRPr="00901297">
        <w:t>Inyarrimanha</w:t>
      </w:r>
      <w:proofErr w:type="spellEnd"/>
      <w:r w:rsidRPr="00901297">
        <w:t xml:space="preserve"> </w:t>
      </w:r>
      <w:proofErr w:type="spellStart"/>
      <w:r w:rsidRPr="00901297">
        <w:t>Ilgari</w:t>
      </w:r>
      <w:proofErr w:type="spellEnd"/>
      <w:r w:rsidRPr="00901297">
        <w:t xml:space="preserve"> Bundara, the Commonwealth Scientific and Industrial Research Organisation (CSIRO) Murchison Radio-astronomy Observatory</w:t>
      </w:r>
      <w:bookmarkEnd w:id="32"/>
    </w:p>
    <w:p w14:paraId="4097BFF9" w14:textId="77777777" w:rsidR="00F900A3" w:rsidRDefault="00F900A3" w:rsidP="00F900A3">
      <w:pPr>
        <w:pStyle w:val="Heading4"/>
      </w:pPr>
      <w:r w:rsidRPr="00617C76">
        <w:t>Partnership description</w:t>
      </w:r>
    </w:p>
    <w:p w14:paraId="18AC7912" w14:textId="08153F6B" w:rsidR="00F900A3" w:rsidRPr="00837360" w:rsidRDefault="00D01E49" w:rsidP="00F900A3">
      <w:r w:rsidRPr="00D01E49">
        <w:t>The CSIRO, Department of Industry, Science and Resources (DISR) and the Wajarri Yamaji Aboriginal Corporation (WYAC) are partnering to enable the construction and operation of the international SKA Observatory’s SKA</w:t>
      </w:r>
      <w:r w:rsidRPr="00D01E49">
        <w:noBreakHyphen/>
        <w:t>Low telescope on Wajarri Yamaji Country. Our ongoing relationship is formalised through an Indigenous Land Use Agreement (ILUA) and Project Agreement that provide ongoing inter</w:t>
      </w:r>
      <w:r w:rsidRPr="00D01E49">
        <w:noBreakHyphen/>
        <w:t>generational benefits to the Wajarri Yamaji community, ensures the preservation of Wajarri cultural heritage at the observatory, and provides consent for radio astronomy on Wajarri Country.</w:t>
      </w:r>
    </w:p>
    <w:p w14:paraId="2BAD6834" w14:textId="77777777" w:rsidR="00F900A3" w:rsidRDefault="00F900A3" w:rsidP="00F900A3">
      <w:pPr>
        <w:pStyle w:val="Heading4"/>
      </w:pPr>
      <w:r w:rsidRPr="00DF6278">
        <w:t>Aboriginal and Torres Strait Islander parties</w:t>
      </w:r>
    </w:p>
    <w:p w14:paraId="3683635D" w14:textId="7F1312C7" w:rsidR="00F900A3" w:rsidRPr="00B27ADE" w:rsidRDefault="00D01E49" w:rsidP="00F900A3">
      <w:r w:rsidRPr="00B27ADE">
        <w:t>Wajarri Yamaji Aboriginal Corporation (WYAC)</w:t>
      </w:r>
      <w:r w:rsidR="004033C2">
        <w:t xml:space="preserve"> (endorsing partner)</w:t>
      </w:r>
    </w:p>
    <w:p w14:paraId="6987C3C5" w14:textId="77777777" w:rsidR="00F900A3" w:rsidRPr="00617C76" w:rsidRDefault="00F900A3" w:rsidP="00F900A3">
      <w:pPr>
        <w:pStyle w:val="Heading4"/>
      </w:pPr>
      <w:r w:rsidRPr="00617C76">
        <w:t>Government parties</w:t>
      </w:r>
    </w:p>
    <w:p w14:paraId="186E465E" w14:textId="77777777" w:rsidR="00F900A3" w:rsidRDefault="00F900A3" w:rsidP="00F900A3">
      <w:pPr>
        <w:pStyle w:val="Heading5"/>
      </w:pPr>
      <w:r w:rsidRPr="00115C74">
        <w:t xml:space="preserve">COMMONWEALTH PARTIES </w:t>
      </w:r>
    </w:p>
    <w:p w14:paraId="66B6C711" w14:textId="70BD5EBE" w:rsidR="00D01E49" w:rsidRPr="00B27ADE" w:rsidRDefault="00D01E49" w:rsidP="00F900A3">
      <w:r w:rsidRPr="00B27ADE">
        <w:t>Department of Industry, Science and Resources (DISR)</w:t>
      </w:r>
      <w:r w:rsidR="004033C2">
        <w:t xml:space="preserve"> (endorsing partner)</w:t>
      </w:r>
    </w:p>
    <w:p w14:paraId="598E49E8" w14:textId="1F7DA22B" w:rsidR="00F900A3" w:rsidRPr="00B27ADE" w:rsidRDefault="00D01E49" w:rsidP="00F900A3">
      <w:r w:rsidRPr="00B27ADE">
        <w:lastRenderedPageBreak/>
        <w:t>Commonwealth Scientific and Industrial Research Organisation (CSIRO)</w:t>
      </w:r>
      <w:r w:rsidR="004033C2">
        <w:t xml:space="preserve"> (endorsing partner)</w:t>
      </w:r>
    </w:p>
    <w:p w14:paraId="42B6273E" w14:textId="77777777" w:rsidR="00F900A3" w:rsidRPr="00115C74" w:rsidRDefault="00F900A3" w:rsidP="00F900A3">
      <w:pPr>
        <w:pStyle w:val="Heading5"/>
      </w:pPr>
      <w:r w:rsidRPr="00115C74">
        <w:t xml:space="preserve">STATE AND TERRITORY PARTIES </w:t>
      </w:r>
    </w:p>
    <w:p w14:paraId="610C46D2" w14:textId="77777777" w:rsidR="00F900A3" w:rsidRPr="00617C76" w:rsidRDefault="00F900A3" w:rsidP="00F900A3">
      <w:r>
        <w:t>N/A</w:t>
      </w:r>
    </w:p>
    <w:p w14:paraId="2F05C334" w14:textId="77777777" w:rsidR="00F900A3" w:rsidRPr="00617C76" w:rsidRDefault="00F900A3" w:rsidP="00F900A3">
      <w:pPr>
        <w:pStyle w:val="Heading4"/>
      </w:pPr>
      <w:r w:rsidRPr="00617C76">
        <w:t>Priority Reforms and Socio-economic Outcomes</w:t>
      </w:r>
    </w:p>
    <w:p w14:paraId="787804EC" w14:textId="77777777" w:rsidR="00D01E49" w:rsidRDefault="00D01E49" w:rsidP="00F900A3">
      <w:r w:rsidRPr="00D01E49">
        <w:t xml:space="preserve">Priority Reform 1 </w:t>
      </w:r>
    </w:p>
    <w:p w14:paraId="567AB909" w14:textId="77777777" w:rsidR="00D01E49" w:rsidRDefault="00D01E49" w:rsidP="00F900A3">
      <w:r w:rsidRPr="00D01E49">
        <w:t xml:space="preserve">Priority Reform 2 </w:t>
      </w:r>
    </w:p>
    <w:p w14:paraId="1708BA51" w14:textId="77777777" w:rsidR="00D01E49" w:rsidRDefault="00D01E49" w:rsidP="00F900A3">
      <w:r w:rsidRPr="00D01E49">
        <w:t xml:space="preserve">Outcome 7 </w:t>
      </w:r>
    </w:p>
    <w:p w14:paraId="6F4221CE" w14:textId="77777777" w:rsidR="00D01E49" w:rsidRDefault="00D01E49" w:rsidP="00F900A3">
      <w:r w:rsidRPr="00D01E49">
        <w:t xml:space="preserve">Outcome 8 </w:t>
      </w:r>
    </w:p>
    <w:p w14:paraId="0B1E5E5C" w14:textId="44E062FB" w:rsidR="00F900A3" w:rsidRPr="007C35F3" w:rsidRDefault="00D01E49" w:rsidP="00F900A3">
      <w:r w:rsidRPr="00D01E49">
        <w:t>Outcome 17</w:t>
      </w:r>
    </w:p>
    <w:p w14:paraId="2716B94E" w14:textId="77777777" w:rsidR="00F900A3" w:rsidRPr="00617C76" w:rsidRDefault="00F900A3" w:rsidP="00F900A3">
      <w:pPr>
        <w:pStyle w:val="Heading4"/>
      </w:pPr>
      <w:r w:rsidRPr="00617C76">
        <w:t>Partnership function</w:t>
      </w:r>
    </w:p>
    <w:p w14:paraId="2DCF9C8F" w14:textId="35C8FC5F" w:rsidR="00F900A3" w:rsidRPr="00617C76" w:rsidRDefault="00C74A53" w:rsidP="00F900A3">
      <w:r w:rsidRPr="00C74A53">
        <w:t>Place</w:t>
      </w:r>
      <w:r w:rsidRPr="00C74A53">
        <w:noBreakHyphen/>
        <w:t>based</w:t>
      </w:r>
    </w:p>
    <w:p w14:paraId="10B5EEC5" w14:textId="77777777" w:rsidR="00F900A3" w:rsidRPr="00617C76" w:rsidRDefault="00F900A3" w:rsidP="00F900A3">
      <w:pPr>
        <w:pStyle w:val="Heading4"/>
      </w:pPr>
      <w:r w:rsidRPr="00617C76">
        <w:t>Partnership timeframe</w:t>
      </w:r>
    </w:p>
    <w:p w14:paraId="2E95C6B9" w14:textId="12F9A346" w:rsidR="00F900A3" w:rsidRPr="00617C76" w:rsidRDefault="00C74A53" w:rsidP="00F900A3">
      <w:r w:rsidRPr="00C74A53">
        <w:t>2022 to 2082</w:t>
      </w:r>
    </w:p>
    <w:p w14:paraId="42F561CD" w14:textId="77777777" w:rsidR="00F900A3" w:rsidRPr="00617C76" w:rsidRDefault="00F900A3" w:rsidP="00F900A3">
      <w:pPr>
        <w:pStyle w:val="Heading4"/>
      </w:pPr>
      <w:r w:rsidRPr="00617C76">
        <w:t>Actions taken to strengthen the partnership in 2025</w:t>
      </w:r>
    </w:p>
    <w:p w14:paraId="5AB5D0F5" w14:textId="1F7B7C86" w:rsidR="00F900A3" w:rsidRPr="00617C76" w:rsidRDefault="00C74A53" w:rsidP="00F900A3">
      <w:r w:rsidRPr="00C74A53">
        <w:t>The partnership has been strengthened through the 2025 calendar year by the continuation of regular formal decision</w:t>
      </w:r>
      <w:r w:rsidRPr="00C74A53">
        <w:noBreakHyphen/>
        <w:t>making Committees, the Industry Opportunities meetings, and other non</w:t>
      </w:r>
      <w:r w:rsidRPr="00C74A53">
        <w:noBreakHyphen/>
        <w:t>formal meetings that assist to progress the implementation of the Agreements and other ad hoc discussions. CSIRO continued to support WYAC priorities throughout the year, including sponsorship and provision of materials for WYAC events additional to those within the formal agreements. WYAC was funded to develop and operate Cultural Awareness workshops and sessions which are mandatory for non</w:t>
      </w:r>
      <w:r w:rsidRPr="00C74A53">
        <w:noBreakHyphen/>
        <w:t>Wajarri site visitors. In addition, individual Wajarri representatives were supported to attend conferences and site visits to promote the partnership, the observatory site and the SKA project alongside DISR and CSIRO colleagues.</w:t>
      </w:r>
    </w:p>
    <w:p w14:paraId="0C1E3EE5" w14:textId="77777777" w:rsidR="00F900A3" w:rsidRPr="00617C76" w:rsidRDefault="00F900A3" w:rsidP="00F900A3">
      <w:pPr>
        <w:pStyle w:val="Heading4"/>
      </w:pPr>
      <w:r w:rsidRPr="00617C76">
        <w:t>Strong partnership indicators</w:t>
      </w:r>
    </w:p>
    <w:p w14:paraId="7F5F7C47" w14:textId="77777777" w:rsidR="00F900A3" w:rsidRPr="00617C76" w:rsidRDefault="00F900A3" w:rsidP="00F900A3">
      <w:pPr>
        <w:pStyle w:val="Heading5"/>
      </w:pPr>
      <w:r w:rsidRPr="00617C76">
        <w:t>Clause 32A:</w:t>
      </w:r>
    </w:p>
    <w:p w14:paraId="0D2FACA0" w14:textId="30939D3C" w:rsidR="00F900A3" w:rsidRDefault="001901E5" w:rsidP="00C74A53">
      <w:pPr>
        <w:pStyle w:val="ListParagraph"/>
        <w:numPr>
          <w:ilvl w:val="0"/>
          <w:numId w:val="98"/>
        </w:numPr>
      </w:pPr>
      <w:r w:rsidRPr="001901E5">
        <w:t>Met</w:t>
      </w:r>
    </w:p>
    <w:p w14:paraId="78FE4146" w14:textId="1F864BAD" w:rsidR="00F900A3" w:rsidRDefault="001901E5" w:rsidP="00C74A53">
      <w:pPr>
        <w:pStyle w:val="ListParagraph"/>
        <w:numPr>
          <w:ilvl w:val="0"/>
          <w:numId w:val="98"/>
        </w:numPr>
      </w:pPr>
      <w:r w:rsidRPr="001901E5">
        <w:t>Met</w:t>
      </w:r>
    </w:p>
    <w:p w14:paraId="4D1B21C0" w14:textId="7B6D7FBB" w:rsidR="00F900A3" w:rsidRDefault="001901E5" w:rsidP="00C74A53">
      <w:pPr>
        <w:pStyle w:val="ListParagraph"/>
        <w:numPr>
          <w:ilvl w:val="0"/>
          <w:numId w:val="98"/>
        </w:numPr>
      </w:pPr>
      <w:r w:rsidRPr="001901E5">
        <w:t>Met</w:t>
      </w:r>
    </w:p>
    <w:p w14:paraId="24EA9E64" w14:textId="77777777" w:rsidR="00F900A3" w:rsidRPr="00617C76" w:rsidRDefault="00F900A3" w:rsidP="00F900A3">
      <w:pPr>
        <w:pStyle w:val="Heading5"/>
      </w:pPr>
      <w:r w:rsidRPr="00617C76">
        <w:t>Clause 32B:</w:t>
      </w:r>
    </w:p>
    <w:p w14:paraId="57CB1B6C" w14:textId="5C4209A9" w:rsidR="00F900A3" w:rsidRDefault="001901E5" w:rsidP="00C74A53">
      <w:pPr>
        <w:pStyle w:val="ListParagraph"/>
        <w:numPr>
          <w:ilvl w:val="0"/>
          <w:numId w:val="99"/>
        </w:numPr>
      </w:pPr>
      <w:r w:rsidRPr="001901E5">
        <w:t>Met</w:t>
      </w:r>
    </w:p>
    <w:p w14:paraId="25E7E7CF" w14:textId="319419CD" w:rsidR="00F900A3" w:rsidRDefault="001901E5" w:rsidP="00C74A53">
      <w:pPr>
        <w:pStyle w:val="ListParagraph"/>
        <w:numPr>
          <w:ilvl w:val="0"/>
          <w:numId w:val="99"/>
        </w:numPr>
      </w:pPr>
      <w:r w:rsidRPr="001901E5">
        <w:t>Met</w:t>
      </w:r>
    </w:p>
    <w:p w14:paraId="4CB4C76A" w14:textId="3F5DC091" w:rsidR="00F900A3" w:rsidRDefault="001901E5" w:rsidP="00C74A53">
      <w:pPr>
        <w:pStyle w:val="ListParagraph"/>
        <w:numPr>
          <w:ilvl w:val="0"/>
          <w:numId w:val="99"/>
        </w:numPr>
      </w:pPr>
      <w:r w:rsidRPr="001901E5">
        <w:t>Met</w:t>
      </w:r>
    </w:p>
    <w:p w14:paraId="4E5317D5" w14:textId="77777777" w:rsidR="00F900A3" w:rsidRDefault="00F900A3" w:rsidP="00C74A53">
      <w:pPr>
        <w:pStyle w:val="ListParagraph"/>
        <w:numPr>
          <w:ilvl w:val="0"/>
          <w:numId w:val="99"/>
        </w:numPr>
      </w:pPr>
      <w:r>
        <w:t>N/A</w:t>
      </w:r>
    </w:p>
    <w:p w14:paraId="64C6168D" w14:textId="77777777" w:rsidR="00F900A3" w:rsidRPr="00617C76" w:rsidRDefault="00F900A3" w:rsidP="00F900A3">
      <w:pPr>
        <w:pStyle w:val="Heading5"/>
      </w:pPr>
      <w:r w:rsidRPr="00617C76">
        <w:t>Clause 32C:</w:t>
      </w:r>
    </w:p>
    <w:p w14:paraId="1E5C06B3" w14:textId="5CAB69E9" w:rsidR="00F900A3" w:rsidRDefault="001901E5" w:rsidP="00C74A53">
      <w:pPr>
        <w:pStyle w:val="ListParagraph"/>
        <w:numPr>
          <w:ilvl w:val="0"/>
          <w:numId w:val="100"/>
        </w:numPr>
      </w:pPr>
      <w:r w:rsidRPr="001901E5">
        <w:t>Met</w:t>
      </w:r>
    </w:p>
    <w:p w14:paraId="4B79D4F2" w14:textId="4075033E" w:rsidR="00F900A3" w:rsidRDefault="001901E5" w:rsidP="00C74A53">
      <w:pPr>
        <w:pStyle w:val="ListParagraph"/>
        <w:numPr>
          <w:ilvl w:val="0"/>
          <w:numId w:val="100"/>
        </w:numPr>
      </w:pPr>
      <w:r w:rsidRPr="001901E5">
        <w:t>Met</w:t>
      </w:r>
    </w:p>
    <w:p w14:paraId="1BEB328A" w14:textId="236E97E8" w:rsidR="00F900A3" w:rsidRDefault="001901E5" w:rsidP="00C74A53">
      <w:pPr>
        <w:pStyle w:val="ListParagraph"/>
        <w:numPr>
          <w:ilvl w:val="0"/>
          <w:numId w:val="100"/>
        </w:numPr>
      </w:pPr>
      <w:r w:rsidRPr="001901E5">
        <w:t>Met</w:t>
      </w:r>
    </w:p>
    <w:p w14:paraId="28FE9DD1" w14:textId="549B866D" w:rsidR="00F900A3" w:rsidRDefault="001901E5" w:rsidP="00C74A53">
      <w:pPr>
        <w:pStyle w:val="ListParagraph"/>
        <w:numPr>
          <w:ilvl w:val="0"/>
          <w:numId w:val="100"/>
        </w:numPr>
      </w:pPr>
      <w:r w:rsidRPr="001901E5">
        <w:t>Met</w:t>
      </w:r>
    </w:p>
    <w:p w14:paraId="4AF931EB" w14:textId="53889557" w:rsidR="00F900A3" w:rsidRDefault="001901E5" w:rsidP="00C74A53">
      <w:pPr>
        <w:pStyle w:val="ListParagraph"/>
        <w:numPr>
          <w:ilvl w:val="0"/>
          <w:numId w:val="100"/>
        </w:numPr>
      </w:pPr>
      <w:r w:rsidRPr="001901E5">
        <w:t>Met</w:t>
      </w:r>
    </w:p>
    <w:p w14:paraId="54FCD9CA" w14:textId="429AB570" w:rsidR="00F900A3" w:rsidRDefault="001901E5" w:rsidP="00C74A53">
      <w:pPr>
        <w:pStyle w:val="ListParagraph"/>
        <w:numPr>
          <w:ilvl w:val="0"/>
          <w:numId w:val="100"/>
        </w:numPr>
      </w:pPr>
      <w:r w:rsidRPr="001901E5">
        <w:t>N/A</w:t>
      </w:r>
    </w:p>
    <w:p w14:paraId="033BF6EC" w14:textId="254290D9" w:rsidR="00F900A3" w:rsidRDefault="001901E5" w:rsidP="00C74A53">
      <w:pPr>
        <w:pStyle w:val="ListParagraph"/>
        <w:numPr>
          <w:ilvl w:val="0"/>
          <w:numId w:val="100"/>
        </w:numPr>
      </w:pPr>
      <w:r w:rsidRPr="001901E5">
        <w:t>Met</w:t>
      </w:r>
    </w:p>
    <w:p w14:paraId="2E7C7BB9" w14:textId="77777777" w:rsidR="00F900A3" w:rsidRPr="00617C76" w:rsidRDefault="00F900A3" w:rsidP="00F900A3">
      <w:pPr>
        <w:pStyle w:val="Heading5"/>
      </w:pPr>
      <w:r w:rsidRPr="00617C76">
        <w:lastRenderedPageBreak/>
        <w:t>Clause 33:</w:t>
      </w:r>
    </w:p>
    <w:p w14:paraId="78A346B1" w14:textId="4ED0B2A0" w:rsidR="00F900A3" w:rsidRDefault="001901E5" w:rsidP="00F900A3">
      <w:r w:rsidRPr="001901E5">
        <w:t>Met</w:t>
      </w:r>
    </w:p>
    <w:p w14:paraId="2ADBE705" w14:textId="77777777" w:rsidR="00F900A3" w:rsidRDefault="00F900A3" w:rsidP="00F900A3">
      <w:pPr>
        <w:pStyle w:val="Heading4"/>
      </w:pPr>
      <w:r w:rsidRPr="00617C76">
        <w:t>Achievements over 2025</w:t>
      </w:r>
    </w:p>
    <w:p w14:paraId="6E66AD34" w14:textId="77777777" w:rsidR="00526C32" w:rsidRDefault="00526C32" w:rsidP="00F900A3">
      <w:r w:rsidRPr="00526C32">
        <w:t xml:space="preserve">The key areas of activity include the protection and preservation of Wajarri Yamaji cultural heritage; Cultural Awareness training; environment management; enterprise and training; educational opportunities and recognition of Wajarri Yamaji. </w:t>
      </w:r>
    </w:p>
    <w:p w14:paraId="79501450" w14:textId="77777777" w:rsidR="00526C32" w:rsidRDefault="00526C32" w:rsidP="00F900A3">
      <w:r w:rsidRPr="00526C32">
        <w:t>During 2025 the partnership met regularly through formal and informal engagements, including primarily:</w:t>
      </w:r>
    </w:p>
    <w:p w14:paraId="35B6F8F8" w14:textId="77777777" w:rsidR="00526C32" w:rsidRDefault="00526C32" w:rsidP="00526C32">
      <w:pPr>
        <w:pStyle w:val="ListParagraph"/>
        <w:numPr>
          <w:ilvl w:val="0"/>
          <w:numId w:val="101"/>
        </w:numPr>
      </w:pPr>
      <w:r w:rsidRPr="00526C32">
        <w:t xml:space="preserve">ILUA Liaison Committee (ILC): provides the opportunity for all partners to meet, discuss, and share decision making on implementation of the agreements. The ILC met or will meet 3 times during 2025. </w:t>
      </w:r>
    </w:p>
    <w:p w14:paraId="64ED5DCF" w14:textId="77777777" w:rsidR="00526C32" w:rsidRDefault="00526C32" w:rsidP="00526C32">
      <w:pPr>
        <w:pStyle w:val="ListParagraph"/>
        <w:numPr>
          <w:ilvl w:val="0"/>
          <w:numId w:val="101"/>
        </w:numPr>
      </w:pPr>
      <w:r w:rsidRPr="00526C32">
        <w:t xml:space="preserve">Heritage Protection Committee (HPC): provides a mechanism for all parties to manage and protect Wajarri Yamaji cultural heritage and to discuss and share decision making on how the Cultural Heritage Management Plan is being implemented. The HPC met twice during 2025 (the schedule of 3 meetings per year could not be met in 2025 because there were membership vacancies that could not be resolved in time). </w:t>
      </w:r>
    </w:p>
    <w:p w14:paraId="58701E0E" w14:textId="77777777" w:rsidR="00526C32" w:rsidRDefault="00526C32" w:rsidP="00526C32">
      <w:pPr>
        <w:pStyle w:val="ListParagraph"/>
        <w:numPr>
          <w:ilvl w:val="0"/>
          <w:numId w:val="101"/>
        </w:numPr>
      </w:pPr>
      <w:r w:rsidRPr="00526C32">
        <w:t xml:space="preserve">Wajarri Yamaji Industry Opportunities Working Group: established to allow the partners and other relevant stakeholders to meet and discuss upcoming business development and employment opportunities to benefit Wajarri Yamaji. The working group met monthly during 2025. </w:t>
      </w:r>
    </w:p>
    <w:p w14:paraId="513A61E3" w14:textId="17B36681" w:rsidR="00F900A3" w:rsidRPr="003E2721" w:rsidRDefault="00526C32" w:rsidP="00526C32">
      <w:pPr>
        <w:pStyle w:val="ListParagraph"/>
        <w:numPr>
          <w:ilvl w:val="0"/>
          <w:numId w:val="101"/>
        </w:numPr>
      </w:pPr>
      <w:r w:rsidRPr="00526C32">
        <w:t>The Australian Government has provided funding to improve the infrastructure at the Pia Wadjarri Aboriginal Community.</w:t>
      </w:r>
    </w:p>
    <w:p w14:paraId="26593ECA" w14:textId="3767499A" w:rsidR="00F900A3" w:rsidRDefault="009A3E02" w:rsidP="00F900A3">
      <w:pPr>
        <w:pStyle w:val="Heading3"/>
      </w:pPr>
      <w:bookmarkStart w:id="33" w:name="_Toc225506055"/>
      <w:proofErr w:type="spellStart"/>
      <w:r w:rsidRPr="009A3E02">
        <w:t>Gadhungal</w:t>
      </w:r>
      <w:proofErr w:type="spellEnd"/>
      <w:r w:rsidRPr="009A3E02">
        <w:t xml:space="preserve"> Marring and </w:t>
      </w:r>
      <w:proofErr w:type="spellStart"/>
      <w:r w:rsidRPr="009A3E02">
        <w:t>Bundanon</w:t>
      </w:r>
      <w:proofErr w:type="spellEnd"/>
      <w:r w:rsidRPr="009A3E02">
        <w:t xml:space="preserve"> partnership</w:t>
      </w:r>
      <w:bookmarkEnd w:id="33"/>
    </w:p>
    <w:p w14:paraId="48CA91BE" w14:textId="77777777" w:rsidR="00F900A3" w:rsidRDefault="00F900A3" w:rsidP="00F900A3">
      <w:pPr>
        <w:pStyle w:val="Heading4"/>
      </w:pPr>
      <w:r w:rsidRPr="00617C76">
        <w:t>Partnership description</w:t>
      </w:r>
    </w:p>
    <w:p w14:paraId="1E45EF02" w14:textId="4BB16431" w:rsidR="00F900A3" w:rsidRPr="00837360" w:rsidRDefault="003249A4" w:rsidP="00F900A3">
      <w:r w:rsidRPr="003249A4">
        <w:t xml:space="preserve">The partnership between </w:t>
      </w:r>
      <w:proofErr w:type="spellStart"/>
      <w:r w:rsidRPr="003249A4">
        <w:t>Gadhungal</w:t>
      </w:r>
      <w:proofErr w:type="spellEnd"/>
      <w:r w:rsidRPr="003249A4">
        <w:t xml:space="preserve"> Marring and </w:t>
      </w:r>
      <w:proofErr w:type="spellStart"/>
      <w:r w:rsidRPr="003249A4">
        <w:t>Bundanon</w:t>
      </w:r>
      <w:proofErr w:type="spellEnd"/>
      <w:r w:rsidRPr="003249A4">
        <w:t xml:space="preserve"> is founded on mutual trust, respect, and a shared commitment to celebrating and strengthening First Nations culture. Together, we collaborate to deliver cultural, educational, and creative programs that honour </w:t>
      </w:r>
      <w:proofErr w:type="spellStart"/>
      <w:r w:rsidRPr="003249A4">
        <w:t>Gadhungal</w:t>
      </w:r>
      <w:proofErr w:type="spellEnd"/>
      <w:r w:rsidRPr="003249A4">
        <w:t xml:space="preserve"> Marring’s custodianship and connect communities through learning and cultural exchange across Country at </w:t>
      </w:r>
      <w:proofErr w:type="spellStart"/>
      <w:r w:rsidRPr="003249A4">
        <w:t>Bundanon</w:t>
      </w:r>
      <w:proofErr w:type="spellEnd"/>
      <w:r w:rsidRPr="003249A4">
        <w:t xml:space="preserve"> and more broadly in the community.</w:t>
      </w:r>
    </w:p>
    <w:p w14:paraId="7BEED00D" w14:textId="77777777" w:rsidR="00F900A3" w:rsidRDefault="00F900A3" w:rsidP="00F900A3">
      <w:pPr>
        <w:pStyle w:val="Heading4"/>
      </w:pPr>
      <w:r w:rsidRPr="00DF6278">
        <w:t>Aboriginal and Torres Strait Islander parties</w:t>
      </w:r>
    </w:p>
    <w:p w14:paraId="13B088FF" w14:textId="59A3718D" w:rsidR="00F900A3" w:rsidRPr="00B27ADE" w:rsidRDefault="00300DD2" w:rsidP="00F900A3">
      <w:proofErr w:type="spellStart"/>
      <w:r w:rsidRPr="00B27ADE">
        <w:t>Gadhungal</w:t>
      </w:r>
      <w:proofErr w:type="spellEnd"/>
      <w:r w:rsidRPr="00B27ADE">
        <w:t xml:space="preserve"> Marring</w:t>
      </w:r>
      <w:r w:rsidR="004033C2">
        <w:t xml:space="preserve"> (endorsing partner)</w:t>
      </w:r>
    </w:p>
    <w:p w14:paraId="7684654B" w14:textId="77777777" w:rsidR="00F900A3" w:rsidRPr="00617C76" w:rsidRDefault="00F900A3" w:rsidP="00F900A3">
      <w:pPr>
        <w:pStyle w:val="Heading4"/>
      </w:pPr>
      <w:r w:rsidRPr="00617C76">
        <w:t>Government parties</w:t>
      </w:r>
    </w:p>
    <w:p w14:paraId="502ED319" w14:textId="77777777" w:rsidR="00F900A3" w:rsidRDefault="00F900A3" w:rsidP="00F900A3">
      <w:pPr>
        <w:pStyle w:val="Heading5"/>
      </w:pPr>
      <w:r w:rsidRPr="00115C74">
        <w:t xml:space="preserve">COMMONWEALTH PARTIES </w:t>
      </w:r>
    </w:p>
    <w:p w14:paraId="2F6552CE" w14:textId="229289B7" w:rsidR="00F900A3" w:rsidRPr="00D12C5E" w:rsidRDefault="00D12C5E" w:rsidP="00F900A3">
      <w:proofErr w:type="spellStart"/>
      <w:r w:rsidRPr="00B27ADE">
        <w:t>Bundanon</w:t>
      </w:r>
      <w:proofErr w:type="spellEnd"/>
      <w:r w:rsidRPr="00B27ADE">
        <w:t xml:space="preserve"> Trust</w:t>
      </w:r>
      <w:r w:rsidR="004033C2">
        <w:t xml:space="preserve"> (endorsing partner)</w:t>
      </w:r>
      <w:r w:rsidRPr="00D12C5E">
        <w:rPr>
          <w:b/>
          <w:bCs/>
        </w:rPr>
        <w:t xml:space="preserve"> </w:t>
      </w:r>
      <w:r w:rsidRPr="00D12C5E">
        <w:t>(operating under the Department of Infrastructure, Transport, Regional Development, Communications, Sport and the Arts)</w:t>
      </w:r>
    </w:p>
    <w:p w14:paraId="5D2671D1" w14:textId="77777777" w:rsidR="00F900A3" w:rsidRPr="00115C74" w:rsidRDefault="00F900A3" w:rsidP="00F900A3">
      <w:pPr>
        <w:pStyle w:val="Heading5"/>
      </w:pPr>
      <w:r w:rsidRPr="00115C74">
        <w:t xml:space="preserve">STATE AND TERRITORY PARTIES </w:t>
      </w:r>
    </w:p>
    <w:p w14:paraId="26E9359F" w14:textId="77777777" w:rsidR="00F900A3" w:rsidRPr="00617C76" w:rsidRDefault="00F900A3" w:rsidP="00F900A3">
      <w:r>
        <w:t>N/A</w:t>
      </w:r>
    </w:p>
    <w:p w14:paraId="5BBACE4E" w14:textId="77777777" w:rsidR="00F900A3" w:rsidRPr="00617C76" w:rsidRDefault="00F900A3" w:rsidP="00F900A3">
      <w:pPr>
        <w:pStyle w:val="Heading4"/>
      </w:pPr>
      <w:r w:rsidRPr="00617C76">
        <w:t>Priority Reforms and Socio-economic Outcomes</w:t>
      </w:r>
    </w:p>
    <w:p w14:paraId="2326A692" w14:textId="77777777" w:rsidR="001D00FC" w:rsidRDefault="001D00FC" w:rsidP="00F900A3">
      <w:r w:rsidRPr="001D00FC">
        <w:t xml:space="preserve">Priority Reform 1 </w:t>
      </w:r>
    </w:p>
    <w:p w14:paraId="14CB10E9" w14:textId="77777777" w:rsidR="001D00FC" w:rsidRDefault="001D00FC" w:rsidP="00F900A3">
      <w:r w:rsidRPr="001D00FC">
        <w:t xml:space="preserve">Priority Reform 2 </w:t>
      </w:r>
    </w:p>
    <w:p w14:paraId="3F475C70" w14:textId="77777777" w:rsidR="001D00FC" w:rsidRDefault="001D00FC" w:rsidP="00F900A3">
      <w:r w:rsidRPr="001D00FC">
        <w:t xml:space="preserve">Priority Reform 3 </w:t>
      </w:r>
    </w:p>
    <w:p w14:paraId="5B32163E" w14:textId="77777777" w:rsidR="001D00FC" w:rsidRDefault="001D00FC" w:rsidP="00F900A3">
      <w:r w:rsidRPr="001D00FC">
        <w:t xml:space="preserve">Outcome 1 </w:t>
      </w:r>
    </w:p>
    <w:p w14:paraId="3B42AD9F" w14:textId="77777777" w:rsidR="001D00FC" w:rsidRDefault="001D00FC" w:rsidP="00F900A3">
      <w:r w:rsidRPr="001D00FC">
        <w:t xml:space="preserve">Outcome 5 </w:t>
      </w:r>
    </w:p>
    <w:p w14:paraId="3A4F151D" w14:textId="77777777" w:rsidR="001D00FC" w:rsidRDefault="001D00FC" w:rsidP="00F900A3">
      <w:r w:rsidRPr="001D00FC">
        <w:lastRenderedPageBreak/>
        <w:t xml:space="preserve">Outcome 6 </w:t>
      </w:r>
    </w:p>
    <w:p w14:paraId="52480817" w14:textId="77777777" w:rsidR="001D00FC" w:rsidRDefault="001D00FC" w:rsidP="00F900A3">
      <w:r w:rsidRPr="001D00FC">
        <w:t xml:space="preserve">Outcome 7 </w:t>
      </w:r>
    </w:p>
    <w:p w14:paraId="1E16F8CF" w14:textId="77777777" w:rsidR="001D00FC" w:rsidRDefault="001D00FC" w:rsidP="00F900A3">
      <w:r w:rsidRPr="001D00FC">
        <w:t xml:space="preserve">Outcome 8 </w:t>
      </w:r>
    </w:p>
    <w:p w14:paraId="178FCAF5" w14:textId="77777777" w:rsidR="001D00FC" w:rsidRDefault="001D00FC" w:rsidP="00F900A3">
      <w:r w:rsidRPr="001D00FC">
        <w:t xml:space="preserve">Outcome 14 </w:t>
      </w:r>
    </w:p>
    <w:p w14:paraId="326B7E9D" w14:textId="77777777" w:rsidR="001D00FC" w:rsidRDefault="001D00FC" w:rsidP="00F900A3">
      <w:r w:rsidRPr="001D00FC">
        <w:t xml:space="preserve">Outcome 15 </w:t>
      </w:r>
    </w:p>
    <w:p w14:paraId="2889735C" w14:textId="0269DDB8" w:rsidR="00F900A3" w:rsidRPr="007C35F3" w:rsidRDefault="001D00FC" w:rsidP="00F900A3">
      <w:r w:rsidRPr="001D00FC">
        <w:t>Outcome 16</w:t>
      </w:r>
    </w:p>
    <w:p w14:paraId="3C1B4EEA" w14:textId="77777777" w:rsidR="00F900A3" w:rsidRPr="00617C76" w:rsidRDefault="00F900A3" w:rsidP="00F900A3">
      <w:pPr>
        <w:pStyle w:val="Heading4"/>
      </w:pPr>
      <w:r w:rsidRPr="00617C76">
        <w:t>Partnership function</w:t>
      </w:r>
    </w:p>
    <w:p w14:paraId="7EAF2D36" w14:textId="73643FC3" w:rsidR="00F900A3" w:rsidRPr="00617C76" w:rsidRDefault="00B17273" w:rsidP="00F900A3">
      <w:r w:rsidRPr="00B17273">
        <w:t>Place</w:t>
      </w:r>
      <w:r w:rsidRPr="00B17273">
        <w:noBreakHyphen/>
        <w:t>based</w:t>
      </w:r>
    </w:p>
    <w:p w14:paraId="21667864" w14:textId="77777777" w:rsidR="00F900A3" w:rsidRPr="00617C76" w:rsidRDefault="00F900A3" w:rsidP="00F900A3">
      <w:pPr>
        <w:pStyle w:val="Heading4"/>
      </w:pPr>
      <w:r w:rsidRPr="00617C76">
        <w:t>Partnership timeframe</w:t>
      </w:r>
    </w:p>
    <w:p w14:paraId="73254CE5" w14:textId="2BDA0A4A" w:rsidR="00F900A3" w:rsidRPr="00617C76" w:rsidRDefault="00AC4B79" w:rsidP="00F900A3">
      <w:r w:rsidRPr="00AC4B79">
        <w:t>2024 to 2025, with the goal to extend</w:t>
      </w:r>
    </w:p>
    <w:p w14:paraId="7903F2B6" w14:textId="77777777" w:rsidR="00F900A3" w:rsidRPr="00617C76" w:rsidRDefault="00F900A3" w:rsidP="00F900A3">
      <w:pPr>
        <w:pStyle w:val="Heading4"/>
      </w:pPr>
      <w:r w:rsidRPr="00617C76">
        <w:t>Actions taken to strengthen the partnership in 2025</w:t>
      </w:r>
    </w:p>
    <w:p w14:paraId="4B1367AD" w14:textId="77777777" w:rsidR="00C61A2E" w:rsidRDefault="00C61A2E" w:rsidP="00F900A3">
      <w:r w:rsidRPr="00C61A2E">
        <w:t xml:space="preserve">Between 1 January and 31 December 2025, the partnership between </w:t>
      </w:r>
      <w:proofErr w:type="spellStart"/>
      <w:r w:rsidRPr="00C61A2E">
        <w:t>Bundanon</w:t>
      </w:r>
      <w:proofErr w:type="spellEnd"/>
      <w:r w:rsidRPr="00C61A2E">
        <w:t xml:space="preserve"> and </w:t>
      </w:r>
      <w:proofErr w:type="spellStart"/>
      <w:r w:rsidRPr="00C61A2E">
        <w:t>Gadhungal</w:t>
      </w:r>
      <w:proofErr w:type="spellEnd"/>
      <w:r w:rsidRPr="00C61A2E">
        <w:t xml:space="preserve"> Marring has been significantly strengthened through shared decision</w:t>
      </w:r>
      <w:r w:rsidRPr="00C61A2E">
        <w:noBreakHyphen/>
        <w:t xml:space="preserve">making, collaboration, and mutual respect. </w:t>
      </w:r>
    </w:p>
    <w:p w14:paraId="5B129A23" w14:textId="77777777" w:rsidR="00C61A2E" w:rsidRDefault="00C61A2E" w:rsidP="00F900A3">
      <w:r w:rsidRPr="00C61A2E">
        <w:t xml:space="preserve">The establishment of the native plant nursery at the </w:t>
      </w:r>
      <w:proofErr w:type="spellStart"/>
      <w:r w:rsidRPr="00C61A2E">
        <w:t>Bundanon</w:t>
      </w:r>
      <w:proofErr w:type="spellEnd"/>
      <w:r w:rsidRPr="00C61A2E">
        <w:t xml:space="preserve"> Homestead site has deepened the relationship, with both organisations contributing knowledge, resources, and labour to bring the project to life. </w:t>
      </w:r>
    </w:p>
    <w:p w14:paraId="47910D38" w14:textId="77777777" w:rsidR="00C61A2E" w:rsidRDefault="00C61A2E" w:rsidP="00F900A3">
      <w:r w:rsidRPr="00C61A2E">
        <w:t xml:space="preserve">Regular meetings and transparent communication have ensured the partnership remains equitable and guided by </w:t>
      </w:r>
      <w:proofErr w:type="spellStart"/>
      <w:r w:rsidRPr="00C61A2E">
        <w:t>Gadhungal</w:t>
      </w:r>
      <w:proofErr w:type="spellEnd"/>
      <w:r w:rsidRPr="00C61A2E">
        <w:t xml:space="preserve"> Marring’s cultural authority. The first phase of the nursery, focused on propagating 11 native tree and shrub species significant to the region, has the scope to provide meaningful opportunities for on</w:t>
      </w:r>
      <w:r w:rsidRPr="00C61A2E">
        <w:noBreakHyphen/>
        <w:t xml:space="preserve">Country learning and employment. </w:t>
      </w:r>
    </w:p>
    <w:p w14:paraId="27832455" w14:textId="73B0253A" w:rsidR="00F900A3" w:rsidRPr="00617C76" w:rsidRDefault="00C61A2E" w:rsidP="00F900A3">
      <w:r w:rsidRPr="00C61A2E">
        <w:t>Planning for future education programs and the development of botanical oils further demonstrate a shared long</w:t>
      </w:r>
      <w:r w:rsidRPr="00C61A2E">
        <w:noBreakHyphen/>
        <w:t xml:space="preserve">term vision. This ongoing collaboration reflects the strong partnership elements of trust, reciprocity, and shared benefit, positioning </w:t>
      </w:r>
      <w:proofErr w:type="spellStart"/>
      <w:r w:rsidRPr="00C61A2E">
        <w:t>Bundanon</w:t>
      </w:r>
      <w:proofErr w:type="spellEnd"/>
      <w:r w:rsidRPr="00C61A2E">
        <w:t xml:space="preserve"> and </w:t>
      </w:r>
      <w:proofErr w:type="spellStart"/>
      <w:r w:rsidRPr="00C61A2E">
        <w:t>Gadhungal</w:t>
      </w:r>
      <w:proofErr w:type="spellEnd"/>
      <w:r w:rsidRPr="00C61A2E">
        <w:t xml:space="preserve"> Marring as genuine partners in caring for Country and creating sustainable cultural and environmental outcomes.</w:t>
      </w:r>
    </w:p>
    <w:p w14:paraId="6D15A03A" w14:textId="77777777" w:rsidR="00F900A3" w:rsidRPr="00617C76" w:rsidRDefault="00F900A3" w:rsidP="00F900A3">
      <w:pPr>
        <w:pStyle w:val="Heading4"/>
      </w:pPr>
      <w:r w:rsidRPr="00617C76">
        <w:t>Strong partnership indicators</w:t>
      </w:r>
    </w:p>
    <w:p w14:paraId="71B0B89E" w14:textId="77777777" w:rsidR="00F900A3" w:rsidRPr="00617C76" w:rsidRDefault="00F900A3" w:rsidP="00F900A3">
      <w:pPr>
        <w:pStyle w:val="Heading5"/>
      </w:pPr>
      <w:r w:rsidRPr="00617C76">
        <w:t>Clause 32A:</w:t>
      </w:r>
    </w:p>
    <w:p w14:paraId="23A786CD" w14:textId="00F2D4D7" w:rsidR="00F900A3" w:rsidRDefault="00AF1601" w:rsidP="00C61A2E">
      <w:pPr>
        <w:pStyle w:val="ListParagraph"/>
        <w:numPr>
          <w:ilvl w:val="0"/>
          <w:numId w:val="102"/>
        </w:numPr>
      </w:pPr>
      <w:r w:rsidRPr="00AF1601">
        <w:t>Met</w:t>
      </w:r>
    </w:p>
    <w:p w14:paraId="6CEB349F" w14:textId="3AB4C65E" w:rsidR="00F900A3" w:rsidRDefault="00AF1601" w:rsidP="00C61A2E">
      <w:pPr>
        <w:pStyle w:val="ListParagraph"/>
        <w:numPr>
          <w:ilvl w:val="0"/>
          <w:numId w:val="102"/>
        </w:numPr>
      </w:pPr>
      <w:r w:rsidRPr="00AF1601">
        <w:t>Met</w:t>
      </w:r>
    </w:p>
    <w:p w14:paraId="164EA2E9" w14:textId="219B753F" w:rsidR="00F900A3" w:rsidRDefault="00AF1601" w:rsidP="00C61A2E">
      <w:pPr>
        <w:pStyle w:val="ListParagraph"/>
        <w:numPr>
          <w:ilvl w:val="0"/>
          <w:numId w:val="102"/>
        </w:numPr>
      </w:pPr>
      <w:r w:rsidRPr="00AF1601">
        <w:t>Met</w:t>
      </w:r>
    </w:p>
    <w:p w14:paraId="61CC94E4" w14:textId="77777777" w:rsidR="00F900A3" w:rsidRPr="00617C76" w:rsidRDefault="00F900A3" w:rsidP="00F900A3">
      <w:pPr>
        <w:pStyle w:val="Heading5"/>
      </w:pPr>
      <w:r w:rsidRPr="00617C76">
        <w:t>Clause 32B:</w:t>
      </w:r>
    </w:p>
    <w:p w14:paraId="0078DD47" w14:textId="328481E6" w:rsidR="00F900A3" w:rsidRDefault="00AF1601" w:rsidP="00C61A2E">
      <w:pPr>
        <w:pStyle w:val="ListParagraph"/>
        <w:numPr>
          <w:ilvl w:val="0"/>
          <w:numId w:val="103"/>
        </w:numPr>
      </w:pPr>
      <w:r w:rsidRPr="00AF1601">
        <w:t>Met</w:t>
      </w:r>
    </w:p>
    <w:p w14:paraId="37CD963B" w14:textId="3E262706" w:rsidR="00F900A3" w:rsidRDefault="00AF1601" w:rsidP="00C61A2E">
      <w:pPr>
        <w:pStyle w:val="ListParagraph"/>
        <w:numPr>
          <w:ilvl w:val="0"/>
          <w:numId w:val="103"/>
        </w:numPr>
      </w:pPr>
      <w:r w:rsidRPr="00AF1601">
        <w:t>Met</w:t>
      </w:r>
    </w:p>
    <w:p w14:paraId="65091A11" w14:textId="23E4D557" w:rsidR="00F900A3" w:rsidRDefault="00AF1601" w:rsidP="00C61A2E">
      <w:pPr>
        <w:pStyle w:val="ListParagraph"/>
        <w:numPr>
          <w:ilvl w:val="0"/>
          <w:numId w:val="103"/>
        </w:numPr>
      </w:pPr>
      <w:r w:rsidRPr="00AF1601">
        <w:t>N/A</w:t>
      </w:r>
    </w:p>
    <w:p w14:paraId="2939F22B" w14:textId="77777777" w:rsidR="00F900A3" w:rsidRDefault="00F900A3" w:rsidP="00C61A2E">
      <w:pPr>
        <w:pStyle w:val="ListParagraph"/>
        <w:numPr>
          <w:ilvl w:val="0"/>
          <w:numId w:val="103"/>
        </w:numPr>
      </w:pPr>
      <w:r>
        <w:t>N/A</w:t>
      </w:r>
    </w:p>
    <w:p w14:paraId="2F0C15FE" w14:textId="77777777" w:rsidR="00F900A3" w:rsidRPr="00617C76" w:rsidRDefault="00F900A3" w:rsidP="00F900A3">
      <w:pPr>
        <w:pStyle w:val="Heading5"/>
      </w:pPr>
      <w:r w:rsidRPr="00617C76">
        <w:t>Clause 32C:</w:t>
      </w:r>
    </w:p>
    <w:p w14:paraId="7DB477DA" w14:textId="19A3A173" w:rsidR="00F900A3" w:rsidRDefault="00AF1601" w:rsidP="00C61A2E">
      <w:pPr>
        <w:pStyle w:val="ListParagraph"/>
        <w:numPr>
          <w:ilvl w:val="0"/>
          <w:numId w:val="104"/>
        </w:numPr>
      </w:pPr>
      <w:r w:rsidRPr="00AF1601">
        <w:t>Met</w:t>
      </w:r>
    </w:p>
    <w:p w14:paraId="0F66EA72" w14:textId="7F05B98A" w:rsidR="00F900A3" w:rsidRDefault="00AF1601" w:rsidP="00C61A2E">
      <w:pPr>
        <w:pStyle w:val="ListParagraph"/>
        <w:numPr>
          <w:ilvl w:val="0"/>
          <w:numId w:val="104"/>
        </w:numPr>
      </w:pPr>
      <w:r w:rsidRPr="00AF1601">
        <w:t>Met</w:t>
      </w:r>
    </w:p>
    <w:p w14:paraId="7A3CE1D1" w14:textId="7FBF9A61" w:rsidR="00F900A3" w:rsidRDefault="00AF1601" w:rsidP="00C61A2E">
      <w:pPr>
        <w:pStyle w:val="ListParagraph"/>
        <w:numPr>
          <w:ilvl w:val="0"/>
          <w:numId w:val="104"/>
        </w:numPr>
      </w:pPr>
      <w:r w:rsidRPr="00AF1601">
        <w:t>Met</w:t>
      </w:r>
    </w:p>
    <w:p w14:paraId="0CAFF6EE" w14:textId="669D735E" w:rsidR="00F900A3" w:rsidRDefault="00AF1601" w:rsidP="00C61A2E">
      <w:pPr>
        <w:pStyle w:val="ListParagraph"/>
        <w:numPr>
          <w:ilvl w:val="0"/>
          <w:numId w:val="104"/>
        </w:numPr>
      </w:pPr>
      <w:r w:rsidRPr="00AF1601">
        <w:t>Met</w:t>
      </w:r>
    </w:p>
    <w:p w14:paraId="55A0C06E" w14:textId="7CA9DBDE" w:rsidR="00F900A3" w:rsidRDefault="00AF1601" w:rsidP="00C61A2E">
      <w:pPr>
        <w:pStyle w:val="ListParagraph"/>
        <w:numPr>
          <w:ilvl w:val="0"/>
          <w:numId w:val="104"/>
        </w:numPr>
      </w:pPr>
      <w:r w:rsidRPr="00AF1601">
        <w:t>Met</w:t>
      </w:r>
    </w:p>
    <w:p w14:paraId="1303301A" w14:textId="1A4C8077" w:rsidR="00F900A3" w:rsidRDefault="00AF1601" w:rsidP="00C61A2E">
      <w:pPr>
        <w:pStyle w:val="ListParagraph"/>
        <w:numPr>
          <w:ilvl w:val="0"/>
          <w:numId w:val="104"/>
        </w:numPr>
      </w:pPr>
      <w:r w:rsidRPr="00AF1601">
        <w:lastRenderedPageBreak/>
        <w:t>N/A</w:t>
      </w:r>
    </w:p>
    <w:p w14:paraId="7C591DBF" w14:textId="1A21919E" w:rsidR="00F900A3" w:rsidRDefault="008C604C" w:rsidP="00C61A2E">
      <w:pPr>
        <w:pStyle w:val="ListParagraph"/>
        <w:numPr>
          <w:ilvl w:val="0"/>
          <w:numId w:val="104"/>
        </w:numPr>
      </w:pPr>
      <w:r w:rsidRPr="008C604C">
        <w:t>Not met</w:t>
      </w:r>
    </w:p>
    <w:p w14:paraId="01D73375" w14:textId="77777777" w:rsidR="00F900A3" w:rsidRPr="00617C76" w:rsidRDefault="00F900A3" w:rsidP="00F900A3">
      <w:pPr>
        <w:pStyle w:val="Heading5"/>
      </w:pPr>
      <w:r w:rsidRPr="00617C76">
        <w:t>Clause 33:</w:t>
      </w:r>
    </w:p>
    <w:p w14:paraId="37DDC7C7" w14:textId="1A5FDF87" w:rsidR="00F900A3" w:rsidRDefault="007D0D6F" w:rsidP="00F900A3">
      <w:r w:rsidRPr="007D0D6F">
        <w:t>Met</w:t>
      </w:r>
    </w:p>
    <w:p w14:paraId="5245E095" w14:textId="77777777" w:rsidR="00F900A3" w:rsidRDefault="00F900A3" w:rsidP="00F900A3">
      <w:pPr>
        <w:pStyle w:val="Heading4"/>
      </w:pPr>
      <w:r w:rsidRPr="00617C76">
        <w:t>Achievements over 2025</w:t>
      </w:r>
    </w:p>
    <w:p w14:paraId="4F17DECD" w14:textId="77777777" w:rsidR="007D0D6F" w:rsidRDefault="007D0D6F" w:rsidP="007D0D6F">
      <w:pPr>
        <w:pStyle w:val="ListParagraph"/>
        <w:numPr>
          <w:ilvl w:val="0"/>
          <w:numId w:val="105"/>
        </w:numPr>
      </w:pPr>
      <w:r w:rsidRPr="007D0D6F">
        <w:t>Established a 3</w:t>
      </w:r>
      <w:r w:rsidRPr="007D0D6F">
        <w:noBreakHyphen/>
        <w:t xml:space="preserve">year native plant nursery program led by </w:t>
      </w:r>
      <w:proofErr w:type="spellStart"/>
      <w:r w:rsidRPr="007D0D6F">
        <w:t>Gadhungal</w:t>
      </w:r>
      <w:proofErr w:type="spellEnd"/>
      <w:r w:rsidRPr="007D0D6F">
        <w:t xml:space="preserve"> Marring on the </w:t>
      </w:r>
      <w:proofErr w:type="spellStart"/>
      <w:r w:rsidRPr="007D0D6F">
        <w:t>Bundanon</w:t>
      </w:r>
      <w:proofErr w:type="spellEnd"/>
      <w:r w:rsidRPr="007D0D6F">
        <w:t xml:space="preserve"> property. This program is supported by a grant from Regional New South Wales. </w:t>
      </w:r>
    </w:p>
    <w:p w14:paraId="17EAA89A" w14:textId="77777777" w:rsidR="007D0D6F" w:rsidRDefault="007D0D6F" w:rsidP="007D0D6F">
      <w:pPr>
        <w:pStyle w:val="ListParagraph"/>
        <w:numPr>
          <w:ilvl w:val="0"/>
          <w:numId w:val="105"/>
        </w:numPr>
      </w:pPr>
      <w:r w:rsidRPr="007D0D6F">
        <w:t>Cultural Programs: Continued co</w:t>
      </w:r>
      <w:r w:rsidRPr="007D0D6F">
        <w:noBreakHyphen/>
        <w:t xml:space="preserve">delivery of language, culture, and educational programs at </w:t>
      </w:r>
      <w:proofErr w:type="spellStart"/>
      <w:r w:rsidRPr="007D0D6F">
        <w:t>Bundanon</w:t>
      </w:r>
      <w:proofErr w:type="spellEnd"/>
      <w:r w:rsidRPr="007D0D6F">
        <w:t xml:space="preserve">, led by </w:t>
      </w:r>
      <w:proofErr w:type="spellStart"/>
      <w:r w:rsidRPr="007D0D6F">
        <w:t>Gadhungal</w:t>
      </w:r>
      <w:proofErr w:type="spellEnd"/>
      <w:r w:rsidRPr="007D0D6F">
        <w:t xml:space="preserve"> Marring cultural practitioners. </w:t>
      </w:r>
    </w:p>
    <w:p w14:paraId="6C34BADB" w14:textId="77777777" w:rsidR="007D0D6F" w:rsidRDefault="007D0D6F" w:rsidP="007D0D6F">
      <w:pPr>
        <w:pStyle w:val="ListParagraph"/>
        <w:numPr>
          <w:ilvl w:val="0"/>
          <w:numId w:val="105"/>
        </w:numPr>
      </w:pPr>
      <w:r w:rsidRPr="007D0D6F">
        <w:t xml:space="preserve">Welcomes and Ceremonies: </w:t>
      </w:r>
      <w:proofErr w:type="spellStart"/>
      <w:r w:rsidRPr="007D0D6F">
        <w:t>Gadhungal</w:t>
      </w:r>
      <w:proofErr w:type="spellEnd"/>
      <w:r w:rsidRPr="007D0D6F">
        <w:t xml:space="preserve"> Marring delivered Welcome to Country and Smoking Ceremonies for </w:t>
      </w:r>
      <w:proofErr w:type="spellStart"/>
      <w:r w:rsidRPr="007D0D6F">
        <w:t>Bundanon</w:t>
      </w:r>
      <w:proofErr w:type="spellEnd"/>
      <w:r w:rsidRPr="007D0D6F">
        <w:t xml:space="preserve"> events and visiting groups. </w:t>
      </w:r>
    </w:p>
    <w:p w14:paraId="4E098502" w14:textId="77777777" w:rsidR="007D0D6F" w:rsidRDefault="007D0D6F" w:rsidP="007D0D6F">
      <w:pPr>
        <w:pStyle w:val="ListParagraph"/>
        <w:numPr>
          <w:ilvl w:val="0"/>
          <w:numId w:val="105"/>
        </w:numPr>
      </w:pPr>
      <w:r w:rsidRPr="007D0D6F">
        <w:t xml:space="preserve">Workshops and Performances: Jointly presented workshops, performances, and delivered storytelling sessions that share </w:t>
      </w:r>
      <w:proofErr w:type="spellStart"/>
      <w:r w:rsidRPr="007D0D6F">
        <w:t>Yuin</w:t>
      </w:r>
      <w:proofErr w:type="spellEnd"/>
      <w:r w:rsidRPr="007D0D6F">
        <w:t xml:space="preserve"> culture and local Dreaming.</w:t>
      </w:r>
    </w:p>
    <w:p w14:paraId="4B4D4E5D" w14:textId="77777777" w:rsidR="007D0D6F" w:rsidRDefault="007D0D6F" w:rsidP="007D0D6F">
      <w:pPr>
        <w:pStyle w:val="ListParagraph"/>
        <w:numPr>
          <w:ilvl w:val="0"/>
          <w:numId w:val="105"/>
        </w:numPr>
      </w:pPr>
      <w:r w:rsidRPr="007D0D6F">
        <w:t xml:space="preserve">Cultural Camps: Host </w:t>
      </w:r>
      <w:proofErr w:type="spellStart"/>
      <w:r w:rsidRPr="007D0D6F">
        <w:t>Gadhungal</w:t>
      </w:r>
      <w:proofErr w:type="spellEnd"/>
      <w:r w:rsidRPr="007D0D6F">
        <w:t xml:space="preserve"> Marring self</w:t>
      </w:r>
      <w:r w:rsidRPr="007D0D6F">
        <w:noBreakHyphen/>
        <w:t xml:space="preserve">managed cultural camps at </w:t>
      </w:r>
      <w:proofErr w:type="spellStart"/>
      <w:r w:rsidRPr="007D0D6F">
        <w:t>Bundanon’s</w:t>
      </w:r>
      <w:proofErr w:type="spellEnd"/>
      <w:r w:rsidRPr="007D0D6F">
        <w:t xml:space="preserve"> </w:t>
      </w:r>
      <w:proofErr w:type="spellStart"/>
      <w:r w:rsidRPr="007D0D6F">
        <w:t>Eearie</w:t>
      </w:r>
      <w:proofErr w:type="spellEnd"/>
      <w:r w:rsidRPr="007D0D6F">
        <w:t xml:space="preserve"> Park, strengthening cultural practice and community connection. </w:t>
      </w:r>
    </w:p>
    <w:p w14:paraId="69EE3D86" w14:textId="77777777" w:rsidR="007D0D6F" w:rsidRDefault="007D0D6F" w:rsidP="007D0D6F">
      <w:pPr>
        <w:pStyle w:val="ListParagraph"/>
        <w:numPr>
          <w:ilvl w:val="0"/>
          <w:numId w:val="105"/>
        </w:numPr>
      </w:pPr>
      <w:r w:rsidRPr="007D0D6F">
        <w:t xml:space="preserve">Community Engagement: The partnership delivered school and community engagement activities promoting understanding and respect for Aboriginal culture. </w:t>
      </w:r>
    </w:p>
    <w:p w14:paraId="0EED0858" w14:textId="77777777" w:rsidR="007D0D6F" w:rsidRDefault="007D0D6F" w:rsidP="007D0D6F">
      <w:pPr>
        <w:pStyle w:val="ListParagraph"/>
        <w:numPr>
          <w:ilvl w:val="0"/>
          <w:numId w:val="105"/>
        </w:numPr>
      </w:pPr>
      <w:r w:rsidRPr="007D0D6F">
        <w:t>Capacity Building: Facilitated skill</w:t>
      </w:r>
      <w:r w:rsidRPr="007D0D6F">
        <w:noBreakHyphen/>
        <w:t xml:space="preserve">sharing and professional development opportunities between </w:t>
      </w:r>
      <w:proofErr w:type="spellStart"/>
      <w:r w:rsidRPr="007D0D6F">
        <w:t>Gadhungal</w:t>
      </w:r>
      <w:proofErr w:type="spellEnd"/>
      <w:r w:rsidRPr="007D0D6F">
        <w:t xml:space="preserve"> Marring and </w:t>
      </w:r>
      <w:proofErr w:type="spellStart"/>
      <w:r w:rsidRPr="007D0D6F">
        <w:t>Bundanon</w:t>
      </w:r>
      <w:proofErr w:type="spellEnd"/>
      <w:r w:rsidRPr="007D0D6F">
        <w:t xml:space="preserve"> staff.</w:t>
      </w:r>
    </w:p>
    <w:p w14:paraId="34192265" w14:textId="77777777" w:rsidR="007D0D6F" w:rsidRDefault="007D0D6F" w:rsidP="007D0D6F">
      <w:pPr>
        <w:pStyle w:val="ListParagraph"/>
        <w:numPr>
          <w:ilvl w:val="0"/>
          <w:numId w:val="105"/>
        </w:numPr>
      </w:pPr>
      <w:r w:rsidRPr="007D0D6F">
        <w:t>Project Development: Staff collaborated on new creative projects that reflect shared cultural values and local knowledge.</w:t>
      </w:r>
    </w:p>
    <w:p w14:paraId="5DC582F4" w14:textId="17B5CA28" w:rsidR="00F900A3" w:rsidRPr="003E2721" w:rsidRDefault="007D0D6F" w:rsidP="007D0D6F">
      <w:pPr>
        <w:pStyle w:val="ListParagraph"/>
        <w:numPr>
          <w:ilvl w:val="0"/>
          <w:numId w:val="105"/>
        </w:numPr>
      </w:pPr>
      <w:r w:rsidRPr="007D0D6F">
        <w:t>Promotion and Acknowledgement: Jointly promoted programs through marketing, storytelling, and documentation, ensuring appropriate cultural acknowledgement and visibility.</w:t>
      </w:r>
    </w:p>
    <w:p w14:paraId="4F52370A" w14:textId="67AD4638" w:rsidR="00F900A3" w:rsidRDefault="00BA06BF" w:rsidP="00F900A3">
      <w:pPr>
        <w:pStyle w:val="Heading3"/>
      </w:pPr>
      <w:bookmarkStart w:id="34" w:name="_Toc225506056"/>
      <w:r w:rsidRPr="00BA06BF">
        <w:t>Aboriginal and Torres Strait Islander Languages Policy Partnership</w:t>
      </w:r>
      <w:bookmarkEnd w:id="34"/>
    </w:p>
    <w:p w14:paraId="20166376" w14:textId="77777777" w:rsidR="00F900A3" w:rsidRDefault="00F900A3" w:rsidP="00F900A3">
      <w:pPr>
        <w:pStyle w:val="Heading4"/>
      </w:pPr>
      <w:r w:rsidRPr="00617C76">
        <w:t>Partnership description</w:t>
      </w:r>
    </w:p>
    <w:p w14:paraId="15F25DC4" w14:textId="1D4068AF" w:rsidR="00F900A3" w:rsidRPr="00837360" w:rsidRDefault="00B73B18" w:rsidP="00F900A3">
      <w:r w:rsidRPr="00B73B18">
        <w:t>The Aboriginal and Torres Strait Islander Languages Policy Partnership (LPP) is an Australian Government commitment to bring together state and territory governments and Aboriginal and Torres Strait Islander representatives to work together to improve outcomes and accelerate action on Target 16, ‘By 2031, there is a sustained increase in the number and strength of Aboriginal and Torres Strait Islander languages being spoken’.</w:t>
      </w:r>
    </w:p>
    <w:p w14:paraId="0E03EF04" w14:textId="77777777" w:rsidR="00F900A3" w:rsidRDefault="00F900A3" w:rsidP="00F900A3">
      <w:pPr>
        <w:pStyle w:val="Heading4"/>
      </w:pPr>
      <w:r w:rsidRPr="00DF6278">
        <w:t>Aboriginal and Torres Strait Islander parties</w:t>
      </w:r>
    </w:p>
    <w:p w14:paraId="47F51284" w14:textId="3835E2EB" w:rsidR="00F900A3" w:rsidRPr="00B27ADE" w:rsidRDefault="002C4B20" w:rsidP="00F900A3">
      <w:r w:rsidRPr="00B27ADE">
        <w:t>First Languages Australia</w:t>
      </w:r>
      <w:r w:rsidR="00C56630">
        <w:t xml:space="preserve"> (endorsing partner)</w:t>
      </w:r>
    </w:p>
    <w:p w14:paraId="365D4331" w14:textId="77777777" w:rsidR="00B14B55" w:rsidRDefault="00B14B55" w:rsidP="00F900A3">
      <w:r w:rsidRPr="00B14B55">
        <w:t xml:space="preserve">Representatives from lead peak organisations </w:t>
      </w:r>
    </w:p>
    <w:p w14:paraId="42FD1F59" w14:textId="0EC4FE52" w:rsidR="002C4B20" w:rsidRPr="002C4B20" w:rsidRDefault="00B14B55" w:rsidP="00F900A3">
      <w:r w:rsidRPr="00B14B55">
        <w:t>Independent Aboriginal and Torres Strait Islander representatives</w:t>
      </w:r>
    </w:p>
    <w:p w14:paraId="1FD43649" w14:textId="77777777" w:rsidR="00F900A3" w:rsidRPr="00617C76" w:rsidRDefault="00F900A3" w:rsidP="00F900A3">
      <w:pPr>
        <w:pStyle w:val="Heading4"/>
      </w:pPr>
      <w:r w:rsidRPr="00617C76">
        <w:t>Government parties</w:t>
      </w:r>
    </w:p>
    <w:p w14:paraId="2B334A50" w14:textId="77777777" w:rsidR="00F900A3" w:rsidRDefault="00F900A3" w:rsidP="00F900A3">
      <w:pPr>
        <w:pStyle w:val="Heading5"/>
      </w:pPr>
      <w:r w:rsidRPr="00115C74">
        <w:t xml:space="preserve">COMMONWEALTH PARTIES </w:t>
      </w:r>
    </w:p>
    <w:p w14:paraId="69B6B6F3" w14:textId="50789314" w:rsidR="00F900A3" w:rsidRPr="00B27ADE" w:rsidRDefault="003507E6" w:rsidP="00F900A3">
      <w:r w:rsidRPr="00B27ADE">
        <w:t>Department of Infrastructure, Transport, Regional Development, Communications, Sport and the Arts (DITRDCSA)</w:t>
      </w:r>
      <w:r w:rsidR="00C56630">
        <w:t xml:space="preserve"> (endorsing partner)</w:t>
      </w:r>
    </w:p>
    <w:p w14:paraId="21958AF4" w14:textId="77777777" w:rsidR="00F900A3" w:rsidRPr="00115C74" w:rsidRDefault="00F900A3" w:rsidP="00F900A3">
      <w:pPr>
        <w:pStyle w:val="Heading5"/>
      </w:pPr>
      <w:r w:rsidRPr="00115C74">
        <w:t xml:space="preserve">STATE AND TERRITORY PARTIES </w:t>
      </w:r>
    </w:p>
    <w:p w14:paraId="01008418" w14:textId="75EFA9E8" w:rsidR="00F900A3" w:rsidRPr="00617C76" w:rsidRDefault="003507E6" w:rsidP="00F900A3">
      <w:r w:rsidRPr="003507E6">
        <w:t>Representatives from all state and territory governments</w:t>
      </w:r>
    </w:p>
    <w:p w14:paraId="0BD82AD8" w14:textId="77777777" w:rsidR="00F900A3" w:rsidRPr="00617C76" w:rsidRDefault="00F900A3" w:rsidP="00F900A3">
      <w:pPr>
        <w:pStyle w:val="Heading4"/>
      </w:pPr>
      <w:r w:rsidRPr="00617C76">
        <w:t>Priority Reforms and Socio-economic Outcomes</w:t>
      </w:r>
    </w:p>
    <w:p w14:paraId="0EC5E1E8" w14:textId="77777777" w:rsidR="00EE2D92" w:rsidRDefault="00EE2D92" w:rsidP="00F900A3">
      <w:r w:rsidRPr="00EE2D92">
        <w:t xml:space="preserve">Priority Reform 1 </w:t>
      </w:r>
    </w:p>
    <w:p w14:paraId="15143918" w14:textId="77777777" w:rsidR="00EE2D92" w:rsidRDefault="00EE2D92" w:rsidP="00F900A3">
      <w:r w:rsidRPr="00EE2D92">
        <w:lastRenderedPageBreak/>
        <w:t xml:space="preserve">Priority Reform 2 </w:t>
      </w:r>
    </w:p>
    <w:p w14:paraId="5D96C8D3" w14:textId="77777777" w:rsidR="00EE2D92" w:rsidRDefault="00EE2D92" w:rsidP="00F900A3">
      <w:r w:rsidRPr="00EE2D92">
        <w:t xml:space="preserve">Priority Reform 3 </w:t>
      </w:r>
    </w:p>
    <w:p w14:paraId="1CEB07DD" w14:textId="77777777" w:rsidR="00EE2D92" w:rsidRDefault="00EE2D92" w:rsidP="00F900A3">
      <w:r w:rsidRPr="00EE2D92">
        <w:t xml:space="preserve">Priority Reform 4 </w:t>
      </w:r>
    </w:p>
    <w:p w14:paraId="7EF054B1" w14:textId="7CA339BD" w:rsidR="00F900A3" w:rsidRPr="007C35F3" w:rsidRDefault="00EE2D92" w:rsidP="00F900A3">
      <w:r w:rsidRPr="00EE2D92">
        <w:t>Outcome 16</w:t>
      </w:r>
    </w:p>
    <w:p w14:paraId="64EE06CB" w14:textId="77777777" w:rsidR="00F900A3" w:rsidRPr="00617C76" w:rsidRDefault="00F900A3" w:rsidP="00F900A3">
      <w:pPr>
        <w:pStyle w:val="Heading4"/>
      </w:pPr>
      <w:r w:rsidRPr="00617C76">
        <w:t>Partnership function</w:t>
      </w:r>
    </w:p>
    <w:p w14:paraId="1A877EFA" w14:textId="3E6F8F5A" w:rsidR="00F900A3" w:rsidRPr="00617C76" w:rsidRDefault="00EE2D92" w:rsidP="00F900A3">
      <w:r w:rsidRPr="00EE2D92">
        <w:t>Policy</w:t>
      </w:r>
    </w:p>
    <w:p w14:paraId="5B1EFF81" w14:textId="77777777" w:rsidR="00F900A3" w:rsidRPr="00617C76" w:rsidRDefault="00F900A3" w:rsidP="00F900A3">
      <w:pPr>
        <w:pStyle w:val="Heading4"/>
      </w:pPr>
      <w:r w:rsidRPr="00617C76">
        <w:t>Partnership timeframe</w:t>
      </w:r>
    </w:p>
    <w:p w14:paraId="4F3CEB07" w14:textId="53DB77FE" w:rsidR="00F900A3" w:rsidRPr="00617C76" w:rsidRDefault="00FC6646" w:rsidP="00F900A3">
      <w:r w:rsidRPr="00FC6646">
        <w:t>2023 to 2028</w:t>
      </w:r>
    </w:p>
    <w:p w14:paraId="6F114C59" w14:textId="77777777" w:rsidR="00F900A3" w:rsidRPr="00617C76" w:rsidRDefault="00F900A3" w:rsidP="00F900A3">
      <w:pPr>
        <w:pStyle w:val="Heading4"/>
      </w:pPr>
      <w:r w:rsidRPr="00617C76">
        <w:t>Actions taken to strengthen the partnership in 2025</w:t>
      </w:r>
    </w:p>
    <w:p w14:paraId="11BFA400" w14:textId="77777777" w:rsidR="00FC6646" w:rsidRDefault="00FC6646" w:rsidP="00F900A3">
      <w:r w:rsidRPr="00FC6646">
        <w:t xml:space="preserve">In 2025, the LPP met the strong partnership elements set out in clause 32 of the National Agreement, which are embedded into the LPP signed Agreement to Implement. The LPP is committed to enable Aboriginal and Torres Strait Islander people to have their voices heard regarding Aboriginal and Torres Strait Islander languages policy. </w:t>
      </w:r>
    </w:p>
    <w:p w14:paraId="320566C6" w14:textId="77777777" w:rsidR="00FC6646" w:rsidRDefault="00FC6646" w:rsidP="00F900A3">
      <w:r w:rsidRPr="00FC6646">
        <w:t>Clause 33 of the National Agreement has been strengthened by the $8.7 million extension of funding for the LPP over 3 years (2025</w:t>
      </w:r>
      <w:r w:rsidRPr="00FC6646">
        <w:noBreakHyphen/>
        <w:t>26 to 2027</w:t>
      </w:r>
      <w:r w:rsidRPr="00FC6646">
        <w:noBreakHyphen/>
        <w:t>28) to continue supporting the LPP and its work, including resourcing to support First Languages Australia as co</w:t>
      </w:r>
      <w:r w:rsidRPr="00FC6646">
        <w:noBreakHyphen/>
        <w:t xml:space="preserve">chair and as lead secretariat. </w:t>
      </w:r>
    </w:p>
    <w:p w14:paraId="05AAE640" w14:textId="239F5179" w:rsidR="00F900A3" w:rsidRPr="00617C76" w:rsidRDefault="00FC6646" w:rsidP="00F900A3">
      <w:r w:rsidRPr="00FC6646">
        <w:t>Strengthening the partnership is ongoing work that will be informed by the LPP’s evaluation, due to be delivered in mid</w:t>
      </w:r>
      <w:r w:rsidRPr="00FC6646">
        <w:noBreakHyphen/>
        <w:t>2026.</w:t>
      </w:r>
    </w:p>
    <w:p w14:paraId="084FD8BB" w14:textId="77777777" w:rsidR="00F900A3" w:rsidRPr="00617C76" w:rsidRDefault="00F900A3" w:rsidP="00F900A3">
      <w:pPr>
        <w:pStyle w:val="Heading4"/>
      </w:pPr>
      <w:r w:rsidRPr="00617C76">
        <w:t>Strong partnership indicators</w:t>
      </w:r>
    </w:p>
    <w:p w14:paraId="7A3A293D" w14:textId="77777777" w:rsidR="00F900A3" w:rsidRPr="00617C76" w:rsidRDefault="00F900A3" w:rsidP="00F900A3">
      <w:pPr>
        <w:pStyle w:val="Heading5"/>
      </w:pPr>
      <w:r w:rsidRPr="00617C76">
        <w:t>Clause 32A:</w:t>
      </w:r>
    </w:p>
    <w:p w14:paraId="244D08EA" w14:textId="2612D35F" w:rsidR="00F900A3" w:rsidRDefault="00737E52" w:rsidP="00FC6646">
      <w:pPr>
        <w:pStyle w:val="ListParagraph"/>
        <w:numPr>
          <w:ilvl w:val="0"/>
          <w:numId w:val="106"/>
        </w:numPr>
      </w:pPr>
      <w:r w:rsidRPr="00737E52">
        <w:t>Met</w:t>
      </w:r>
    </w:p>
    <w:p w14:paraId="3A5BC74F" w14:textId="4B83B8C0" w:rsidR="00F900A3" w:rsidRDefault="00737E52" w:rsidP="00FC6646">
      <w:pPr>
        <w:pStyle w:val="ListParagraph"/>
        <w:numPr>
          <w:ilvl w:val="0"/>
          <w:numId w:val="106"/>
        </w:numPr>
      </w:pPr>
      <w:r w:rsidRPr="00737E52">
        <w:t>Met</w:t>
      </w:r>
    </w:p>
    <w:p w14:paraId="6DF9F46B" w14:textId="76EAD47D" w:rsidR="00F900A3" w:rsidRDefault="00737E52" w:rsidP="00FC6646">
      <w:pPr>
        <w:pStyle w:val="ListParagraph"/>
        <w:numPr>
          <w:ilvl w:val="0"/>
          <w:numId w:val="106"/>
        </w:numPr>
      </w:pPr>
      <w:r w:rsidRPr="00737E52">
        <w:t>Met</w:t>
      </w:r>
    </w:p>
    <w:p w14:paraId="29229B18" w14:textId="77777777" w:rsidR="00F900A3" w:rsidRPr="00617C76" w:rsidRDefault="00F900A3" w:rsidP="00F900A3">
      <w:pPr>
        <w:pStyle w:val="Heading5"/>
      </w:pPr>
      <w:r w:rsidRPr="00617C76">
        <w:t>Clause 32B:</w:t>
      </w:r>
    </w:p>
    <w:p w14:paraId="2FA4A2B0" w14:textId="309650CB" w:rsidR="00F900A3" w:rsidRDefault="00737E52" w:rsidP="00FC6646">
      <w:pPr>
        <w:pStyle w:val="ListParagraph"/>
        <w:numPr>
          <w:ilvl w:val="0"/>
          <w:numId w:val="107"/>
        </w:numPr>
      </w:pPr>
      <w:r w:rsidRPr="00737E52">
        <w:t>Met</w:t>
      </w:r>
    </w:p>
    <w:p w14:paraId="5A0211E7" w14:textId="748AC00F" w:rsidR="00F900A3" w:rsidRDefault="00737E52" w:rsidP="00FC6646">
      <w:pPr>
        <w:pStyle w:val="ListParagraph"/>
        <w:numPr>
          <w:ilvl w:val="0"/>
          <w:numId w:val="107"/>
        </w:numPr>
      </w:pPr>
      <w:r w:rsidRPr="00737E52">
        <w:t>Met</w:t>
      </w:r>
    </w:p>
    <w:p w14:paraId="1C75AE33" w14:textId="5ADB496E" w:rsidR="00F900A3" w:rsidRDefault="00737E52" w:rsidP="00FC6646">
      <w:pPr>
        <w:pStyle w:val="ListParagraph"/>
        <w:numPr>
          <w:ilvl w:val="0"/>
          <w:numId w:val="107"/>
        </w:numPr>
      </w:pPr>
      <w:r w:rsidRPr="00737E52">
        <w:t>Met</w:t>
      </w:r>
    </w:p>
    <w:p w14:paraId="69A8A7DA" w14:textId="77777777" w:rsidR="00F900A3" w:rsidRDefault="00F900A3" w:rsidP="00FC6646">
      <w:pPr>
        <w:pStyle w:val="ListParagraph"/>
        <w:numPr>
          <w:ilvl w:val="0"/>
          <w:numId w:val="107"/>
        </w:numPr>
      </w:pPr>
      <w:r>
        <w:t>N/A</w:t>
      </w:r>
    </w:p>
    <w:p w14:paraId="063C416C" w14:textId="77777777" w:rsidR="00F900A3" w:rsidRPr="00617C76" w:rsidRDefault="00F900A3" w:rsidP="00F900A3">
      <w:pPr>
        <w:pStyle w:val="Heading5"/>
      </w:pPr>
      <w:r w:rsidRPr="00617C76">
        <w:t>Clause 32C:</w:t>
      </w:r>
    </w:p>
    <w:p w14:paraId="50A67CF0" w14:textId="3381C3F0" w:rsidR="00F900A3" w:rsidRDefault="00737E52" w:rsidP="00FC6646">
      <w:pPr>
        <w:pStyle w:val="ListParagraph"/>
        <w:numPr>
          <w:ilvl w:val="0"/>
          <w:numId w:val="108"/>
        </w:numPr>
      </w:pPr>
      <w:r w:rsidRPr="00737E52">
        <w:t>Met</w:t>
      </w:r>
    </w:p>
    <w:p w14:paraId="1E13DF94" w14:textId="5F113A32" w:rsidR="00F900A3" w:rsidRDefault="00737E52" w:rsidP="00FC6646">
      <w:pPr>
        <w:pStyle w:val="ListParagraph"/>
        <w:numPr>
          <w:ilvl w:val="0"/>
          <w:numId w:val="108"/>
        </w:numPr>
      </w:pPr>
      <w:r w:rsidRPr="00737E52">
        <w:t>Met</w:t>
      </w:r>
    </w:p>
    <w:p w14:paraId="7B74E2D0" w14:textId="5464691B" w:rsidR="00F900A3" w:rsidRDefault="00737E52" w:rsidP="00FC6646">
      <w:pPr>
        <w:pStyle w:val="ListParagraph"/>
        <w:numPr>
          <w:ilvl w:val="0"/>
          <w:numId w:val="108"/>
        </w:numPr>
      </w:pPr>
      <w:r w:rsidRPr="00737E52">
        <w:t>Met</w:t>
      </w:r>
    </w:p>
    <w:p w14:paraId="4E2E52A7" w14:textId="552A2484" w:rsidR="00F900A3" w:rsidRDefault="00737E52" w:rsidP="00FC6646">
      <w:pPr>
        <w:pStyle w:val="ListParagraph"/>
        <w:numPr>
          <w:ilvl w:val="0"/>
          <w:numId w:val="108"/>
        </w:numPr>
      </w:pPr>
      <w:r w:rsidRPr="00737E52">
        <w:t>Met</w:t>
      </w:r>
    </w:p>
    <w:p w14:paraId="6225ABB4" w14:textId="7E6192B2" w:rsidR="00F900A3" w:rsidRDefault="00737E52" w:rsidP="00FC6646">
      <w:pPr>
        <w:pStyle w:val="ListParagraph"/>
        <w:numPr>
          <w:ilvl w:val="0"/>
          <w:numId w:val="108"/>
        </w:numPr>
      </w:pPr>
      <w:r w:rsidRPr="00737E52">
        <w:t>Met</w:t>
      </w:r>
    </w:p>
    <w:p w14:paraId="5A390CD4" w14:textId="45C1EDDA" w:rsidR="00F900A3" w:rsidRDefault="00737E52" w:rsidP="00FC6646">
      <w:pPr>
        <w:pStyle w:val="ListParagraph"/>
        <w:numPr>
          <w:ilvl w:val="0"/>
          <w:numId w:val="108"/>
        </w:numPr>
      </w:pPr>
      <w:r w:rsidRPr="00737E52">
        <w:t>Met</w:t>
      </w:r>
    </w:p>
    <w:p w14:paraId="59AE0532" w14:textId="40C66A2B" w:rsidR="00F900A3" w:rsidRDefault="00737E52" w:rsidP="00FC6646">
      <w:pPr>
        <w:pStyle w:val="ListParagraph"/>
        <w:numPr>
          <w:ilvl w:val="0"/>
          <w:numId w:val="108"/>
        </w:numPr>
      </w:pPr>
      <w:r w:rsidRPr="00737E52">
        <w:t>Met</w:t>
      </w:r>
    </w:p>
    <w:p w14:paraId="040A2363" w14:textId="77777777" w:rsidR="00F900A3" w:rsidRPr="00617C76" w:rsidRDefault="00F900A3" w:rsidP="00F900A3">
      <w:pPr>
        <w:pStyle w:val="Heading5"/>
      </w:pPr>
      <w:r w:rsidRPr="00617C76">
        <w:t>Clause 33:</w:t>
      </w:r>
    </w:p>
    <w:p w14:paraId="13FC46BD" w14:textId="65B9AFA2" w:rsidR="00F900A3" w:rsidRDefault="00737E52" w:rsidP="00F900A3">
      <w:r w:rsidRPr="00737E52">
        <w:t>Met</w:t>
      </w:r>
    </w:p>
    <w:p w14:paraId="503275DC" w14:textId="77777777" w:rsidR="00F900A3" w:rsidRDefault="00F900A3" w:rsidP="00F900A3">
      <w:pPr>
        <w:pStyle w:val="Heading4"/>
      </w:pPr>
      <w:r w:rsidRPr="00617C76">
        <w:lastRenderedPageBreak/>
        <w:t>Achievements over 2025</w:t>
      </w:r>
    </w:p>
    <w:p w14:paraId="7D09185C" w14:textId="77777777" w:rsidR="007B3D49" w:rsidRDefault="007B3D49" w:rsidP="00F900A3">
      <w:r w:rsidRPr="007B3D49">
        <w:t xml:space="preserve">In 2025 the Partnership facilitated 4 LPP meetings, progressing key language discussions. The LPP has progressed the following work: </w:t>
      </w:r>
    </w:p>
    <w:p w14:paraId="4460F5BE" w14:textId="77777777" w:rsidR="007B3D49" w:rsidRDefault="007B3D49" w:rsidP="007B3D49">
      <w:pPr>
        <w:pStyle w:val="ListParagraph"/>
        <w:numPr>
          <w:ilvl w:val="0"/>
          <w:numId w:val="109"/>
        </w:numPr>
      </w:pPr>
      <w:r w:rsidRPr="007B3D49">
        <w:t>Undertaking 3 commissioning projects; the National Collections Strategy, the Interpreting and Translation Framework and the Languages Economic Investment Framework. The LPP heard updates from the organisations delivering the commissioning projects throughout 2025.</w:t>
      </w:r>
    </w:p>
    <w:p w14:paraId="383DEBA3" w14:textId="77777777" w:rsidR="007B3D49" w:rsidRDefault="007B3D49" w:rsidP="007B3D49">
      <w:pPr>
        <w:pStyle w:val="ListParagraph"/>
        <w:numPr>
          <w:ilvl w:val="0"/>
          <w:numId w:val="109"/>
        </w:numPr>
      </w:pPr>
      <w:r w:rsidRPr="007B3D49">
        <w:t xml:space="preserve">Developed and endorsed a Data Policy Position which provides guidance on how Aboriginal and Torres Strait Languages can be measured against the metrics of Target 16 – ‘strong’, ‘supported’ and ‘flourishing’. </w:t>
      </w:r>
    </w:p>
    <w:p w14:paraId="3EDB80B9" w14:textId="77777777" w:rsidR="007B3D49" w:rsidRDefault="007B3D49" w:rsidP="007B3D49">
      <w:pPr>
        <w:pStyle w:val="ListParagraph"/>
        <w:numPr>
          <w:ilvl w:val="0"/>
          <w:numId w:val="109"/>
        </w:numPr>
      </w:pPr>
      <w:r w:rsidRPr="007B3D49">
        <w:t xml:space="preserve">Representatives of the LPP have continued as members of the LPP’s Funding Priorities Working Group, the LPP’s Data Working Group and First Language Australia’s Languages Sector Strengthening Plan Working Group, advising on funding decisions and the development of key policy documents for the Aboriginal and Torres Strait Islander languages sector. </w:t>
      </w:r>
    </w:p>
    <w:p w14:paraId="3AE0516A" w14:textId="05E605F0" w:rsidR="00F900A3" w:rsidRPr="003E2721" w:rsidRDefault="007B3D49" w:rsidP="007B3D49">
      <w:pPr>
        <w:pStyle w:val="ListParagraph"/>
        <w:numPr>
          <w:ilvl w:val="0"/>
          <w:numId w:val="109"/>
        </w:numPr>
      </w:pPr>
      <w:r>
        <w:t>C</w:t>
      </w:r>
      <w:r w:rsidRPr="007B3D49">
        <w:t>o</w:t>
      </w:r>
      <w:r w:rsidRPr="007B3D49">
        <w:noBreakHyphen/>
        <w:t>designed the Theory of Change, Key Evaluation Questions and Evaluation Framework guiding the LPP’s first evaluation.</w:t>
      </w:r>
    </w:p>
    <w:p w14:paraId="1F86E602" w14:textId="064EA40A" w:rsidR="00F900A3" w:rsidRDefault="004D399A" w:rsidP="00F900A3">
      <w:pPr>
        <w:pStyle w:val="Heading3"/>
      </w:pPr>
      <w:bookmarkStart w:id="35" w:name="_Toc225506057"/>
      <w:r w:rsidRPr="004D399A">
        <w:t>Our Ways – Strong Ways – Our Voices: National Aboriginal and Torres Strait Islander Plan to End Family, Domestic and Sexual Violence Steering Committee (Steering Committee)</w:t>
      </w:r>
      <w:bookmarkEnd w:id="35"/>
    </w:p>
    <w:p w14:paraId="15328CEE" w14:textId="77777777" w:rsidR="00F900A3" w:rsidRDefault="00F900A3" w:rsidP="00F900A3">
      <w:pPr>
        <w:pStyle w:val="Heading4"/>
      </w:pPr>
      <w:r w:rsidRPr="00617C76">
        <w:t>Partnership description</w:t>
      </w:r>
    </w:p>
    <w:p w14:paraId="4F5554C3" w14:textId="26C117D2" w:rsidR="00F900A3" w:rsidRPr="00837360" w:rsidRDefault="004D399A" w:rsidP="00F900A3">
      <w:r w:rsidRPr="004D399A">
        <w:t xml:space="preserve">The Steering Committee provides guidance and advice from diverse perspectives, leading the development of Our Ways </w:t>
      </w:r>
      <w:r w:rsidRPr="004D399A">
        <w:noBreakHyphen/>
        <w:t xml:space="preserve"> Strong Ways </w:t>
      </w:r>
      <w:r w:rsidRPr="004D399A">
        <w:noBreakHyphen/>
        <w:t xml:space="preserve"> Our Voices: National Aboriginal and Torres Strait Islander Plan to End Family, Domestic and Sexual Violence (Our Ways). The 24 members of the Steering Committee include 12 non</w:t>
      </w:r>
      <w:r w:rsidRPr="004D399A">
        <w:noBreakHyphen/>
        <w:t>government First Nations representatives, 2 Australian Government representatives, 8 jurisdictional representatives, the Domestic, Family and Sexual Violence Commissioner and the Aboriginal and Torres Strait Islander Social Justice Commissioner. There is one current vacancy.</w:t>
      </w:r>
    </w:p>
    <w:p w14:paraId="17A18F90" w14:textId="77777777" w:rsidR="00F900A3" w:rsidRDefault="00F900A3" w:rsidP="00F900A3">
      <w:pPr>
        <w:pStyle w:val="Heading4"/>
      </w:pPr>
      <w:r w:rsidRPr="00DF6278">
        <w:t>Aboriginal and Torres Strait Islander parties</w:t>
      </w:r>
    </w:p>
    <w:p w14:paraId="2C0D4F2C" w14:textId="2E719C0D" w:rsidR="00F900A3" w:rsidRPr="00B27ADE" w:rsidRDefault="00B25DC6" w:rsidP="00F900A3">
      <w:r w:rsidRPr="00B27ADE">
        <w:t>SNAICC – National Voice for our Children</w:t>
      </w:r>
      <w:r w:rsidR="00DB1B79">
        <w:t xml:space="preserve"> (endorsing partner)</w:t>
      </w:r>
    </w:p>
    <w:p w14:paraId="15A305E2" w14:textId="77777777" w:rsidR="00F900A3" w:rsidRPr="00617C76" w:rsidRDefault="00F900A3" w:rsidP="00F900A3">
      <w:pPr>
        <w:pStyle w:val="Heading4"/>
      </w:pPr>
      <w:r w:rsidRPr="00617C76">
        <w:t>Government parties</w:t>
      </w:r>
    </w:p>
    <w:p w14:paraId="2A2559BD" w14:textId="77777777" w:rsidR="00F900A3" w:rsidRDefault="00F900A3" w:rsidP="00F900A3">
      <w:pPr>
        <w:pStyle w:val="Heading5"/>
      </w:pPr>
      <w:r w:rsidRPr="00115C74">
        <w:t xml:space="preserve">COMMONWEALTH PARTIES </w:t>
      </w:r>
    </w:p>
    <w:p w14:paraId="75F068B2" w14:textId="0E6980B8" w:rsidR="00F900A3" w:rsidRPr="00B27ADE" w:rsidRDefault="00B25DC6" w:rsidP="00F900A3">
      <w:r w:rsidRPr="00B27ADE">
        <w:t>Department of Social Services</w:t>
      </w:r>
      <w:r w:rsidR="00DB1B79">
        <w:t xml:space="preserve"> (endorsing partner)</w:t>
      </w:r>
    </w:p>
    <w:p w14:paraId="22ED67FB" w14:textId="77777777" w:rsidR="00F900A3" w:rsidRPr="00115C74" w:rsidRDefault="00F900A3" w:rsidP="00F900A3">
      <w:pPr>
        <w:pStyle w:val="Heading5"/>
      </w:pPr>
      <w:r w:rsidRPr="00115C74">
        <w:t xml:space="preserve">STATE AND TERRITORY PARTIES </w:t>
      </w:r>
    </w:p>
    <w:p w14:paraId="08BAD0A5" w14:textId="77777777" w:rsidR="00F900A3" w:rsidRPr="00617C76" w:rsidRDefault="00F900A3" w:rsidP="00F900A3">
      <w:r>
        <w:t>N/A</w:t>
      </w:r>
    </w:p>
    <w:p w14:paraId="01E2EFDC" w14:textId="77777777" w:rsidR="00F900A3" w:rsidRPr="00617C76" w:rsidRDefault="00F900A3" w:rsidP="00F900A3">
      <w:pPr>
        <w:pStyle w:val="Heading4"/>
      </w:pPr>
      <w:r w:rsidRPr="00617C76">
        <w:t>Priority Reforms and Socio-economic Outcomes</w:t>
      </w:r>
    </w:p>
    <w:p w14:paraId="03008A69" w14:textId="77777777" w:rsidR="009B64CA" w:rsidRDefault="009B64CA" w:rsidP="00F900A3">
      <w:r w:rsidRPr="009B64CA">
        <w:t xml:space="preserve">Priority Reform 1 </w:t>
      </w:r>
    </w:p>
    <w:p w14:paraId="7A187AF3" w14:textId="015708FD" w:rsidR="00F900A3" w:rsidRPr="007C35F3" w:rsidRDefault="009B64CA" w:rsidP="00F900A3">
      <w:r w:rsidRPr="009B64CA">
        <w:t>Outcome 13</w:t>
      </w:r>
    </w:p>
    <w:p w14:paraId="1831A6AE" w14:textId="77777777" w:rsidR="00F900A3" w:rsidRPr="00617C76" w:rsidRDefault="00F900A3" w:rsidP="00F900A3">
      <w:pPr>
        <w:pStyle w:val="Heading4"/>
      </w:pPr>
      <w:r w:rsidRPr="00617C76">
        <w:t>Partnership function</w:t>
      </w:r>
    </w:p>
    <w:p w14:paraId="43D42911" w14:textId="6F5C0CB7" w:rsidR="00F900A3" w:rsidRPr="00617C76" w:rsidRDefault="009B64CA" w:rsidP="00F900A3">
      <w:r w:rsidRPr="009B64CA">
        <w:t>Policy</w:t>
      </w:r>
    </w:p>
    <w:p w14:paraId="3D38526F" w14:textId="77777777" w:rsidR="00F900A3" w:rsidRPr="00617C76" w:rsidRDefault="00F900A3" w:rsidP="00F900A3">
      <w:pPr>
        <w:pStyle w:val="Heading4"/>
      </w:pPr>
      <w:r w:rsidRPr="00617C76">
        <w:t>Partnership timeframe</w:t>
      </w:r>
    </w:p>
    <w:p w14:paraId="34BF3D53" w14:textId="378C3291" w:rsidR="00F900A3" w:rsidRPr="00617C76" w:rsidRDefault="009B64CA" w:rsidP="009B64CA">
      <w:r w:rsidRPr="009B64CA">
        <w:t>January 2024 to December 2025</w:t>
      </w:r>
    </w:p>
    <w:p w14:paraId="27A05A31" w14:textId="77777777" w:rsidR="00F900A3" w:rsidRPr="00617C76" w:rsidRDefault="00F900A3" w:rsidP="00F900A3">
      <w:pPr>
        <w:pStyle w:val="Heading4"/>
      </w:pPr>
      <w:r w:rsidRPr="00617C76">
        <w:lastRenderedPageBreak/>
        <w:t>Actions taken to strengthen the partnership in 2025</w:t>
      </w:r>
    </w:p>
    <w:p w14:paraId="4DB0D6C0" w14:textId="5FD50EE4" w:rsidR="00F900A3" w:rsidRPr="00617C76" w:rsidRDefault="0074477A" w:rsidP="00F900A3">
      <w:r w:rsidRPr="0074477A">
        <w:t>The tenure of the Steering Committee was extended from 30 June 2025 to 31 December 2025 to ensure the partnership had sufficient time to finalise Our Ways. An iterative drafting workshop process was undertaken in August 2025 to recentre Aboriginal and Torres Strait Islander voices in the drafting of Our Ways.</w:t>
      </w:r>
    </w:p>
    <w:p w14:paraId="142B727F" w14:textId="77777777" w:rsidR="00F900A3" w:rsidRPr="00617C76" w:rsidRDefault="00F900A3" w:rsidP="00F900A3">
      <w:pPr>
        <w:pStyle w:val="Heading4"/>
      </w:pPr>
      <w:r w:rsidRPr="00617C76">
        <w:t>Strong partnership indicators</w:t>
      </w:r>
    </w:p>
    <w:p w14:paraId="61D43772" w14:textId="77777777" w:rsidR="00F900A3" w:rsidRPr="00617C76" w:rsidRDefault="00F900A3" w:rsidP="00F900A3">
      <w:pPr>
        <w:pStyle w:val="Heading5"/>
      </w:pPr>
      <w:r w:rsidRPr="00617C76">
        <w:t>Clause 32A:</w:t>
      </w:r>
    </w:p>
    <w:p w14:paraId="255FEAEE" w14:textId="5CB27183" w:rsidR="00F900A3" w:rsidRDefault="0026021E" w:rsidP="0074477A">
      <w:pPr>
        <w:pStyle w:val="ListParagraph"/>
        <w:numPr>
          <w:ilvl w:val="0"/>
          <w:numId w:val="110"/>
        </w:numPr>
      </w:pPr>
      <w:r w:rsidRPr="0026021E">
        <w:t>Not met</w:t>
      </w:r>
    </w:p>
    <w:p w14:paraId="6BC4701E" w14:textId="776698F1" w:rsidR="00F900A3" w:rsidRDefault="0026021E" w:rsidP="0074477A">
      <w:pPr>
        <w:pStyle w:val="ListParagraph"/>
        <w:numPr>
          <w:ilvl w:val="0"/>
          <w:numId w:val="110"/>
        </w:numPr>
      </w:pPr>
      <w:r w:rsidRPr="0026021E">
        <w:t>Met</w:t>
      </w:r>
    </w:p>
    <w:p w14:paraId="6A0E2FEC" w14:textId="726F60A9" w:rsidR="00F900A3" w:rsidRDefault="0026021E" w:rsidP="0074477A">
      <w:pPr>
        <w:pStyle w:val="ListParagraph"/>
        <w:numPr>
          <w:ilvl w:val="0"/>
          <w:numId w:val="110"/>
        </w:numPr>
      </w:pPr>
      <w:r w:rsidRPr="0026021E">
        <w:t>Not met</w:t>
      </w:r>
    </w:p>
    <w:p w14:paraId="3D5168D8" w14:textId="77777777" w:rsidR="00F900A3" w:rsidRPr="00617C76" w:rsidRDefault="00F900A3" w:rsidP="00F900A3">
      <w:pPr>
        <w:pStyle w:val="Heading5"/>
      </w:pPr>
      <w:r w:rsidRPr="00617C76">
        <w:t>Clause 32B:</w:t>
      </w:r>
    </w:p>
    <w:p w14:paraId="773006D3" w14:textId="6741A9E1" w:rsidR="00F900A3" w:rsidRDefault="0026021E" w:rsidP="0074477A">
      <w:pPr>
        <w:pStyle w:val="ListParagraph"/>
        <w:numPr>
          <w:ilvl w:val="0"/>
          <w:numId w:val="111"/>
        </w:numPr>
      </w:pPr>
      <w:r w:rsidRPr="0026021E">
        <w:t>Met</w:t>
      </w:r>
    </w:p>
    <w:p w14:paraId="0882BD20" w14:textId="3F349DBE" w:rsidR="00F900A3" w:rsidRDefault="0026021E" w:rsidP="0074477A">
      <w:pPr>
        <w:pStyle w:val="ListParagraph"/>
        <w:numPr>
          <w:ilvl w:val="0"/>
          <w:numId w:val="111"/>
        </w:numPr>
      </w:pPr>
      <w:r w:rsidRPr="0026021E">
        <w:t>Met</w:t>
      </w:r>
    </w:p>
    <w:p w14:paraId="1A9E1A77" w14:textId="2D8E3085" w:rsidR="00F900A3" w:rsidRDefault="0026021E" w:rsidP="0074477A">
      <w:pPr>
        <w:pStyle w:val="ListParagraph"/>
        <w:numPr>
          <w:ilvl w:val="0"/>
          <w:numId w:val="111"/>
        </w:numPr>
      </w:pPr>
      <w:r w:rsidRPr="0026021E">
        <w:t>Not met</w:t>
      </w:r>
    </w:p>
    <w:p w14:paraId="3E6A16A8" w14:textId="77777777" w:rsidR="00F900A3" w:rsidRDefault="00F900A3" w:rsidP="0074477A">
      <w:pPr>
        <w:pStyle w:val="ListParagraph"/>
        <w:numPr>
          <w:ilvl w:val="0"/>
          <w:numId w:val="111"/>
        </w:numPr>
      </w:pPr>
      <w:r>
        <w:t>N/A</w:t>
      </w:r>
    </w:p>
    <w:p w14:paraId="06F3F331" w14:textId="77777777" w:rsidR="00F900A3" w:rsidRPr="00617C76" w:rsidRDefault="00F900A3" w:rsidP="00F900A3">
      <w:pPr>
        <w:pStyle w:val="Heading5"/>
      </w:pPr>
      <w:r w:rsidRPr="00617C76">
        <w:t>Clause 32C:</w:t>
      </w:r>
    </w:p>
    <w:p w14:paraId="57C54F34" w14:textId="32C571C1" w:rsidR="00F900A3" w:rsidRDefault="0026021E" w:rsidP="0074477A">
      <w:pPr>
        <w:pStyle w:val="ListParagraph"/>
        <w:numPr>
          <w:ilvl w:val="0"/>
          <w:numId w:val="112"/>
        </w:numPr>
      </w:pPr>
      <w:r w:rsidRPr="0026021E">
        <w:t>Met</w:t>
      </w:r>
    </w:p>
    <w:p w14:paraId="477C64C4" w14:textId="6B115529" w:rsidR="00F900A3" w:rsidRDefault="0026021E" w:rsidP="0074477A">
      <w:pPr>
        <w:pStyle w:val="ListParagraph"/>
        <w:numPr>
          <w:ilvl w:val="0"/>
          <w:numId w:val="112"/>
        </w:numPr>
      </w:pPr>
      <w:r w:rsidRPr="0026021E">
        <w:t>Met</w:t>
      </w:r>
    </w:p>
    <w:p w14:paraId="0A329C1B" w14:textId="69F38547" w:rsidR="00F900A3" w:rsidRDefault="0026021E" w:rsidP="0074477A">
      <w:pPr>
        <w:pStyle w:val="ListParagraph"/>
        <w:numPr>
          <w:ilvl w:val="0"/>
          <w:numId w:val="112"/>
        </w:numPr>
      </w:pPr>
      <w:r w:rsidRPr="0026021E">
        <w:t>Met</w:t>
      </w:r>
    </w:p>
    <w:p w14:paraId="529B76AC" w14:textId="706F1DA1" w:rsidR="00F900A3" w:rsidRDefault="0026021E" w:rsidP="0074477A">
      <w:pPr>
        <w:pStyle w:val="ListParagraph"/>
        <w:numPr>
          <w:ilvl w:val="0"/>
          <w:numId w:val="112"/>
        </w:numPr>
      </w:pPr>
      <w:r w:rsidRPr="0026021E">
        <w:t>Met</w:t>
      </w:r>
    </w:p>
    <w:p w14:paraId="31248D89" w14:textId="0C9F96AE" w:rsidR="00F900A3" w:rsidRDefault="0026021E" w:rsidP="0074477A">
      <w:pPr>
        <w:pStyle w:val="ListParagraph"/>
        <w:numPr>
          <w:ilvl w:val="0"/>
          <w:numId w:val="112"/>
        </w:numPr>
      </w:pPr>
      <w:r w:rsidRPr="0026021E">
        <w:t>Met</w:t>
      </w:r>
    </w:p>
    <w:p w14:paraId="62568D92" w14:textId="75B6A616" w:rsidR="00F900A3" w:rsidRDefault="0026021E" w:rsidP="0074477A">
      <w:pPr>
        <w:pStyle w:val="ListParagraph"/>
        <w:numPr>
          <w:ilvl w:val="0"/>
          <w:numId w:val="112"/>
        </w:numPr>
      </w:pPr>
      <w:r w:rsidRPr="0026021E">
        <w:t>Met</w:t>
      </w:r>
    </w:p>
    <w:p w14:paraId="2D81FAD9" w14:textId="3C05C9ED" w:rsidR="00F900A3" w:rsidRDefault="0026021E" w:rsidP="0074477A">
      <w:pPr>
        <w:pStyle w:val="ListParagraph"/>
        <w:numPr>
          <w:ilvl w:val="0"/>
          <w:numId w:val="112"/>
        </w:numPr>
      </w:pPr>
      <w:r w:rsidRPr="0026021E">
        <w:t>Met</w:t>
      </w:r>
    </w:p>
    <w:p w14:paraId="6E812461" w14:textId="77777777" w:rsidR="00F900A3" w:rsidRPr="00617C76" w:rsidRDefault="00F900A3" w:rsidP="00F900A3">
      <w:pPr>
        <w:pStyle w:val="Heading5"/>
      </w:pPr>
      <w:r w:rsidRPr="00617C76">
        <w:t>Clause 33:</w:t>
      </w:r>
    </w:p>
    <w:p w14:paraId="6B5D9D5D" w14:textId="19A8260C" w:rsidR="00F900A3" w:rsidRDefault="0026021E" w:rsidP="00F900A3">
      <w:r w:rsidRPr="0026021E">
        <w:t>Met</w:t>
      </w:r>
    </w:p>
    <w:p w14:paraId="016AEA02" w14:textId="77777777" w:rsidR="00F900A3" w:rsidRDefault="00F900A3" w:rsidP="00F900A3">
      <w:pPr>
        <w:pStyle w:val="Heading4"/>
      </w:pPr>
      <w:r w:rsidRPr="00617C76">
        <w:t>Achievements over 2025</w:t>
      </w:r>
    </w:p>
    <w:p w14:paraId="7D9FED85" w14:textId="009F6E41" w:rsidR="00F900A3" w:rsidRPr="003E2721" w:rsidRDefault="00C97051" w:rsidP="00C97051">
      <w:r w:rsidRPr="00C97051">
        <w:t xml:space="preserve">The Steering Committee continued to lead the development and drafting of Our Ways </w:t>
      </w:r>
      <w:r w:rsidRPr="00C97051">
        <w:rPr>
          <w:rFonts w:ascii="Cambria Math" w:hAnsi="Cambria Math" w:cs="Cambria Math"/>
        </w:rPr>
        <w:t>‑</w:t>
      </w:r>
      <w:r w:rsidRPr="00C97051">
        <w:t xml:space="preserve"> Strong Ways </w:t>
      </w:r>
      <w:r w:rsidRPr="00C97051">
        <w:rPr>
          <w:rFonts w:ascii="Cambria Math" w:hAnsi="Cambria Math" w:cs="Cambria Math"/>
        </w:rPr>
        <w:t>‑</w:t>
      </w:r>
      <w:r w:rsidRPr="00C97051">
        <w:t xml:space="preserve"> Our Voices: National Aboriginal and Torres Strait Islander Plan to End Family, Domestic and Sexual Violence (Our Ways) during 2025. The full Steering Committee has provided advice through 3 meetings from January 2025 to December 2025. Members of the Steering Committee also formed a drafting group and participated in iterative drafting workshops to finalise Our Ways ahead of its launch. Following their endorsement of the final draft of Our Ways in October 2025, the Steering Committee continued to provide essential advice to support the implementation of the plan. Advice focused on establishing an ongoing governance structure that embeds the strong partnership elements under Priority Reform One of the National Agreement. Members also provided advice on the development of supporting documents such as the Our Ways Outcomes Framework.</w:t>
      </w:r>
    </w:p>
    <w:p w14:paraId="75782EA6" w14:textId="4FA8CC98" w:rsidR="00F900A3" w:rsidRDefault="00EB3DFE" w:rsidP="00F900A3">
      <w:pPr>
        <w:pStyle w:val="Heading3"/>
      </w:pPr>
      <w:bookmarkStart w:id="36" w:name="_Toc225506058"/>
      <w:r w:rsidRPr="00EB3DFE">
        <w:t>Safe and Supported Partnership Agreement</w:t>
      </w:r>
      <w:bookmarkEnd w:id="36"/>
    </w:p>
    <w:p w14:paraId="1EA28B32" w14:textId="77777777" w:rsidR="00F900A3" w:rsidRDefault="00F900A3" w:rsidP="00F900A3">
      <w:pPr>
        <w:pStyle w:val="Heading4"/>
      </w:pPr>
      <w:r w:rsidRPr="00617C76">
        <w:t>Partnership description</w:t>
      </w:r>
    </w:p>
    <w:p w14:paraId="5CC2BE6D" w14:textId="3B9D6A3E" w:rsidR="00F900A3" w:rsidRPr="00837360" w:rsidRDefault="00EB3DFE" w:rsidP="00F900A3">
      <w:r w:rsidRPr="00EB3DFE">
        <w:t>The Partnership Agreement expresses the formal partnership between the Aboriginal and Torres Strait Islander Leadership Group (Leadership Group) and federal, state and territory governments (through Community Services Ministers), to implement Safe and Supported: the National Framework for Protecting Australia’s Children 2021</w:t>
      </w:r>
      <w:r w:rsidRPr="00EB3DFE">
        <w:noBreakHyphen/>
        <w:t>2031 (Safe and Supported), in line with the National Agreement Priority Reform One.</w:t>
      </w:r>
    </w:p>
    <w:p w14:paraId="36103D74" w14:textId="77777777" w:rsidR="00F900A3" w:rsidRDefault="00F900A3" w:rsidP="00F900A3">
      <w:pPr>
        <w:pStyle w:val="Heading4"/>
      </w:pPr>
      <w:r w:rsidRPr="00DF6278">
        <w:lastRenderedPageBreak/>
        <w:t>Aboriginal and Torres Strait Islander parties</w:t>
      </w:r>
    </w:p>
    <w:p w14:paraId="28126D86" w14:textId="5AB53FA7" w:rsidR="00F900A3" w:rsidRPr="00B27ADE" w:rsidRDefault="0043020A" w:rsidP="00F900A3">
      <w:r w:rsidRPr="00B27ADE">
        <w:t xml:space="preserve">The Aboriginal and Torres Strait Islander Leadership Group (Leadership Group) is convened and chaired by SNAICC </w:t>
      </w:r>
      <w:r w:rsidRPr="00B27ADE">
        <w:noBreakHyphen/>
        <w:t xml:space="preserve"> National Voice for Our Children (SNAICC)</w:t>
      </w:r>
      <w:r w:rsidR="00126E19">
        <w:t xml:space="preserve"> (endorsing partner)</w:t>
      </w:r>
    </w:p>
    <w:p w14:paraId="63F005CC" w14:textId="75D90305" w:rsidR="0043020A" w:rsidRPr="0043020A" w:rsidRDefault="0043020A" w:rsidP="00F900A3">
      <w:r w:rsidRPr="0043020A">
        <w:t>Leadership Group members and special advisory members include jurisdictional peak bodies and nominated representatives for Aboriginal and Torres Strait Islander children and families, Aboriginal and Torres Strait Islander Children’s Commissioners and subject matter experts.</w:t>
      </w:r>
    </w:p>
    <w:p w14:paraId="6600741C" w14:textId="77777777" w:rsidR="00F900A3" w:rsidRPr="00617C76" w:rsidRDefault="00F900A3" w:rsidP="00F900A3">
      <w:pPr>
        <w:pStyle w:val="Heading4"/>
      </w:pPr>
      <w:r w:rsidRPr="00617C76">
        <w:t>Government parties</w:t>
      </w:r>
    </w:p>
    <w:p w14:paraId="3A734C7C" w14:textId="77777777" w:rsidR="00F900A3" w:rsidRDefault="00F900A3" w:rsidP="00F900A3">
      <w:pPr>
        <w:pStyle w:val="Heading5"/>
      </w:pPr>
      <w:r w:rsidRPr="00115C74">
        <w:t xml:space="preserve">COMMONWEALTH PARTIES </w:t>
      </w:r>
    </w:p>
    <w:p w14:paraId="744A039D" w14:textId="108D98F3" w:rsidR="00F900A3" w:rsidRPr="00B27ADE" w:rsidRDefault="00B12762" w:rsidP="00F900A3">
      <w:r w:rsidRPr="00B27ADE">
        <w:t>Department of Social Services (DSS)</w:t>
      </w:r>
      <w:r w:rsidR="00126E19">
        <w:t xml:space="preserve"> (endorsing partner)</w:t>
      </w:r>
    </w:p>
    <w:p w14:paraId="5679A4AE" w14:textId="77777777" w:rsidR="00F900A3" w:rsidRPr="00115C74" w:rsidRDefault="00F900A3" w:rsidP="00F900A3">
      <w:pPr>
        <w:pStyle w:val="Heading5"/>
      </w:pPr>
      <w:r w:rsidRPr="00115C74">
        <w:t xml:space="preserve">STATE AND TERRITORY PARTIES </w:t>
      </w:r>
    </w:p>
    <w:p w14:paraId="13AF90CA" w14:textId="77777777" w:rsidR="00F900A3" w:rsidRPr="00617C76" w:rsidRDefault="00F900A3" w:rsidP="00F900A3">
      <w:r>
        <w:t>N/A</w:t>
      </w:r>
    </w:p>
    <w:p w14:paraId="5152463C" w14:textId="77777777" w:rsidR="00F900A3" w:rsidRPr="00617C76" w:rsidRDefault="00F900A3" w:rsidP="00F900A3">
      <w:pPr>
        <w:pStyle w:val="Heading4"/>
      </w:pPr>
      <w:r w:rsidRPr="00617C76">
        <w:t>Priority Reforms and Socio-economic Outcomes</w:t>
      </w:r>
    </w:p>
    <w:p w14:paraId="70045A5B" w14:textId="77777777" w:rsidR="00DC3113" w:rsidRDefault="00DC3113" w:rsidP="00F900A3">
      <w:r w:rsidRPr="00DC3113">
        <w:t xml:space="preserve">Priority Reform 1 </w:t>
      </w:r>
    </w:p>
    <w:p w14:paraId="345D64EC" w14:textId="77777777" w:rsidR="00DC3113" w:rsidRDefault="00DC3113" w:rsidP="00F900A3">
      <w:r w:rsidRPr="00DC3113">
        <w:t xml:space="preserve">Priority Reform 2 </w:t>
      </w:r>
    </w:p>
    <w:p w14:paraId="4BB40938" w14:textId="77777777" w:rsidR="00DC3113" w:rsidRDefault="00DC3113" w:rsidP="00F900A3">
      <w:r w:rsidRPr="00DC3113">
        <w:t xml:space="preserve">Priority Reform 3 </w:t>
      </w:r>
    </w:p>
    <w:p w14:paraId="29EB802A" w14:textId="77777777" w:rsidR="00DC3113" w:rsidRDefault="00DC3113" w:rsidP="00F900A3">
      <w:r w:rsidRPr="00DC3113">
        <w:t xml:space="preserve">Priority Reform 4 </w:t>
      </w:r>
    </w:p>
    <w:p w14:paraId="5C5D561E" w14:textId="54D27BFD" w:rsidR="00F900A3" w:rsidRPr="007C35F3" w:rsidRDefault="00DC3113" w:rsidP="00F900A3">
      <w:r w:rsidRPr="00DC3113">
        <w:t>Outcome 12</w:t>
      </w:r>
    </w:p>
    <w:p w14:paraId="03BDB370" w14:textId="77777777" w:rsidR="00F900A3" w:rsidRPr="00617C76" w:rsidRDefault="00F900A3" w:rsidP="00F900A3">
      <w:pPr>
        <w:pStyle w:val="Heading4"/>
      </w:pPr>
      <w:r w:rsidRPr="00617C76">
        <w:t>Partnership function</w:t>
      </w:r>
    </w:p>
    <w:p w14:paraId="1F9990CD" w14:textId="04DEC4B7" w:rsidR="00F900A3" w:rsidRPr="00617C76" w:rsidRDefault="004C604B" w:rsidP="00F900A3">
      <w:r w:rsidRPr="004C604B">
        <w:t>Policy</w:t>
      </w:r>
    </w:p>
    <w:p w14:paraId="6154DC64" w14:textId="77777777" w:rsidR="00F900A3" w:rsidRPr="00617C76" w:rsidRDefault="00F900A3" w:rsidP="00F900A3">
      <w:pPr>
        <w:pStyle w:val="Heading4"/>
      </w:pPr>
      <w:r w:rsidRPr="00617C76">
        <w:t>Partnership timeframe</w:t>
      </w:r>
    </w:p>
    <w:p w14:paraId="401DAE28" w14:textId="77777777" w:rsidR="004C604B" w:rsidRDefault="004C604B" w:rsidP="00F900A3">
      <w:r w:rsidRPr="004C604B">
        <w:t xml:space="preserve">2023 to 2026 </w:t>
      </w:r>
    </w:p>
    <w:p w14:paraId="0F97D2F4" w14:textId="54A45A01" w:rsidR="00F900A3" w:rsidRPr="00617C76" w:rsidRDefault="004C604B" w:rsidP="00F900A3">
      <w:r w:rsidRPr="004C604B">
        <w:t xml:space="preserve">Per clause 6.1 of the Partnership Agreement, at the conclusion of the First Action Plan and the Aboriginal and Torres Strait Islander First Action Plan, the Parties will review and consider whether a new Partnership Agreement needs to be </w:t>
      </w:r>
      <w:proofErr w:type="gramStart"/>
      <w:r w:rsidRPr="004C604B">
        <w:t>created</w:t>
      </w:r>
      <w:proofErr w:type="gramEnd"/>
      <w:r w:rsidRPr="004C604B">
        <w:t xml:space="preserve"> or the existing Partnership Agreement should be updated or extended.</w:t>
      </w:r>
    </w:p>
    <w:p w14:paraId="4E84A053" w14:textId="77777777" w:rsidR="00F900A3" w:rsidRPr="00617C76" w:rsidRDefault="00F900A3" w:rsidP="00F900A3">
      <w:pPr>
        <w:pStyle w:val="Heading4"/>
      </w:pPr>
      <w:r w:rsidRPr="00617C76">
        <w:t>Actions taken to strengthen the partnership in 2025</w:t>
      </w:r>
    </w:p>
    <w:p w14:paraId="28AF7D05" w14:textId="77777777" w:rsidR="00F449CB" w:rsidRDefault="00F449CB" w:rsidP="00F900A3">
      <w:r w:rsidRPr="00F449CB">
        <w:t xml:space="preserve">The Implementation Review was an independent process evaluation, conducted by Ernst &amp; Young (EY) and Kowa Collaboration, which focused on early insights from the establishment and implementation of Safe and Supported, with a purpose of identifying areas for improvement and refinement. The Review covered areas of evaluation from both the Aboriginal and Torres Strait Islander Monitoring and Evaluation Strategy (MES) and the Safe and Supported MES. </w:t>
      </w:r>
    </w:p>
    <w:p w14:paraId="51076725" w14:textId="08971FE6" w:rsidR="00F900A3" w:rsidRPr="00617C76" w:rsidRDefault="00F449CB" w:rsidP="00F900A3">
      <w:r w:rsidRPr="00F449CB">
        <w:t>Safe and Supported partners also transformed the Safe and Supported governance structure and refreshed how working groups operate to facilitate more efficient and accountable implementation of Safe and Supported activities. The changes will strengthen coordinated approaches to addressing challenges and barriers, to streamline implementation and embed shared decision</w:t>
      </w:r>
      <w:r w:rsidRPr="00F449CB">
        <w:noBreakHyphen/>
        <w:t>making principles.</w:t>
      </w:r>
    </w:p>
    <w:p w14:paraId="240CCBDD" w14:textId="77777777" w:rsidR="00F900A3" w:rsidRPr="00617C76" w:rsidRDefault="00F900A3" w:rsidP="00F900A3">
      <w:pPr>
        <w:pStyle w:val="Heading4"/>
      </w:pPr>
      <w:r w:rsidRPr="00617C76">
        <w:t>Strong partnership indicators</w:t>
      </w:r>
    </w:p>
    <w:p w14:paraId="19F59376" w14:textId="77777777" w:rsidR="00F900A3" w:rsidRPr="00617C76" w:rsidRDefault="00F900A3" w:rsidP="00F900A3">
      <w:pPr>
        <w:pStyle w:val="Heading5"/>
      </w:pPr>
      <w:r w:rsidRPr="00617C76">
        <w:t>Clause 32A:</w:t>
      </w:r>
    </w:p>
    <w:p w14:paraId="7D26D5DA" w14:textId="050FA439" w:rsidR="00F900A3" w:rsidRDefault="00D61E9B" w:rsidP="004A54BF">
      <w:pPr>
        <w:pStyle w:val="ListParagraph"/>
        <w:numPr>
          <w:ilvl w:val="0"/>
          <w:numId w:val="113"/>
        </w:numPr>
      </w:pPr>
      <w:r w:rsidRPr="00D61E9B">
        <w:t>Met</w:t>
      </w:r>
    </w:p>
    <w:p w14:paraId="55E7110B" w14:textId="6AE7578C" w:rsidR="00F900A3" w:rsidRDefault="00D61E9B" w:rsidP="004A54BF">
      <w:pPr>
        <w:pStyle w:val="ListParagraph"/>
        <w:numPr>
          <w:ilvl w:val="0"/>
          <w:numId w:val="113"/>
        </w:numPr>
      </w:pPr>
      <w:r w:rsidRPr="00D61E9B">
        <w:t>Met</w:t>
      </w:r>
    </w:p>
    <w:p w14:paraId="1C85AEC9" w14:textId="578CF8EE" w:rsidR="00F900A3" w:rsidRDefault="00D61E9B" w:rsidP="004A54BF">
      <w:pPr>
        <w:pStyle w:val="ListParagraph"/>
        <w:numPr>
          <w:ilvl w:val="0"/>
          <w:numId w:val="113"/>
        </w:numPr>
      </w:pPr>
      <w:r w:rsidRPr="00D61E9B">
        <w:t>Met</w:t>
      </w:r>
    </w:p>
    <w:p w14:paraId="4F8F1C0D" w14:textId="77777777" w:rsidR="00F900A3" w:rsidRPr="00617C76" w:rsidRDefault="00F900A3" w:rsidP="00F900A3">
      <w:pPr>
        <w:pStyle w:val="Heading5"/>
      </w:pPr>
      <w:r w:rsidRPr="00617C76">
        <w:lastRenderedPageBreak/>
        <w:t>Clause 32B:</w:t>
      </w:r>
    </w:p>
    <w:p w14:paraId="4034000E" w14:textId="4FA6370C" w:rsidR="00F900A3" w:rsidRDefault="00D61E9B" w:rsidP="004A54BF">
      <w:pPr>
        <w:pStyle w:val="ListParagraph"/>
        <w:numPr>
          <w:ilvl w:val="0"/>
          <w:numId w:val="115"/>
        </w:numPr>
      </w:pPr>
      <w:r w:rsidRPr="00D61E9B">
        <w:t>Met</w:t>
      </w:r>
    </w:p>
    <w:p w14:paraId="25F2F10E" w14:textId="50D40575" w:rsidR="00F900A3" w:rsidRDefault="00D61E9B" w:rsidP="004A54BF">
      <w:pPr>
        <w:pStyle w:val="ListParagraph"/>
        <w:numPr>
          <w:ilvl w:val="0"/>
          <w:numId w:val="115"/>
        </w:numPr>
      </w:pPr>
      <w:r w:rsidRPr="00D61E9B">
        <w:t>Met</w:t>
      </w:r>
    </w:p>
    <w:p w14:paraId="74166300" w14:textId="27A3D8BC" w:rsidR="00F900A3" w:rsidRDefault="00D61E9B" w:rsidP="004A54BF">
      <w:pPr>
        <w:pStyle w:val="ListParagraph"/>
        <w:numPr>
          <w:ilvl w:val="0"/>
          <w:numId w:val="115"/>
        </w:numPr>
      </w:pPr>
      <w:r w:rsidRPr="00D61E9B">
        <w:t>Met</w:t>
      </w:r>
    </w:p>
    <w:p w14:paraId="19E0EAB1" w14:textId="77777777" w:rsidR="00F900A3" w:rsidRDefault="00F900A3" w:rsidP="004A54BF">
      <w:pPr>
        <w:pStyle w:val="ListParagraph"/>
        <w:numPr>
          <w:ilvl w:val="0"/>
          <w:numId w:val="115"/>
        </w:numPr>
      </w:pPr>
      <w:r>
        <w:t>N/A</w:t>
      </w:r>
    </w:p>
    <w:p w14:paraId="64984D28" w14:textId="77777777" w:rsidR="00F900A3" w:rsidRPr="00617C76" w:rsidRDefault="00F900A3" w:rsidP="00F900A3">
      <w:pPr>
        <w:pStyle w:val="Heading5"/>
      </w:pPr>
      <w:r w:rsidRPr="00617C76">
        <w:t>Clause 32C:</w:t>
      </w:r>
    </w:p>
    <w:p w14:paraId="41D4F4F6" w14:textId="79794F31" w:rsidR="00F900A3" w:rsidRDefault="00D61E9B" w:rsidP="004A54BF">
      <w:pPr>
        <w:pStyle w:val="ListParagraph"/>
        <w:numPr>
          <w:ilvl w:val="0"/>
          <w:numId w:val="114"/>
        </w:numPr>
      </w:pPr>
      <w:r w:rsidRPr="00D61E9B">
        <w:t>Met</w:t>
      </w:r>
    </w:p>
    <w:p w14:paraId="21C65DC2" w14:textId="441AED84" w:rsidR="00F900A3" w:rsidRDefault="00D61E9B" w:rsidP="004A54BF">
      <w:pPr>
        <w:pStyle w:val="ListParagraph"/>
        <w:numPr>
          <w:ilvl w:val="0"/>
          <w:numId w:val="114"/>
        </w:numPr>
      </w:pPr>
      <w:r w:rsidRPr="00D61E9B">
        <w:t>Met</w:t>
      </w:r>
    </w:p>
    <w:p w14:paraId="52078D87" w14:textId="1735F052" w:rsidR="00F900A3" w:rsidRDefault="00D61E9B" w:rsidP="004A54BF">
      <w:pPr>
        <w:pStyle w:val="ListParagraph"/>
        <w:numPr>
          <w:ilvl w:val="0"/>
          <w:numId w:val="114"/>
        </w:numPr>
      </w:pPr>
      <w:r w:rsidRPr="00D61E9B">
        <w:t>Met</w:t>
      </w:r>
    </w:p>
    <w:p w14:paraId="06CD5AC6" w14:textId="0E11C87B" w:rsidR="00F900A3" w:rsidRDefault="00D61E9B" w:rsidP="004A54BF">
      <w:pPr>
        <w:pStyle w:val="ListParagraph"/>
        <w:numPr>
          <w:ilvl w:val="0"/>
          <w:numId w:val="114"/>
        </w:numPr>
      </w:pPr>
      <w:r w:rsidRPr="00D61E9B">
        <w:t>Met</w:t>
      </w:r>
    </w:p>
    <w:p w14:paraId="0F201288" w14:textId="5201EF34" w:rsidR="00F900A3" w:rsidRDefault="00D61E9B" w:rsidP="004A54BF">
      <w:pPr>
        <w:pStyle w:val="ListParagraph"/>
        <w:numPr>
          <w:ilvl w:val="0"/>
          <w:numId w:val="114"/>
        </w:numPr>
      </w:pPr>
      <w:r w:rsidRPr="00D61E9B">
        <w:t>Met</w:t>
      </w:r>
    </w:p>
    <w:p w14:paraId="5C73B283" w14:textId="4F4109AD" w:rsidR="00F900A3" w:rsidRDefault="00D61E9B" w:rsidP="004A54BF">
      <w:pPr>
        <w:pStyle w:val="ListParagraph"/>
        <w:numPr>
          <w:ilvl w:val="0"/>
          <w:numId w:val="114"/>
        </w:numPr>
      </w:pPr>
      <w:r w:rsidRPr="00D61E9B">
        <w:t>Met</w:t>
      </w:r>
    </w:p>
    <w:p w14:paraId="5D9433E3" w14:textId="015B11DA" w:rsidR="00F900A3" w:rsidRDefault="00D61E9B" w:rsidP="004A54BF">
      <w:pPr>
        <w:pStyle w:val="ListParagraph"/>
        <w:numPr>
          <w:ilvl w:val="0"/>
          <w:numId w:val="114"/>
        </w:numPr>
      </w:pPr>
      <w:r w:rsidRPr="00D61E9B">
        <w:t>Met</w:t>
      </w:r>
    </w:p>
    <w:p w14:paraId="199785AD" w14:textId="77777777" w:rsidR="00F900A3" w:rsidRPr="00617C76" w:rsidRDefault="00F900A3" w:rsidP="00F900A3">
      <w:pPr>
        <w:pStyle w:val="Heading5"/>
      </w:pPr>
      <w:r w:rsidRPr="00617C76">
        <w:t>Clause 33:</w:t>
      </w:r>
    </w:p>
    <w:p w14:paraId="64EFFB23" w14:textId="08E4ADFC" w:rsidR="00F900A3" w:rsidRDefault="00D61E9B" w:rsidP="00F900A3">
      <w:r w:rsidRPr="00D61E9B">
        <w:t>Met</w:t>
      </w:r>
    </w:p>
    <w:p w14:paraId="65825DE1" w14:textId="77777777" w:rsidR="00F900A3" w:rsidRDefault="00F900A3" w:rsidP="00F900A3">
      <w:pPr>
        <w:pStyle w:val="Heading4"/>
      </w:pPr>
      <w:r w:rsidRPr="00617C76">
        <w:t>Achievements over 2025</w:t>
      </w:r>
    </w:p>
    <w:p w14:paraId="02CB8A90" w14:textId="77777777" w:rsidR="009405DB" w:rsidRDefault="009405DB" w:rsidP="00F900A3">
      <w:r w:rsidRPr="009405DB">
        <w:t xml:space="preserve">The partnership has engaged in ongoing governance meetings to provide oversight of and make decisions on implementation of the Safe and Supported First Action Plans. </w:t>
      </w:r>
    </w:p>
    <w:p w14:paraId="7BD7052A" w14:textId="77777777" w:rsidR="009405DB" w:rsidRDefault="009405DB" w:rsidP="00F900A3">
      <w:r w:rsidRPr="009405DB">
        <w:t>In January 2025, The National Commission for Aboriginal and Torres Strait Islander Children and Young People was formally established, with Sue</w:t>
      </w:r>
      <w:r w:rsidRPr="009405DB">
        <w:noBreakHyphen/>
        <w:t xml:space="preserve">Ann Hunter subsequently appointed as the inaugural National Commissioner. </w:t>
      </w:r>
    </w:p>
    <w:p w14:paraId="015408D0" w14:textId="77777777" w:rsidR="009405DB" w:rsidRDefault="009405DB" w:rsidP="00F900A3">
      <w:r w:rsidRPr="009405DB">
        <w:t xml:space="preserve">The establishment of the National Commission is a significant achievement for the partnership. The ‘Barriers Experienced by Aboriginal and Torres Strait Islander Children and Families Accessing Legal Supports Scoping Study’ report, was undertaken by SNAICC and the National Aboriginal and Torres Strait Islander Legal Services (NATSILS). The final scoping study was accepted by the partnership in September 2025. </w:t>
      </w:r>
    </w:p>
    <w:p w14:paraId="09B12C6E" w14:textId="77777777" w:rsidR="009F7E43" w:rsidRDefault="009405DB" w:rsidP="00F900A3">
      <w:r w:rsidRPr="009405DB">
        <w:t>The Australian Government, the Aboriginal and Torres Strait Islander Leadership Group and most states and territories endorsed the National Child and Family Investment Strategy (the Strategy) at the 31 October Shared Decision</w:t>
      </w:r>
      <w:r w:rsidRPr="009405DB">
        <w:noBreakHyphen/>
        <w:t xml:space="preserve">Making Committee on 31 October 2025. The Investment Strategy involves all governments agreeing to shift investment towards early and targeted supports for children and families and a proportionate shift in investment to the Aboriginal Community Controlled Organisations (ACCOs) sector. </w:t>
      </w:r>
    </w:p>
    <w:p w14:paraId="55587DB8" w14:textId="6DE51DB2" w:rsidR="00F900A3" w:rsidRPr="003E2721" w:rsidRDefault="009405DB" w:rsidP="00F900A3">
      <w:r w:rsidRPr="009405DB">
        <w:t>To support and test the Investment Strategy, the Australian Government is providing $9.8 million in funding over 3 years to 10 Aboriginal community</w:t>
      </w:r>
      <w:r w:rsidRPr="009405DB">
        <w:noBreakHyphen/>
        <w:t>controlled organisations through the Innovation Fund grant. Grant applications were assessed by a selection advisory panel comprising representatives from the Leadership Group, the National Coalition on Child Safety and Wellbeing, and DSS, demonstrating partnership and shared decision</w:t>
      </w:r>
      <w:r w:rsidRPr="009405DB">
        <w:noBreakHyphen/>
        <w:t>making in action.</w:t>
      </w:r>
    </w:p>
    <w:p w14:paraId="20064C64" w14:textId="6FC8A153" w:rsidR="00F900A3" w:rsidRDefault="00A23557" w:rsidP="00F900A3">
      <w:pPr>
        <w:pStyle w:val="Heading3"/>
      </w:pPr>
      <w:bookmarkStart w:id="37" w:name="_Toc225506059"/>
      <w:r w:rsidRPr="00A23557">
        <w:t>Shared Hearing Services Plans</w:t>
      </w:r>
      <w:bookmarkEnd w:id="37"/>
    </w:p>
    <w:p w14:paraId="2CAD51F3" w14:textId="77777777" w:rsidR="00F900A3" w:rsidRDefault="00F900A3" w:rsidP="00F900A3">
      <w:pPr>
        <w:pStyle w:val="Heading4"/>
      </w:pPr>
      <w:r w:rsidRPr="00617C76">
        <w:t>Partnership description</w:t>
      </w:r>
    </w:p>
    <w:p w14:paraId="102DA4E8" w14:textId="060EE3C9" w:rsidR="00F900A3" w:rsidRPr="00837360" w:rsidRDefault="00A23557" w:rsidP="00F900A3">
      <w:r w:rsidRPr="00A23557">
        <w:t>The Shared Hearing Services Plan (SHSP) partnership was formed to co</w:t>
      </w:r>
      <w:r w:rsidRPr="00A23557">
        <w:noBreakHyphen/>
        <w:t>design new place</w:t>
      </w:r>
      <w:r w:rsidRPr="00A23557">
        <w:noBreakHyphen/>
        <w:t>based service agreements with more than 120 Aboriginal Community Controlled Health Organisations (ACCHOs), meeting the needs of each community.</w:t>
      </w:r>
    </w:p>
    <w:p w14:paraId="421C12A7" w14:textId="77777777" w:rsidR="00F900A3" w:rsidRDefault="00F900A3" w:rsidP="00F900A3">
      <w:pPr>
        <w:pStyle w:val="Heading4"/>
      </w:pPr>
      <w:r w:rsidRPr="00DF6278">
        <w:t>Aboriginal and Torres Strait Islander parties</w:t>
      </w:r>
    </w:p>
    <w:p w14:paraId="4A045740" w14:textId="015458C2" w:rsidR="00F900A3" w:rsidRPr="00B27ADE" w:rsidRDefault="006E48C3" w:rsidP="00F900A3">
      <w:r w:rsidRPr="00B27ADE">
        <w:t>Orange Aboriginal Medical Service</w:t>
      </w:r>
      <w:r w:rsidR="00126E19">
        <w:t xml:space="preserve"> (endorsing partner)</w:t>
      </w:r>
    </w:p>
    <w:p w14:paraId="37181B43" w14:textId="0FDE8CB6" w:rsidR="006E48C3" w:rsidRPr="006E48C3" w:rsidRDefault="006E48C3" w:rsidP="006E48C3">
      <w:r w:rsidRPr="006E48C3">
        <w:lastRenderedPageBreak/>
        <w:t>All NACCHO members that deliver primary health services</w:t>
      </w:r>
    </w:p>
    <w:p w14:paraId="23941023" w14:textId="77777777" w:rsidR="00F900A3" w:rsidRPr="00617C76" w:rsidRDefault="00F900A3" w:rsidP="00F900A3">
      <w:pPr>
        <w:pStyle w:val="Heading4"/>
      </w:pPr>
      <w:r w:rsidRPr="00617C76">
        <w:t>Government parties</w:t>
      </w:r>
    </w:p>
    <w:p w14:paraId="023BD90C" w14:textId="77777777" w:rsidR="00F900A3" w:rsidRDefault="00F900A3" w:rsidP="00F900A3">
      <w:pPr>
        <w:pStyle w:val="Heading5"/>
      </w:pPr>
      <w:r w:rsidRPr="00115C74">
        <w:t xml:space="preserve">COMMONWEALTH PARTIES </w:t>
      </w:r>
    </w:p>
    <w:p w14:paraId="4D025C07" w14:textId="55550413" w:rsidR="00F900A3" w:rsidRPr="00B27ADE" w:rsidRDefault="00AC0B1D" w:rsidP="00F900A3">
      <w:r w:rsidRPr="00B27ADE">
        <w:t>Hearing Australia</w:t>
      </w:r>
      <w:r w:rsidR="00126E19">
        <w:t xml:space="preserve"> (endorsing partner)</w:t>
      </w:r>
    </w:p>
    <w:p w14:paraId="6E915B00" w14:textId="77777777" w:rsidR="00F900A3" w:rsidRPr="00115C74" w:rsidRDefault="00F900A3" w:rsidP="00F900A3">
      <w:pPr>
        <w:pStyle w:val="Heading5"/>
      </w:pPr>
      <w:r w:rsidRPr="00115C74">
        <w:t xml:space="preserve">STATE AND TERRITORY PARTIES </w:t>
      </w:r>
    </w:p>
    <w:p w14:paraId="595CF367" w14:textId="77777777" w:rsidR="00F900A3" w:rsidRPr="00617C76" w:rsidRDefault="00F900A3" w:rsidP="00F900A3">
      <w:r>
        <w:t>N/A</w:t>
      </w:r>
    </w:p>
    <w:p w14:paraId="5DF29F8A" w14:textId="77777777" w:rsidR="00F900A3" w:rsidRPr="00617C76" w:rsidRDefault="00F900A3" w:rsidP="00F900A3">
      <w:pPr>
        <w:pStyle w:val="Heading4"/>
      </w:pPr>
      <w:r w:rsidRPr="00617C76">
        <w:t>Priority Reforms and Socio-economic Outcomes</w:t>
      </w:r>
    </w:p>
    <w:p w14:paraId="2221225E" w14:textId="77777777" w:rsidR="0062136F" w:rsidRDefault="0062136F" w:rsidP="00F900A3">
      <w:r w:rsidRPr="0062136F">
        <w:t xml:space="preserve">Priority Reform 1 </w:t>
      </w:r>
    </w:p>
    <w:p w14:paraId="10BEE12D" w14:textId="77777777" w:rsidR="0062136F" w:rsidRDefault="0062136F" w:rsidP="00F900A3">
      <w:r w:rsidRPr="0062136F">
        <w:t xml:space="preserve">Outcome 4 </w:t>
      </w:r>
    </w:p>
    <w:p w14:paraId="3FDF6B44" w14:textId="6C30371A" w:rsidR="00F900A3" w:rsidRPr="007C35F3" w:rsidRDefault="0062136F" w:rsidP="00F900A3">
      <w:r w:rsidRPr="0062136F">
        <w:t>Outcome 5</w:t>
      </w:r>
    </w:p>
    <w:p w14:paraId="7922EC63" w14:textId="77777777" w:rsidR="00F900A3" w:rsidRPr="00617C76" w:rsidRDefault="00F900A3" w:rsidP="00F900A3">
      <w:pPr>
        <w:pStyle w:val="Heading4"/>
      </w:pPr>
      <w:r w:rsidRPr="00617C76">
        <w:t>Partnership function</w:t>
      </w:r>
    </w:p>
    <w:p w14:paraId="4BD38641" w14:textId="6B8E4611" w:rsidR="00F900A3" w:rsidRPr="00617C76" w:rsidRDefault="00E30139" w:rsidP="00F900A3">
      <w:r w:rsidRPr="00E30139">
        <w:t>Place</w:t>
      </w:r>
      <w:r w:rsidRPr="00E30139">
        <w:noBreakHyphen/>
        <w:t>based</w:t>
      </w:r>
    </w:p>
    <w:p w14:paraId="0CD241DC" w14:textId="77777777" w:rsidR="00F900A3" w:rsidRPr="00617C76" w:rsidRDefault="00F900A3" w:rsidP="00F900A3">
      <w:pPr>
        <w:pStyle w:val="Heading4"/>
      </w:pPr>
      <w:r w:rsidRPr="00617C76">
        <w:t>Partnership timeframe</w:t>
      </w:r>
    </w:p>
    <w:p w14:paraId="79354B04" w14:textId="53074337" w:rsidR="00F900A3" w:rsidRPr="00617C76" w:rsidRDefault="00E30139" w:rsidP="00F900A3">
      <w:r w:rsidRPr="00E30139">
        <w:t>2024 to 2028</w:t>
      </w:r>
    </w:p>
    <w:p w14:paraId="0C8BDE34" w14:textId="77777777" w:rsidR="00F900A3" w:rsidRPr="00617C76" w:rsidRDefault="00F900A3" w:rsidP="00F900A3">
      <w:pPr>
        <w:pStyle w:val="Heading4"/>
      </w:pPr>
      <w:r w:rsidRPr="00617C76">
        <w:t>Actions taken to strengthen the partnership in 2025</w:t>
      </w:r>
    </w:p>
    <w:p w14:paraId="6CD82D35" w14:textId="4182CACA" w:rsidR="00F900A3" w:rsidRPr="00617C76" w:rsidRDefault="00EB3C4D" w:rsidP="00F900A3">
      <w:r w:rsidRPr="00EB3C4D">
        <w:t>In 2025, the partnership was strengthened by extending the number of services that have a co</w:t>
      </w:r>
      <w:r w:rsidRPr="00EB3C4D">
        <w:noBreakHyphen/>
        <w:t>designed Shared Hearing Services Plan in place and by reviewing and updating the process and the completed plans in an ongoing manner. SHSP partnership also undertook regular reviews to ensure service delivery is meeting the needs of the partners and community.</w:t>
      </w:r>
    </w:p>
    <w:p w14:paraId="3C4B2C8F" w14:textId="77777777" w:rsidR="00F900A3" w:rsidRPr="00617C76" w:rsidRDefault="00F900A3" w:rsidP="00F900A3">
      <w:pPr>
        <w:pStyle w:val="Heading4"/>
      </w:pPr>
      <w:r w:rsidRPr="00617C76">
        <w:t>Strong partnership indicators</w:t>
      </w:r>
    </w:p>
    <w:p w14:paraId="2AF94FC7" w14:textId="77777777" w:rsidR="00F900A3" w:rsidRPr="00617C76" w:rsidRDefault="00F900A3" w:rsidP="00F900A3">
      <w:pPr>
        <w:pStyle w:val="Heading5"/>
      </w:pPr>
      <w:r w:rsidRPr="00617C76">
        <w:t>Clause 32A:</w:t>
      </w:r>
    </w:p>
    <w:p w14:paraId="3976595D" w14:textId="231EC812" w:rsidR="00F900A3" w:rsidRDefault="00EB3C4D" w:rsidP="00EB3C4D">
      <w:pPr>
        <w:pStyle w:val="ListParagraph"/>
        <w:numPr>
          <w:ilvl w:val="0"/>
          <w:numId w:val="116"/>
        </w:numPr>
      </w:pPr>
      <w:r w:rsidRPr="00EB3C4D">
        <w:t>Met</w:t>
      </w:r>
    </w:p>
    <w:p w14:paraId="0C4F16FC" w14:textId="5D05D872" w:rsidR="00F900A3" w:rsidRDefault="00EB3C4D" w:rsidP="00EB3C4D">
      <w:pPr>
        <w:pStyle w:val="ListParagraph"/>
        <w:numPr>
          <w:ilvl w:val="0"/>
          <w:numId w:val="116"/>
        </w:numPr>
      </w:pPr>
      <w:r w:rsidRPr="00EB3C4D">
        <w:t>Met</w:t>
      </w:r>
    </w:p>
    <w:p w14:paraId="51317EFD" w14:textId="3618EEA1" w:rsidR="00F900A3" w:rsidRDefault="00EB3C4D" w:rsidP="00EB3C4D">
      <w:pPr>
        <w:pStyle w:val="ListParagraph"/>
        <w:numPr>
          <w:ilvl w:val="0"/>
          <w:numId w:val="116"/>
        </w:numPr>
      </w:pPr>
      <w:r w:rsidRPr="00EB3C4D">
        <w:t>Met</w:t>
      </w:r>
    </w:p>
    <w:p w14:paraId="72E187A6" w14:textId="77777777" w:rsidR="00F900A3" w:rsidRPr="00617C76" w:rsidRDefault="00F900A3" w:rsidP="00F900A3">
      <w:pPr>
        <w:pStyle w:val="Heading5"/>
      </w:pPr>
      <w:r w:rsidRPr="00617C76">
        <w:t>Clause 32B:</w:t>
      </w:r>
    </w:p>
    <w:p w14:paraId="511DE00B" w14:textId="7FCDC45C" w:rsidR="00F900A3" w:rsidRDefault="00EB3C4D" w:rsidP="00EB3C4D">
      <w:pPr>
        <w:pStyle w:val="ListParagraph"/>
        <w:numPr>
          <w:ilvl w:val="0"/>
          <w:numId w:val="117"/>
        </w:numPr>
      </w:pPr>
      <w:r w:rsidRPr="00EB3C4D">
        <w:t>Met</w:t>
      </w:r>
    </w:p>
    <w:p w14:paraId="0228DFD7" w14:textId="414DA7FC" w:rsidR="00F900A3" w:rsidRDefault="00EB3C4D" w:rsidP="00EB3C4D">
      <w:pPr>
        <w:pStyle w:val="ListParagraph"/>
        <w:numPr>
          <w:ilvl w:val="0"/>
          <w:numId w:val="117"/>
        </w:numPr>
      </w:pPr>
      <w:r w:rsidRPr="00EB3C4D">
        <w:t>Met</w:t>
      </w:r>
    </w:p>
    <w:p w14:paraId="751FE669" w14:textId="1CABFFFD" w:rsidR="00F900A3" w:rsidRDefault="005F66BF" w:rsidP="00EB3C4D">
      <w:pPr>
        <w:pStyle w:val="ListParagraph"/>
        <w:numPr>
          <w:ilvl w:val="0"/>
          <w:numId w:val="117"/>
        </w:numPr>
      </w:pPr>
      <w:r w:rsidRPr="005F66BF">
        <w:t>N/A</w:t>
      </w:r>
    </w:p>
    <w:p w14:paraId="63D749E6" w14:textId="77777777" w:rsidR="00F900A3" w:rsidRDefault="00F900A3" w:rsidP="00EB3C4D">
      <w:pPr>
        <w:pStyle w:val="ListParagraph"/>
        <w:numPr>
          <w:ilvl w:val="0"/>
          <w:numId w:val="117"/>
        </w:numPr>
      </w:pPr>
      <w:r>
        <w:t>N/A</w:t>
      </w:r>
    </w:p>
    <w:p w14:paraId="553AE1C8" w14:textId="77777777" w:rsidR="00F900A3" w:rsidRPr="00617C76" w:rsidRDefault="00F900A3" w:rsidP="00F900A3">
      <w:pPr>
        <w:pStyle w:val="Heading5"/>
      </w:pPr>
      <w:r w:rsidRPr="00617C76">
        <w:t>Clause 32C:</w:t>
      </w:r>
    </w:p>
    <w:p w14:paraId="4EF49EB5" w14:textId="629CACB3" w:rsidR="00F900A3" w:rsidRDefault="00EB3C4D" w:rsidP="00EB3C4D">
      <w:pPr>
        <w:pStyle w:val="ListParagraph"/>
        <w:numPr>
          <w:ilvl w:val="0"/>
          <w:numId w:val="118"/>
        </w:numPr>
      </w:pPr>
      <w:r w:rsidRPr="00EB3C4D">
        <w:t>Met</w:t>
      </w:r>
    </w:p>
    <w:p w14:paraId="1979528F" w14:textId="6F0E1426" w:rsidR="00F900A3" w:rsidRDefault="00EB3C4D" w:rsidP="00EB3C4D">
      <w:pPr>
        <w:pStyle w:val="ListParagraph"/>
        <w:numPr>
          <w:ilvl w:val="0"/>
          <w:numId w:val="118"/>
        </w:numPr>
      </w:pPr>
      <w:r w:rsidRPr="00EB3C4D">
        <w:t>Met</w:t>
      </w:r>
    </w:p>
    <w:p w14:paraId="5E60F264" w14:textId="1855C3C7" w:rsidR="00F900A3" w:rsidRDefault="00EB3C4D" w:rsidP="00EB3C4D">
      <w:pPr>
        <w:pStyle w:val="ListParagraph"/>
        <w:numPr>
          <w:ilvl w:val="0"/>
          <w:numId w:val="118"/>
        </w:numPr>
      </w:pPr>
      <w:r w:rsidRPr="00EB3C4D">
        <w:t>Met</w:t>
      </w:r>
    </w:p>
    <w:p w14:paraId="483FDA3E" w14:textId="539D9EE3" w:rsidR="00F900A3" w:rsidRDefault="00EB3C4D" w:rsidP="00EB3C4D">
      <w:pPr>
        <w:pStyle w:val="ListParagraph"/>
        <w:numPr>
          <w:ilvl w:val="0"/>
          <w:numId w:val="118"/>
        </w:numPr>
      </w:pPr>
      <w:r w:rsidRPr="00EB3C4D">
        <w:t>Met</w:t>
      </w:r>
    </w:p>
    <w:p w14:paraId="54A45649" w14:textId="5CFBB1AA" w:rsidR="00F900A3" w:rsidRDefault="00EB3C4D" w:rsidP="00EB3C4D">
      <w:pPr>
        <w:pStyle w:val="ListParagraph"/>
        <w:numPr>
          <w:ilvl w:val="0"/>
          <w:numId w:val="118"/>
        </w:numPr>
      </w:pPr>
      <w:r w:rsidRPr="00EB3C4D">
        <w:t>Met</w:t>
      </w:r>
    </w:p>
    <w:p w14:paraId="3F8F1F96" w14:textId="3679FEC5" w:rsidR="00F900A3" w:rsidRDefault="005F66BF" w:rsidP="00EB3C4D">
      <w:pPr>
        <w:pStyle w:val="ListParagraph"/>
        <w:numPr>
          <w:ilvl w:val="0"/>
          <w:numId w:val="118"/>
        </w:numPr>
      </w:pPr>
      <w:r w:rsidRPr="005F66BF">
        <w:t>N/A</w:t>
      </w:r>
    </w:p>
    <w:p w14:paraId="70BB9B00" w14:textId="6446CF6E" w:rsidR="00F900A3" w:rsidRDefault="00EB3C4D" w:rsidP="00EB3C4D">
      <w:pPr>
        <w:pStyle w:val="ListParagraph"/>
        <w:numPr>
          <w:ilvl w:val="0"/>
          <w:numId w:val="118"/>
        </w:numPr>
      </w:pPr>
      <w:r w:rsidRPr="00EB3C4D">
        <w:t>Met</w:t>
      </w:r>
    </w:p>
    <w:p w14:paraId="68364336" w14:textId="77777777" w:rsidR="00F900A3" w:rsidRPr="00617C76" w:rsidRDefault="00F900A3" w:rsidP="00F900A3">
      <w:pPr>
        <w:pStyle w:val="Heading5"/>
      </w:pPr>
      <w:r w:rsidRPr="00617C76">
        <w:t>Clause 33:</w:t>
      </w:r>
    </w:p>
    <w:p w14:paraId="04BD6455" w14:textId="41B520DD" w:rsidR="00F900A3" w:rsidRDefault="005F66BF" w:rsidP="00F900A3">
      <w:r w:rsidRPr="005F66BF">
        <w:t>N/A</w:t>
      </w:r>
    </w:p>
    <w:p w14:paraId="70BED210" w14:textId="77777777" w:rsidR="00F900A3" w:rsidRDefault="00F900A3" w:rsidP="00F900A3">
      <w:pPr>
        <w:pStyle w:val="Heading4"/>
      </w:pPr>
      <w:r w:rsidRPr="00617C76">
        <w:lastRenderedPageBreak/>
        <w:t>Achievements over 2025</w:t>
      </w:r>
    </w:p>
    <w:p w14:paraId="638DB110" w14:textId="16DCDC8E" w:rsidR="00F900A3" w:rsidRPr="003E2721" w:rsidRDefault="00F3604E" w:rsidP="00F900A3">
      <w:r w:rsidRPr="00F3604E">
        <w:t>The partnership’s achievements over 2025 built on work commenced in 2023, when the SHSP in partnership with 3 ACCHOs co</w:t>
      </w:r>
      <w:r w:rsidRPr="00F3604E">
        <w:noBreakHyphen/>
        <w:t>designed a new process for establishing place</w:t>
      </w:r>
      <w:r w:rsidRPr="00F3604E">
        <w:noBreakHyphen/>
        <w:t>based partnerships for the local delivery of ear and hearing health services. In 2025, Partnership Specialists worked with each Aboriginal Community Controlled Health Service to co</w:t>
      </w:r>
      <w:r w:rsidRPr="00F3604E">
        <w:noBreakHyphen/>
        <w:t>design plans that meet the needs of each community. The plans outline shared responsibility and accountability for the provision of clinical services, community awareness activities and staff upskilling activities. Partnerships are now in place or being developed with 46 ACCHOs, to guide the delivery of services to their communities.</w:t>
      </w:r>
    </w:p>
    <w:p w14:paraId="04114DA3" w14:textId="5162EFC5" w:rsidR="00F900A3" w:rsidRDefault="00F3604E" w:rsidP="00F900A3">
      <w:pPr>
        <w:pStyle w:val="Heading3"/>
      </w:pPr>
      <w:bookmarkStart w:id="38" w:name="_Toc225506060"/>
      <w:r w:rsidRPr="00F3604E">
        <w:t>Partnership between Indigenous Business Australia (IBA) and New Dream Productions to elevate First Nations Male Voices</w:t>
      </w:r>
      <w:bookmarkEnd w:id="38"/>
    </w:p>
    <w:p w14:paraId="26DC2921" w14:textId="77777777" w:rsidR="00F900A3" w:rsidRDefault="00F900A3" w:rsidP="00F900A3">
      <w:pPr>
        <w:pStyle w:val="Heading4"/>
      </w:pPr>
      <w:r w:rsidRPr="00617C76">
        <w:t>Partnership description</w:t>
      </w:r>
    </w:p>
    <w:p w14:paraId="67229254" w14:textId="25985A50" w:rsidR="00F900A3" w:rsidRPr="00837360" w:rsidRDefault="009A11DE" w:rsidP="00F900A3">
      <w:r w:rsidRPr="009A11DE">
        <w:t>The purpose of the partnership is to support the creation of The New Dreaming Podcast, a culturally driven media initiative that empowers Aboriginal and Torres Strait Islander men. Through storytelling, expert advice, and business education, the podcast aligns with IBA’s Brothers in Business brand to promote mental wellness, economic participation, and community connection, while expanding IBA’s reach and visibility across Indigenous networks and media platforms.</w:t>
      </w:r>
    </w:p>
    <w:p w14:paraId="34549B53" w14:textId="77777777" w:rsidR="00F900A3" w:rsidRDefault="00F900A3" w:rsidP="00F900A3">
      <w:pPr>
        <w:pStyle w:val="Heading4"/>
      </w:pPr>
      <w:r w:rsidRPr="00DF6278">
        <w:t>Aboriginal and Torres Strait Islander parties</w:t>
      </w:r>
    </w:p>
    <w:p w14:paraId="2CD78DD4" w14:textId="0E76B771" w:rsidR="00F900A3" w:rsidRPr="00B27ADE" w:rsidRDefault="009A11DE" w:rsidP="00F900A3">
      <w:r w:rsidRPr="00B27ADE">
        <w:t>New Dream Productions Pty Ltd</w:t>
      </w:r>
      <w:r w:rsidR="00011EA0">
        <w:t xml:space="preserve"> (endorsing partner)</w:t>
      </w:r>
    </w:p>
    <w:p w14:paraId="6468CD37" w14:textId="77777777" w:rsidR="00F900A3" w:rsidRPr="00617C76" w:rsidRDefault="00F900A3" w:rsidP="00F900A3">
      <w:pPr>
        <w:pStyle w:val="Heading4"/>
      </w:pPr>
      <w:r w:rsidRPr="00617C76">
        <w:t>Government parties</w:t>
      </w:r>
    </w:p>
    <w:p w14:paraId="23959099" w14:textId="77777777" w:rsidR="00F900A3" w:rsidRDefault="00F900A3" w:rsidP="00F900A3">
      <w:pPr>
        <w:pStyle w:val="Heading5"/>
      </w:pPr>
      <w:r w:rsidRPr="00115C74">
        <w:t xml:space="preserve">COMMONWEALTH PARTIES </w:t>
      </w:r>
    </w:p>
    <w:p w14:paraId="3BD8FA59" w14:textId="32A5DC51" w:rsidR="00F900A3" w:rsidRPr="00B27ADE" w:rsidRDefault="001239C9" w:rsidP="00F900A3">
      <w:r w:rsidRPr="00B27ADE">
        <w:t>Indigenous Business Australia (IBA)</w:t>
      </w:r>
      <w:r w:rsidR="00011EA0">
        <w:t xml:space="preserve"> (endorsing partner)</w:t>
      </w:r>
    </w:p>
    <w:p w14:paraId="0E090E17" w14:textId="77777777" w:rsidR="00F900A3" w:rsidRPr="00115C74" w:rsidRDefault="00F900A3" w:rsidP="00F900A3">
      <w:pPr>
        <w:pStyle w:val="Heading5"/>
      </w:pPr>
      <w:r w:rsidRPr="00115C74">
        <w:t xml:space="preserve">STATE AND TERRITORY PARTIES </w:t>
      </w:r>
    </w:p>
    <w:p w14:paraId="0C6E2F19" w14:textId="77777777" w:rsidR="00F900A3" w:rsidRPr="00617C76" w:rsidRDefault="00F900A3" w:rsidP="00F900A3">
      <w:r>
        <w:t>N/A</w:t>
      </w:r>
    </w:p>
    <w:p w14:paraId="7A118208" w14:textId="77777777" w:rsidR="00F900A3" w:rsidRPr="00617C76" w:rsidRDefault="00F900A3" w:rsidP="00F900A3">
      <w:pPr>
        <w:pStyle w:val="Heading4"/>
      </w:pPr>
      <w:r w:rsidRPr="00617C76">
        <w:t>Priority Reforms and Socio-economic Outcomes</w:t>
      </w:r>
    </w:p>
    <w:p w14:paraId="281BE0AB" w14:textId="77777777" w:rsidR="001239C9" w:rsidRDefault="001239C9" w:rsidP="00F900A3">
      <w:r w:rsidRPr="001239C9">
        <w:t xml:space="preserve">Priority Reform 1 </w:t>
      </w:r>
    </w:p>
    <w:p w14:paraId="5F39917D" w14:textId="77777777" w:rsidR="001239C9" w:rsidRDefault="001239C9" w:rsidP="00F900A3">
      <w:r w:rsidRPr="001239C9">
        <w:t xml:space="preserve">Outcome 8 </w:t>
      </w:r>
    </w:p>
    <w:p w14:paraId="0CB676B4" w14:textId="5086D22B" w:rsidR="00F900A3" w:rsidRPr="007C35F3" w:rsidRDefault="001239C9" w:rsidP="00F900A3">
      <w:r w:rsidRPr="001239C9">
        <w:t>Outcome 14</w:t>
      </w:r>
    </w:p>
    <w:p w14:paraId="4EF48C5D" w14:textId="77777777" w:rsidR="00F900A3" w:rsidRPr="00617C76" w:rsidRDefault="00F900A3" w:rsidP="00F900A3">
      <w:pPr>
        <w:pStyle w:val="Heading4"/>
      </w:pPr>
      <w:r w:rsidRPr="00617C76">
        <w:t>Partnership function</w:t>
      </w:r>
    </w:p>
    <w:p w14:paraId="16B9B5BD" w14:textId="25C74A55" w:rsidR="00F900A3" w:rsidRPr="00617C76" w:rsidRDefault="001239C9" w:rsidP="00F900A3">
      <w:r w:rsidRPr="001239C9">
        <w:t>Other</w:t>
      </w:r>
    </w:p>
    <w:p w14:paraId="6D7DC0FD" w14:textId="77777777" w:rsidR="00F900A3" w:rsidRPr="00617C76" w:rsidRDefault="00F900A3" w:rsidP="00F900A3">
      <w:pPr>
        <w:pStyle w:val="Heading4"/>
      </w:pPr>
      <w:r w:rsidRPr="00617C76">
        <w:t>Partnership timeframe</w:t>
      </w:r>
    </w:p>
    <w:p w14:paraId="0C61A5FF" w14:textId="48CDE415" w:rsidR="00F900A3" w:rsidRPr="00617C76" w:rsidRDefault="00775355" w:rsidP="00F900A3">
      <w:r w:rsidRPr="00775355">
        <w:t>30 January 2025 to 30 January 2026</w:t>
      </w:r>
    </w:p>
    <w:p w14:paraId="1929D353" w14:textId="77777777" w:rsidR="00F900A3" w:rsidRPr="00617C76" w:rsidRDefault="00F900A3" w:rsidP="00F900A3">
      <w:pPr>
        <w:pStyle w:val="Heading4"/>
      </w:pPr>
      <w:r w:rsidRPr="00617C76">
        <w:t>Actions taken to strengthen the partnership in 2025</w:t>
      </w:r>
    </w:p>
    <w:p w14:paraId="749CC6A7" w14:textId="2A12B468" w:rsidR="00F900A3" w:rsidRPr="00617C76" w:rsidRDefault="00775355" w:rsidP="00F900A3">
      <w:r w:rsidRPr="00775355">
        <w:t>During the reporting period the partnership has been strengthened through consistent engagement, co</w:t>
      </w:r>
      <w:r w:rsidRPr="00775355">
        <w:noBreakHyphen/>
        <w:t>design, and mutual respect. Regular meetings and a direct communication channel have supported collaborative decision</w:t>
      </w:r>
      <w:r w:rsidRPr="00775355">
        <w:noBreakHyphen/>
        <w:t xml:space="preserve">making and timely issue resolution. The Monitoring and Evaluation Plan has enabled both parties to track progress and reflect on outcomes. New Dream Productions’ cultural leadership and creative expertise have deepened trust and enhanced the relevance of content, while IBA’s structured approach through its Partnership Framework has ensured clarity around roles, deliverables, and reporting. The partnership continues to evolve through shared learning, with both parties committed to refining processes and amplifying </w:t>
      </w:r>
      <w:r w:rsidRPr="00775355">
        <w:lastRenderedPageBreak/>
        <w:t>impact. The partnership is a sector</w:t>
      </w:r>
      <w:r w:rsidRPr="00775355">
        <w:noBreakHyphen/>
        <w:t>specific binding mutual commitment of resources and outcomes. The partners share a vision and goals aligned strategically and work together on co</w:t>
      </w:r>
      <w:r w:rsidRPr="00775355">
        <w:noBreakHyphen/>
        <w:t>designed outcomes.</w:t>
      </w:r>
    </w:p>
    <w:p w14:paraId="3D7DFB04" w14:textId="77777777" w:rsidR="00F900A3" w:rsidRPr="00617C76" w:rsidRDefault="00F900A3" w:rsidP="00F900A3">
      <w:pPr>
        <w:pStyle w:val="Heading4"/>
      </w:pPr>
      <w:r w:rsidRPr="00617C76">
        <w:t>Strong partnership indicators</w:t>
      </w:r>
    </w:p>
    <w:p w14:paraId="25139628" w14:textId="77777777" w:rsidR="00F900A3" w:rsidRPr="00617C76" w:rsidRDefault="00F900A3" w:rsidP="00F900A3">
      <w:pPr>
        <w:pStyle w:val="Heading5"/>
      </w:pPr>
      <w:r w:rsidRPr="00617C76">
        <w:t>Clause 32A:</w:t>
      </w:r>
    </w:p>
    <w:p w14:paraId="7B743DDE" w14:textId="6E888829" w:rsidR="00F900A3" w:rsidRDefault="00E62276" w:rsidP="00775355">
      <w:pPr>
        <w:pStyle w:val="ListParagraph"/>
        <w:numPr>
          <w:ilvl w:val="0"/>
          <w:numId w:val="119"/>
        </w:numPr>
      </w:pPr>
      <w:r w:rsidRPr="00E62276">
        <w:t>Met</w:t>
      </w:r>
    </w:p>
    <w:p w14:paraId="35765679" w14:textId="67552114" w:rsidR="00F900A3" w:rsidRDefault="00E62276" w:rsidP="00775355">
      <w:pPr>
        <w:pStyle w:val="ListParagraph"/>
        <w:numPr>
          <w:ilvl w:val="0"/>
          <w:numId w:val="119"/>
        </w:numPr>
      </w:pPr>
      <w:r w:rsidRPr="00E62276">
        <w:t>Met</w:t>
      </w:r>
    </w:p>
    <w:p w14:paraId="17E03E4B" w14:textId="3A5AF9B4" w:rsidR="00F900A3" w:rsidRDefault="008F40BF" w:rsidP="00775355">
      <w:pPr>
        <w:pStyle w:val="ListParagraph"/>
        <w:numPr>
          <w:ilvl w:val="0"/>
          <w:numId w:val="119"/>
        </w:numPr>
      </w:pPr>
      <w:r w:rsidRPr="008F40BF">
        <w:t>Not met</w:t>
      </w:r>
    </w:p>
    <w:p w14:paraId="10C29106" w14:textId="77777777" w:rsidR="00F900A3" w:rsidRPr="00617C76" w:rsidRDefault="00F900A3" w:rsidP="00F900A3">
      <w:pPr>
        <w:pStyle w:val="Heading5"/>
      </w:pPr>
      <w:r w:rsidRPr="00617C76">
        <w:t>Clause 32B:</w:t>
      </w:r>
    </w:p>
    <w:p w14:paraId="13425B7D" w14:textId="7ABCC53E" w:rsidR="00F900A3" w:rsidRDefault="00E62276" w:rsidP="00775355">
      <w:pPr>
        <w:pStyle w:val="ListParagraph"/>
        <w:numPr>
          <w:ilvl w:val="0"/>
          <w:numId w:val="120"/>
        </w:numPr>
      </w:pPr>
      <w:r w:rsidRPr="00E62276">
        <w:t>Met</w:t>
      </w:r>
    </w:p>
    <w:p w14:paraId="73BC88BF" w14:textId="430059AF" w:rsidR="00F900A3" w:rsidRDefault="00E62276" w:rsidP="00775355">
      <w:pPr>
        <w:pStyle w:val="ListParagraph"/>
        <w:numPr>
          <w:ilvl w:val="0"/>
          <w:numId w:val="120"/>
        </w:numPr>
      </w:pPr>
      <w:r w:rsidRPr="00E62276">
        <w:t>Met</w:t>
      </w:r>
    </w:p>
    <w:p w14:paraId="22D70C63" w14:textId="688BD51B" w:rsidR="00F900A3" w:rsidRDefault="009D37B5" w:rsidP="00775355">
      <w:pPr>
        <w:pStyle w:val="ListParagraph"/>
        <w:numPr>
          <w:ilvl w:val="0"/>
          <w:numId w:val="120"/>
        </w:numPr>
      </w:pPr>
      <w:r w:rsidRPr="009D37B5">
        <w:t>N/A</w:t>
      </w:r>
    </w:p>
    <w:p w14:paraId="2F02F554" w14:textId="77777777" w:rsidR="00F900A3" w:rsidRDefault="00F900A3" w:rsidP="00775355">
      <w:pPr>
        <w:pStyle w:val="ListParagraph"/>
        <w:numPr>
          <w:ilvl w:val="0"/>
          <w:numId w:val="120"/>
        </w:numPr>
      </w:pPr>
      <w:r>
        <w:t>N/A</w:t>
      </w:r>
    </w:p>
    <w:p w14:paraId="1F8A564F" w14:textId="77777777" w:rsidR="00F900A3" w:rsidRPr="00617C76" w:rsidRDefault="00F900A3" w:rsidP="00F900A3">
      <w:pPr>
        <w:pStyle w:val="Heading5"/>
      </w:pPr>
      <w:r w:rsidRPr="00617C76">
        <w:t>Clause 32C:</w:t>
      </w:r>
    </w:p>
    <w:p w14:paraId="191DD06B" w14:textId="00C8E9FE" w:rsidR="00F900A3" w:rsidRDefault="00E62276" w:rsidP="00775355">
      <w:pPr>
        <w:pStyle w:val="ListParagraph"/>
        <w:numPr>
          <w:ilvl w:val="0"/>
          <w:numId w:val="121"/>
        </w:numPr>
      </w:pPr>
      <w:r w:rsidRPr="00E62276">
        <w:t>Met</w:t>
      </w:r>
    </w:p>
    <w:p w14:paraId="27D169CC" w14:textId="6EC74FD0" w:rsidR="00F900A3" w:rsidRDefault="00E62276" w:rsidP="00775355">
      <w:pPr>
        <w:pStyle w:val="ListParagraph"/>
        <w:numPr>
          <w:ilvl w:val="0"/>
          <w:numId w:val="121"/>
        </w:numPr>
      </w:pPr>
      <w:r w:rsidRPr="00E62276">
        <w:t>Met</w:t>
      </w:r>
    </w:p>
    <w:p w14:paraId="27D4712E" w14:textId="404E64B1" w:rsidR="00F900A3" w:rsidRDefault="00E62276" w:rsidP="00775355">
      <w:pPr>
        <w:pStyle w:val="ListParagraph"/>
        <w:numPr>
          <w:ilvl w:val="0"/>
          <w:numId w:val="121"/>
        </w:numPr>
      </w:pPr>
      <w:r w:rsidRPr="00E62276">
        <w:t>Met</w:t>
      </w:r>
    </w:p>
    <w:p w14:paraId="1C06C2C9" w14:textId="2664B7AD" w:rsidR="00F900A3" w:rsidRDefault="00E62276" w:rsidP="00775355">
      <w:pPr>
        <w:pStyle w:val="ListParagraph"/>
        <w:numPr>
          <w:ilvl w:val="0"/>
          <w:numId w:val="121"/>
        </w:numPr>
      </w:pPr>
      <w:r w:rsidRPr="00E62276">
        <w:t>Met</w:t>
      </w:r>
    </w:p>
    <w:p w14:paraId="4A6B6106" w14:textId="567783FB" w:rsidR="00F900A3" w:rsidRDefault="00E62276" w:rsidP="00775355">
      <w:pPr>
        <w:pStyle w:val="ListParagraph"/>
        <w:numPr>
          <w:ilvl w:val="0"/>
          <w:numId w:val="121"/>
        </w:numPr>
      </w:pPr>
      <w:r w:rsidRPr="00E62276">
        <w:t>Met</w:t>
      </w:r>
    </w:p>
    <w:p w14:paraId="14761260" w14:textId="370830F7" w:rsidR="00F900A3" w:rsidRDefault="00E62276" w:rsidP="00775355">
      <w:pPr>
        <w:pStyle w:val="ListParagraph"/>
        <w:numPr>
          <w:ilvl w:val="0"/>
          <w:numId w:val="121"/>
        </w:numPr>
      </w:pPr>
      <w:r w:rsidRPr="00E62276">
        <w:t>Met</w:t>
      </w:r>
    </w:p>
    <w:p w14:paraId="10ABB5A2" w14:textId="368D6E75" w:rsidR="00F900A3" w:rsidRDefault="00E62276" w:rsidP="00775355">
      <w:pPr>
        <w:pStyle w:val="ListParagraph"/>
        <w:numPr>
          <w:ilvl w:val="0"/>
          <w:numId w:val="121"/>
        </w:numPr>
      </w:pPr>
      <w:r w:rsidRPr="00E62276">
        <w:t>Met</w:t>
      </w:r>
    </w:p>
    <w:p w14:paraId="2663C9A4" w14:textId="77777777" w:rsidR="00F900A3" w:rsidRPr="00617C76" w:rsidRDefault="00F900A3" w:rsidP="00F900A3">
      <w:pPr>
        <w:pStyle w:val="Heading5"/>
      </w:pPr>
      <w:r w:rsidRPr="00617C76">
        <w:t>Clause 33:</w:t>
      </w:r>
    </w:p>
    <w:p w14:paraId="5D3B5E7C" w14:textId="0A15A86E" w:rsidR="00F900A3" w:rsidRDefault="009D37B5" w:rsidP="00F900A3">
      <w:r w:rsidRPr="009D37B5">
        <w:t>N/A</w:t>
      </w:r>
    </w:p>
    <w:p w14:paraId="49A4A6F1" w14:textId="77777777" w:rsidR="00F900A3" w:rsidRDefault="00F900A3" w:rsidP="00F900A3">
      <w:pPr>
        <w:pStyle w:val="Heading4"/>
      </w:pPr>
      <w:r w:rsidRPr="00617C76">
        <w:t>Achievements over 2025</w:t>
      </w:r>
    </w:p>
    <w:p w14:paraId="17CA462C" w14:textId="77777777" w:rsidR="000F125C" w:rsidRDefault="000F125C" w:rsidP="00F900A3">
      <w:r w:rsidRPr="000F125C">
        <w:t>Under the partnership, twelve 30</w:t>
      </w:r>
      <w:r w:rsidRPr="000F125C">
        <w:noBreakHyphen/>
      </w:r>
      <w:proofErr w:type="gramStart"/>
      <w:r w:rsidRPr="000F125C">
        <w:t>45 minute</w:t>
      </w:r>
      <w:proofErr w:type="gramEnd"/>
      <w:r w:rsidRPr="000F125C">
        <w:t xml:space="preserve"> podcast episodes featuring IBA business customers have been delivered and published, each jointly planned, researched and co</w:t>
      </w:r>
      <w:r w:rsidRPr="000F125C">
        <w:noBreakHyphen/>
        <w:t>designed. IBA has pre</w:t>
      </w:r>
      <w:r w:rsidRPr="000F125C">
        <w:noBreakHyphen/>
        <w:t xml:space="preserve">selected consenting customers, while New Dream Productions have led the creative direction and managed the recording video/audio editing, sound design, publication, and promotion (in coordination with IBA). The final phase of the project is to complete a review and internal briefing. </w:t>
      </w:r>
    </w:p>
    <w:p w14:paraId="7E0319DA" w14:textId="77777777" w:rsidR="005E5C03" w:rsidRDefault="000F125C" w:rsidP="00F900A3">
      <w:r w:rsidRPr="000F125C">
        <w:t>The partnership is grounded in shared decision</w:t>
      </w:r>
      <w:r w:rsidRPr="000F125C">
        <w:noBreakHyphen/>
        <w:t>making and co</w:t>
      </w:r>
      <w:r w:rsidRPr="000F125C">
        <w:noBreakHyphen/>
        <w:t xml:space="preserve">design. New Dream Productions contributes cultural insights and creative networks; IBA provides funding, guest pipeline, and promotional support. </w:t>
      </w:r>
    </w:p>
    <w:p w14:paraId="4CA55AF8" w14:textId="31C56D69" w:rsidR="00F900A3" w:rsidRPr="003E2721" w:rsidRDefault="000F125C" w:rsidP="00F900A3">
      <w:r w:rsidRPr="000F125C">
        <w:t>The podcast series aligns with Priority Reform One and Outcomes 8 and 14. It promotes economic participation and holistic wellbeing for Aboriginal and Torres Strait Islander people. Through culturally relevant storytelling, the episodes foster connection, strengthen identity and promote positive mental health. They also encourage dialogue around financial independence, business success and intergenerational wealth. By featuring strong, culturally grounded role models, the series supports belonging, emotional resilience and pride in cultural identity, while ensuring Indigenous voices shape both narrative and delivery.</w:t>
      </w:r>
    </w:p>
    <w:p w14:paraId="0DE239CD" w14:textId="137B59F1" w:rsidR="00F900A3" w:rsidRDefault="004D15D3" w:rsidP="00F900A3">
      <w:pPr>
        <w:pStyle w:val="Heading3"/>
      </w:pPr>
      <w:bookmarkStart w:id="39" w:name="_Toc225506061"/>
      <w:r w:rsidRPr="004D15D3">
        <w:lastRenderedPageBreak/>
        <w:t>Co-designing culturally safe Aboriginal Community Controlled Health Organisation (ACCHO)-led policy analysis and advice on disability services for First Nations people through a partnership between National Aboriginal Community Controlled Health Organisation (NACCHO) and Affiliates and the National Disability Insurance Agency (NDIA)</w:t>
      </w:r>
      <w:bookmarkEnd w:id="39"/>
    </w:p>
    <w:p w14:paraId="3AD01F00" w14:textId="77777777" w:rsidR="00F900A3" w:rsidRDefault="00F900A3" w:rsidP="00F900A3">
      <w:pPr>
        <w:pStyle w:val="Heading4"/>
      </w:pPr>
      <w:r w:rsidRPr="00617C76">
        <w:t>Partnership description</w:t>
      </w:r>
    </w:p>
    <w:p w14:paraId="5D421F4F" w14:textId="1842D572" w:rsidR="00F900A3" w:rsidRPr="00837360" w:rsidRDefault="004D15D3" w:rsidP="00F900A3">
      <w:r w:rsidRPr="004D15D3">
        <w:t>The purpose of this partnership is to develop evidence</w:t>
      </w:r>
      <w:r w:rsidRPr="004D15D3">
        <w:noBreakHyphen/>
        <w:t>based policy advice on National Disability Insurance Scheme (NDIS) service delivery policy through co</w:t>
      </w:r>
      <w:r w:rsidRPr="004D15D3">
        <w:noBreakHyphen/>
        <w:t>design and consultation with the Aboriginal Community Controlled Health Sector and to support the capability of ACCHOs to participate in NDIA engagement processes.</w:t>
      </w:r>
    </w:p>
    <w:p w14:paraId="4CB81182" w14:textId="77777777" w:rsidR="00F900A3" w:rsidRDefault="00F900A3" w:rsidP="00F900A3">
      <w:pPr>
        <w:pStyle w:val="Heading4"/>
      </w:pPr>
      <w:r w:rsidRPr="00DF6278">
        <w:t>Aboriginal and Torres Strait Islander parties</w:t>
      </w:r>
    </w:p>
    <w:p w14:paraId="4C849313" w14:textId="110DD886" w:rsidR="00F900A3" w:rsidRPr="00B27ADE" w:rsidRDefault="00BE32E8" w:rsidP="00F900A3">
      <w:r w:rsidRPr="00B27ADE">
        <w:t>National Aboriginal Community Controlled Health Organisation (NACCHO)</w:t>
      </w:r>
      <w:r w:rsidR="00981C91">
        <w:t xml:space="preserve"> (endorsing partner)</w:t>
      </w:r>
    </w:p>
    <w:p w14:paraId="04F8ACB9" w14:textId="3E5BFEBA" w:rsidR="00BE32E8" w:rsidRPr="00BE32E8" w:rsidRDefault="00BE32E8" w:rsidP="00F900A3">
      <w:r w:rsidRPr="00BE32E8">
        <w:t>NACCHO’s affiliate partners and member organisations</w:t>
      </w:r>
    </w:p>
    <w:p w14:paraId="150B1A7E" w14:textId="77777777" w:rsidR="00F900A3" w:rsidRPr="00617C76" w:rsidRDefault="00F900A3" w:rsidP="00F900A3">
      <w:pPr>
        <w:pStyle w:val="Heading4"/>
      </w:pPr>
      <w:r w:rsidRPr="00617C76">
        <w:t>Government parties</w:t>
      </w:r>
    </w:p>
    <w:p w14:paraId="66041E66" w14:textId="77777777" w:rsidR="00F900A3" w:rsidRDefault="00F900A3" w:rsidP="00F900A3">
      <w:pPr>
        <w:pStyle w:val="Heading5"/>
      </w:pPr>
      <w:r w:rsidRPr="00115C74">
        <w:t xml:space="preserve">COMMONWEALTH PARTIES </w:t>
      </w:r>
    </w:p>
    <w:p w14:paraId="470F2BF6" w14:textId="79801A0E" w:rsidR="00F900A3" w:rsidRPr="00B27ADE" w:rsidRDefault="00EA0CF5" w:rsidP="00F900A3">
      <w:r w:rsidRPr="00B27ADE">
        <w:t>National Disability Insurance Agency (NDIA)</w:t>
      </w:r>
      <w:r w:rsidR="00981C91">
        <w:t xml:space="preserve"> (endorsing partner)</w:t>
      </w:r>
    </w:p>
    <w:p w14:paraId="2C164E57" w14:textId="77777777" w:rsidR="00F900A3" w:rsidRPr="00115C74" w:rsidRDefault="00F900A3" w:rsidP="00F900A3">
      <w:pPr>
        <w:pStyle w:val="Heading5"/>
      </w:pPr>
      <w:r w:rsidRPr="00115C74">
        <w:t xml:space="preserve">STATE AND TERRITORY PARTIES </w:t>
      </w:r>
    </w:p>
    <w:p w14:paraId="6EC82E81" w14:textId="77777777" w:rsidR="00F900A3" w:rsidRPr="00617C76" w:rsidRDefault="00F900A3" w:rsidP="00F900A3">
      <w:r>
        <w:t>N/A</w:t>
      </w:r>
    </w:p>
    <w:p w14:paraId="10ACEEF8" w14:textId="77777777" w:rsidR="00F900A3" w:rsidRPr="00617C76" w:rsidRDefault="00F900A3" w:rsidP="00F900A3">
      <w:pPr>
        <w:pStyle w:val="Heading4"/>
      </w:pPr>
      <w:r w:rsidRPr="00617C76">
        <w:t>Priority Reforms and Socio-economic Outcomes</w:t>
      </w:r>
    </w:p>
    <w:p w14:paraId="74C2B0FC" w14:textId="77777777" w:rsidR="0075086E" w:rsidRDefault="00EA0CF5" w:rsidP="00F900A3">
      <w:r w:rsidRPr="00EA0CF5">
        <w:t xml:space="preserve">Priority Reform 1 </w:t>
      </w:r>
    </w:p>
    <w:p w14:paraId="3D3C0B3A" w14:textId="77777777" w:rsidR="0075086E" w:rsidRDefault="00EA0CF5" w:rsidP="00F900A3">
      <w:r w:rsidRPr="00EA0CF5">
        <w:t xml:space="preserve">Priority Reform 2 </w:t>
      </w:r>
    </w:p>
    <w:p w14:paraId="3F9A9A26" w14:textId="77777777" w:rsidR="0075086E" w:rsidRDefault="00EA0CF5" w:rsidP="00F900A3">
      <w:r w:rsidRPr="00EA0CF5">
        <w:t xml:space="preserve">Priority Reform 3 </w:t>
      </w:r>
    </w:p>
    <w:p w14:paraId="55586D58" w14:textId="43877B86" w:rsidR="00F900A3" w:rsidRPr="007C35F3" w:rsidRDefault="00EA0CF5" w:rsidP="00F900A3">
      <w:r w:rsidRPr="00EA0CF5">
        <w:t>Priority Reform 4</w:t>
      </w:r>
    </w:p>
    <w:p w14:paraId="3C67AD39" w14:textId="77777777" w:rsidR="00F900A3" w:rsidRPr="00617C76" w:rsidRDefault="00F900A3" w:rsidP="00F900A3">
      <w:pPr>
        <w:pStyle w:val="Heading4"/>
      </w:pPr>
      <w:r w:rsidRPr="00617C76">
        <w:t>Partnership function</w:t>
      </w:r>
    </w:p>
    <w:p w14:paraId="706D3EE4" w14:textId="5B1663ED" w:rsidR="00F900A3" w:rsidRPr="00617C76" w:rsidRDefault="00A3246B" w:rsidP="00F900A3">
      <w:r w:rsidRPr="00A3246B">
        <w:t>Policy</w:t>
      </w:r>
    </w:p>
    <w:p w14:paraId="2A12B334" w14:textId="77777777" w:rsidR="00F900A3" w:rsidRPr="00617C76" w:rsidRDefault="00F900A3" w:rsidP="00F900A3">
      <w:pPr>
        <w:pStyle w:val="Heading4"/>
      </w:pPr>
      <w:r w:rsidRPr="00617C76">
        <w:t>Partnership timeframe</w:t>
      </w:r>
    </w:p>
    <w:p w14:paraId="2A71ADD4" w14:textId="29C5FE2D" w:rsidR="00F900A3" w:rsidRPr="00617C76" w:rsidRDefault="00DA20D3" w:rsidP="00F900A3">
      <w:r w:rsidRPr="00DA20D3">
        <w:t>February 2025 to February 2027</w:t>
      </w:r>
    </w:p>
    <w:p w14:paraId="662672FB" w14:textId="77777777" w:rsidR="00F900A3" w:rsidRPr="00617C76" w:rsidRDefault="00F900A3" w:rsidP="00F900A3">
      <w:pPr>
        <w:pStyle w:val="Heading4"/>
      </w:pPr>
      <w:r w:rsidRPr="00617C76">
        <w:t>Actions taken to strengthen the partnership in 2025</w:t>
      </w:r>
    </w:p>
    <w:p w14:paraId="6C1606A2" w14:textId="649B9DC7" w:rsidR="00F900A3" w:rsidRPr="00617C76" w:rsidRDefault="007278BE" w:rsidP="00F900A3">
      <w:r w:rsidRPr="007278BE">
        <w:t>The NDIA–NACCHO partnership was strengthened in 2025 through formalised agreements, shared governance structures and culturally safe collaboration. A key milestone was the February co</w:t>
      </w:r>
      <w:r w:rsidRPr="007278BE">
        <w:noBreakHyphen/>
        <w:t>design workshop in Canberra, moderated by an independent facilitator, where NACCHO and seven jurisdictional affiliates jointly developed the National Project Plan. This process reflected shared decision</w:t>
      </w:r>
      <w:r w:rsidRPr="007278BE">
        <w:noBreakHyphen/>
        <w:t>making by consensus, with Aboriginal and Torres Strait Islander representatives setting the agenda and priorities. The Affiliate Strategic Working Group and Policy Community of Practice were established to support ongoing engagement, transparency, and accountability. Affiliates were resourced to recruit senior policy officers, meet independently and engage with communities, including Elders and Traditional Owners. Data sharing agreements with Human Services Skills Organisation (HSSO) enabled development of interactive dashboards, ensuring equal access to information for evidence</w:t>
      </w:r>
      <w:r w:rsidRPr="007278BE">
        <w:noBreakHyphen/>
        <w:t>informed decisions. A sensemaking forum was planned to further embed community</w:t>
      </w:r>
      <w:r w:rsidRPr="007278BE">
        <w:noBreakHyphen/>
        <w:t xml:space="preserve">led analysis and policy development. These activities demonstrated strong partnership elements: </w:t>
      </w:r>
      <w:r w:rsidRPr="007278BE">
        <w:lastRenderedPageBreak/>
        <w:t>representative structures, formal agreements, consensus</w:t>
      </w:r>
      <w:r w:rsidRPr="007278BE">
        <w:noBreakHyphen/>
        <w:t>based decision</w:t>
      </w:r>
      <w:r w:rsidRPr="007278BE">
        <w:noBreakHyphen/>
        <w:t>making, access to shared data, and adequate funding to support First Nations leadership in policy and reform.</w:t>
      </w:r>
    </w:p>
    <w:p w14:paraId="240973EF" w14:textId="77777777" w:rsidR="00F900A3" w:rsidRPr="00617C76" w:rsidRDefault="00F900A3" w:rsidP="00F900A3">
      <w:pPr>
        <w:pStyle w:val="Heading4"/>
      </w:pPr>
      <w:r w:rsidRPr="00617C76">
        <w:t>Strong partnership indicators</w:t>
      </w:r>
    </w:p>
    <w:p w14:paraId="19B14DB3" w14:textId="77777777" w:rsidR="00F900A3" w:rsidRPr="00617C76" w:rsidRDefault="00F900A3" w:rsidP="00F900A3">
      <w:pPr>
        <w:pStyle w:val="Heading5"/>
      </w:pPr>
      <w:r w:rsidRPr="00617C76">
        <w:t>Clause 32A:</w:t>
      </w:r>
    </w:p>
    <w:p w14:paraId="41FE9682" w14:textId="2318949D" w:rsidR="00F900A3" w:rsidRDefault="00710870" w:rsidP="009F2383">
      <w:pPr>
        <w:pStyle w:val="ListParagraph"/>
        <w:numPr>
          <w:ilvl w:val="0"/>
          <w:numId w:val="122"/>
        </w:numPr>
      </w:pPr>
      <w:r w:rsidRPr="00710870">
        <w:t>Met</w:t>
      </w:r>
    </w:p>
    <w:p w14:paraId="5EE0C1D5" w14:textId="02927E8C" w:rsidR="00F900A3" w:rsidRDefault="00710870" w:rsidP="009F2383">
      <w:pPr>
        <w:pStyle w:val="ListParagraph"/>
        <w:numPr>
          <w:ilvl w:val="0"/>
          <w:numId w:val="122"/>
        </w:numPr>
      </w:pPr>
      <w:r w:rsidRPr="00710870">
        <w:t>Met</w:t>
      </w:r>
    </w:p>
    <w:p w14:paraId="6F78E297" w14:textId="06BF8005" w:rsidR="00F900A3" w:rsidRDefault="00710870" w:rsidP="009F2383">
      <w:pPr>
        <w:pStyle w:val="ListParagraph"/>
        <w:numPr>
          <w:ilvl w:val="0"/>
          <w:numId w:val="122"/>
        </w:numPr>
      </w:pPr>
      <w:r w:rsidRPr="00710870">
        <w:t>Met</w:t>
      </w:r>
    </w:p>
    <w:p w14:paraId="0B99AF5F" w14:textId="77777777" w:rsidR="00F900A3" w:rsidRPr="00617C76" w:rsidRDefault="00F900A3" w:rsidP="00F900A3">
      <w:pPr>
        <w:pStyle w:val="Heading5"/>
      </w:pPr>
      <w:r w:rsidRPr="00617C76">
        <w:t>Clause 32B:</w:t>
      </w:r>
    </w:p>
    <w:p w14:paraId="21E9945F" w14:textId="21F47211" w:rsidR="00F900A3" w:rsidRDefault="00710870" w:rsidP="009F2383">
      <w:pPr>
        <w:pStyle w:val="ListParagraph"/>
        <w:numPr>
          <w:ilvl w:val="0"/>
          <w:numId w:val="123"/>
        </w:numPr>
      </w:pPr>
      <w:r w:rsidRPr="00710870">
        <w:t>Met</w:t>
      </w:r>
    </w:p>
    <w:p w14:paraId="18EDD795" w14:textId="04D45945" w:rsidR="00F900A3" w:rsidRDefault="00710870" w:rsidP="009F2383">
      <w:pPr>
        <w:pStyle w:val="ListParagraph"/>
        <w:numPr>
          <w:ilvl w:val="0"/>
          <w:numId w:val="123"/>
        </w:numPr>
      </w:pPr>
      <w:r w:rsidRPr="00710870">
        <w:t>Met</w:t>
      </w:r>
    </w:p>
    <w:p w14:paraId="77742526" w14:textId="3318B75B" w:rsidR="00F900A3" w:rsidRDefault="00625D5A" w:rsidP="009F2383">
      <w:pPr>
        <w:pStyle w:val="ListParagraph"/>
        <w:numPr>
          <w:ilvl w:val="0"/>
          <w:numId w:val="123"/>
        </w:numPr>
      </w:pPr>
      <w:r w:rsidRPr="00625D5A">
        <w:t>N/A</w:t>
      </w:r>
    </w:p>
    <w:p w14:paraId="3DC22195" w14:textId="77777777" w:rsidR="00F900A3" w:rsidRDefault="00F900A3" w:rsidP="009F2383">
      <w:pPr>
        <w:pStyle w:val="ListParagraph"/>
        <w:numPr>
          <w:ilvl w:val="0"/>
          <w:numId w:val="123"/>
        </w:numPr>
      </w:pPr>
      <w:r>
        <w:t>N/A</w:t>
      </w:r>
    </w:p>
    <w:p w14:paraId="5B8F37DB" w14:textId="77777777" w:rsidR="00F900A3" w:rsidRPr="00617C76" w:rsidRDefault="00F900A3" w:rsidP="00F900A3">
      <w:pPr>
        <w:pStyle w:val="Heading5"/>
      </w:pPr>
      <w:r w:rsidRPr="00617C76">
        <w:t>Clause 32C:</w:t>
      </w:r>
    </w:p>
    <w:p w14:paraId="205EA786" w14:textId="318867A0" w:rsidR="00F900A3" w:rsidRDefault="00625D5A" w:rsidP="009F2383">
      <w:pPr>
        <w:pStyle w:val="ListParagraph"/>
        <w:numPr>
          <w:ilvl w:val="0"/>
          <w:numId w:val="124"/>
        </w:numPr>
      </w:pPr>
      <w:r w:rsidRPr="00625D5A">
        <w:t>Met</w:t>
      </w:r>
    </w:p>
    <w:p w14:paraId="6A4D86C9" w14:textId="147E2D9B" w:rsidR="00F900A3" w:rsidRDefault="00625D5A" w:rsidP="009F2383">
      <w:pPr>
        <w:pStyle w:val="ListParagraph"/>
        <w:numPr>
          <w:ilvl w:val="0"/>
          <w:numId w:val="124"/>
        </w:numPr>
      </w:pPr>
      <w:r w:rsidRPr="00625D5A">
        <w:t>Met</w:t>
      </w:r>
    </w:p>
    <w:p w14:paraId="3B38B552" w14:textId="6A6D1C3D" w:rsidR="00F900A3" w:rsidRDefault="00625D5A" w:rsidP="009F2383">
      <w:pPr>
        <w:pStyle w:val="ListParagraph"/>
        <w:numPr>
          <w:ilvl w:val="0"/>
          <w:numId w:val="124"/>
        </w:numPr>
      </w:pPr>
      <w:r w:rsidRPr="00625D5A">
        <w:t>Met</w:t>
      </w:r>
    </w:p>
    <w:p w14:paraId="0990DEA3" w14:textId="7D8BEEA5" w:rsidR="00F900A3" w:rsidRDefault="00625D5A" w:rsidP="009F2383">
      <w:pPr>
        <w:pStyle w:val="ListParagraph"/>
        <w:numPr>
          <w:ilvl w:val="0"/>
          <w:numId w:val="124"/>
        </w:numPr>
      </w:pPr>
      <w:r w:rsidRPr="00625D5A">
        <w:t>Met</w:t>
      </w:r>
    </w:p>
    <w:p w14:paraId="15B9D082" w14:textId="6D726E29" w:rsidR="00F900A3" w:rsidRDefault="00625D5A" w:rsidP="009F2383">
      <w:pPr>
        <w:pStyle w:val="ListParagraph"/>
        <w:numPr>
          <w:ilvl w:val="0"/>
          <w:numId w:val="124"/>
        </w:numPr>
      </w:pPr>
      <w:r w:rsidRPr="00625D5A">
        <w:t>Met</w:t>
      </w:r>
    </w:p>
    <w:p w14:paraId="1480D509" w14:textId="4D13A4BD" w:rsidR="00F900A3" w:rsidRDefault="00625D5A" w:rsidP="009F2383">
      <w:pPr>
        <w:pStyle w:val="ListParagraph"/>
        <w:numPr>
          <w:ilvl w:val="0"/>
          <w:numId w:val="124"/>
        </w:numPr>
      </w:pPr>
      <w:r w:rsidRPr="00625D5A">
        <w:t>Met</w:t>
      </w:r>
    </w:p>
    <w:p w14:paraId="2D796A86" w14:textId="6569A5BC" w:rsidR="00F900A3" w:rsidRDefault="00625D5A" w:rsidP="009F2383">
      <w:pPr>
        <w:pStyle w:val="ListParagraph"/>
        <w:numPr>
          <w:ilvl w:val="0"/>
          <w:numId w:val="124"/>
        </w:numPr>
      </w:pPr>
      <w:r w:rsidRPr="00625D5A">
        <w:t>Met</w:t>
      </w:r>
    </w:p>
    <w:p w14:paraId="25F86F9F" w14:textId="77777777" w:rsidR="00F900A3" w:rsidRPr="00617C76" w:rsidRDefault="00F900A3" w:rsidP="00F900A3">
      <w:pPr>
        <w:pStyle w:val="Heading5"/>
      </w:pPr>
      <w:r w:rsidRPr="00617C76">
        <w:t>Clause 33:</w:t>
      </w:r>
    </w:p>
    <w:p w14:paraId="46DEF18A" w14:textId="25E2BA71" w:rsidR="00F900A3" w:rsidRDefault="00625D5A" w:rsidP="00F900A3">
      <w:r w:rsidRPr="00625D5A">
        <w:t>Met</w:t>
      </w:r>
    </w:p>
    <w:p w14:paraId="71E51F9C" w14:textId="77777777" w:rsidR="00F900A3" w:rsidRDefault="00F900A3" w:rsidP="00F900A3">
      <w:pPr>
        <w:pStyle w:val="Heading4"/>
      </w:pPr>
      <w:r w:rsidRPr="00617C76">
        <w:t>Achievements over 2025</w:t>
      </w:r>
    </w:p>
    <w:p w14:paraId="7DFA93C3" w14:textId="5807238E" w:rsidR="00F900A3" w:rsidRPr="003E2721" w:rsidRDefault="008F10A3" w:rsidP="00F900A3">
      <w:r w:rsidRPr="008F10A3">
        <w:t>The project represents a strategic partnership between the NDIA and NACCHO, the national peak body representing 148 ACCHOs. Key deliverables included co</w:t>
      </w:r>
      <w:r w:rsidRPr="008F10A3">
        <w:noBreakHyphen/>
        <w:t xml:space="preserve">designing service agreements, a Project Framing plan, ‘Ways of Working’ statement and Program Logic with NACCHO and 7 jurisdictional affiliates. Topics for policy analysis were determined and prioritised by all parties. The project involved the recruitment of 9 senior policy officers, and the establishment of governance frameworks to share information and prioritise topics. A </w:t>
      </w:r>
      <w:r w:rsidRPr="008F10A3">
        <w:rPr>
          <w:i/>
          <w:iCs/>
        </w:rPr>
        <w:t>Facilitation Strategy</w:t>
      </w:r>
      <w:r w:rsidRPr="008F10A3">
        <w:t xml:space="preserve"> was endorsed to guide responsive policy advice, and quarterly reporting cycles commenced. Further activities for the partnership involved data sharing agreements and the development of interactive data dashboards to support evidence</w:t>
      </w:r>
      <w:r w:rsidRPr="008F10A3">
        <w:noBreakHyphen/>
        <w:t>informed policy and planning. A national co</w:t>
      </w:r>
      <w:r w:rsidRPr="008F10A3">
        <w:noBreakHyphen/>
        <w:t>design workshop and regular Strategic Working Group meetings ensured shared decision</w:t>
      </w:r>
      <w:r w:rsidRPr="008F10A3">
        <w:noBreakHyphen/>
        <w:t>making and alignment with community priorities. NACCHO also developed program tools including a job description template, policy development framework and jurisdictional work plan template. A sensemaking forum was planned to inform national and jurisdictional policy positions. These activities reflect Priority Reforms One to Four and support Outcomes 1, 6, 11 and 15 of the National Agreement.</w:t>
      </w:r>
    </w:p>
    <w:p w14:paraId="6F42283F" w14:textId="446FFA6C" w:rsidR="00F900A3" w:rsidRDefault="00AB03F5" w:rsidP="00F900A3">
      <w:pPr>
        <w:pStyle w:val="Heading3"/>
      </w:pPr>
      <w:bookmarkStart w:id="40" w:name="_Toc225506062"/>
      <w:r w:rsidRPr="00AB03F5">
        <w:t>National Film and Sound Archive of Australia (NFSA) and the Torres Strait Islanders Media Association (TSIMA) Co-design Partnership regarding the TSIMA Collection Project</w:t>
      </w:r>
      <w:bookmarkEnd w:id="40"/>
    </w:p>
    <w:p w14:paraId="580EE60E" w14:textId="77777777" w:rsidR="00F900A3" w:rsidRDefault="00F900A3" w:rsidP="00F900A3">
      <w:pPr>
        <w:pStyle w:val="Heading4"/>
      </w:pPr>
      <w:r w:rsidRPr="00617C76">
        <w:t>Partnership description</w:t>
      </w:r>
    </w:p>
    <w:p w14:paraId="4E9C99F3" w14:textId="41E6CB92" w:rsidR="00F900A3" w:rsidRPr="00837360" w:rsidRDefault="00B25313" w:rsidP="00F900A3">
      <w:r w:rsidRPr="00B25313">
        <w:t>The NFSA’s collection includes significant First Nations audiovisual recordings that are representative of culture, language, ceremony, story and song. The NFSA and TSIMA co</w:t>
      </w:r>
      <w:r w:rsidRPr="00B25313">
        <w:noBreakHyphen/>
        <w:t>design partnership is a multi</w:t>
      </w:r>
      <w:r w:rsidRPr="00B25313">
        <w:noBreakHyphen/>
        <w:t xml:space="preserve">year project </w:t>
      </w:r>
      <w:r w:rsidRPr="00B25313">
        <w:lastRenderedPageBreak/>
        <w:t>to preserve, digitise, catalogue and digitally return TSIMA’s at</w:t>
      </w:r>
      <w:r w:rsidRPr="00B25313">
        <w:noBreakHyphen/>
        <w:t>risk audiovisual collection, and make it accessible to communities on Country. This will support intergenerational knowledge transfer and assist in revitalising and maintaining languages and cultural practices for Torres Strait Islander peoples.</w:t>
      </w:r>
    </w:p>
    <w:p w14:paraId="68CAEA93" w14:textId="77777777" w:rsidR="00F900A3" w:rsidRDefault="00F900A3" w:rsidP="00F900A3">
      <w:pPr>
        <w:pStyle w:val="Heading4"/>
      </w:pPr>
      <w:r w:rsidRPr="00DF6278">
        <w:t>Aboriginal and Torres Strait Islander parties</w:t>
      </w:r>
    </w:p>
    <w:p w14:paraId="4B95E770" w14:textId="7EC75E7E" w:rsidR="00F900A3" w:rsidRPr="00B27ADE" w:rsidRDefault="00B25313" w:rsidP="00F900A3">
      <w:r w:rsidRPr="00B27ADE">
        <w:t>Torres Strait Islanders Media Association (TSIMA)</w:t>
      </w:r>
      <w:r w:rsidR="0059143C">
        <w:t xml:space="preserve"> (endorsing partner)</w:t>
      </w:r>
    </w:p>
    <w:p w14:paraId="50DC8BF4" w14:textId="77777777" w:rsidR="00F900A3" w:rsidRPr="00617C76" w:rsidRDefault="00F900A3" w:rsidP="00F900A3">
      <w:pPr>
        <w:pStyle w:val="Heading4"/>
      </w:pPr>
      <w:r w:rsidRPr="00617C76">
        <w:t>Government parties</w:t>
      </w:r>
    </w:p>
    <w:p w14:paraId="37F1E86E" w14:textId="77777777" w:rsidR="00F900A3" w:rsidRDefault="00F900A3" w:rsidP="00F900A3">
      <w:pPr>
        <w:pStyle w:val="Heading5"/>
      </w:pPr>
      <w:r w:rsidRPr="00115C74">
        <w:t xml:space="preserve">COMMONWEALTH PARTIES </w:t>
      </w:r>
    </w:p>
    <w:p w14:paraId="566EA72A" w14:textId="6627B136" w:rsidR="00F900A3" w:rsidRPr="00B27ADE" w:rsidRDefault="00AC2456" w:rsidP="00F900A3">
      <w:r w:rsidRPr="00B27ADE">
        <w:t>National Film and Sound Archive of Australia (NFSA)</w:t>
      </w:r>
      <w:r w:rsidR="0059143C">
        <w:t xml:space="preserve"> (endorsing partner)</w:t>
      </w:r>
    </w:p>
    <w:p w14:paraId="6786B420" w14:textId="5200153A" w:rsidR="00AC2456" w:rsidRPr="00AC2456" w:rsidRDefault="00AC2456" w:rsidP="00F900A3">
      <w:r w:rsidRPr="00AC2456">
        <w:t>Indigenous Language and Arts (ILA) program</w:t>
      </w:r>
    </w:p>
    <w:p w14:paraId="6E0FE2FA" w14:textId="77777777" w:rsidR="00F900A3" w:rsidRPr="00115C74" w:rsidRDefault="00F900A3" w:rsidP="00F900A3">
      <w:pPr>
        <w:pStyle w:val="Heading5"/>
      </w:pPr>
      <w:r w:rsidRPr="00115C74">
        <w:t xml:space="preserve">STATE AND TERRITORY PARTIES </w:t>
      </w:r>
    </w:p>
    <w:p w14:paraId="72838029" w14:textId="77777777" w:rsidR="00F900A3" w:rsidRPr="00617C76" w:rsidRDefault="00F900A3" w:rsidP="00F900A3">
      <w:r>
        <w:t>N/A</w:t>
      </w:r>
    </w:p>
    <w:p w14:paraId="39D8A21A" w14:textId="77777777" w:rsidR="00F900A3" w:rsidRPr="00617C76" w:rsidRDefault="00F900A3" w:rsidP="00F900A3">
      <w:pPr>
        <w:pStyle w:val="Heading4"/>
      </w:pPr>
      <w:r w:rsidRPr="00617C76">
        <w:t>Priority Reforms and Socio-economic Outcomes</w:t>
      </w:r>
    </w:p>
    <w:p w14:paraId="7E131A13" w14:textId="77777777" w:rsidR="00AC2456" w:rsidRDefault="00AC2456" w:rsidP="00F900A3">
      <w:r w:rsidRPr="00AC2456">
        <w:t xml:space="preserve">Priority Reform 1 </w:t>
      </w:r>
    </w:p>
    <w:p w14:paraId="44883B98" w14:textId="77777777" w:rsidR="00AC2456" w:rsidRDefault="00AC2456" w:rsidP="00F900A3">
      <w:r w:rsidRPr="00AC2456">
        <w:t xml:space="preserve">Priority Reform 2 </w:t>
      </w:r>
    </w:p>
    <w:p w14:paraId="2824045B" w14:textId="77777777" w:rsidR="00AC2456" w:rsidRDefault="00AC2456" w:rsidP="00F900A3">
      <w:r w:rsidRPr="00AC2456">
        <w:t xml:space="preserve">Priority Reform 3 </w:t>
      </w:r>
    </w:p>
    <w:p w14:paraId="77916ED2" w14:textId="77777777" w:rsidR="00AC2456" w:rsidRDefault="00AC2456" w:rsidP="00F900A3">
      <w:r w:rsidRPr="00AC2456">
        <w:t xml:space="preserve">Priority Reform 4 </w:t>
      </w:r>
    </w:p>
    <w:p w14:paraId="65124E61" w14:textId="77777777" w:rsidR="00AC2456" w:rsidRDefault="00AC2456" w:rsidP="00F900A3">
      <w:r w:rsidRPr="00AC2456">
        <w:t xml:space="preserve">Outcome 16 </w:t>
      </w:r>
    </w:p>
    <w:p w14:paraId="46CF8700" w14:textId="21556BB9" w:rsidR="00F900A3" w:rsidRPr="007C35F3" w:rsidRDefault="00AC2456" w:rsidP="00F900A3">
      <w:r w:rsidRPr="00AC2456">
        <w:t>Outcome 17</w:t>
      </w:r>
    </w:p>
    <w:p w14:paraId="227AF6C0" w14:textId="77777777" w:rsidR="00F900A3" w:rsidRPr="00617C76" w:rsidRDefault="00F900A3" w:rsidP="00F900A3">
      <w:pPr>
        <w:pStyle w:val="Heading4"/>
      </w:pPr>
      <w:r w:rsidRPr="00617C76">
        <w:t>Partnership function</w:t>
      </w:r>
    </w:p>
    <w:p w14:paraId="5D1C31D2" w14:textId="77777777" w:rsidR="002F2E48" w:rsidRDefault="002F2E48" w:rsidP="00F900A3">
      <w:r w:rsidRPr="002F2E48">
        <w:t>Place</w:t>
      </w:r>
      <w:r w:rsidRPr="002F2E48">
        <w:noBreakHyphen/>
        <w:t xml:space="preserve">based </w:t>
      </w:r>
    </w:p>
    <w:p w14:paraId="6258DEDE" w14:textId="5A6E861F" w:rsidR="00F900A3" w:rsidRPr="00617C76" w:rsidRDefault="002F2E48" w:rsidP="00F900A3">
      <w:r w:rsidRPr="002F2E48">
        <w:t>Other</w:t>
      </w:r>
    </w:p>
    <w:p w14:paraId="066AD08E" w14:textId="77777777" w:rsidR="00F900A3" w:rsidRPr="00617C76" w:rsidRDefault="00F900A3" w:rsidP="00F900A3">
      <w:pPr>
        <w:pStyle w:val="Heading4"/>
      </w:pPr>
      <w:r w:rsidRPr="00617C76">
        <w:t>Partnership timeframe</w:t>
      </w:r>
    </w:p>
    <w:p w14:paraId="4ACF8C43" w14:textId="63C48917" w:rsidR="00F900A3" w:rsidRPr="00617C76" w:rsidRDefault="002F2E48" w:rsidP="00F900A3">
      <w:r w:rsidRPr="002F2E48">
        <w:t>2024 to 2028</w:t>
      </w:r>
    </w:p>
    <w:p w14:paraId="1744B46B" w14:textId="77777777" w:rsidR="00F900A3" w:rsidRPr="00617C76" w:rsidRDefault="00F900A3" w:rsidP="00F900A3">
      <w:pPr>
        <w:pStyle w:val="Heading4"/>
      </w:pPr>
      <w:r w:rsidRPr="00617C76">
        <w:t>Actions taken to strengthen the partnership in 2025</w:t>
      </w:r>
    </w:p>
    <w:p w14:paraId="41CA2AB0" w14:textId="0EDD7F14" w:rsidR="00F900A3" w:rsidRPr="00617C76" w:rsidRDefault="004663EA" w:rsidP="00F900A3">
      <w:r w:rsidRPr="004663EA">
        <w:t>During calendar year 2025, the NFSA and TSIMA co</w:t>
      </w:r>
      <w:r w:rsidRPr="004663EA">
        <w:noBreakHyphen/>
        <w:t>design partnership has continued to go from strength to strength. We have implemented regular online meetings as part of our agreed ongoing communications and consultation process and to best monitor our project planning and collaboration to achieve key deliverables. On Country visits have been built into the project allowing for NFSA to strength</w:t>
      </w:r>
      <w:r w:rsidR="00CA4ACA">
        <w:t>en</w:t>
      </w:r>
      <w:r w:rsidRPr="004663EA">
        <w:t xml:space="preserve"> not only its partnership with TSIMA but the broader community by undertaking jointly hosted events with TSIMA such as a community film screening and recording oral histories with Elders.</w:t>
      </w:r>
    </w:p>
    <w:p w14:paraId="03D47629" w14:textId="77777777" w:rsidR="00F900A3" w:rsidRPr="00617C76" w:rsidRDefault="00F900A3" w:rsidP="00F900A3">
      <w:pPr>
        <w:pStyle w:val="Heading4"/>
      </w:pPr>
      <w:r w:rsidRPr="00617C76">
        <w:t>Strong partnership indicators</w:t>
      </w:r>
    </w:p>
    <w:p w14:paraId="08C5BCAB" w14:textId="77777777" w:rsidR="00F900A3" w:rsidRPr="00617C76" w:rsidRDefault="00F900A3" w:rsidP="00F900A3">
      <w:pPr>
        <w:pStyle w:val="Heading5"/>
      </w:pPr>
      <w:r w:rsidRPr="00617C76">
        <w:t>Clause 32A:</w:t>
      </w:r>
    </w:p>
    <w:p w14:paraId="24E3A152" w14:textId="7386383D" w:rsidR="00F900A3" w:rsidRDefault="007C056F" w:rsidP="007C056F">
      <w:pPr>
        <w:pStyle w:val="ListParagraph"/>
        <w:numPr>
          <w:ilvl w:val="0"/>
          <w:numId w:val="125"/>
        </w:numPr>
      </w:pPr>
      <w:r w:rsidRPr="007C056F">
        <w:t>Met</w:t>
      </w:r>
    </w:p>
    <w:p w14:paraId="4BB09F47" w14:textId="22630AE5" w:rsidR="00F900A3" w:rsidRDefault="007C056F" w:rsidP="007C056F">
      <w:pPr>
        <w:pStyle w:val="ListParagraph"/>
        <w:numPr>
          <w:ilvl w:val="0"/>
          <w:numId w:val="125"/>
        </w:numPr>
      </w:pPr>
      <w:r w:rsidRPr="007C056F">
        <w:t>Met</w:t>
      </w:r>
    </w:p>
    <w:p w14:paraId="51DB547D" w14:textId="594F2423" w:rsidR="00F900A3" w:rsidRDefault="007C056F" w:rsidP="007C056F">
      <w:pPr>
        <w:pStyle w:val="ListParagraph"/>
        <w:numPr>
          <w:ilvl w:val="0"/>
          <w:numId w:val="125"/>
        </w:numPr>
      </w:pPr>
      <w:r w:rsidRPr="007C056F">
        <w:t>Met</w:t>
      </w:r>
    </w:p>
    <w:p w14:paraId="66451640" w14:textId="77777777" w:rsidR="00F900A3" w:rsidRPr="00617C76" w:rsidRDefault="00F900A3" w:rsidP="00F900A3">
      <w:pPr>
        <w:pStyle w:val="Heading5"/>
      </w:pPr>
      <w:r w:rsidRPr="00617C76">
        <w:t>Clause 32B:</w:t>
      </w:r>
    </w:p>
    <w:p w14:paraId="03738319" w14:textId="360CF663" w:rsidR="00F900A3" w:rsidRDefault="00F94F47" w:rsidP="00B17C35">
      <w:pPr>
        <w:pStyle w:val="ListParagraph"/>
        <w:numPr>
          <w:ilvl w:val="0"/>
          <w:numId w:val="126"/>
        </w:numPr>
      </w:pPr>
      <w:r w:rsidRPr="00F94F47">
        <w:t>Met</w:t>
      </w:r>
    </w:p>
    <w:p w14:paraId="01791480" w14:textId="1370A554" w:rsidR="00F900A3" w:rsidRDefault="00F94F47" w:rsidP="00B17C35">
      <w:pPr>
        <w:pStyle w:val="ListParagraph"/>
        <w:numPr>
          <w:ilvl w:val="0"/>
          <w:numId w:val="126"/>
        </w:numPr>
      </w:pPr>
      <w:r w:rsidRPr="00F94F47">
        <w:t>Met</w:t>
      </w:r>
    </w:p>
    <w:p w14:paraId="1D1431BE" w14:textId="73950721" w:rsidR="00F900A3" w:rsidRDefault="00F94F47" w:rsidP="00B17C35">
      <w:pPr>
        <w:pStyle w:val="ListParagraph"/>
        <w:numPr>
          <w:ilvl w:val="0"/>
          <w:numId w:val="126"/>
        </w:numPr>
      </w:pPr>
      <w:r w:rsidRPr="00F94F47">
        <w:lastRenderedPageBreak/>
        <w:t>N/A</w:t>
      </w:r>
    </w:p>
    <w:p w14:paraId="2AC50531" w14:textId="77777777" w:rsidR="00F900A3" w:rsidRDefault="00F900A3" w:rsidP="00B17C35">
      <w:pPr>
        <w:pStyle w:val="ListParagraph"/>
        <w:numPr>
          <w:ilvl w:val="0"/>
          <w:numId w:val="126"/>
        </w:numPr>
      </w:pPr>
      <w:r>
        <w:t>N/A</w:t>
      </w:r>
    </w:p>
    <w:p w14:paraId="6364EC7F" w14:textId="77777777" w:rsidR="00F900A3" w:rsidRPr="00617C76" w:rsidRDefault="00F900A3" w:rsidP="00F900A3">
      <w:pPr>
        <w:pStyle w:val="Heading5"/>
      </w:pPr>
      <w:r w:rsidRPr="00617C76">
        <w:t>Clause 32C:</w:t>
      </w:r>
    </w:p>
    <w:p w14:paraId="31D1B578" w14:textId="3DDA004E" w:rsidR="00F900A3" w:rsidRDefault="00F94F47" w:rsidP="00B17C35">
      <w:pPr>
        <w:pStyle w:val="ListParagraph"/>
        <w:numPr>
          <w:ilvl w:val="0"/>
          <w:numId w:val="127"/>
        </w:numPr>
      </w:pPr>
      <w:r w:rsidRPr="00F94F47">
        <w:t>Met</w:t>
      </w:r>
    </w:p>
    <w:p w14:paraId="552B78FC" w14:textId="6D237999" w:rsidR="00F900A3" w:rsidRDefault="00F94F47" w:rsidP="00B17C35">
      <w:pPr>
        <w:pStyle w:val="ListParagraph"/>
        <w:numPr>
          <w:ilvl w:val="0"/>
          <w:numId w:val="127"/>
        </w:numPr>
      </w:pPr>
      <w:r w:rsidRPr="00F94F47">
        <w:t>Met</w:t>
      </w:r>
    </w:p>
    <w:p w14:paraId="7FCD44D1" w14:textId="0AB13864" w:rsidR="00F900A3" w:rsidRDefault="00F94F47" w:rsidP="00B17C35">
      <w:pPr>
        <w:pStyle w:val="ListParagraph"/>
        <w:numPr>
          <w:ilvl w:val="0"/>
          <w:numId w:val="127"/>
        </w:numPr>
      </w:pPr>
      <w:r w:rsidRPr="00F94F47">
        <w:t>Met</w:t>
      </w:r>
    </w:p>
    <w:p w14:paraId="00D60E00" w14:textId="28DB105D" w:rsidR="00F900A3" w:rsidRDefault="00F94F47" w:rsidP="00B17C35">
      <w:pPr>
        <w:pStyle w:val="ListParagraph"/>
        <w:numPr>
          <w:ilvl w:val="0"/>
          <w:numId w:val="127"/>
        </w:numPr>
      </w:pPr>
      <w:r w:rsidRPr="00F94F47">
        <w:t>Met</w:t>
      </w:r>
    </w:p>
    <w:p w14:paraId="2EE3C415" w14:textId="3B69E815" w:rsidR="00F900A3" w:rsidRDefault="00F94F47" w:rsidP="00B17C35">
      <w:pPr>
        <w:pStyle w:val="ListParagraph"/>
        <w:numPr>
          <w:ilvl w:val="0"/>
          <w:numId w:val="127"/>
        </w:numPr>
      </w:pPr>
      <w:r w:rsidRPr="00F94F47">
        <w:t>Met</w:t>
      </w:r>
    </w:p>
    <w:p w14:paraId="72E6284D" w14:textId="63A9B67E" w:rsidR="00F900A3" w:rsidRDefault="00F94F47" w:rsidP="00B17C35">
      <w:pPr>
        <w:pStyle w:val="ListParagraph"/>
        <w:numPr>
          <w:ilvl w:val="0"/>
          <w:numId w:val="127"/>
        </w:numPr>
      </w:pPr>
      <w:r w:rsidRPr="00F94F47">
        <w:t>Met</w:t>
      </w:r>
    </w:p>
    <w:p w14:paraId="02A5130A" w14:textId="735C5B42" w:rsidR="00F900A3" w:rsidRDefault="00F94F47" w:rsidP="00B17C35">
      <w:pPr>
        <w:pStyle w:val="ListParagraph"/>
        <w:numPr>
          <w:ilvl w:val="0"/>
          <w:numId w:val="127"/>
        </w:numPr>
      </w:pPr>
      <w:r w:rsidRPr="00F94F47">
        <w:t>Met</w:t>
      </w:r>
    </w:p>
    <w:p w14:paraId="11D828A6" w14:textId="77777777" w:rsidR="00F900A3" w:rsidRPr="00617C76" w:rsidRDefault="00F900A3" w:rsidP="00F900A3">
      <w:pPr>
        <w:pStyle w:val="Heading5"/>
      </w:pPr>
      <w:r w:rsidRPr="00617C76">
        <w:t>Clause 33:</w:t>
      </w:r>
    </w:p>
    <w:p w14:paraId="2C9C1CC2" w14:textId="71D430EC" w:rsidR="00F900A3" w:rsidRDefault="00295DA0" w:rsidP="00F900A3">
      <w:r w:rsidRPr="00295DA0">
        <w:t>Met</w:t>
      </w:r>
    </w:p>
    <w:p w14:paraId="7C080EA6" w14:textId="77777777" w:rsidR="00F900A3" w:rsidRDefault="00F900A3" w:rsidP="00F900A3">
      <w:pPr>
        <w:pStyle w:val="Heading4"/>
      </w:pPr>
      <w:r w:rsidRPr="00617C76">
        <w:t>Achievements over 2025</w:t>
      </w:r>
    </w:p>
    <w:p w14:paraId="13987005" w14:textId="77777777" w:rsidR="00CA6B8A" w:rsidRDefault="00CA6B8A" w:rsidP="00F900A3">
      <w:r w:rsidRPr="00CA6B8A">
        <w:t>The TSIMA collection covers a 40</w:t>
      </w:r>
      <w:r w:rsidRPr="00CA6B8A">
        <w:noBreakHyphen/>
        <w:t>year period and includes unique cultural and historical recordings featuring language, song, ceremony, news and interviews with significant Torres Strait Islander peoples. This material is at</w:t>
      </w:r>
      <w:r w:rsidRPr="00CA6B8A">
        <w:noBreakHyphen/>
        <w:t xml:space="preserve">risk and requires urgent digitisation to meet Deadline 2025 (the internationally recognised date that magnetic tape may be lost forever unless it is digitised). </w:t>
      </w:r>
    </w:p>
    <w:p w14:paraId="4D264D7B" w14:textId="006DE936" w:rsidR="00CA6B8A" w:rsidRDefault="00CA6B8A" w:rsidP="00F900A3">
      <w:r w:rsidRPr="00CA6B8A">
        <w:t>In 2025 the following key activities were delivered:</w:t>
      </w:r>
    </w:p>
    <w:p w14:paraId="21777FC8" w14:textId="77777777" w:rsidR="00CA6B8A" w:rsidRDefault="00CA6B8A" w:rsidP="00E1461F">
      <w:pPr>
        <w:pStyle w:val="ListParagraph"/>
        <w:numPr>
          <w:ilvl w:val="0"/>
          <w:numId w:val="128"/>
        </w:numPr>
      </w:pPr>
      <w:r w:rsidRPr="00CA6B8A">
        <w:t xml:space="preserve">The TSIMA collection of approximately 500 audiovisual items are being progressively digitised with over 300 items digitally returned in 2025 to support intergenerational knowledge transfer and assist in revitalising and maintaining languages and cultural practices for Torres Strait Islander peoples. </w:t>
      </w:r>
    </w:p>
    <w:p w14:paraId="66848941" w14:textId="77777777" w:rsidR="00CA6B8A" w:rsidRDefault="00CA6B8A" w:rsidP="00E1461F">
      <w:pPr>
        <w:pStyle w:val="ListParagraph"/>
        <w:numPr>
          <w:ilvl w:val="0"/>
          <w:numId w:val="128"/>
        </w:numPr>
      </w:pPr>
      <w:r w:rsidRPr="00CA6B8A">
        <w:t xml:space="preserve">NFSA undertook procurement to purchase equipment identified by TSIMA as being required to catalogue the digital collection and record oral histories on Country, improving TSIMA’s capacity and capability to provide access to communities. </w:t>
      </w:r>
    </w:p>
    <w:p w14:paraId="36DFCD40" w14:textId="77777777" w:rsidR="00CA6B8A" w:rsidRDefault="00CA6B8A" w:rsidP="00E1461F">
      <w:pPr>
        <w:pStyle w:val="ListParagraph"/>
        <w:numPr>
          <w:ilvl w:val="0"/>
          <w:numId w:val="128"/>
        </w:numPr>
      </w:pPr>
      <w:r w:rsidRPr="00CA6B8A">
        <w:t xml:space="preserve">The partnership, through ILA funding, created employment opportunities for First Nations peoples and employed a dedicated TSIMA project officer for partnership delivery on Country. </w:t>
      </w:r>
    </w:p>
    <w:p w14:paraId="5C26DDC7" w14:textId="128296CC" w:rsidR="00F900A3" w:rsidRPr="003E2721" w:rsidRDefault="00CA6B8A" w:rsidP="00E1461F">
      <w:pPr>
        <w:pStyle w:val="ListParagraph"/>
        <w:numPr>
          <w:ilvl w:val="0"/>
          <w:numId w:val="128"/>
        </w:numPr>
      </w:pPr>
      <w:r w:rsidRPr="00CA6B8A">
        <w:t>TSIMA staff were provided training in audiovisual archiving at the NFSA in April and September, and on Country in November. Regular ongoing virtual training and support were provided to TSIMA staff as required, supporting skills development and training for First Nations peoples.</w:t>
      </w:r>
    </w:p>
    <w:p w14:paraId="7A8955CC" w14:textId="3E848245" w:rsidR="00F900A3" w:rsidRDefault="002123D6" w:rsidP="00F900A3">
      <w:pPr>
        <w:pStyle w:val="Heading3"/>
      </w:pPr>
      <w:bookmarkStart w:id="41" w:name="_Toc225506063"/>
      <w:r w:rsidRPr="002123D6">
        <w:t>Commonwealth Implementation Joint Working Group (Joint Working Group)</w:t>
      </w:r>
      <w:bookmarkEnd w:id="41"/>
    </w:p>
    <w:p w14:paraId="01AD5FC2" w14:textId="77777777" w:rsidR="00F900A3" w:rsidRDefault="00F900A3" w:rsidP="00F900A3">
      <w:pPr>
        <w:pStyle w:val="Heading4"/>
      </w:pPr>
      <w:r w:rsidRPr="00617C76">
        <w:t>Partnership description</w:t>
      </w:r>
    </w:p>
    <w:p w14:paraId="733F57A3" w14:textId="52FD0A8F" w:rsidR="00F900A3" w:rsidRPr="00837360" w:rsidRDefault="002123D6" w:rsidP="00F900A3">
      <w:r w:rsidRPr="002123D6">
        <w:t>The Joint Working Group provides strategic oversight of the development and delivery of the Commonwealth’s Implementation Plan, with a focus on ensuring alignment with the National Agreement. It will support the development, monitoring and coordination of the Commonwealth Implementation Plan over the life of the National Agreement.</w:t>
      </w:r>
    </w:p>
    <w:p w14:paraId="6011F0F7" w14:textId="77777777" w:rsidR="00F900A3" w:rsidRDefault="00F900A3" w:rsidP="00F900A3">
      <w:pPr>
        <w:pStyle w:val="Heading4"/>
      </w:pPr>
      <w:r w:rsidRPr="00DF6278">
        <w:t>Aboriginal and Torres Strait Islander parties</w:t>
      </w:r>
    </w:p>
    <w:p w14:paraId="2B56221A" w14:textId="67EFD79C" w:rsidR="00F900A3" w:rsidRPr="00B27ADE" w:rsidRDefault="00291062" w:rsidP="00F900A3">
      <w:r w:rsidRPr="00B27ADE">
        <w:t>The Coalition of Aboriginal and Torres Strait Islander Peak Organisations (Coalition of Peaks)</w:t>
      </w:r>
      <w:r w:rsidR="00782FDF">
        <w:t xml:space="preserve"> (endorsing partner)</w:t>
      </w:r>
    </w:p>
    <w:p w14:paraId="22670847" w14:textId="77777777" w:rsidR="00F900A3" w:rsidRPr="00617C76" w:rsidRDefault="00F900A3" w:rsidP="00F900A3">
      <w:pPr>
        <w:pStyle w:val="Heading4"/>
      </w:pPr>
      <w:r w:rsidRPr="00617C76">
        <w:t>Government parties</w:t>
      </w:r>
    </w:p>
    <w:p w14:paraId="65B5548C" w14:textId="77777777" w:rsidR="00F900A3" w:rsidRDefault="00F900A3" w:rsidP="00F900A3">
      <w:pPr>
        <w:pStyle w:val="Heading5"/>
      </w:pPr>
      <w:r w:rsidRPr="00115C74">
        <w:t xml:space="preserve">COMMONWEALTH PARTIES </w:t>
      </w:r>
    </w:p>
    <w:p w14:paraId="78796702" w14:textId="1988AF27" w:rsidR="00F900A3" w:rsidRPr="00B27ADE" w:rsidRDefault="00291062" w:rsidP="00F900A3">
      <w:r w:rsidRPr="00B27ADE">
        <w:t>National Indigenous Australians Agency (NIAA)</w:t>
      </w:r>
      <w:r w:rsidR="00782FDF">
        <w:t xml:space="preserve"> (endorsing partner)</w:t>
      </w:r>
    </w:p>
    <w:p w14:paraId="2041CD33" w14:textId="77777777" w:rsidR="00624B88" w:rsidRDefault="00F551A6" w:rsidP="00F900A3">
      <w:r w:rsidRPr="00F551A6">
        <w:lastRenderedPageBreak/>
        <w:t xml:space="preserve">Department of Prime Minister and Cabinet </w:t>
      </w:r>
    </w:p>
    <w:p w14:paraId="3A0224D6" w14:textId="77777777" w:rsidR="00A0717B" w:rsidRDefault="00F551A6" w:rsidP="00F900A3">
      <w:r w:rsidRPr="00F551A6">
        <w:t xml:space="preserve">Australian Public Service Commission </w:t>
      </w:r>
    </w:p>
    <w:p w14:paraId="2B774F1E" w14:textId="77777777" w:rsidR="00F328CA" w:rsidRDefault="00F551A6" w:rsidP="00F900A3">
      <w:r w:rsidRPr="00F551A6">
        <w:t>Department of Treasury</w:t>
      </w:r>
    </w:p>
    <w:p w14:paraId="3E48BF43" w14:textId="508F7B3A" w:rsidR="00A0717B" w:rsidRDefault="00F551A6" w:rsidP="00F900A3">
      <w:r w:rsidRPr="00F551A6">
        <w:t xml:space="preserve">Department of Finance </w:t>
      </w:r>
    </w:p>
    <w:p w14:paraId="234235AA" w14:textId="3E1171D5" w:rsidR="00A0717B" w:rsidRDefault="00F551A6" w:rsidP="00F900A3">
      <w:r w:rsidRPr="00F551A6">
        <w:t>Attorney</w:t>
      </w:r>
      <w:r w:rsidRPr="00F551A6">
        <w:noBreakHyphen/>
        <w:t xml:space="preserve">General’s Department </w:t>
      </w:r>
    </w:p>
    <w:p w14:paraId="74664C80" w14:textId="77777777" w:rsidR="00A0717B" w:rsidRDefault="00F551A6" w:rsidP="00F900A3">
      <w:r w:rsidRPr="00F551A6">
        <w:t xml:space="preserve">Department of Education </w:t>
      </w:r>
    </w:p>
    <w:p w14:paraId="5C679E22" w14:textId="77777777" w:rsidR="00A0717B" w:rsidRDefault="00F551A6" w:rsidP="00F900A3">
      <w:r w:rsidRPr="00F551A6">
        <w:t xml:space="preserve">Department of Employment and Workplace Relations </w:t>
      </w:r>
    </w:p>
    <w:p w14:paraId="0D999288" w14:textId="77777777" w:rsidR="00A0717B" w:rsidRDefault="00F551A6" w:rsidP="00F900A3">
      <w:r w:rsidRPr="00F551A6">
        <w:t xml:space="preserve">Department of Health, Disability and Ageing </w:t>
      </w:r>
    </w:p>
    <w:p w14:paraId="7894183B" w14:textId="0E2A7365" w:rsidR="00291062" w:rsidRPr="00291062" w:rsidRDefault="00F551A6" w:rsidP="00F900A3">
      <w:r w:rsidRPr="00F551A6">
        <w:t>Department of Social Services</w:t>
      </w:r>
    </w:p>
    <w:p w14:paraId="7AAAA5F2" w14:textId="2DA325CD" w:rsidR="00337FBB" w:rsidRDefault="00337FBB" w:rsidP="00F900A3">
      <w:r w:rsidRPr="00337FBB">
        <w:t>Department of Infrastructure, Transport, Regional Development, Communications, Sport and the Arts</w:t>
      </w:r>
    </w:p>
    <w:p w14:paraId="5B7FF629" w14:textId="77777777" w:rsidR="00A0717B" w:rsidRDefault="0066039A" w:rsidP="00F900A3">
      <w:r>
        <w:t>D</w:t>
      </w:r>
      <w:r w:rsidRPr="0066039A">
        <w:t xml:space="preserve">epartment of Agriculture, Fisheries and Forestry </w:t>
      </w:r>
    </w:p>
    <w:p w14:paraId="1EA27569" w14:textId="77777777" w:rsidR="00A0717B" w:rsidRDefault="0066039A" w:rsidP="00F900A3">
      <w:r w:rsidRPr="0066039A">
        <w:t xml:space="preserve">Department of Climate Change, Energy, the Environment and Water </w:t>
      </w:r>
    </w:p>
    <w:p w14:paraId="755ABB82" w14:textId="77777777" w:rsidR="00A0717B" w:rsidRDefault="0066039A" w:rsidP="00F900A3">
      <w:r w:rsidRPr="0066039A">
        <w:t xml:space="preserve">Department of Industry, Science and Resources </w:t>
      </w:r>
    </w:p>
    <w:p w14:paraId="6DAE6D53" w14:textId="77777777" w:rsidR="00A0717B" w:rsidRDefault="0066039A" w:rsidP="00F900A3">
      <w:r w:rsidRPr="0066039A">
        <w:t xml:space="preserve">Department of Defence </w:t>
      </w:r>
    </w:p>
    <w:p w14:paraId="11EC03D0" w14:textId="77777777" w:rsidR="00FE1E61" w:rsidRDefault="0066039A" w:rsidP="00F900A3">
      <w:r w:rsidRPr="0066039A">
        <w:t xml:space="preserve">Department of Foreign Affairs and Trade </w:t>
      </w:r>
    </w:p>
    <w:p w14:paraId="3B3CC8A1" w14:textId="2A797E38" w:rsidR="0066039A" w:rsidRPr="00291062" w:rsidRDefault="0066039A" w:rsidP="00F900A3">
      <w:r w:rsidRPr="0066039A">
        <w:t>Australian Bureau of Statistics</w:t>
      </w:r>
    </w:p>
    <w:p w14:paraId="6471A3FF" w14:textId="77777777" w:rsidR="00F900A3" w:rsidRPr="00115C74" w:rsidRDefault="00F900A3" w:rsidP="00F900A3">
      <w:pPr>
        <w:pStyle w:val="Heading5"/>
      </w:pPr>
      <w:r w:rsidRPr="00115C74">
        <w:t xml:space="preserve">STATE AND TERRITORY PARTIES </w:t>
      </w:r>
    </w:p>
    <w:p w14:paraId="76AD599B" w14:textId="77777777" w:rsidR="00F900A3" w:rsidRPr="00617C76" w:rsidRDefault="00F900A3" w:rsidP="00F900A3">
      <w:r>
        <w:t>N/A</w:t>
      </w:r>
    </w:p>
    <w:p w14:paraId="735385B1" w14:textId="77777777" w:rsidR="00F900A3" w:rsidRPr="00617C76" w:rsidRDefault="00F900A3" w:rsidP="00F900A3">
      <w:pPr>
        <w:pStyle w:val="Heading4"/>
      </w:pPr>
      <w:r w:rsidRPr="00617C76">
        <w:t>Priority Reforms and Socio-economic Outcomes</w:t>
      </w:r>
    </w:p>
    <w:p w14:paraId="2BB2052D" w14:textId="77777777" w:rsidR="00FE1E61" w:rsidRDefault="00FE1E61" w:rsidP="00F900A3">
      <w:r w:rsidRPr="00FE1E61">
        <w:t xml:space="preserve">Priority Reform 1 </w:t>
      </w:r>
    </w:p>
    <w:p w14:paraId="4CBE3BB6" w14:textId="77777777" w:rsidR="00FE1E61" w:rsidRDefault="00FE1E61" w:rsidP="00F900A3">
      <w:r w:rsidRPr="00FE1E61">
        <w:t xml:space="preserve">Priority Reform 2 </w:t>
      </w:r>
    </w:p>
    <w:p w14:paraId="246CC8A3" w14:textId="77777777" w:rsidR="00FE1E61" w:rsidRDefault="00FE1E61" w:rsidP="00F900A3">
      <w:r w:rsidRPr="00FE1E61">
        <w:t xml:space="preserve">Priority Reform 3 </w:t>
      </w:r>
    </w:p>
    <w:p w14:paraId="1CF34EC6" w14:textId="77777777" w:rsidR="00FE1E61" w:rsidRDefault="00FE1E61" w:rsidP="00F900A3">
      <w:r w:rsidRPr="00FE1E61">
        <w:t xml:space="preserve">Priority Reform 4 </w:t>
      </w:r>
    </w:p>
    <w:p w14:paraId="5543F9E5" w14:textId="77777777" w:rsidR="00FE1E61" w:rsidRDefault="00FE1E61" w:rsidP="00F900A3">
      <w:r w:rsidRPr="00FE1E61">
        <w:t xml:space="preserve">Outcome 1 </w:t>
      </w:r>
    </w:p>
    <w:p w14:paraId="6597CFA0" w14:textId="77777777" w:rsidR="00FE1E61" w:rsidRDefault="00FE1E61" w:rsidP="00F900A3">
      <w:r w:rsidRPr="00FE1E61">
        <w:t xml:space="preserve">Outcome 2 </w:t>
      </w:r>
    </w:p>
    <w:p w14:paraId="3B475C9B" w14:textId="77777777" w:rsidR="00FE1E61" w:rsidRDefault="00FE1E61" w:rsidP="00F900A3">
      <w:r w:rsidRPr="00FE1E61">
        <w:t xml:space="preserve">Outcome 3 </w:t>
      </w:r>
    </w:p>
    <w:p w14:paraId="2EBA5341" w14:textId="77777777" w:rsidR="00FE1E61" w:rsidRDefault="00FE1E61" w:rsidP="00F900A3">
      <w:r w:rsidRPr="00FE1E61">
        <w:t xml:space="preserve">Outcome 4 </w:t>
      </w:r>
    </w:p>
    <w:p w14:paraId="663CD734" w14:textId="3BB87702" w:rsidR="00F900A3" w:rsidRPr="007C35F3" w:rsidRDefault="00FE1E61" w:rsidP="00F900A3">
      <w:r w:rsidRPr="00FE1E61">
        <w:t>Outcome 5</w:t>
      </w:r>
    </w:p>
    <w:p w14:paraId="27959BEA" w14:textId="77777777" w:rsidR="000F1348" w:rsidRDefault="000F1348" w:rsidP="00F900A3">
      <w:r w:rsidRPr="000F1348">
        <w:t xml:space="preserve">Outcome 6 </w:t>
      </w:r>
    </w:p>
    <w:p w14:paraId="426E2B94" w14:textId="77777777" w:rsidR="000F1348" w:rsidRDefault="000F1348" w:rsidP="00F900A3">
      <w:r w:rsidRPr="000F1348">
        <w:t xml:space="preserve">Outcome 7 </w:t>
      </w:r>
    </w:p>
    <w:p w14:paraId="3B04328E" w14:textId="77777777" w:rsidR="000F1348" w:rsidRDefault="000F1348" w:rsidP="00F900A3">
      <w:r w:rsidRPr="000F1348">
        <w:t xml:space="preserve">Outcome 8 </w:t>
      </w:r>
    </w:p>
    <w:p w14:paraId="41290E1A" w14:textId="77777777" w:rsidR="000F1348" w:rsidRDefault="000F1348" w:rsidP="00F900A3">
      <w:r w:rsidRPr="000F1348">
        <w:t xml:space="preserve">Outcome 9 </w:t>
      </w:r>
    </w:p>
    <w:p w14:paraId="57865E47" w14:textId="77777777" w:rsidR="000F1348" w:rsidRDefault="000F1348" w:rsidP="00F900A3">
      <w:r w:rsidRPr="000F1348">
        <w:lastRenderedPageBreak/>
        <w:t xml:space="preserve">Outcome 10 </w:t>
      </w:r>
    </w:p>
    <w:p w14:paraId="7C9755BA" w14:textId="77777777" w:rsidR="000F1348" w:rsidRDefault="000F1348" w:rsidP="00F900A3">
      <w:r w:rsidRPr="000F1348">
        <w:t xml:space="preserve">Outcome 11 </w:t>
      </w:r>
    </w:p>
    <w:p w14:paraId="0284F41C" w14:textId="77777777" w:rsidR="000F1348" w:rsidRDefault="000F1348" w:rsidP="00F900A3">
      <w:r w:rsidRPr="000F1348">
        <w:t xml:space="preserve">Outcome 12 </w:t>
      </w:r>
    </w:p>
    <w:p w14:paraId="2213485E" w14:textId="77777777" w:rsidR="000F1348" w:rsidRDefault="000F1348" w:rsidP="00F900A3">
      <w:r w:rsidRPr="000F1348">
        <w:t xml:space="preserve">Outcome 13 </w:t>
      </w:r>
    </w:p>
    <w:p w14:paraId="25967B0E" w14:textId="77777777" w:rsidR="000F1348" w:rsidRDefault="000F1348" w:rsidP="00F900A3">
      <w:r w:rsidRPr="000F1348">
        <w:t xml:space="preserve">Outcome 14 </w:t>
      </w:r>
    </w:p>
    <w:p w14:paraId="045E025E" w14:textId="77777777" w:rsidR="000F1348" w:rsidRDefault="000F1348" w:rsidP="00F900A3">
      <w:r w:rsidRPr="000F1348">
        <w:t xml:space="preserve">Outcome 15 </w:t>
      </w:r>
    </w:p>
    <w:p w14:paraId="3E3C429D" w14:textId="77777777" w:rsidR="000F1348" w:rsidRDefault="000F1348" w:rsidP="00F900A3">
      <w:r w:rsidRPr="000F1348">
        <w:t xml:space="preserve">Outcome 16 </w:t>
      </w:r>
    </w:p>
    <w:p w14:paraId="373DF630" w14:textId="258D7132" w:rsidR="000F1348" w:rsidRPr="007C35F3" w:rsidRDefault="000F1348" w:rsidP="00F900A3">
      <w:r w:rsidRPr="000F1348">
        <w:t>Outcome 17</w:t>
      </w:r>
    </w:p>
    <w:p w14:paraId="4718C221" w14:textId="77777777" w:rsidR="00F900A3" w:rsidRPr="00617C76" w:rsidRDefault="00F900A3" w:rsidP="00F900A3">
      <w:pPr>
        <w:pStyle w:val="Heading4"/>
      </w:pPr>
      <w:r w:rsidRPr="00617C76">
        <w:t>Partnership function</w:t>
      </w:r>
    </w:p>
    <w:p w14:paraId="1BDC3678" w14:textId="095C43F3" w:rsidR="00F900A3" w:rsidRPr="00617C76" w:rsidRDefault="00EA56AB" w:rsidP="00F900A3">
      <w:r w:rsidRPr="00EA56AB">
        <w:t>Policy</w:t>
      </w:r>
    </w:p>
    <w:p w14:paraId="6A226232" w14:textId="77777777" w:rsidR="00F900A3" w:rsidRPr="00617C76" w:rsidRDefault="00F900A3" w:rsidP="00F900A3">
      <w:pPr>
        <w:pStyle w:val="Heading4"/>
      </w:pPr>
      <w:r w:rsidRPr="00617C76">
        <w:t>Partnership timeframe</w:t>
      </w:r>
    </w:p>
    <w:p w14:paraId="441E18BE" w14:textId="62379807" w:rsidR="00F900A3" w:rsidRPr="00617C76" w:rsidRDefault="00EA56AB" w:rsidP="00F900A3">
      <w:r w:rsidRPr="00EA56AB">
        <w:t>2020 to 2030</w:t>
      </w:r>
    </w:p>
    <w:p w14:paraId="51A7FF2C" w14:textId="77777777" w:rsidR="00F900A3" w:rsidRPr="00617C76" w:rsidRDefault="00F900A3" w:rsidP="00F900A3">
      <w:pPr>
        <w:pStyle w:val="Heading4"/>
      </w:pPr>
      <w:r w:rsidRPr="00617C76">
        <w:t>Actions taken to strengthen the partnership in 2025</w:t>
      </w:r>
    </w:p>
    <w:p w14:paraId="34F52622" w14:textId="03C3680A" w:rsidR="00F900A3" w:rsidRPr="00617C76" w:rsidRDefault="00EA56AB" w:rsidP="00F900A3">
      <w:r w:rsidRPr="00EA56AB">
        <w:t>Partnership has been strengthened in Joint Working Group through reviewed Terms of Reference and establishment of a 2026 Strategic Forward Work Plan. The Joint Working Group also deliberated on the Priority Reform Strategy Development to ensure partnership is established and honoured. The Joint Working Group maintains an Actions Register to support accountable partnership and shared decision</w:t>
      </w:r>
      <w:r w:rsidRPr="00EA56AB">
        <w:noBreakHyphen/>
        <w:t>making. The Joint Working Group reinforced its partnership role by guiding Commonwealth engagement with the Coalition of Peaks and ensuring shared priorities were reflected in planning and reporting.</w:t>
      </w:r>
    </w:p>
    <w:p w14:paraId="3BC4B673" w14:textId="77777777" w:rsidR="00F900A3" w:rsidRPr="00617C76" w:rsidRDefault="00F900A3" w:rsidP="00F900A3">
      <w:pPr>
        <w:pStyle w:val="Heading4"/>
      </w:pPr>
      <w:r w:rsidRPr="00617C76">
        <w:t>Strong partnership indicators</w:t>
      </w:r>
    </w:p>
    <w:p w14:paraId="04983A4A" w14:textId="77777777" w:rsidR="00F900A3" w:rsidRPr="00617C76" w:rsidRDefault="00F900A3" w:rsidP="00F900A3">
      <w:pPr>
        <w:pStyle w:val="Heading5"/>
      </w:pPr>
      <w:r w:rsidRPr="00617C76">
        <w:t>Clause 32A:</w:t>
      </w:r>
    </w:p>
    <w:p w14:paraId="5F00DA8F" w14:textId="15F199D2" w:rsidR="00F900A3" w:rsidRDefault="00072F21" w:rsidP="00EA56AB">
      <w:pPr>
        <w:pStyle w:val="ListParagraph"/>
        <w:numPr>
          <w:ilvl w:val="0"/>
          <w:numId w:val="129"/>
        </w:numPr>
      </w:pPr>
      <w:r w:rsidRPr="00072F21">
        <w:t>Met</w:t>
      </w:r>
    </w:p>
    <w:p w14:paraId="3ECD8A33" w14:textId="4EF8680D" w:rsidR="00F900A3" w:rsidRDefault="00072F21" w:rsidP="00EA56AB">
      <w:pPr>
        <w:pStyle w:val="ListParagraph"/>
        <w:numPr>
          <w:ilvl w:val="0"/>
          <w:numId w:val="129"/>
        </w:numPr>
      </w:pPr>
      <w:r w:rsidRPr="00072F21">
        <w:t>Met</w:t>
      </w:r>
    </w:p>
    <w:p w14:paraId="6E3B8FBB" w14:textId="3B62BF67" w:rsidR="00F900A3" w:rsidRDefault="00072F21" w:rsidP="00EA56AB">
      <w:pPr>
        <w:pStyle w:val="ListParagraph"/>
        <w:numPr>
          <w:ilvl w:val="0"/>
          <w:numId w:val="129"/>
        </w:numPr>
      </w:pPr>
      <w:r w:rsidRPr="00072F21">
        <w:t>Met</w:t>
      </w:r>
    </w:p>
    <w:p w14:paraId="7E05E487" w14:textId="77777777" w:rsidR="00F900A3" w:rsidRPr="00617C76" w:rsidRDefault="00F900A3" w:rsidP="00F900A3">
      <w:pPr>
        <w:pStyle w:val="Heading5"/>
      </w:pPr>
      <w:r w:rsidRPr="00617C76">
        <w:t>Clause 32B:</w:t>
      </w:r>
    </w:p>
    <w:p w14:paraId="431D08F4" w14:textId="16F3EC13" w:rsidR="00F900A3" w:rsidRDefault="00072F21" w:rsidP="00EA56AB">
      <w:pPr>
        <w:pStyle w:val="ListParagraph"/>
        <w:numPr>
          <w:ilvl w:val="0"/>
          <w:numId w:val="130"/>
        </w:numPr>
      </w:pPr>
      <w:r w:rsidRPr="00072F21">
        <w:t>Met</w:t>
      </w:r>
    </w:p>
    <w:p w14:paraId="4BED407F" w14:textId="54D490CA" w:rsidR="00F900A3" w:rsidRDefault="00072F21" w:rsidP="00EA56AB">
      <w:pPr>
        <w:pStyle w:val="ListParagraph"/>
        <w:numPr>
          <w:ilvl w:val="0"/>
          <w:numId w:val="130"/>
        </w:numPr>
      </w:pPr>
      <w:r w:rsidRPr="00072F21">
        <w:t>Met</w:t>
      </w:r>
    </w:p>
    <w:p w14:paraId="67D02964" w14:textId="6DFB0C78" w:rsidR="00F900A3" w:rsidRDefault="00072F21" w:rsidP="00EA56AB">
      <w:pPr>
        <w:pStyle w:val="ListParagraph"/>
        <w:numPr>
          <w:ilvl w:val="0"/>
          <w:numId w:val="130"/>
        </w:numPr>
      </w:pPr>
      <w:r>
        <w:t>Not met</w:t>
      </w:r>
    </w:p>
    <w:p w14:paraId="37D0D8B1" w14:textId="77777777" w:rsidR="00F900A3" w:rsidRDefault="00F900A3" w:rsidP="00EA56AB">
      <w:pPr>
        <w:pStyle w:val="ListParagraph"/>
        <w:numPr>
          <w:ilvl w:val="0"/>
          <w:numId w:val="130"/>
        </w:numPr>
      </w:pPr>
      <w:r>
        <w:t>N/A</w:t>
      </w:r>
    </w:p>
    <w:p w14:paraId="6215BF56" w14:textId="77777777" w:rsidR="00F900A3" w:rsidRPr="00617C76" w:rsidRDefault="00F900A3" w:rsidP="00F900A3">
      <w:pPr>
        <w:pStyle w:val="Heading5"/>
      </w:pPr>
      <w:r w:rsidRPr="00617C76">
        <w:t>Clause 32C:</w:t>
      </w:r>
    </w:p>
    <w:p w14:paraId="775A398E" w14:textId="67E1F676" w:rsidR="00F900A3" w:rsidRDefault="00072F21" w:rsidP="00EA56AB">
      <w:pPr>
        <w:pStyle w:val="ListParagraph"/>
        <w:numPr>
          <w:ilvl w:val="0"/>
          <w:numId w:val="131"/>
        </w:numPr>
      </w:pPr>
      <w:r w:rsidRPr="00072F21">
        <w:t>Met</w:t>
      </w:r>
    </w:p>
    <w:p w14:paraId="5B5EEB54" w14:textId="164EE168" w:rsidR="00F900A3" w:rsidRDefault="00072F21" w:rsidP="00EA56AB">
      <w:pPr>
        <w:pStyle w:val="ListParagraph"/>
        <w:numPr>
          <w:ilvl w:val="0"/>
          <w:numId w:val="131"/>
        </w:numPr>
      </w:pPr>
      <w:r w:rsidRPr="00072F21">
        <w:t>Met</w:t>
      </w:r>
    </w:p>
    <w:p w14:paraId="6376E156" w14:textId="42779B85" w:rsidR="00F900A3" w:rsidRDefault="00072F21" w:rsidP="00EA56AB">
      <w:pPr>
        <w:pStyle w:val="ListParagraph"/>
        <w:numPr>
          <w:ilvl w:val="0"/>
          <w:numId w:val="131"/>
        </w:numPr>
      </w:pPr>
      <w:r w:rsidRPr="00072F21">
        <w:t>Met</w:t>
      </w:r>
    </w:p>
    <w:p w14:paraId="62AF88B1" w14:textId="1831ECFC" w:rsidR="00F900A3" w:rsidRDefault="00072F21" w:rsidP="00EA56AB">
      <w:pPr>
        <w:pStyle w:val="ListParagraph"/>
        <w:numPr>
          <w:ilvl w:val="0"/>
          <w:numId w:val="131"/>
        </w:numPr>
      </w:pPr>
      <w:r w:rsidRPr="00072F21">
        <w:t>Met</w:t>
      </w:r>
    </w:p>
    <w:p w14:paraId="031BD016" w14:textId="4E274630" w:rsidR="00F900A3" w:rsidRDefault="00072F21" w:rsidP="00EA56AB">
      <w:pPr>
        <w:pStyle w:val="ListParagraph"/>
        <w:numPr>
          <w:ilvl w:val="0"/>
          <w:numId w:val="131"/>
        </w:numPr>
      </w:pPr>
      <w:r w:rsidRPr="00072F21">
        <w:t>Met</w:t>
      </w:r>
    </w:p>
    <w:p w14:paraId="5D0A910A" w14:textId="35922245" w:rsidR="00F900A3" w:rsidRDefault="00072F21" w:rsidP="00EA56AB">
      <w:pPr>
        <w:pStyle w:val="ListParagraph"/>
        <w:numPr>
          <w:ilvl w:val="0"/>
          <w:numId w:val="131"/>
        </w:numPr>
      </w:pPr>
      <w:r w:rsidRPr="00072F21">
        <w:t>Met</w:t>
      </w:r>
    </w:p>
    <w:p w14:paraId="796B1D8D" w14:textId="1A0295CF" w:rsidR="00F900A3" w:rsidRDefault="00072F21" w:rsidP="00EA56AB">
      <w:pPr>
        <w:pStyle w:val="ListParagraph"/>
        <w:numPr>
          <w:ilvl w:val="0"/>
          <w:numId w:val="131"/>
        </w:numPr>
      </w:pPr>
      <w:r w:rsidRPr="00072F21">
        <w:t>Met</w:t>
      </w:r>
    </w:p>
    <w:p w14:paraId="1D5990CD" w14:textId="77777777" w:rsidR="00F900A3" w:rsidRPr="00617C76" w:rsidRDefault="00F900A3" w:rsidP="00F900A3">
      <w:pPr>
        <w:pStyle w:val="Heading5"/>
      </w:pPr>
      <w:r w:rsidRPr="00617C76">
        <w:t>Clause 33:</w:t>
      </w:r>
    </w:p>
    <w:p w14:paraId="1014D594" w14:textId="67C28AB9" w:rsidR="00F900A3" w:rsidRDefault="00072F21" w:rsidP="00F900A3">
      <w:r w:rsidRPr="00072F21">
        <w:t>Met</w:t>
      </w:r>
    </w:p>
    <w:p w14:paraId="0A523EB9" w14:textId="77777777" w:rsidR="00F900A3" w:rsidRDefault="00F900A3" w:rsidP="00F900A3">
      <w:pPr>
        <w:pStyle w:val="Heading4"/>
      </w:pPr>
      <w:r w:rsidRPr="00617C76">
        <w:lastRenderedPageBreak/>
        <w:t>Achievements over 2025</w:t>
      </w:r>
    </w:p>
    <w:p w14:paraId="7D42D4E5" w14:textId="77777777" w:rsidR="00C737F2" w:rsidRDefault="00C737F2" w:rsidP="00F900A3">
      <w:r w:rsidRPr="00C737F2">
        <w:t xml:space="preserve">The Joint Working Group met 3 times, with a focus to strengthen governance and enhance its role as the key forum for monitoring and accountability of the Commonwealth’s Closing the Gap implementation. Key achievements of the Joint Working Group across 2025 include: </w:t>
      </w:r>
    </w:p>
    <w:p w14:paraId="1EF2C3CC" w14:textId="77777777" w:rsidR="00C737F2" w:rsidRDefault="00C737F2" w:rsidP="00306537">
      <w:pPr>
        <w:pStyle w:val="ListParagraph"/>
        <w:numPr>
          <w:ilvl w:val="0"/>
          <w:numId w:val="132"/>
        </w:numPr>
      </w:pPr>
      <w:r w:rsidRPr="00C737F2">
        <w:t xml:space="preserve">Governance improvements, including clearer coordination and meeting protocols. </w:t>
      </w:r>
    </w:p>
    <w:p w14:paraId="387E2250" w14:textId="77777777" w:rsidR="00C737F2" w:rsidRDefault="00C737F2" w:rsidP="00306537">
      <w:pPr>
        <w:pStyle w:val="ListParagraph"/>
        <w:numPr>
          <w:ilvl w:val="0"/>
          <w:numId w:val="132"/>
        </w:numPr>
      </w:pPr>
      <w:r w:rsidRPr="00C737F2">
        <w:t>Implementation of traffic light reports, providing greater visibility of progress against the 2025 Commonwealth Implementation Plan.</w:t>
      </w:r>
    </w:p>
    <w:p w14:paraId="420FCB4D" w14:textId="77777777" w:rsidR="00C737F2" w:rsidRDefault="00C737F2" w:rsidP="00306537">
      <w:pPr>
        <w:pStyle w:val="ListParagraph"/>
        <w:numPr>
          <w:ilvl w:val="0"/>
          <w:numId w:val="132"/>
        </w:numPr>
      </w:pPr>
      <w:r w:rsidRPr="00C737F2">
        <w:t>Strategic oversight of the development and publication of the 2025 Commonwealth Closing the Gap Annual Report and 2026 Implementation Plan.</w:t>
      </w:r>
    </w:p>
    <w:p w14:paraId="103CFC47" w14:textId="37D002FF" w:rsidR="00F900A3" w:rsidRPr="003E2721" w:rsidRDefault="00C737F2" w:rsidP="00306537">
      <w:pPr>
        <w:pStyle w:val="ListParagraph"/>
        <w:numPr>
          <w:ilvl w:val="0"/>
          <w:numId w:val="132"/>
        </w:numPr>
      </w:pPr>
      <w:r w:rsidRPr="00C737F2">
        <w:t>The Joint Working Group also reinforced its partnership role by guiding Commonwealth engagement with the Coalition of Peaks and ensuring shared priorities were reflected in planning and reporting.</w:t>
      </w:r>
    </w:p>
    <w:p w14:paraId="35633CD2" w14:textId="409337AB" w:rsidR="00F900A3" w:rsidRDefault="000F3AB0" w:rsidP="00F900A3">
      <w:pPr>
        <w:pStyle w:val="Heading3"/>
      </w:pPr>
      <w:bookmarkStart w:id="42" w:name="_Toc225506064"/>
      <w:r w:rsidRPr="000F3AB0">
        <w:t>Garma Institute – Partnership Commitment</w:t>
      </w:r>
      <w:bookmarkEnd w:id="42"/>
    </w:p>
    <w:p w14:paraId="3B2104E1" w14:textId="77777777" w:rsidR="00F900A3" w:rsidRDefault="00F900A3" w:rsidP="00F900A3">
      <w:pPr>
        <w:pStyle w:val="Heading4"/>
      </w:pPr>
      <w:r w:rsidRPr="00617C76">
        <w:t>Partnership description</w:t>
      </w:r>
    </w:p>
    <w:p w14:paraId="7CC4F53D" w14:textId="1DB375EA" w:rsidR="00F900A3" w:rsidRPr="00837360" w:rsidRDefault="000F3AB0" w:rsidP="00F900A3">
      <w:r w:rsidRPr="000F3AB0">
        <w:t>The purpose of this partnership is to create the Garma Institute, a world class Yol</w:t>
      </w:r>
      <w:r w:rsidR="00052827" w:rsidRPr="00377A48">
        <w:t>ŋ</w:t>
      </w:r>
      <w:r w:rsidRPr="000F3AB0">
        <w:t>u</w:t>
      </w:r>
      <w:r w:rsidRPr="000F3AB0">
        <w:noBreakHyphen/>
        <w:t xml:space="preserve">led educational facility situated in </w:t>
      </w:r>
      <w:proofErr w:type="gramStart"/>
      <w:r w:rsidRPr="000F3AB0">
        <w:t>North East</w:t>
      </w:r>
      <w:proofErr w:type="gramEnd"/>
      <w:r w:rsidRPr="000F3AB0">
        <w:t xml:space="preserve"> Arnhem Land that responds to the needs of the Yol</w:t>
      </w:r>
      <w:r w:rsidR="00052827" w:rsidRPr="00377A48">
        <w:t>ŋ</w:t>
      </w:r>
      <w:r w:rsidRPr="000F3AB0">
        <w:t xml:space="preserve">u and their partners and reflects the vision of the region via the </w:t>
      </w:r>
      <w:proofErr w:type="spellStart"/>
      <w:r w:rsidRPr="000F3AB0">
        <w:t>Yothu</w:t>
      </w:r>
      <w:proofErr w:type="spellEnd"/>
      <w:r w:rsidRPr="000F3AB0">
        <w:t xml:space="preserve"> Yindi Foundation as partner organisation. This commitment between </w:t>
      </w:r>
      <w:proofErr w:type="spellStart"/>
      <w:r w:rsidRPr="000F3AB0">
        <w:t>Yothu</w:t>
      </w:r>
      <w:proofErr w:type="spellEnd"/>
      <w:r w:rsidRPr="000F3AB0">
        <w:t xml:space="preserve"> Yindi Foundation, the Australian Government and the Northern Territory Government </w:t>
      </w:r>
      <w:proofErr w:type="gramStart"/>
      <w:r w:rsidRPr="000F3AB0">
        <w:t>ensures</w:t>
      </w:r>
      <w:proofErr w:type="gramEnd"/>
      <w:r w:rsidRPr="000F3AB0">
        <w:t xml:space="preserve"> the knowledge, strengths and resources of each party are utilised to successfully establish the Garma Institute over the coming years.</w:t>
      </w:r>
    </w:p>
    <w:p w14:paraId="2B012CA2" w14:textId="77777777" w:rsidR="00F900A3" w:rsidRDefault="00F900A3" w:rsidP="00F900A3">
      <w:pPr>
        <w:pStyle w:val="Heading4"/>
      </w:pPr>
      <w:r w:rsidRPr="00DF6278">
        <w:t>Aboriginal and Torres Strait Islander parties</w:t>
      </w:r>
    </w:p>
    <w:p w14:paraId="671A05E9" w14:textId="3FFFE6B7" w:rsidR="00F900A3" w:rsidRPr="00B27ADE" w:rsidRDefault="000B67D4" w:rsidP="00F900A3">
      <w:proofErr w:type="spellStart"/>
      <w:r w:rsidRPr="00B27ADE">
        <w:t>Yothu</w:t>
      </w:r>
      <w:proofErr w:type="spellEnd"/>
      <w:r w:rsidRPr="00B27ADE">
        <w:t xml:space="preserve"> Yindi Foundation Aboriginal Corporation</w:t>
      </w:r>
      <w:r w:rsidR="000B746F">
        <w:t xml:space="preserve"> (endorsing partner)</w:t>
      </w:r>
    </w:p>
    <w:p w14:paraId="6C61AB49" w14:textId="77777777" w:rsidR="00F900A3" w:rsidRPr="00617C76" w:rsidRDefault="00F900A3" w:rsidP="00F900A3">
      <w:pPr>
        <w:pStyle w:val="Heading4"/>
      </w:pPr>
      <w:r w:rsidRPr="00617C76">
        <w:t>Government parties</w:t>
      </w:r>
    </w:p>
    <w:p w14:paraId="79F50215" w14:textId="77777777" w:rsidR="00F900A3" w:rsidRDefault="00F900A3" w:rsidP="00F900A3">
      <w:pPr>
        <w:pStyle w:val="Heading5"/>
      </w:pPr>
      <w:r w:rsidRPr="00115C74">
        <w:t xml:space="preserve">COMMONWEALTH PARTIES </w:t>
      </w:r>
    </w:p>
    <w:p w14:paraId="475DD57E" w14:textId="2EE9C7EF" w:rsidR="00F900A3" w:rsidRPr="00B27ADE" w:rsidRDefault="008D6F70" w:rsidP="00F900A3">
      <w:r w:rsidRPr="00B27ADE">
        <w:t>National Indigenous Australians Agency (NIAA)</w:t>
      </w:r>
      <w:r w:rsidR="000B746F">
        <w:t xml:space="preserve"> (endorsing partner)</w:t>
      </w:r>
    </w:p>
    <w:p w14:paraId="75D411F8" w14:textId="77777777" w:rsidR="00F900A3" w:rsidRPr="00115C74" w:rsidRDefault="00F900A3" w:rsidP="00F900A3">
      <w:pPr>
        <w:pStyle w:val="Heading5"/>
      </w:pPr>
      <w:r w:rsidRPr="00115C74">
        <w:t xml:space="preserve">STATE AND TERRITORY PARTIES </w:t>
      </w:r>
    </w:p>
    <w:p w14:paraId="63C25712" w14:textId="08790A50" w:rsidR="00F900A3" w:rsidRPr="00617C76" w:rsidRDefault="008D6F70" w:rsidP="00F900A3">
      <w:r w:rsidRPr="008D6F70">
        <w:t>Department of the Chief Minister and Cabinet (Northern Territory Government)</w:t>
      </w:r>
    </w:p>
    <w:p w14:paraId="319330AC" w14:textId="77777777" w:rsidR="00F900A3" w:rsidRPr="00617C76" w:rsidRDefault="00F900A3" w:rsidP="00F900A3">
      <w:pPr>
        <w:pStyle w:val="Heading4"/>
      </w:pPr>
      <w:r w:rsidRPr="00617C76">
        <w:t>Priority Reforms and Socio-economic Outcomes</w:t>
      </w:r>
    </w:p>
    <w:p w14:paraId="63EDFB56" w14:textId="77777777" w:rsidR="007D3270" w:rsidRDefault="007D3270" w:rsidP="00F900A3">
      <w:r w:rsidRPr="007D3270">
        <w:t xml:space="preserve">Priority Reform 1 </w:t>
      </w:r>
    </w:p>
    <w:p w14:paraId="37917A66" w14:textId="77777777" w:rsidR="007D3270" w:rsidRDefault="007D3270" w:rsidP="00F900A3">
      <w:r w:rsidRPr="007D3270">
        <w:t xml:space="preserve">Priority Reform 2 </w:t>
      </w:r>
    </w:p>
    <w:p w14:paraId="2E26193B" w14:textId="77777777" w:rsidR="007D3270" w:rsidRDefault="007D3270" w:rsidP="00F900A3">
      <w:r w:rsidRPr="007D3270">
        <w:t xml:space="preserve">Outcome 5 </w:t>
      </w:r>
    </w:p>
    <w:p w14:paraId="2941EF48" w14:textId="77777777" w:rsidR="007D3270" w:rsidRDefault="007D3270" w:rsidP="00F900A3">
      <w:r w:rsidRPr="007D3270">
        <w:t xml:space="preserve">Outcome 6 </w:t>
      </w:r>
    </w:p>
    <w:p w14:paraId="564A3C4B" w14:textId="77777777" w:rsidR="007D3270" w:rsidRDefault="007D3270" w:rsidP="00F900A3">
      <w:r w:rsidRPr="007D3270">
        <w:t xml:space="preserve">Outcome 7 </w:t>
      </w:r>
    </w:p>
    <w:p w14:paraId="76BEF5DF" w14:textId="61856A41" w:rsidR="00F900A3" w:rsidRPr="007C35F3" w:rsidRDefault="007D3270" w:rsidP="00F900A3">
      <w:r w:rsidRPr="007D3270">
        <w:t>Outcome 15</w:t>
      </w:r>
    </w:p>
    <w:p w14:paraId="16EB5F7B" w14:textId="77777777" w:rsidR="00F900A3" w:rsidRPr="00617C76" w:rsidRDefault="00F900A3" w:rsidP="00F900A3">
      <w:pPr>
        <w:pStyle w:val="Heading4"/>
      </w:pPr>
      <w:r w:rsidRPr="00617C76">
        <w:t>Partnership function</w:t>
      </w:r>
    </w:p>
    <w:p w14:paraId="5EBAA1B6" w14:textId="0A1D20DA" w:rsidR="00F900A3" w:rsidRPr="00617C76" w:rsidRDefault="00095F2A" w:rsidP="00F900A3">
      <w:r w:rsidRPr="00095F2A">
        <w:t>Place</w:t>
      </w:r>
      <w:r w:rsidRPr="00095F2A">
        <w:noBreakHyphen/>
        <w:t>based</w:t>
      </w:r>
    </w:p>
    <w:p w14:paraId="38DAAD84" w14:textId="77777777" w:rsidR="00F900A3" w:rsidRPr="00617C76" w:rsidRDefault="00F900A3" w:rsidP="00F900A3">
      <w:pPr>
        <w:pStyle w:val="Heading4"/>
      </w:pPr>
      <w:r w:rsidRPr="00617C76">
        <w:t>Partnership timeframe</w:t>
      </w:r>
    </w:p>
    <w:p w14:paraId="383F7818" w14:textId="5418807C" w:rsidR="00F900A3" w:rsidRPr="00617C76" w:rsidRDefault="00095F2A" w:rsidP="00F900A3">
      <w:r w:rsidRPr="00095F2A">
        <w:t>August 2024 to June 2027</w:t>
      </w:r>
    </w:p>
    <w:p w14:paraId="75EF1412" w14:textId="77777777" w:rsidR="00F900A3" w:rsidRPr="00617C76" w:rsidRDefault="00F900A3" w:rsidP="00F900A3">
      <w:pPr>
        <w:pStyle w:val="Heading4"/>
      </w:pPr>
      <w:r w:rsidRPr="00617C76">
        <w:lastRenderedPageBreak/>
        <w:t>Actions taken to strengthen the partnership in 2025</w:t>
      </w:r>
    </w:p>
    <w:p w14:paraId="6FE1F132" w14:textId="24291327" w:rsidR="00F900A3" w:rsidRPr="00617C76" w:rsidRDefault="00377A48" w:rsidP="00F900A3">
      <w:r w:rsidRPr="00377A48">
        <w:t xml:space="preserve">In 2025, the partnership between </w:t>
      </w:r>
      <w:proofErr w:type="spellStart"/>
      <w:r w:rsidRPr="00377A48">
        <w:t>Yothu</w:t>
      </w:r>
      <w:proofErr w:type="spellEnd"/>
      <w:r w:rsidRPr="00377A48">
        <w:t xml:space="preserve"> Yindi Foundation, the Australian Government and Northern Territory Government grew through a shared commitment to the Garma Institute. This collaboration was built on genuine connection, shared purpose and a commitment to working together for lasting change.</w:t>
      </w:r>
    </w:p>
    <w:p w14:paraId="65CD6311" w14:textId="3A84F22A" w:rsidR="00377A48" w:rsidRPr="00617C76" w:rsidRDefault="00377A48" w:rsidP="00F900A3">
      <w:r w:rsidRPr="00377A48">
        <w:t xml:space="preserve">Negotiations between </w:t>
      </w:r>
      <w:proofErr w:type="spellStart"/>
      <w:r w:rsidRPr="00377A48">
        <w:t>Yothu</w:t>
      </w:r>
      <w:proofErr w:type="spellEnd"/>
      <w:r w:rsidRPr="00377A48">
        <w:t xml:space="preserve"> Yindi Foundation and the Northern Territory Government aim to support training workshops, Yolŋu Certificate IV TAFE, and Working with Yolŋu Cards through the Garma Institute, promoting shared decision</w:t>
      </w:r>
      <w:r w:rsidRPr="00377A48">
        <w:noBreakHyphen/>
        <w:t>making and accountability. Stage 1 funding has enabled contractors to develop culturally appropriate resources and training packages for providers, ensuring compliance and collaboration with Yolŋu trainers. This approach combines Yolŋu learnings with Balanda knowledge to support self</w:t>
      </w:r>
      <w:r w:rsidRPr="00377A48">
        <w:noBreakHyphen/>
        <w:t>determination.</w:t>
      </w:r>
    </w:p>
    <w:p w14:paraId="12EDBED3" w14:textId="5166AA07" w:rsidR="006311E9" w:rsidRPr="00617C76" w:rsidRDefault="006311E9" w:rsidP="00F900A3">
      <w:r w:rsidRPr="006311E9">
        <w:t>Throughout 2025, regular conversations, joint decision</w:t>
      </w:r>
      <w:r w:rsidRPr="006311E9">
        <w:noBreakHyphen/>
        <w:t>making and a focus on community priorities has helped build a more connected and responsive partnership. The Garma Institute is shaping up as a powerful example of what can happen when governments and communities work side by side with openness, shared goals and a long</w:t>
      </w:r>
      <w:r w:rsidRPr="006311E9">
        <w:noBreakHyphen/>
        <w:t>term view.</w:t>
      </w:r>
    </w:p>
    <w:p w14:paraId="49EEF257" w14:textId="77777777" w:rsidR="00F900A3" w:rsidRPr="00617C76" w:rsidRDefault="00F900A3" w:rsidP="00F900A3">
      <w:pPr>
        <w:pStyle w:val="Heading4"/>
      </w:pPr>
      <w:r w:rsidRPr="00617C76">
        <w:t>Strong partnership indicators</w:t>
      </w:r>
    </w:p>
    <w:p w14:paraId="6ED3D216" w14:textId="77777777" w:rsidR="00F900A3" w:rsidRPr="00617C76" w:rsidRDefault="00F900A3" w:rsidP="00F900A3">
      <w:pPr>
        <w:pStyle w:val="Heading5"/>
      </w:pPr>
      <w:r w:rsidRPr="00617C76">
        <w:t>Clause 32A:</w:t>
      </w:r>
    </w:p>
    <w:p w14:paraId="4F2F9811" w14:textId="02642938" w:rsidR="00F900A3" w:rsidRDefault="00D9276C" w:rsidP="006311E9">
      <w:pPr>
        <w:pStyle w:val="ListParagraph"/>
        <w:numPr>
          <w:ilvl w:val="0"/>
          <w:numId w:val="133"/>
        </w:numPr>
      </w:pPr>
      <w:r w:rsidRPr="00D9276C">
        <w:t>Met</w:t>
      </w:r>
    </w:p>
    <w:p w14:paraId="6FE9AA9A" w14:textId="0D6AB27C" w:rsidR="00F900A3" w:rsidRDefault="00D9276C" w:rsidP="006311E9">
      <w:pPr>
        <w:pStyle w:val="ListParagraph"/>
        <w:numPr>
          <w:ilvl w:val="0"/>
          <w:numId w:val="133"/>
        </w:numPr>
      </w:pPr>
      <w:r w:rsidRPr="00D9276C">
        <w:t>Met</w:t>
      </w:r>
    </w:p>
    <w:p w14:paraId="7242BB65" w14:textId="2FA16F8F" w:rsidR="00F900A3" w:rsidRDefault="00D9276C" w:rsidP="006311E9">
      <w:pPr>
        <w:pStyle w:val="ListParagraph"/>
        <w:numPr>
          <w:ilvl w:val="0"/>
          <w:numId w:val="133"/>
        </w:numPr>
      </w:pPr>
      <w:r w:rsidRPr="00D9276C">
        <w:t>Met</w:t>
      </w:r>
    </w:p>
    <w:p w14:paraId="051C0FCD" w14:textId="77777777" w:rsidR="00F900A3" w:rsidRPr="00617C76" w:rsidRDefault="00F900A3" w:rsidP="00F900A3">
      <w:pPr>
        <w:pStyle w:val="Heading5"/>
      </w:pPr>
      <w:r w:rsidRPr="00617C76">
        <w:t>Clause 32B:</w:t>
      </w:r>
    </w:p>
    <w:p w14:paraId="2096D390" w14:textId="03A2B807" w:rsidR="00F900A3" w:rsidRDefault="00D9276C" w:rsidP="00D9276C">
      <w:pPr>
        <w:pStyle w:val="ListParagraph"/>
        <w:numPr>
          <w:ilvl w:val="0"/>
          <w:numId w:val="134"/>
        </w:numPr>
      </w:pPr>
      <w:r w:rsidRPr="00D9276C">
        <w:t>Met</w:t>
      </w:r>
    </w:p>
    <w:p w14:paraId="553EF59B" w14:textId="20CA4E76" w:rsidR="00F900A3" w:rsidRDefault="00D9276C" w:rsidP="00D9276C">
      <w:pPr>
        <w:pStyle w:val="ListParagraph"/>
        <w:numPr>
          <w:ilvl w:val="0"/>
          <w:numId w:val="134"/>
        </w:numPr>
      </w:pPr>
      <w:r w:rsidRPr="00D9276C">
        <w:t>Met</w:t>
      </w:r>
    </w:p>
    <w:p w14:paraId="6B612149" w14:textId="55636B81" w:rsidR="00F900A3" w:rsidRDefault="00D9276C" w:rsidP="00D9276C">
      <w:pPr>
        <w:pStyle w:val="ListParagraph"/>
        <w:numPr>
          <w:ilvl w:val="0"/>
          <w:numId w:val="134"/>
        </w:numPr>
      </w:pPr>
      <w:r w:rsidRPr="00D9276C">
        <w:t>Met</w:t>
      </w:r>
    </w:p>
    <w:p w14:paraId="0846CF88" w14:textId="77777777" w:rsidR="00F900A3" w:rsidRDefault="00F900A3" w:rsidP="00D9276C">
      <w:pPr>
        <w:pStyle w:val="ListParagraph"/>
        <w:numPr>
          <w:ilvl w:val="0"/>
          <w:numId w:val="134"/>
        </w:numPr>
      </w:pPr>
      <w:r>
        <w:t>N/A</w:t>
      </w:r>
    </w:p>
    <w:p w14:paraId="1F943800" w14:textId="77777777" w:rsidR="00F900A3" w:rsidRPr="00617C76" w:rsidRDefault="00F900A3" w:rsidP="00F900A3">
      <w:pPr>
        <w:pStyle w:val="Heading5"/>
      </w:pPr>
      <w:r w:rsidRPr="00617C76">
        <w:t>Clause 32C:</w:t>
      </w:r>
    </w:p>
    <w:p w14:paraId="14351632" w14:textId="197B1073" w:rsidR="00F900A3" w:rsidRDefault="009C298C" w:rsidP="00D9276C">
      <w:pPr>
        <w:pStyle w:val="ListParagraph"/>
        <w:numPr>
          <w:ilvl w:val="0"/>
          <w:numId w:val="135"/>
        </w:numPr>
      </w:pPr>
      <w:r w:rsidRPr="009C298C">
        <w:t>Met</w:t>
      </w:r>
    </w:p>
    <w:p w14:paraId="53A1267F" w14:textId="4033EE98" w:rsidR="00F900A3" w:rsidRDefault="009C298C" w:rsidP="00D9276C">
      <w:pPr>
        <w:pStyle w:val="ListParagraph"/>
        <w:numPr>
          <w:ilvl w:val="0"/>
          <w:numId w:val="135"/>
        </w:numPr>
      </w:pPr>
      <w:r w:rsidRPr="009C298C">
        <w:t>Met</w:t>
      </w:r>
    </w:p>
    <w:p w14:paraId="684EC807" w14:textId="2BC0EDFF" w:rsidR="00F900A3" w:rsidRDefault="009C298C" w:rsidP="00D9276C">
      <w:pPr>
        <w:pStyle w:val="ListParagraph"/>
        <w:numPr>
          <w:ilvl w:val="0"/>
          <w:numId w:val="135"/>
        </w:numPr>
      </w:pPr>
      <w:r w:rsidRPr="009C298C">
        <w:t>Met</w:t>
      </w:r>
    </w:p>
    <w:p w14:paraId="315C91FB" w14:textId="77598099" w:rsidR="00F900A3" w:rsidRDefault="009C298C" w:rsidP="00D9276C">
      <w:pPr>
        <w:pStyle w:val="ListParagraph"/>
        <w:numPr>
          <w:ilvl w:val="0"/>
          <w:numId w:val="135"/>
        </w:numPr>
      </w:pPr>
      <w:r w:rsidRPr="009C298C">
        <w:t>Met</w:t>
      </w:r>
    </w:p>
    <w:p w14:paraId="47591111" w14:textId="3B92A9B1" w:rsidR="00F900A3" w:rsidRDefault="009C298C" w:rsidP="00D9276C">
      <w:pPr>
        <w:pStyle w:val="ListParagraph"/>
        <w:numPr>
          <w:ilvl w:val="0"/>
          <w:numId w:val="135"/>
        </w:numPr>
      </w:pPr>
      <w:r w:rsidRPr="009C298C">
        <w:t>Met</w:t>
      </w:r>
    </w:p>
    <w:p w14:paraId="3EF08C92" w14:textId="1C3F791C" w:rsidR="00F900A3" w:rsidRDefault="009C298C" w:rsidP="00D9276C">
      <w:pPr>
        <w:pStyle w:val="ListParagraph"/>
        <w:numPr>
          <w:ilvl w:val="0"/>
          <w:numId w:val="135"/>
        </w:numPr>
      </w:pPr>
      <w:r w:rsidRPr="009C298C">
        <w:t>Met</w:t>
      </w:r>
    </w:p>
    <w:p w14:paraId="2D4D9D40" w14:textId="5FDD20F0" w:rsidR="00F900A3" w:rsidRDefault="009C298C" w:rsidP="00D9276C">
      <w:pPr>
        <w:pStyle w:val="ListParagraph"/>
        <w:numPr>
          <w:ilvl w:val="0"/>
          <w:numId w:val="135"/>
        </w:numPr>
      </w:pPr>
      <w:r w:rsidRPr="009C298C">
        <w:t>Met</w:t>
      </w:r>
    </w:p>
    <w:p w14:paraId="15965C6C" w14:textId="77777777" w:rsidR="00F900A3" w:rsidRPr="00617C76" w:rsidRDefault="00F900A3" w:rsidP="00F900A3">
      <w:pPr>
        <w:pStyle w:val="Heading5"/>
      </w:pPr>
      <w:r w:rsidRPr="00617C76">
        <w:t>Clause 33:</w:t>
      </w:r>
    </w:p>
    <w:p w14:paraId="4464493E" w14:textId="334AA2C7" w:rsidR="00F900A3" w:rsidRDefault="009C298C" w:rsidP="00F900A3">
      <w:r w:rsidRPr="009C298C">
        <w:t>Met</w:t>
      </w:r>
    </w:p>
    <w:p w14:paraId="565A973B" w14:textId="77777777" w:rsidR="00F900A3" w:rsidRDefault="00F900A3" w:rsidP="00F900A3">
      <w:pPr>
        <w:pStyle w:val="Heading4"/>
      </w:pPr>
      <w:r w:rsidRPr="00617C76">
        <w:t>Achievements over 2025</w:t>
      </w:r>
    </w:p>
    <w:p w14:paraId="2C057033" w14:textId="77777777" w:rsidR="00992568" w:rsidRDefault="00992568" w:rsidP="00912DAF">
      <w:r w:rsidRPr="00992568">
        <w:t xml:space="preserve">Key deliverables achieved for this partnership in 2025 include: </w:t>
      </w:r>
    </w:p>
    <w:p w14:paraId="14D5A2D9" w14:textId="77777777" w:rsidR="00992568" w:rsidRDefault="00992568" w:rsidP="00992568">
      <w:pPr>
        <w:pStyle w:val="ListParagraph"/>
        <w:numPr>
          <w:ilvl w:val="0"/>
          <w:numId w:val="137"/>
        </w:numPr>
      </w:pPr>
      <w:r w:rsidRPr="00992568">
        <w:t xml:space="preserve">submission and acceptance of a feasibility study (including contingency plans) for the Garma Institute as required under Stage 1 </w:t>
      </w:r>
    </w:p>
    <w:p w14:paraId="01B8906E" w14:textId="77777777" w:rsidR="00992568" w:rsidRDefault="00992568" w:rsidP="00992568">
      <w:pPr>
        <w:pStyle w:val="ListParagraph"/>
        <w:numPr>
          <w:ilvl w:val="0"/>
          <w:numId w:val="137"/>
        </w:numPr>
      </w:pPr>
      <w:r w:rsidRPr="00992568">
        <w:t xml:space="preserve">negotiations have been underway between Northern Territory Government and the </w:t>
      </w:r>
      <w:proofErr w:type="spellStart"/>
      <w:r w:rsidRPr="00992568">
        <w:t>Yothu</w:t>
      </w:r>
      <w:proofErr w:type="spellEnd"/>
      <w:r w:rsidRPr="00992568">
        <w:t xml:space="preserve"> Yindi Foundation to provide training workshops, Yolŋu Certificate IV TAFE and Working with Yolŋu Cards </w:t>
      </w:r>
    </w:p>
    <w:p w14:paraId="181DA0C8" w14:textId="77777777" w:rsidR="00992568" w:rsidRDefault="00992568" w:rsidP="00992568">
      <w:pPr>
        <w:pStyle w:val="ListParagraph"/>
        <w:numPr>
          <w:ilvl w:val="0"/>
          <w:numId w:val="137"/>
        </w:numPr>
      </w:pPr>
      <w:r w:rsidRPr="00992568">
        <w:t>development of culturally appropriate resources and training for providers to undertake, ensuring their compliance with practices while working with Yolŋu trainers</w:t>
      </w:r>
    </w:p>
    <w:p w14:paraId="63D25BBA" w14:textId="77777777" w:rsidR="00992568" w:rsidRDefault="00992568" w:rsidP="00992568">
      <w:pPr>
        <w:pStyle w:val="ListParagraph"/>
        <w:numPr>
          <w:ilvl w:val="0"/>
          <w:numId w:val="137"/>
        </w:numPr>
      </w:pPr>
      <w:r w:rsidRPr="00992568">
        <w:lastRenderedPageBreak/>
        <w:t xml:space="preserve">development of a campus building schematic design and identification of construction costs and timelines as required under Stage 1 </w:t>
      </w:r>
    </w:p>
    <w:p w14:paraId="0416869D" w14:textId="77777777" w:rsidR="00992568" w:rsidRDefault="00992568" w:rsidP="00992568">
      <w:pPr>
        <w:pStyle w:val="ListParagraph"/>
        <w:numPr>
          <w:ilvl w:val="0"/>
          <w:numId w:val="137"/>
        </w:numPr>
      </w:pPr>
      <w:r w:rsidRPr="00992568">
        <w:t xml:space="preserve">Phase 2 of the Gove Peninsula Water Supply upgrade for </w:t>
      </w:r>
      <w:proofErr w:type="spellStart"/>
      <w:r w:rsidRPr="00992568">
        <w:t>Gunyangara</w:t>
      </w:r>
      <w:proofErr w:type="spellEnd"/>
      <w:r w:rsidRPr="00992568">
        <w:t>, jointly funded by the Australian Government ($13.7m), the Northern Territory Government ($2.43m) and Gumatj Aboriginal Corporation ($1m), was announced in August 2025 to reduce water leakage, improve water reliability and quality and support local development opportunities</w:t>
      </w:r>
    </w:p>
    <w:p w14:paraId="340D58B9" w14:textId="77777777" w:rsidR="00992568" w:rsidRDefault="00992568" w:rsidP="00992568">
      <w:pPr>
        <w:pStyle w:val="ListParagraph"/>
        <w:numPr>
          <w:ilvl w:val="0"/>
          <w:numId w:val="137"/>
        </w:numPr>
      </w:pPr>
      <w:r w:rsidRPr="00992568">
        <w:t xml:space="preserve">monthly meetings between the </w:t>
      </w:r>
      <w:proofErr w:type="spellStart"/>
      <w:r w:rsidRPr="00992568">
        <w:t>Yothu</w:t>
      </w:r>
      <w:proofErr w:type="spellEnd"/>
      <w:r w:rsidRPr="00992568">
        <w:t xml:space="preserve"> Yindi Foundation and the Australian Government to progress the design and costings of the Garma Institute, in line with Stage 1</w:t>
      </w:r>
    </w:p>
    <w:p w14:paraId="0ABE2EB4" w14:textId="541B3D59" w:rsidR="00E8024A" w:rsidRDefault="00992568" w:rsidP="00992568">
      <w:pPr>
        <w:pStyle w:val="ListParagraph"/>
        <w:numPr>
          <w:ilvl w:val="0"/>
          <w:numId w:val="137"/>
        </w:numPr>
      </w:pPr>
      <w:proofErr w:type="spellStart"/>
      <w:r w:rsidRPr="00992568">
        <w:t>Yothu</w:t>
      </w:r>
      <w:proofErr w:type="spellEnd"/>
      <w:r w:rsidRPr="00992568">
        <w:t xml:space="preserve"> Yindi Foundation engaged in further community consultation at the 2025 Garma Festival and will undertake community visits in 2026 to gain further insight into the education and training needs for each community to support a fair representation from a wide variety of groups within Yolŋu people.</w:t>
      </w:r>
    </w:p>
    <w:p w14:paraId="05773562" w14:textId="1CB36864" w:rsidR="00D9276C" w:rsidRDefault="00E75BC2" w:rsidP="00D9276C">
      <w:pPr>
        <w:pStyle w:val="Heading3"/>
      </w:pPr>
      <w:bookmarkStart w:id="43" w:name="_Toc225506065"/>
      <w:proofErr w:type="spellStart"/>
      <w:r w:rsidRPr="00E75BC2">
        <w:t>Guŋga’yunga</w:t>
      </w:r>
      <w:proofErr w:type="spellEnd"/>
      <w:r w:rsidRPr="00E75BC2">
        <w:t xml:space="preserve"> </w:t>
      </w:r>
      <w:proofErr w:type="spellStart"/>
      <w:r w:rsidRPr="00E75BC2">
        <w:t>Djamarrkuliny</w:t>
      </w:r>
      <w:proofErr w:type="spellEnd"/>
      <w:r w:rsidRPr="00E75BC2">
        <w:t xml:space="preserve"> (East Arnhem Land Youth Model) Partnership Support Group</w:t>
      </w:r>
      <w:bookmarkEnd w:id="43"/>
    </w:p>
    <w:p w14:paraId="4947A49A" w14:textId="77777777" w:rsidR="00D9276C" w:rsidRDefault="00D9276C" w:rsidP="00D9276C">
      <w:pPr>
        <w:pStyle w:val="Heading4"/>
      </w:pPr>
      <w:r w:rsidRPr="00617C76">
        <w:t>Partnership description</w:t>
      </w:r>
    </w:p>
    <w:p w14:paraId="5D6C1334" w14:textId="77777777" w:rsidR="00E75BC2" w:rsidRDefault="00E75BC2" w:rsidP="00D9276C">
      <w:r w:rsidRPr="00E75BC2">
        <w:t>The tripartite partnership agreement is between:</w:t>
      </w:r>
    </w:p>
    <w:p w14:paraId="7A6A7312" w14:textId="77777777" w:rsidR="00E75BC2" w:rsidRDefault="00E75BC2" w:rsidP="00E75BC2">
      <w:pPr>
        <w:pStyle w:val="ListParagraph"/>
        <w:numPr>
          <w:ilvl w:val="0"/>
          <w:numId w:val="138"/>
        </w:numPr>
      </w:pPr>
      <w:r w:rsidRPr="00E75BC2">
        <w:t>Arnhem Land Progress Aboriginal Corporation (ALPA) – administers the brokerage fund, employs Yolŋu staff, and provides on</w:t>
      </w:r>
      <w:r w:rsidRPr="00E75BC2">
        <w:noBreakHyphen/>
        <w:t xml:space="preserve">ground logistical and strategic support. </w:t>
      </w:r>
    </w:p>
    <w:p w14:paraId="06239D81" w14:textId="77777777" w:rsidR="00E75BC2" w:rsidRDefault="00E75BC2" w:rsidP="00E75BC2">
      <w:pPr>
        <w:pStyle w:val="ListParagraph"/>
        <w:numPr>
          <w:ilvl w:val="0"/>
          <w:numId w:val="138"/>
        </w:numPr>
      </w:pPr>
      <w:r w:rsidRPr="00E75BC2">
        <w:t>National Indigenous Australians Agency (NIAA) – co</w:t>
      </w:r>
      <w:r w:rsidRPr="00E75BC2">
        <w:noBreakHyphen/>
        <w:t xml:space="preserve">invests funding and provides policy alignment with national priorities, particularly the Closing the Gap reforms. </w:t>
      </w:r>
    </w:p>
    <w:p w14:paraId="42A4450B" w14:textId="0211F654" w:rsidR="00E75BC2" w:rsidRDefault="00E75BC2" w:rsidP="00E75BC2">
      <w:pPr>
        <w:pStyle w:val="ListParagraph"/>
        <w:numPr>
          <w:ilvl w:val="0"/>
          <w:numId w:val="138"/>
        </w:numPr>
      </w:pPr>
      <w:r w:rsidRPr="00E75BC2">
        <w:t>Northern Territory Government (NTG) – supports integration with the 10</w:t>
      </w:r>
      <w:r w:rsidRPr="00E75BC2">
        <w:noBreakHyphen/>
        <w:t xml:space="preserve">Year Generational Strategy and localised youth policy </w:t>
      </w:r>
      <w:proofErr w:type="gramStart"/>
      <w:r w:rsidRPr="00E75BC2">
        <w:t>frameworks, and</w:t>
      </w:r>
      <w:proofErr w:type="gramEnd"/>
      <w:r w:rsidRPr="00E75BC2">
        <w:t xml:space="preserve"> participates in program governance.</w:t>
      </w:r>
    </w:p>
    <w:p w14:paraId="31248229" w14:textId="4CFC8544" w:rsidR="00D9276C" w:rsidRPr="00D9276C" w:rsidRDefault="004648A2" w:rsidP="00D9276C">
      <w:r w:rsidRPr="004648A2">
        <w:t>The Partnership Group aims to take a strategic, non</w:t>
      </w:r>
      <w:r w:rsidRPr="004648A2">
        <w:noBreakHyphen/>
        <w:t>contractual governance approach — focusing on adaptive learning, shared risk, and supporting systemic change in government practice.</w:t>
      </w:r>
    </w:p>
    <w:p w14:paraId="161009D1" w14:textId="77777777" w:rsidR="00D9276C" w:rsidRDefault="00D9276C" w:rsidP="00D9276C">
      <w:pPr>
        <w:pStyle w:val="Heading4"/>
      </w:pPr>
      <w:r w:rsidRPr="00DF6278">
        <w:t>Aboriginal and Torres Strait Islander parties</w:t>
      </w:r>
    </w:p>
    <w:p w14:paraId="0055416A" w14:textId="73F03619" w:rsidR="00D9276C" w:rsidRPr="00B27ADE" w:rsidRDefault="005710BA" w:rsidP="00D9276C">
      <w:r w:rsidRPr="00B27ADE">
        <w:t>Arnhem Land Progress Association Aboriginal Corporation</w:t>
      </w:r>
      <w:r w:rsidR="00E4799D">
        <w:t xml:space="preserve"> (endorsing partner)</w:t>
      </w:r>
    </w:p>
    <w:p w14:paraId="61BB329B" w14:textId="77777777" w:rsidR="00D9276C" w:rsidRPr="00617C76" w:rsidRDefault="00D9276C" w:rsidP="00D9276C">
      <w:pPr>
        <w:pStyle w:val="Heading4"/>
      </w:pPr>
      <w:r w:rsidRPr="00617C76">
        <w:t>Government parties</w:t>
      </w:r>
    </w:p>
    <w:p w14:paraId="65915FDD" w14:textId="77777777" w:rsidR="00D9276C" w:rsidRDefault="00D9276C" w:rsidP="00D9276C">
      <w:pPr>
        <w:pStyle w:val="Heading5"/>
      </w:pPr>
      <w:r w:rsidRPr="00115C74">
        <w:t xml:space="preserve">COMMONWEALTH PARTIES </w:t>
      </w:r>
    </w:p>
    <w:p w14:paraId="15179DAB" w14:textId="0709ABEC" w:rsidR="00D9276C" w:rsidRPr="00B27ADE" w:rsidRDefault="005710BA" w:rsidP="00D9276C">
      <w:r w:rsidRPr="00B27ADE">
        <w:t>National Indigenous Australians Agency (NIAA)</w:t>
      </w:r>
      <w:r w:rsidR="00E4799D">
        <w:t xml:space="preserve"> (endorsing partner)</w:t>
      </w:r>
    </w:p>
    <w:p w14:paraId="460870AD" w14:textId="77777777" w:rsidR="00D9276C" w:rsidRPr="00115C74" w:rsidRDefault="00D9276C" w:rsidP="00D9276C">
      <w:pPr>
        <w:pStyle w:val="Heading5"/>
      </w:pPr>
      <w:r w:rsidRPr="00115C74">
        <w:t xml:space="preserve">STATE AND TERRITORY PARTIES </w:t>
      </w:r>
    </w:p>
    <w:p w14:paraId="4CD78898" w14:textId="46ABCE00" w:rsidR="00D9276C" w:rsidRPr="00B27ADE" w:rsidRDefault="0096525A" w:rsidP="00D9276C">
      <w:r w:rsidRPr="00B27ADE">
        <w:t>Northern Territory Government</w:t>
      </w:r>
      <w:r w:rsidR="00E4799D">
        <w:t xml:space="preserve"> (endorsing partner)</w:t>
      </w:r>
    </w:p>
    <w:p w14:paraId="03A010B4" w14:textId="77777777" w:rsidR="00D9276C" w:rsidRPr="00617C76" w:rsidRDefault="00D9276C" w:rsidP="00D9276C">
      <w:pPr>
        <w:pStyle w:val="Heading4"/>
      </w:pPr>
      <w:r w:rsidRPr="00617C76">
        <w:t>Priority Reforms and Socio-economic Outcomes</w:t>
      </w:r>
    </w:p>
    <w:p w14:paraId="6140B16A" w14:textId="77777777" w:rsidR="0096525A" w:rsidRDefault="0096525A" w:rsidP="00D9276C">
      <w:r w:rsidRPr="0096525A">
        <w:t xml:space="preserve">Priority Reform 1 </w:t>
      </w:r>
    </w:p>
    <w:p w14:paraId="6840521A" w14:textId="77777777" w:rsidR="0096525A" w:rsidRDefault="0096525A" w:rsidP="00D9276C">
      <w:r w:rsidRPr="0096525A">
        <w:t>Priority Reform 2</w:t>
      </w:r>
    </w:p>
    <w:p w14:paraId="1DC0BC1D" w14:textId="77777777" w:rsidR="0096525A" w:rsidRDefault="0096525A" w:rsidP="00D9276C">
      <w:r w:rsidRPr="0096525A">
        <w:t xml:space="preserve">Priority Reform 3 </w:t>
      </w:r>
    </w:p>
    <w:p w14:paraId="62B341EF" w14:textId="77777777" w:rsidR="0096525A" w:rsidRDefault="0096525A" w:rsidP="00D9276C">
      <w:r w:rsidRPr="0096525A">
        <w:t xml:space="preserve">Priority Reform 4 </w:t>
      </w:r>
    </w:p>
    <w:p w14:paraId="0B6EC38D" w14:textId="77777777" w:rsidR="0096525A" w:rsidRDefault="0096525A" w:rsidP="00D9276C">
      <w:r w:rsidRPr="0096525A">
        <w:t xml:space="preserve">Outcome 7 </w:t>
      </w:r>
    </w:p>
    <w:p w14:paraId="3A982F86" w14:textId="77777777" w:rsidR="0096525A" w:rsidRDefault="0096525A" w:rsidP="00D9276C">
      <w:r w:rsidRPr="0096525A">
        <w:t xml:space="preserve">Outcome 8 </w:t>
      </w:r>
    </w:p>
    <w:p w14:paraId="47EE4DBA" w14:textId="77777777" w:rsidR="0096525A" w:rsidRDefault="0096525A" w:rsidP="00D9276C">
      <w:r w:rsidRPr="0096525A">
        <w:t xml:space="preserve">Outcome 14 </w:t>
      </w:r>
    </w:p>
    <w:p w14:paraId="621D231F" w14:textId="77777777" w:rsidR="0096525A" w:rsidRDefault="0096525A" w:rsidP="00D9276C">
      <w:r w:rsidRPr="0096525A">
        <w:lastRenderedPageBreak/>
        <w:t xml:space="preserve">Outcome 15 </w:t>
      </w:r>
    </w:p>
    <w:p w14:paraId="3697E018" w14:textId="77777777" w:rsidR="0096525A" w:rsidRDefault="0096525A" w:rsidP="00D9276C">
      <w:r w:rsidRPr="0096525A">
        <w:t xml:space="preserve">Outcome 16 </w:t>
      </w:r>
    </w:p>
    <w:p w14:paraId="40E28A56" w14:textId="12D954D3" w:rsidR="00D9276C" w:rsidRPr="007C35F3" w:rsidRDefault="0096525A" w:rsidP="00D9276C">
      <w:r w:rsidRPr="0096525A">
        <w:t>Outcome 17</w:t>
      </w:r>
    </w:p>
    <w:p w14:paraId="4DE1DCAF" w14:textId="77777777" w:rsidR="00D9276C" w:rsidRPr="00617C76" w:rsidRDefault="00D9276C" w:rsidP="00D9276C">
      <w:pPr>
        <w:pStyle w:val="Heading4"/>
      </w:pPr>
      <w:r w:rsidRPr="00617C76">
        <w:t>Partnership function</w:t>
      </w:r>
    </w:p>
    <w:p w14:paraId="6CDBFE70" w14:textId="423B176B" w:rsidR="00D9276C" w:rsidRPr="00617C76" w:rsidRDefault="00847336" w:rsidP="00D9276C">
      <w:r w:rsidRPr="00847336">
        <w:t>Place</w:t>
      </w:r>
      <w:r w:rsidRPr="00847336">
        <w:noBreakHyphen/>
        <w:t>based</w:t>
      </w:r>
    </w:p>
    <w:p w14:paraId="4EBCF8DC" w14:textId="77777777" w:rsidR="00D9276C" w:rsidRPr="00617C76" w:rsidRDefault="00D9276C" w:rsidP="00D9276C">
      <w:pPr>
        <w:pStyle w:val="Heading4"/>
      </w:pPr>
      <w:r w:rsidRPr="00617C76">
        <w:t>Partnership timeframe</w:t>
      </w:r>
    </w:p>
    <w:p w14:paraId="42A3F899" w14:textId="10297E3E" w:rsidR="00D9276C" w:rsidRPr="00617C76" w:rsidRDefault="00847336" w:rsidP="00D9276C">
      <w:r w:rsidRPr="00847336">
        <w:t>2022 to 2027</w:t>
      </w:r>
    </w:p>
    <w:p w14:paraId="6C95AD63" w14:textId="1BBA3E95" w:rsidR="00D9276C" w:rsidRDefault="00D9276C" w:rsidP="00D9276C">
      <w:pPr>
        <w:pStyle w:val="Heading4"/>
      </w:pPr>
      <w:r w:rsidRPr="00617C76">
        <w:t>Actions taken to strengthen the partnership in 2025</w:t>
      </w:r>
    </w:p>
    <w:p w14:paraId="341E5FFF" w14:textId="0CD88918" w:rsidR="00D9276C" w:rsidRPr="00D9276C" w:rsidRDefault="007466A7" w:rsidP="00D9276C">
      <w:r w:rsidRPr="007466A7">
        <w:t>The East Arnhem Land Youth Model (EALYM) partnership continued to strengthen during the reporting period of 1 January 2025 to 31 December 2025 in line with the National Agreement. The partnership continued to be representative of Aboriginal and Torres Strait Islander people and their participation and leadership in the decision</w:t>
      </w:r>
      <w:r w:rsidRPr="007466A7">
        <w:noBreakHyphen/>
        <w:t>making process of the EALYM, including at the strategic level when looking to future states of the program and partnership.</w:t>
      </w:r>
    </w:p>
    <w:p w14:paraId="53685202" w14:textId="307AA842" w:rsidR="00D9276C" w:rsidRPr="00617C76" w:rsidRDefault="00D9276C" w:rsidP="00D9276C">
      <w:pPr>
        <w:pStyle w:val="Heading4"/>
      </w:pPr>
      <w:r w:rsidRPr="00617C76">
        <w:t>Strong partnership indicators</w:t>
      </w:r>
    </w:p>
    <w:p w14:paraId="641EEADF" w14:textId="77777777" w:rsidR="00D9276C" w:rsidRPr="00617C76" w:rsidRDefault="00D9276C" w:rsidP="00D9276C">
      <w:pPr>
        <w:pStyle w:val="Heading5"/>
      </w:pPr>
      <w:r w:rsidRPr="00617C76">
        <w:t>Clause 32A:</w:t>
      </w:r>
    </w:p>
    <w:p w14:paraId="1125462E" w14:textId="699D1364" w:rsidR="00D9276C" w:rsidRDefault="00E029EE" w:rsidP="007466A7">
      <w:pPr>
        <w:pStyle w:val="ListParagraph"/>
        <w:numPr>
          <w:ilvl w:val="0"/>
          <w:numId w:val="139"/>
        </w:numPr>
      </w:pPr>
      <w:r w:rsidRPr="00E029EE">
        <w:t>Met</w:t>
      </w:r>
    </w:p>
    <w:p w14:paraId="5E020C08" w14:textId="131FD2AD" w:rsidR="00D9276C" w:rsidRDefault="00E029EE" w:rsidP="007466A7">
      <w:pPr>
        <w:pStyle w:val="ListParagraph"/>
        <w:numPr>
          <w:ilvl w:val="0"/>
          <w:numId w:val="139"/>
        </w:numPr>
      </w:pPr>
      <w:r w:rsidRPr="00E029EE">
        <w:t>Met</w:t>
      </w:r>
    </w:p>
    <w:p w14:paraId="0F946706" w14:textId="5035A03F" w:rsidR="00D9276C" w:rsidRDefault="00E029EE" w:rsidP="007466A7">
      <w:pPr>
        <w:pStyle w:val="ListParagraph"/>
        <w:numPr>
          <w:ilvl w:val="0"/>
          <w:numId w:val="139"/>
        </w:numPr>
      </w:pPr>
      <w:r w:rsidRPr="00E029EE">
        <w:t>Met</w:t>
      </w:r>
    </w:p>
    <w:p w14:paraId="4B411C08" w14:textId="77777777" w:rsidR="00D9276C" w:rsidRPr="00617C76" w:rsidRDefault="00D9276C" w:rsidP="00D9276C">
      <w:pPr>
        <w:pStyle w:val="Heading5"/>
      </w:pPr>
      <w:r w:rsidRPr="00617C76">
        <w:t>Clause 32B:</w:t>
      </w:r>
    </w:p>
    <w:p w14:paraId="1BDD4A5B" w14:textId="1613A90A" w:rsidR="00D9276C" w:rsidRDefault="00E029EE" w:rsidP="007466A7">
      <w:pPr>
        <w:pStyle w:val="ListParagraph"/>
        <w:numPr>
          <w:ilvl w:val="0"/>
          <w:numId w:val="140"/>
        </w:numPr>
      </w:pPr>
      <w:r w:rsidRPr="00E029EE">
        <w:t>Met</w:t>
      </w:r>
    </w:p>
    <w:p w14:paraId="137A4AAC" w14:textId="6DEC2FEA" w:rsidR="00D9276C" w:rsidRDefault="00E029EE" w:rsidP="007466A7">
      <w:pPr>
        <w:pStyle w:val="ListParagraph"/>
        <w:numPr>
          <w:ilvl w:val="0"/>
          <w:numId w:val="140"/>
        </w:numPr>
      </w:pPr>
      <w:r w:rsidRPr="00E029EE">
        <w:t>Met</w:t>
      </w:r>
    </w:p>
    <w:p w14:paraId="558F5225" w14:textId="554E95F9" w:rsidR="00D9276C" w:rsidRDefault="00E029EE" w:rsidP="007466A7">
      <w:pPr>
        <w:pStyle w:val="ListParagraph"/>
        <w:numPr>
          <w:ilvl w:val="0"/>
          <w:numId w:val="140"/>
        </w:numPr>
      </w:pPr>
      <w:r w:rsidRPr="00E029EE">
        <w:t>Met</w:t>
      </w:r>
    </w:p>
    <w:p w14:paraId="764F2EFA" w14:textId="67D32BBB" w:rsidR="00D9276C" w:rsidRDefault="00E029EE" w:rsidP="007466A7">
      <w:pPr>
        <w:pStyle w:val="ListParagraph"/>
        <w:numPr>
          <w:ilvl w:val="0"/>
          <w:numId w:val="140"/>
        </w:numPr>
      </w:pPr>
      <w:r>
        <w:t>N/A</w:t>
      </w:r>
    </w:p>
    <w:p w14:paraId="3EEE0D77" w14:textId="77777777" w:rsidR="00D9276C" w:rsidRPr="00617C76" w:rsidRDefault="00D9276C" w:rsidP="00D9276C">
      <w:pPr>
        <w:pStyle w:val="Heading5"/>
      </w:pPr>
      <w:r w:rsidRPr="00617C76">
        <w:t>Clause 32C:</w:t>
      </w:r>
    </w:p>
    <w:p w14:paraId="4D87544A" w14:textId="2F13341E" w:rsidR="00D9276C" w:rsidRDefault="00E029EE" w:rsidP="00D9276C">
      <w:pPr>
        <w:pStyle w:val="ListParagraph"/>
        <w:numPr>
          <w:ilvl w:val="0"/>
          <w:numId w:val="136"/>
        </w:numPr>
      </w:pPr>
      <w:r w:rsidRPr="00E029EE">
        <w:t>Met</w:t>
      </w:r>
    </w:p>
    <w:p w14:paraId="5BB96E5A" w14:textId="4AF4789B" w:rsidR="00D9276C" w:rsidRDefault="00E029EE" w:rsidP="00D9276C">
      <w:pPr>
        <w:pStyle w:val="ListParagraph"/>
        <w:numPr>
          <w:ilvl w:val="0"/>
          <w:numId w:val="136"/>
        </w:numPr>
      </w:pPr>
      <w:r w:rsidRPr="00E029EE">
        <w:t>Met</w:t>
      </w:r>
    </w:p>
    <w:p w14:paraId="73CB59DE" w14:textId="7209671D" w:rsidR="00D9276C" w:rsidRDefault="00E029EE" w:rsidP="00D9276C">
      <w:pPr>
        <w:pStyle w:val="ListParagraph"/>
        <w:numPr>
          <w:ilvl w:val="0"/>
          <w:numId w:val="136"/>
        </w:numPr>
      </w:pPr>
      <w:r w:rsidRPr="00E029EE">
        <w:t>Met</w:t>
      </w:r>
    </w:p>
    <w:p w14:paraId="5B439E6C" w14:textId="3A94406F" w:rsidR="00D9276C" w:rsidRDefault="00E029EE" w:rsidP="00D9276C">
      <w:pPr>
        <w:pStyle w:val="ListParagraph"/>
        <w:numPr>
          <w:ilvl w:val="0"/>
          <w:numId w:val="136"/>
        </w:numPr>
      </w:pPr>
      <w:r w:rsidRPr="00E029EE">
        <w:t>Met</w:t>
      </w:r>
    </w:p>
    <w:p w14:paraId="4C2169FA" w14:textId="3D467FF5" w:rsidR="00D9276C" w:rsidRDefault="00E029EE" w:rsidP="00D9276C">
      <w:pPr>
        <w:pStyle w:val="ListParagraph"/>
        <w:numPr>
          <w:ilvl w:val="0"/>
          <w:numId w:val="136"/>
        </w:numPr>
      </w:pPr>
      <w:r w:rsidRPr="00E029EE">
        <w:t>Met</w:t>
      </w:r>
    </w:p>
    <w:p w14:paraId="38EB865E" w14:textId="40B591E8" w:rsidR="00D9276C" w:rsidRDefault="00E029EE" w:rsidP="00D9276C">
      <w:pPr>
        <w:pStyle w:val="ListParagraph"/>
        <w:numPr>
          <w:ilvl w:val="0"/>
          <w:numId w:val="136"/>
        </w:numPr>
      </w:pPr>
      <w:r w:rsidRPr="00E029EE">
        <w:t>Met</w:t>
      </w:r>
    </w:p>
    <w:p w14:paraId="3E8EA93A" w14:textId="52CB9271" w:rsidR="00D9276C" w:rsidRDefault="00E029EE" w:rsidP="00D9276C">
      <w:pPr>
        <w:pStyle w:val="ListParagraph"/>
        <w:numPr>
          <w:ilvl w:val="0"/>
          <w:numId w:val="136"/>
        </w:numPr>
      </w:pPr>
      <w:r w:rsidRPr="00E029EE">
        <w:t>Met</w:t>
      </w:r>
    </w:p>
    <w:p w14:paraId="01FEF130" w14:textId="77777777" w:rsidR="00D9276C" w:rsidRPr="00617C76" w:rsidRDefault="00D9276C" w:rsidP="00D9276C">
      <w:pPr>
        <w:pStyle w:val="Heading5"/>
      </w:pPr>
      <w:r w:rsidRPr="00617C76">
        <w:t>Clause 33:</w:t>
      </w:r>
    </w:p>
    <w:p w14:paraId="2C776D1F" w14:textId="55801A39" w:rsidR="00D9276C" w:rsidRDefault="00E029EE" w:rsidP="00D9276C">
      <w:r w:rsidRPr="00E029EE">
        <w:t>Met</w:t>
      </w:r>
    </w:p>
    <w:p w14:paraId="7CA1F7F5" w14:textId="77777777" w:rsidR="00D9276C" w:rsidRDefault="00D9276C" w:rsidP="00D9276C">
      <w:pPr>
        <w:pStyle w:val="Heading4"/>
      </w:pPr>
      <w:r w:rsidRPr="00617C76">
        <w:t>Achievements over 2025</w:t>
      </w:r>
    </w:p>
    <w:p w14:paraId="6CB25D99" w14:textId="15DE9EE8" w:rsidR="00D9276C" w:rsidRPr="003E2721" w:rsidRDefault="002C7F51" w:rsidP="00D9276C">
      <w:r w:rsidRPr="002C7F51">
        <w:t>Activity Leaders — mostly young parents, grandparents, and clan leaders — have delivered a record number of culturally rich, youth</w:t>
      </w:r>
      <w:r w:rsidRPr="002C7F51">
        <w:noBreakHyphen/>
        <w:t>focused activities. These range from bush trips and hunting to arts workshops, yidaki making, and health education. Activity delivery has not only increased youth engagement but also contributed to the wellbeing of the broader community.</w:t>
      </w:r>
    </w:p>
    <w:p w14:paraId="3828355C" w14:textId="47B971D6" w:rsidR="00D9276C" w:rsidRDefault="00386971" w:rsidP="00D9276C">
      <w:pPr>
        <w:pStyle w:val="Heading3"/>
      </w:pPr>
      <w:bookmarkStart w:id="44" w:name="_Toc225506066"/>
      <w:r w:rsidRPr="00386971">
        <w:lastRenderedPageBreak/>
        <w:t>Northern Territory Remote Aboriginal Investment: Investing in Aboriginal Self-determination to Close the Gap in the Northern Territory</w:t>
      </w:r>
      <w:bookmarkEnd w:id="44"/>
    </w:p>
    <w:p w14:paraId="7993E0F6" w14:textId="77777777" w:rsidR="00D9276C" w:rsidRDefault="00D9276C" w:rsidP="00D9276C">
      <w:pPr>
        <w:pStyle w:val="Heading4"/>
      </w:pPr>
      <w:r w:rsidRPr="00617C76">
        <w:t>Partnership description</w:t>
      </w:r>
    </w:p>
    <w:p w14:paraId="392A35B4" w14:textId="0B162893" w:rsidR="00D9276C" w:rsidRPr="00D9276C" w:rsidRDefault="009C4365" w:rsidP="00D9276C">
      <w:r w:rsidRPr="009C4365">
        <w:t>The overarching objective of this Agreement is to enable substantive and enduring opportunities for self</w:t>
      </w:r>
      <w:r w:rsidRPr="009C4365">
        <w:noBreakHyphen/>
        <w:t>determination for remote Aboriginal communities to close the gap in life outcomes between those communities and other Australians. This includes contributing to measurable progress towards the socio</w:t>
      </w:r>
      <w:r w:rsidRPr="009C4365">
        <w:noBreakHyphen/>
        <w:t>economic targets under the National Agreement.</w:t>
      </w:r>
    </w:p>
    <w:p w14:paraId="235B0971" w14:textId="77777777" w:rsidR="00D9276C" w:rsidRDefault="00D9276C" w:rsidP="00D9276C">
      <w:pPr>
        <w:pStyle w:val="Heading4"/>
      </w:pPr>
      <w:r w:rsidRPr="00DF6278">
        <w:t>Aboriginal and Torres Strait Islander parties</w:t>
      </w:r>
    </w:p>
    <w:p w14:paraId="7685FFBA" w14:textId="350737CE" w:rsidR="00D9276C" w:rsidRPr="00B27ADE" w:rsidRDefault="00D904F8" w:rsidP="00D9276C">
      <w:r w:rsidRPr="00B27ADE">
        <w:t>Aboriginal Peak Organisations Northern Territory (APO NT)</w:t>
      </w:r>
      <w:r w:rsidR="00E4799D">
        <w:t xml:space="preserve"> (endorsing partner)</w:t>
      </w:r>
    </w:p>
    <w:p w14:paraId="0DB06DF2" w14:textId="77777777" w:rsidR="00D9276C" w:rsidRPr="00617C76" w:rsidRDefault="00D9276C" w:rsidP="00D9276C">
      <w:pPr>
        <w:pStyle w:val="Heading4"/>
      </w:pPr>
      <w:r w:rsidRPr="00617C76">
        <w:t>Government parties</w:t>
      </w:r>
    </w:p>
    <w:p w14:paraId="44769BA1" w14:textId="77777777" w:rsidR="00D9276C" w:rsidRDefault="00D9276C" w:rsidP="00D9276C">
      <w:pPr>
        <w:pStyle w:val="Heading5"/>
      </w:pPr>
      <w:r w:rsidRPr="00115C74">
        <w:t xml:space="preserve">COMMONWEALTH PARTIES </w:t>
      </w:r>
    </w:p>
    <w:p w14:paraId="153D4A9B" w14:textId="168DD7C2" w:rsidR="00D9276C" w:rsidRPr="00B27ADE" w:rsidRDefault="00FB038F" w:rsidP="00D9276C">
      <w:r w:rsidRPr="00B27ADE">
        <w:t>National Indigenous Australians Agency (NIAA)</w:t>
      </w:r>
      <w:r w:rsidR="00E4799D">
        <w:t xml:space="preserve"> (endorsing partner)</w:t>
      </w:r>
    </w:p>
    <w:p w14:paraId="6B63CAFD" w14:textId="77777777" w:rsidR="00D9276C" w:rsidRPr="00115C74" w:rsidRDefault="00D9276C" w:rsidP="00D9276C">
      <w:pPr>
        <w:pStyle w:val="Heading5"/>
      </w:pPr>
      <w:r w:rsidRPr="00115C74">
        <w:t xml:space="preserve">STATE AND TERRITORY PARTIES </w:t>
      </w:r>
    </w:p>
    <w:p w14:paraId="3F886BA3" w14:textId="77777777" w:rsidR="00CA4ACA" w:rsidRPr="004D6A74" w:rsidRDefault="00CA4ACA" w:rsidP="00CA4ACA">
      <w:r w:rsidRPr="004D6A74">
        <w:t>Northern Territory Government</w:t>
      </w:r>
    </w:p>
    <w:p w14:paraId="39F69DD7" w14:textId="77777777" w:rsidR="00D9276C" w:rsidRPr="00617C76" w:rsidRDefault="00D9276C" w:rsidP="00D9276C">
      <w:pPr>
        <w:pStyle w:val="Heading4"/>
      </w:pPr>
      <w:r w:rsidRPr="00617C76">
        <w:t>Priority Reforms and Socio-economic Outcomes</w:t>
      </w:r>
    </w:p>
    <w:p w14:paraId="2C40A6F7" w14:textId="77777777" w:rsidR="00B0757C" w:rsidRDefault="00B0757C" w:rsidP="00D9276C">
      <w:r w:rsidRPr="00B0757C">
        <w:t xml:space="preserve">Priority Reform 1 </w:t>
      </w:r>
    </w:p>
    <w:p w14:paraId="321FC299" w14:textId="77777777" w:rsidR="00B0757C" w:rsidRDefault="00B0757C" w:rsidP="00D9276C">
      <w:r w:rsidRPr="00B0757C">
        <w:t xml:space="preserve">Priority Reform 2 </w:t>
      </w:r>
    </w:p>
    <w:p w14:paraId="4F79B8CE" w14:textId="77777777" w:rsidR="00B0757C" w:rsidRDefault="00B0757C" w:rsidP="00D9276C">
      <w:r w:rsidRPr="00B0757C">
        <w:t xml:space="preserve">Priority Reform 3 </w:t>
      </w:r>
    </w:p>
    <w:p w14:paraId="04AAB88A" w14:textId="77777777" w:rsidR="00B0757C" w:rsidRDefault="00B0757C" w:rsidP="00D9276C">
      <w:r w:rsidRPr="00B0757C">
        <w:t xml:space="preserve">Priority Reform 4 </w:t>
      </w:r>
    </w:p>
    <w:p w14:paraId="64FA7973" w14:textId="77777777" w:rsidR="00B0757C" w:rsidRDefault="00B0757C" w:rsidP="00D9276C">
      <w:r w:rsidRPr="00B0757C">
        <w:t xml:space="preserve">Outcome 1 </w:t>
      </w:r>
    </w:p>
    <w:p w14:paraId="4FADB430" w14:textId="77777777" w:rsidR="00471447" w:rsidRDefault="00B0757C" w:rsidP="00D9276C">
      <w:r w:rsidRPr="00B0757C">
        <w:t xml:space="preserve">Outcome 3 </w:t>
      </w:r>
    </w:p>
    <w:p w14:paraId="691E5E62" w14:textId="77777777" w:rsidR="00471447" w:rsidRDefault="00B0757C" w:rsidP="00D9276C">
      <w:r w:rsidRPr="00B0757C">
        <w:t xml:space="preserve">Outcome 4 </w:t>
      </w:r>
    </w:p>
    <w:p w14:paraId="25FC36D0" w14:textId="77777777" w:rsidR="00471447" w:rsidRDefault="00B0757C" w:rsidP="00D9276C">
      <w:r w:rsidRPr="00B0757C">
        <w:t xml:space="preserve">Outcome 5 </w:t>
      </w:r>
    </w:p>
    <w:p w14:paraId="503E804F" w14:textId="77777777" w:rsidR="00471447" w:rsidRDefault="00B0757C" w:rsidP="00D9276C">
      <w:r w:rsidRPr="00B0757C">
        <w:t xml:space="preserve">Outcome 7 </w:t>
      </w:r>
    </w:p>
    <w:p w14:paraId="4513758D" w14:textId="77777777" w:rsidR="00471447" w:rsidRDefault="00B0757C" w:rsidP="00D9276C">
      <w:r w:rsidRPr="00B0757C">
        <w:t xml:space="preserve">Outcome 8 </w:t>
      </w:r>
    </w:p>
    <w:p w14:paraId="675C9774" w14:textId="77777777" w:rsidR="00471447" w:rsidRDefault="00B0757C" w:rsidP="00D9276C">
      <w:r w:rsidRPr="00B0757C">
        <w:t xml:space="preserve">Outcome 10 </w:t>
      </w:r>
    </w:p>
    <w:p w14:paraId="23DA4AC6" w14:textId="77777777" w:rsidR="00471447" w:rsidRDefault="00B0757C" w:rsidP="00D9276C">
      <w:r w:rsidRPr="00B0757C">
        <w:t xml:space="preserve">Outcome 11 </w:t>
      </w:r>
    </w:p>
    <w:p w14:paraId="492DDE1E" w14:textId="77777777" w:rsidR="00471447" w:rsidRDefault="00B0757C" w:rsidP="00D9276C">
      <w:r w:rsidRPr="00B0757C">
        <w:t xml:space="preserve">Outcome 12 </w:t>
      </w:r>
    </w:p>
    <w:p w14:paraId="75DA1C90" w14:textId="77777777" w:rsidR="00471447" w:rsidRDefault="00B0757C" w:rsidP="00D9276C">
      <w:r w:rsidRPr="00B0757C">
        <w:t xml:space="preserve">Outcome 13 </w:t>
      </w:r>
    </w:p>
    <w:p w14:paraId="647B3EC1" w14:textId="77777777" w:rsidR="004078F1" w:rsidRDefault="00B0757C" w:rsidP="00D9276C">
      <w:r w:rsidRPr="00B0757C">
        <w:t xml:space="preserve">Outcome 14 </w:t>
      </w:r>
    </w:p>
    <w:p w14:paraId="3D054EF3" w14:textId="77777777" w:rsidR="004078F1" w:rsidRDefault="00B0757C" w:rsidP="00D9276C">
      <w:r w:rsidRPr="00B0757C">
        <w:t xml:space="preserve">Outcome 16 </w:t>
      </w:r>
    </w:p>
    <w:p w14:paraId="4512055D" w14:textId="0E3C5E96" w:rsidR="00D9276C" w:rsidRPr="007C35F3" w:rsidRDefault="00B0757C" w:rsidP="00D9276C">
      <w:r w:rsidRPr="00B0757C">
        <w:t>Outcome 17</w:t>
      </w:r>
    </w:p>
    <w:p w14:paraId="5F64ACD5" w14:textId="77777777" w:rsidR="00D9276C" w:rsidRPr="00617C76" w:rsidRDefault="00D9276C" w:rsidP="00D9276C">
      <w:pPr>
        <w:pStyle w:val="Heading4"/>
      </w:pPr>
      <w:r w:rsidRPr="00617C76">
        <w:t>Partnership function</w:t>
      </w:r>
    </w:p>
    <w:p w14:paraId="563EB085" w14:textId="77777777" w:rsidR="00C62D0F" w:rsidRDefault="004078F1" w:rsidP="00D9276C">
      <w:r w:rsidRPr="004078F1">
        <w:t xml:space="preserve">Policy </w:t>
      </w:r>
    </w:p>
    <w:p w14:paraId="34473E5F" w14:textId="1CE9F3E7" w:rsidR="00D9276C" w:rsidRPr="00617C76" w:rsidRDefault="004078F1" w:rsidP="00D9276C">
      <w:r w:rsidRPr="004078F1">
        <w:lastRenderedPageBreak/>
        <w:t>Place</w:t>
      </w:r>
      <w:r w:rsidRPr="004078F1">
        <w:noBreakHyphen/>
        <w:t>based</w:t>
      </w:r>
    </w:p>
    <w:p w14:paraId="2C3097EE" w14:textId="77777777" w:rsidR="00D9276C" w:rsidRPr="00617C76" w:rsidRDefault="00D9276C" w:rsidP="00D9276C">
      <w:pPr>
        <w:pStyle w:val="Heading4"/>
      </w:pPr>
      <w:r w:rsidRPr="00617C76">
        <w:t>Partnership timeframe</w:t>
      </w:r>
    </w:p>
    <w:p w14:paraId="5F4161FF" w14:textId="722CE47E" w:rsidR="00D9276C" w:rsidRPr="00617C76" w:rsidRDefault="00746D92" w:rsidP="00D9276C">
      <w:r w:rsidRPr="00746D92">
        <w:t>7 February 2025 to 30 June 2031</w:t>
      </w:r>
    </w:p>
    <w:p w14:paraId="6A5959FD" w14:textId="77777777" w:rsidR="00D9276C" w:rsidRDefault="00D9276C" w:rsidP="00D9276C">
      <w:pPr>
        <w:pStyle w:val="Heading4"/>
      </w:pPr>
      <w:r w:rsidRPr="00617C76">
        <w:t>Actions taken to strengthen the partnership in 2025</w:t>
      </w:r>
    </w:p>
    <w:p w14:paraId="00DE1D66" w14:textId="46AE244D" w:rsidR="00D9276C" w:rsidRPr="00D9276C" w:rsidRDefault="00760DE1" w:rsidP="00D9276C">
      <w:r w:rsidRPr="00760DE1">
        <w:t xml:space="preserve">Signing of the Northern Territory Remote Aboriginal Investment (NTRAI) Partnership Agreement on 7 February 2025 was a strong signal of how the partnership between the Commonwealth, the Northern Territory Government and APO NT </w:t>
      </w:r>
      <w:proofErr w:type="gramStart"/>
      <w:r w:rsidRPr="00760DE1">
        <w:t>has</w:t>
      </w:r>
      <w:proofErr w:type="gramEnd"/>
      <w:r w:rsidRPr="00760DE1">
        <w:t xml:space="preserve"> matured. It is a demonstration of working in genuine partnership to deliver better outcomes in line with the National Agreement. The NTRAI Partnership Agreement is another step in the right direction toward enabling true self</w:t>
      </w:r>
      <w:r w:rsidRPr="00760DE1">
        <w:noBreakHyphen/>
        <w:t>determination for Aboriginal Territorians support</w:t>
      </w:r>
      <w:r w:rsidR="00741E82">
        <w:t>ed</w:t>
      </w:r>
      <w:r w:rsidRPr="00760DE1">
        <w:t xml:space="preserve"> by shared decision mechanisms.</w:t>
      </w:r>
    </w:p>
    <w:p w14:paraId="641A8767" w14:textId="77777777" w:rsidR="00D9276C" w:rsidRPr="00617C76" w:rsidRDefault="00D9276C" w:rsidP="00D9276C">
      <w:pPr>
        <w:pStyle w:val="Heading4"/>
      </w:pPr>
      <w:r w:rsidRPr="00617C76">
        <w:t>Strong partnership indicators</w:t>
      </w:r>
    </w:p>
    <w:p w14:paraId="68C960D8" w14:textId="77777777" w:rsidR="00D9276C" w:rsidRPr="00617C76" w:rsidRDefault="00D9276C" w:rsidP="00D9276C">
      <w:pPr>
        <w:pStyle w:val="Heading5"/>
      </w:pPr>
      <w:r w:rsidRPr="00617C76">
        <w:t>Clause 32A:</w:t>
      </w:r>
    </w:p>
    <w:p w14:paraId="10952F64" w14:textId="5BB08DD0" w:rsidR="00D9276C" w:rsidRDefault="00D66A19" w:rsidP="00E12723">
      <w:pPr>
        <w:pStyle w:val="ListParagraph"/>
        <w:numPr>
          <w:ilvl w:val="0"/>
          <w:numId w:val="141"/>
        </w:numPr>
      </w:pPr>
      <w:r w:rsidRPr="00D66A19">
        <w:t>Met</w:t>
      </w:r>
    </w:p>
    <w:p w14:paraId="4647B88A" w14:textId="625701CA" w:rsidR="00D9276C" w:rsidRDefault="00D66A19" w:rsidP="00E12723">
      <w:pPr>
        <w:pStyle w:val="ListParagraph"/>
        <w:numPr>
          <w:ilvl w:val="0"/>
          <w:numId w:val="141"/>
        </w:numPr>
      </w:pPr>
      <w:r w:rsidRPr="00D66A19">
        <w:t>Not met</w:t>
      </w:r>
    </w:p>
    <w:p w14:paraId="487F5C3A" w14:textId="25F42EB5" w:rsidR="00D9276C" w:rsidRDefault="00050465" w:rsidP="00E12723">
      <w:pPr>
        <w:pStyle w:val="ListParagraph"/>
        <w:numPr>
          <w:ilvl w:val="0"/>
          <w:numId w:val="141"/>
        </w:numPr>
      </w:pPr>
      <w:r w:rsidRPr="00050465">
        <w:t>N/A</w:t>
      </w:r>
    </w:p>
    <w:p w14:paraId="5901EB98" w14:textId="77777777" w:rsidR="00D9276C" w:rsidRPr="00617C76" w:rsidRDefault="00D9276C" w:rsidP="00D9276C">
      <w:pPr>
        <w:pStyle w:val="Heading5"/>
      </w:pPr>
      <w:r w:rsidRPr="00617C76">
        <w:t>Clause 32B:</w:t>
      </w:r>
    </w:p>
    <w:p w14:paraId="39B80DD8" w14:textId="33D83DA6" w:rsidR="00D9276C" w:rsidRDefault="00050465" w:rsidP="00E12723">
      <w:pPr>
        <w:pStyle w:val="ListParagraph"/>
        <w:numPr>
          <w:ilvl w:val="0"/>
          <w:numId w:val="142"/>
        </w:numPr>
      </w:pPr>
      <w:r w:rsidRPr="00050465">
        <w:t>Met</w:t>
      </w:r>
    </w:p>
    <w:p w14:paraId="64F7F953" w14:textId="63EF74A9" w:rsidR="00D9276C" w:rsidRDefault="00050465" w:rsidP="00E12723">
      <w:pPr>
        <w:pStyle w:val="ListParagraph"/>
        <w:numPr>
          <w:ilvl w:val="0"/>
          <w:numId w:val="142"/>
        </w:numPr>
      </w:pPr>
      <w:r w:rsidRPr="00050465">
        <w:t>Met</w:t>
      </w:r>
    </w:p>
    <w:p w14:paraId="1824C789" w14:textId="151A31E1" w:rsidR="00D9276C" w:rsidRDefault="00050465" w:rsidP="00E12723">
      <w:pPr>
        <w:pStyle w:val="ListParagraph"/>
        <w:numPr>
          <w:ilvl w:val="0"/>
          <w:numId w:val="142"/>
        </w:numPr>
      </w:pPr>
      <w:r w:rsidRPr="00050465">
        <w:t>Met</w:t>
      </w:r>
    </w:p>
    <w:p w14:paraId="56079933" w14:textId="2C9473AC" w:rsidR="00D9276C" w:rsidRDefault="00050465" w:rsidP="00E12723">
      <w:pPr>
        <w:pStyle w:val="ListParagraph"/>
        <w:numPr>
          <w:ilvl w:val="0"/>
          <w:numId w:val="142"/>
        </w:numPr>
      </w:pPr>
      <w:r w:rsidRPr="00050465">
        <w:t>N/A</w:t>
      </w:r>
    </w:p>
    <w:p w14:paraId="7C8D2FD6" w14:textId="77777777" w:rsidR="00D9276C" w:rsidRPr="00617C76" w:rsidRDefault="00D9276C" w:rsidP="00D9276C">
      <w:pPr>
        <w:pStyle w:val="Heading5"/>
      </w:pPr>
      <w:r w:rsidRPr="00617C76">
        <w:t>Clause 32C:</w:t>
      </w:r>
    </w:p>
    <w:p w14:paraId="4F711DAD" w14:textId="114711A5" w:rsidR="00D9276C" w:rsidRDefault="00050465" w:rsidP="00E12723">
      <w:pPr>
        <w:pStyle w:val="ListParagraph"/>
        <w:numPr>
          <w:ilvl w:val="0"/>
          <w:numId w:val="143"/>
        </w:numPr>
      </w:pPr>
      <w:r w:rsidRPr="00050465">
        <w:t>Met</w:t>
      </w:r>
    </w:p>
    <w:p w14:paraId="418C5648" w14:textId="37C78958" w:rsidR="00D9276C" w:rsidRDefault="00050465" w:rsidP="00E12723">
      <w:pPr>
        <w:pStyle w:val="ListParagraph"/>
        <w:numPr>
          <w:ilvl w:val="0"/>
          <w:numId w:val="143"/>
        </w:numPr>
      </w:pPr>
      <w:r w:rsidRPr="00050465">
        <w:t>Met</w:t>
      </w:r>
    </w:p>
    <w:p w14:paraId="3FD6D93B" w14:textId="33ADCC6A" w:rsidR="00D9276C" w:rsidRDefault="00050465" w:rsidP="00E12723">
      <w:pPr>
        <w:pStyle w:val="ListParagraph"/>
        <w:numPr>
          <w:ilvl w:val="0"/>
          <w:numId w:val="143"/>
        </w:numPr>
      </w:pPr>
      <w:r w:rsidRPr="00050465">
        <w:t>Met</w:t>
      </w:r>
    </w:p>
    <w:p w14:paraId="30587471" w14:textId="65E58C79" w:rsidR="00D9276C" w:rsidRDefault="00050465" w:rsidP="00E12723">
      <w:pPr>
        <w:pStyle w:val="ListParagraph"/>
        <w:numPr>
          <w:ilvl w:val="0"/>
          <w:numId w:val="143"/>
        </w:numPr>
      </w:pPr>
      <w:r w:rsidRPr="00050465">
        <w:t>Met</w:t>
      </w:r>
    </w:p>
    <w:p w14:paraId="4C77DBE1" w14:textId="737DC036" w:rsidR="00D9276C" w:rsidRDefault="00050465" w:rsidP="00E12723">
      <w:pPr>
        <w:pStyle w:val="ListParagraph"/>
        <w:numPr>
          <w:ilvl w:val="0"/>
          <w:numId w:val="143"/>
        </w:numPr>
      </w:pPr>
      <w:r w:rsidRPr="00050465">
        <w:t>Met</w:t>
      </w:r>
    </w:p>
    <w:p w14:paraId="2D3B35DC" w14:textId="42B019EA" w:rsidR="00D9276C" w:rsidRDefault="00050465" w:rsidP="00E12723">
      <w:pPr>
        <w:pStyle w:val="ListParagraph"/>
        <w:numPr>
          <w:ilvl w:val="0"/>
          <w:numId w:val="143"/>
        </w:numPr>
      </w:pPr>
      <w:r w:rsidRPr="00050465">
        <w:t>Met</w:t>
      </w:r>
    </w:p>
    <w:p w14:paraId="538DFAB5" w14:textId="09DE72B9" w:rsidR="00D9276C" w:rsidRDefault="00050465" w:rsidP="00E12723">
      <w:pPr>
        <w:pStyle w:val="ListParagraph"/>
        <w:numPr>
          <w:ilvl w:val="0"/>
          <w:numId w:val="143"/>
        </w:numPr>
      </w:pPr>
      <w:r w:rsidRPr="00050465">
        <w:t>Met</w:t>
      </w:r>
    </w:p>
    <w:p w14:paraId="08D7DE07" w14:textId="77777777" w:rsidR="00D9276C" w:rsidRPr="00617C76" w:rsidRDefault="00D9276C" w:rsidP="00D9276C">
      <w:pPr>
        <w:pStyle w:val="Heading5"/>
      </w:pPr>
      <w:r w:rsidRPr="00617C76">
        <w:t>Clause 33:</w:t>
      </w:r>
    </w:p>
    <w:p w14:paraId="5C6D7813" w14:textId="64D6CFC7" w:rsidR="00D9276C" w:rsidRDefault="00050465" w:rsidP="00D9276C">
      <w:r w:rsidRPr="00050465">
        <w:t>Met</w:t>
      </w:r>
    </w:p>
    <w:p w14:paraId="6EA46051" w14:textId="77777777" w:rsidR="00D9276C" w:rsidRDefault="00D9276C" w:rsidP="00D9276C">
      <w:pPr>
        <w:pStyle w:val="Heading4"/>
      </w:pPr>
      <w:r w:rsidRPr="00617C76">
        <w:t>Achievements over 2025</w:t>
      </w:r>
    </w:p>
    <w:p w14:paraId="057E7758" w14:textId="77777777" w:rsidR="00414922" w:rsidRDefault="00414922" w:rsidP="00D9276C">
      <w:r w:rsidRPr="00414922">
        <w:t xml:space="preserve">On 7 February 2025, the Australian Government signed a new Partnership Agreement with the Northern Territory Government and APO NT (all collectively ‘the Partners’) to strengthen remote services in the Northern Territory. </w:t>
      </w:r>
    </w:p>
    <w:p w14:paraId="3B8B116B" w14:textId="77777777" w:rsidR="003C5236" w:rsidRDefault="00414922" w:rsidP="00D9276C">
      <w:r w:rsidRPr="00414922">
        <w:t xml:space="preserve">In March 2025, the Partners commenced negotiation of 9 new Federation Funding Agreement (FFA) schedules to deliver NTRAI investment from 1 July 2025. </w:t>
      </w:r>
    </w:p>
    <w:p w14:paraId="33100773" w14:textId="6393E37D" w:rsidR="00D9276C" w:rsidRPr="003E2721" w:rsidRDefault="00414922" w:rsidP="00D9276C">
      <w:r w:rsidRPr="00414922">
        <w:t>Throughout August and September, the NIAA, APO NT and the Northern Territory Government endorsed 6 of the new NTRAI FFA schedules as the basis for consideration by the Minister for Indigenous Australians.</w:t>
      </w:r>
    </w:p>
    <w:p w14:paraId="08FAA2B8" w14:textId="77777777" w:rsidR="00D9276C" w:rsidRPr="003E2721" w:rsidRDefault="00D9276C" w:rsidP="00D9276C"/>
    <w:p w14:paraId="07D90DC6" w14:textId="558FE125" w:rsidR="00D9276C" w:rsidRDefault="003C5236" w:rsidP="00D9276C">
      <w:pPr>
        <w:pStyle w:val="Heading3"/>
      </w:pPr>
      <w:bookmarkStart w:id="45" w:name="_Toc225506067"/>
      <w:r w:rsidRPr="003C5236">
        <w:lastRenderedPageBreak/>
        <w:t>Partnership Agreement on Remote Northern Territory (NT) Housing and Homelands</w:t>
      </w:r>
      <w:bookmarkEnd w:id="45"/>
    </w:p>
    <w:p w14:paraId="2CF21DA7" w14:textId="77777777" w:rsidR="00D9276C" w:rsidRDefault="00D9276C" w:rsidP="00D9276C">
      <w:pPr>
        <w:pStyle w:val="Heading4"/>
      </w:pPr>
      <w:r w:rsidRPr="00617C76">
        <w:t>Partnership description</w:t>
      </w:r>
    </w:p>
    <w:p w14:paraId="6FC10DFE" w14:textId="77777777" w:rsidR="003A11C3" w:rsidRDefault="003A11C3" w:rsidP="00D9276C">
      <w:r w:rsidRPr="003A11C3">
        <w:t>The Partnership Agreement on Remote NT Housing and Homelands provides the overarching governance for the Australian and Northern Territory Governments’ joint $4 billion investment over 10 years for housing in remote communities across the NT, and the Restoring Funding for NT Homelands Agreement. The Partnership Agreement embeds shared decision</w:t>
      </w:r>
      <w:r w:rsidRPr="003A11C3">
        <w:noBreakHyphen/>
        <w:t xml:space="preserve">making and ensures Aboriginal voices and organisations are part of the implementation of this significant investment package. </w:t>
      </w:r>
    </w:p>
    <w:p w14:paraId="5F685666" w14:textId="6557AE27" w:rsidR="00D9276C" w:rsidRPr="00D9276C" w:rsidRDefault="003A11C3" w:rsidP="00D9276C">
      <w:r w:rsidRPr="003A11C3">
        <w:t>The Partnership Agreement is operationalised through the Joint Steering Committee for Remote Housing NT (JSC), with all partners having representation. The JSC meets quarterly to monitor and inform delivery to remote communities and homelands.</w:t>
      </w:r>
    </w:p>
    <w:p w14:paraId="40C772E0" w14:textId="77777777" w:rsidR="00D9276C" w:rsidRDefault="00D9276C" w:rsidP="00D9276C">
      <w:pPr>
        <w:pStyle w:val="Heading4"/>
      </w:pPr>
      <w:r w:rsidRPr="00DF6278">
        <w:t>Aboriginal and Torres Strait Islander parties</w:t>
      </w:r>
    </w:p>
    <w:p w14:paraId="0B0BC518" w14:textId="23060811" w:rsidR="00CC38E0" w:rsidRPr="00B27ADE" w:rsidRDefault="00CC38E0" w:rsidP="00D9276C">
      <w:r w:rsidRPr="00B27ADE">
        <w:t>Aboriginal Housing Northern Territory</w:t>
      </w:r>
      <w:r w:rsidR="00971776">
        <w:t xml:space="preserve"> (endorsing partner)</w:t>
      </w:r>
    </w:p>
    <w:p w14:paraId="35243FBF" w14:textId="3769E386" w:rsidR="00CC38E0" w:rsidRPr="00B27ADE" w:rsidRDefault="00CC38E0" w:rsidP="00D9276C">
      <w:r w:rsidRPr="00B27ADE">
        <w:t>Anindilyakwa Land Council</w:t>
      </w:r>
      <w:r w:rsidR="00971776">
        <w:t xml:space="preserve"> (endorsing partner)</w:t>
      </w:r>
    </w:p>
    <w:p w14:paraId="1EEF64EA" w14:textId="761EFA03" w:rsidR="00CC38E0" w:rsidRPr="00B27ADE" w:rsidRDefault="00CC38E0" w:rsidP="00D9276C">
      <w:r w:rsidRPr="00B27ADE">
        <w:t>Central Land Council</w:t>
      </w:r>
      <w:r w:rsidR="00971776">
        <w:t xml:space="preserve"> (endorsing partner)</w:t>
      </w:r>
    </w:p>
    <w:p w14:paraId="3A182825" w14:textId="031C9270" w:rsidR="00CC38E0" w:rsidRPr="00B27ADE" w:rsidRDefault="00CC38E0" w:rsidP="00D9276C">
      <w:r w:rsidRPr="00B27ADE">
        <w:t>Northern Land Council</w:t>
      </w:r>
      <w:r w:rsidR="00971776">
        <w:t xml:space="preserve"> (endorsing partner)</w:t>
      </w:r>
    </w:p>
    <w:p w14:paraId="3E8EE3D3" w14:textId="4E8C8804" w:rsidR="00D9276C" w:rsidRPr="00B27ADE" w:rsidRDefault="00CC38E0" w:rsidP="00D9276C">
      <w:r w:rsidRPr="00B27ADE">
        <w:t>Tiwi Land Council</w:t>
      </w:r>
      <w:r w:rsidR="00971776">
        <w:t xml:space="preserve"> (endorsing partner)</w:t>
      </w:r>
    </w:p>
    <w:p w14:paraId="0AC6F770" w14:textId="77777777" w:rsidR="00D9276C" w:rsidRPr="00617C76" w:rsidRDefault="00D9276C" w:rsidP="00D9276C">
      <w:pPr>
        <w:pStyle w:val="Heading4"/>
      </w:pPr>
      <w:r w:rsidRPr="00617C76">
        <w:t>Government parties</w:t>
      </w:r>
    </w:p>
    <w:p w14:paraId="0E0F38BD" w14:textId="77777777" w:rsidR="00D9276C" w:rsidRDefault="00D9276C" w:rsidP="00D9276C">
      <w:pPr>
        <w:pStyle w:val="Heading5"/>
      </w:pPr>
      <w:r w:rsidRPr="00115C74">
        <w:t xml:space="preserve">COMMONWEALTH PARTIES </w:t>
      </w:r>
    </w:p>
    <w:p w14:paraId="79007536" w14:textId="7FDDA158" w:rsidR="00D9276C" w:rsidRPr="00B27ADE" w:rsidRDefault="009B7847" w:rsidP="00D9276C">
      <w:r w:rsidRPr="00B27ADE">
        <w:t>National Indigenous Australians Agency (NIAA)</w:t>
      </w:r>
      <w:r w:rsidR="003A08D5">
        <w:t xml:space="preserve"> (endorsing partner)</w:t>
      </w:r>
    </w:p>
    <w:p w14:paraId="219D8E8E" w14:textId="77777777" w:rsidR="00D9276C" w:rsidRPr="00115C74" w:rsidRDefault="00D9276C" w:rsidP="00D9276C">
      <w:pPr>
        <w:pStyle w:val="Heading5"/>
      </w:pPr>
      <w:r w:rsidRPr="00115C74">
        <w:t xml:space="preserve">STATE AND TERRITORY PARTIES </w:t>
      </w:r>
    </w:p>
    <w:p w14:paraId="3472B3D4" w14:textId="200D7069" w:rsidR="00D9276C" w:rsidRPr="00B27ADE" w:rsidRDefault="009B7847" w:rsidP="00D9276C">
      <w:r w:rsidRPr="00B27ADE">
        <w:t>Department of Housing, Local Government and Community Development (Northern Territory)</w:t>
      </w:r>
      <w:r w:rsidR="003A08D5">
        <w:t xml:space="preserve"> (endorsing partner)</w:t>
      </w:r>
    </w:p>
    <w:p w14:paraId="64138E20" w14:textId="5B3DD0B5" w:rsidR="009B7847" w:rsidRPr="009B7847" w:rsidRDefault="00E57C6D" w:rsidP="00D9276C">
      <w:r w:rsidRPr="00E57C6D">
        <w:t>Department of Logistics and Infrastructure (Northern Territory)</w:t>
      </w:r>
    </w:p>
    <w:p w14:paraId="2F69A87A" w14:textId="77777777" w:rsidR="00D9276C" w:rsidRPr="00617C76" w:rsidRDefault="00D9276C" w:rsidP="00D9276C">
      <w:pPr>
        <w:pStyle w:val="Heading4"/>
      </w:pPr>
      <w:r w:rsidRPr="00617C76">
        <w:t>Priority Reforms and Socio-economic Outcomes</w:t>
      </w:r>
    </w:p>
    <w:p w14:paraId="09567141" w14:textId="77777777" w:rsidR="00E57C6D" w:rsidRDefault="00E57C6D" w:rsidP="00D9276C">
      <w:r w:rsidRPr="00E57C6D">
        <w:t xml:space="preserve">Priority Reform 1 </w:t>
      </w:r>
    </w:p>
    <w:p w14:paraId="3E76B0F0" w14:textId="77777777" w:rsidR="00E57C6D" w:rsidRDefault="00E57C6D" w:rsidP="00D9276C">
      <w:r w:rsidRPr="00E57C6D">
        <w:t xml:space="preserve">Priority Reform 2 </w:t>
      </w:r>
    </w:p>
    <w:p w14:paraId="36CA7163" w14:textId="77777777" w:rsidR="00E57C6D" w:rsidRDefault="00E57C6D" w:rsidP="00D9276C">
      <w:r w:rsidRPr="00E57C6D">
        <w:t xml:space="preserve">Priority Reform 3 </w:t>
      </w:r>
    </w:p>
    <w:p w14:paraId="58914825" w14:textId="77777777" w:rsidR="00E57C6D" w:rsidRDefault="00E57C6D" w:rsidP="00D9276C">
      <w:r w:rsidRPr="00E57C6D">
        <w:t xml:space="preserve">Priority Reform 4 </w:t>
      </w:r>
    </w:p>
    <w:p w14:paraId="03712FB5" w14:textId="0F6CB610" w:rsidR="00D9276C" w:rsidRPr="007C35F3" w:rsidRDefault="00E57C6D" w:rsidP="00D9276C">
      <w:r w:rsidRPr="00E57C6D">
        <w:t>Outcome 9</w:t>
      </w:r>
    </w:p>
    <w:p w14:paraId="283FEEFF" w14:textId="77777777" w:rsidR="00D9276C" w:rsidRPr="00617C76" w:rsidRDefault="00D9276C" w:rsidP="00D9276C">
      <w:pPr>
        <w:pStyle w:val="Heading4"/>
      </w:pPr>
      <w:r w:rsidRPr="00617C76">
        <w:t>Partnership function</w:t>
      </w:r>
    </w:p>
    <w:p w14:paraId="57A9BD99" w14:textId="77777777" w:rsidR="00D71ED9" w:rsidRDefault="00D71ED9" w:rsidP="00D9276C">
      <w:r w:rsidRPr="00D71ED9">
        <w:t>Policy</w:t>
      </w:r>
    </w:p>
    <w:p w14:paraId="37C087FA" w14:textId="2ACB6335" w:rsidR="00D9276C" w:rsidRPr="00617C76" w:rsidRDefault="00D71ED9" w:rsidP="00D9276C">
      <w:r w:rsidRPr="00D71ED9">
        <w:t>Place</w:t>
      </w:r>
      <w:r w:rsidRPr="00D71ED9">
        <w:noBreakHyphen/>
        <w:t>based</w:t>
      </w:r>
    </w:p>
    <w:p w14:paraId="702D4567" w14:textId="77777777" w:rsidR="00D9276C" w:rsidRPr="00617C76" w:rsidRDefault="00D9276C" w:rsidP="00D9276C">
      <w:pPr>
        <w:pStyle w:val="Heading4"/>
      </w:pPr>
      <w:r w:rsidRPr="00617C76">
        <w:t>Partnership timeframe</w:t>
      </w:r>
    </w:p>
    <w:p w14:paraId="13CC7A7B" w14:textId="0EE8CA8E" w:rsidR="00D9276C" w:rsidRPr="00617C76" w:rsidRDefault="00D71ED9" w:rsidP="00D9276C">
      <w:r w:rsidRPr="00D71ED9">
        <w:t>1 July 2024 to 30 June 2034</w:t>
      </w:r>
    </w:p>
    <w:p w14:paraId="2683701D" w14:textId="77777777" w:rsidR="00D9276C" w:rsidRDefault="00D9276C" w:rsidP="00D9276C">
      <w:pPr>
        <w:pStyle w:val="Heading4"/>
      </w:pPr>
      <w:r w:rsidRPr="00617C76">
        <w:lastRenderedPageBreak/>
        <w:t>Actions taken to strengthen the partnership in 2025</w:t>
      </w:r>
    </w:p>
    <w:p w14:paraId="280A4645" w14:textId="77777777" w:rsidR="00F02904" w:rsidRDefault="00F02904" w:rsidP="00D9276C">
      <w:r w:rsidRPr="00F02904">
        <w:t>In 2025, the JSC have amended the Terms of Reference to align with the Partnership Agreement. This included updates to enable all parties to the Agreement to co</w:t>
      </w:r>
      <w:r w:rsidRPr="00F02904">
        <w:noBreakHyphen/>
        <w:t xml:space="preserve">chair JSC meetings. Members are working collaboratively to advance key frameworks that will guide delivery, including the development of an overarching implementation plan. </w:t>
      </w:r>
    </w:p>
    <w:p w14:paraId="1B70E18D" w14:textId="2ECDCBA5" w:rsidR="00D9276C" w:rsidRPr="00D9276C" w:rsidRDefault="00F02904" w:rsidP="00D9276C">
      <w:r w:rsidRPr="00F02904">
        <w:t>An agenda</w:t>
      </w:r>
      <w:r w:rsidRPr="00F02904">
        <w:noBreakHyphen/>
        <w:t>setting committee was established to oversee the prioritisation of items ahead of each quarterly meeting. This has strengthened transparency and accountability, ensuring that all voices are heard and considered in the decision</w:t>
      </w:r>
      <w:r w:rsidRPr="00F02904">
        <w:noBreakHyphen/>
        <w:t>making process.</w:t>
      </w:r>
    </w:p>
    <w:p w14:paraId="5489AFF8" w14:textId="77777777" w:rsidR="00D9276C" w:rsidRPr="00617C76" w:rsidRDefault="00D9276C" w:rsidP="00D9276C">
      <w:pPr>
        <w:pStyle w:val="Heading4"/>
      </w:pPr>
      <w:r w:rsidRPr="00617C76">
        <w:t>Strong partnership indicators</w:t>
      </w:r>
    </w:p>
    <w:p w14:paraId="41309D74" w14:textId="77777777" w:rsidR="00D9276C" w:rsidRPr="00617C76" w:rsidRDefault="00D9276C" w:rsidP="00D9276C">
      <w:pPr>
        <w:pStyle w:val="Heading5"/>
      </w:pPr>
      <w:r w:rsidRPr="00617C76">
        <w:t>Clause 32A:</w:t>
      </w:r>
    </w:p>
    <w:p w14:paraId="01153540" w14:textId="1144E6EA" w:rsidR="00D9276C" w:rsidRDefault="004A5960" w:rsidP="00F02904">
      <w:pPr>
        <w:pStyle w:val="ListParagraph"/>
        <w:numPr>
          <w:ilvl w:val="0"/>
          <w:numId w:val="144"/>
        </w:numPr>
      </w:pPr>
      <w:r w:rsidRPr="004A5960">
        <w:t>Met</w:t>
      </w:r>
    </w:p>
    <w:p w14:paraId="25A87E04" w14:textId="3B9DD7BD" w:rsidR="00D9276C" w:rsidRDefault="004A5960" w:rsidP="00F02904">
      <w:pPr>
        <w:pStyle w:val="ListParagraph"/>
        <w:numPr>
          <w:ilvl w:val="0"/>
          <w:numId w:val="144"/>
        </w:numPr>
      </w:pPr>
      <w:r w:rsidRPr="004A5960">
        <w:t>Met</w:t>
      </w:r>
    </w:p>
    <w:p w14:paraId="4BF727E9" w14:textId="06F34CE4" w:rsidR="00D9276C" w:rsidRDefault="004A5960" w:rsidP="00F02904">
      <w:pPr>
        <w:pStyle w:val="ListParagraph"/>
        <w:numPr>
          <w:ilvl w:val="0"/>
          <w:numId w:val="144"/>
        </w:numPr>
      </w:pPr>
      <w:r w:rsidRPr="004A5960">
        <w:t>Met</w:t>
      </w:r>
    </w:p>
    <w:p w14:paraId="63C2ED6C" w14:textId="77777777" w:rsidR="00D9276C" w:rsidRPr="00617C76" w:rsidRDefault="00D9276C" w:rsidP="00D9276C">
      <w:pPr>
        <w:pStyle w:val="Heading5"/>
      </w:pPr>
      <w:r w:rsidRPr="00617C76">
        <w:t>Clause 32B:</w:t>
      </w:r>
    </w:p>
    <w:p w14:paraId="481B2D3D" w14:textId="5848772C" w:rsidR="00D9276C" w:rsidRDefault="004A5960" w:rsidP="00F02904">
      <w:pPr>
        <w:pStyle w:val="ListParagraph"/>
        <w:numPr>
          <w:ilvl w:val="0"/>
          <w:numId w:val="145"/>
        </w:numPr>
      </w:pPr>
      <w:r w:rsidRPr="004A5960">
        <w:t>Met</w:t>
      </w:r>
    </w:p>
    <w:p w14:paraId="55A3514E" w14:textId="12AE6A99" w:rsidR="00D9276C" w:rsidRDefault="004A5960" w:rsidP="00F02904">
      <w:pPr>
        <w:pStyle w:val="ListParagraph"/>
        <w:numPr>
          <w:ilvl w:val="0"/>
          <w:numId w:val="145"/>
        </w:numPr>
      </w:pPr>
      <w:r w:rsidRPr="004A5960">
        <w:t>Met</w:t>
      </w:r>
    </w:p>
    <w:p w14:paraId="7572F67F" w14:textId="0917DB93" w:rsidR="00D9276C" w:rsidRDefault="004A5960" w:rsidP="00F02904">
      <w:pPr>
        <w:pStyle w:val="ListParagraph"/>
        <w:numPr>
          <w:ilvl w:val="0"/>
          <w:numId w:val="145"/>
        </w:numPr>
      </w:pPr>
      <w:r w:rsidRPr="004A5960">
        <w:t>Met</w:t>
      </w:r>
    </w:p>
    <w:p w14:paraId="56676C2F" w14:textId="6400510D" w:rsidR="00D9276C" w:rsidRDefault="004A5960" w:rsidP="00F02904">
      <w:pPr>
        <w:pStyle w:val="ListParagraph"/>
        <w:numPr>
          <w:ilvl w:val="0"/>
          <w:numId w:val="145"/>
        </w:numPr>
      </w:pPr>
      <w:r>
        <w:t>N/A</w:t>
      </w:r>
    </w:p>
    <w:p w14:paraId="58AE1F43" w14:textId="77777777" w:rsidR="00D9276C" w:rsidRPr="00617C76" w:rsidRDefault="00D9276C" w:rsidP="00D9276C">
      <w:pPr>
        <w:pStyle w:val="Heading5"/>
      </w:pPr>
      <w:r w:rsidRPr="00617C76">
        <w:t>Clause 32C:</w:t>
      </w:r>
    </w:p>
    <w:p w14:paraId="2AF24587" w14:textId="2A4230F9" w:rsidR="00D9276C" w:rsidRDefault="004A5960" w:rsidP="00F02904">
      <w:pPr>
        <w:pStyle w:val="ListParagraph"/>
        <w:numPr>
          <w:ilvl w:val="0"/>
          <w:numId w:val="146"/>
        </w:numPr>
      </w:pPr>
      <w:r w:rsidRPr="004A5960">
        <w:t>Met</w:t>
      </w:r>
    </w:p>
    <w:p w14:paraId="2B620D02" w14:textId="6FE15396" w:rsidR="00D9276C" w:rsidRDefault="004A5960" w:rsidP="00F02904">
      <w:pPr>
        <w:pStyle w:val="ListParagraph"/>
        <w:numPr>
          <w:ilvl w:val="0"/>
          <w:numId w:val="146"/>
        </w:numPr>
      </w:pPr>
      <w:r w:rsidRPr="004A5960">
        <w:t>Met</w:t>
      </w:r>
    </w:p>
    <w:p w14:paraId="6B99CBB5" w14:textId="309D4DC5" w:rsidR="00D9276C" w:rsidRDefault="004A5960" w:rsidP="00F02904">
      <w:pPr>
        <w:pStyle w:val="ListParagraph"/>
        <w:numPr>
          <w:ilvl w:val="0"/>
          <w:numId w:val="146"/>
        </w:numPr>
      </w:pPr>
      <w:r w:rsidRPr="004A5960">
        <w:t>Met</w:t>
      </w:r>
    </w:p>
    <w:p w14:paraId="0628D19F" w14:textId="3ADF4AE6" w:rsidR="00D9276C" w:rsidRDefault="004A5960" w:rsidP="00F02904">
      <w:pPr>
        <w:pStyle w:val="ListParagraph"/>
        <w:numPr>
          <w:ilvl w:val="0"/>
          <w:numId w:val="146"/>
        </w:numPr>
      </w:pPr>
      <w:r w:rsidRPr="004A5960">
        <w:t>Met</w:t>
      </w:r>
    </w:p>
    <w:p w14:paraId="66FE85C5" w14:textId="3E5FB702" w:rsidR="00D9276C" w:rsidRDefault="004A5960" w:rsidP="00F02904">
      <w:pPr>
        <w:pStyle w:val="ListParagraph"/>
        <w:numPr>
          <w:ilvl w:val="0"/>
          <w:numId w:val="146"/>
        </w:numPr>
      </w:pPr>
      <w:r w:rsidRPr="004A5960">
        <w:t>Met</w:t>
      </w:r>
    </w:p>
    <w:p w14:paraId="4D5EBB92" w14:textId="06633287" w:rsidR="00D9276C" w:rsidRDefault="004A5960" w:rsidP="00F02904">
      <w:pPr>
        <w:pStyle w:val="ListParagraph"/>
        <w:numPr>
          <w:ilvl w:val="0"/>
          <w:numId w:val="146"/>
        </w:numPr>
      </w:pPr>
      <w:r w:rsidRPr="004A5960">
        <w:t>Met</w:t>
      </w:r>
    </w:p>
    <w:p w14:paraId="464EA42F" w14:textId="65E3AA72" w:rsidR="00D9276C" w:rsidRDefault="004A5960" w:rsidP="00F02904">
      <w:pPr>
        <w:pStyle w:val="ListParagraph"/>
        <w:numPr>
          <w:ilvl w:val="0"/>
          <w:numId w:val="146"/>
        </w:numPr>
      </w:pPr>
      <w:r w:rsidRPr="004A5960">
        <w:t>Met</w:t>
      </w:r>
    </w:p>
    <w:p w14:paraId="51FD783D" w14:textId="77777777" w:rsidR="00D9276C" w:rsidRPr="00617C76" w:rsidRDefault="00D9276C" w:rsidP="00D9276C">
      <w:pPr>
        <w:pStyle w:val="Heading5"/>
      </w:pPr>
      <w:r w:rsidRPr="00617C76">
        <w:t>Clause 33:</w:t>
      </w:r>
    </w:p>
    <w:p w14:paraId="03FA9BD9" w14:textId="49CADEB0" w:rsidR="00D9276C" w:rsidRDefault="004A5960" w:rsidP="00D9276C">
      <w:r w:rsidRPr="004A5960">
        <w:t>Met</w:t>
      </w:r>
    </w:p>
    <w:p w14:paraId="40398596" w14:textId="77777777" w:rsidR="00D9276C" w:rsidRDefault="00D9276C" w:rsidP="00D9276C">
      <w:pPr>
        <w:pStyle w:val="Heading4"/>
      </w:pPr>
      <w:r w:rsidRPr="00617C76">
        <w:t>Achievements over 2025</w:t>
      </w:r>
    </w:p>
    <w:p w14:paraId="605087A1" w14:textId="77777777" w:rsidR="00FF49ED" w:rsidRDefault="00FF49ED" w:rsidP="00D9276C">
      <w:r w:rsidRPr="00FF49ED">
        <w:t>JSC members are overseeing the delivery of new house builds, property and tenancy management activities in 73 communities and 27 town camps, and projects to deliver urgent repairs to housing and essential infrastructure on NT homelands. Through sub</w:t>
      </w:r>
      <w:r w:rsidRPr="00FF49ED">
        <w:noBreakHyphen/>
        <w:t xml:space="preserve">committee working groups, the JSC has focused on: </w:t>
      </w:r>
    </w:p>
    <w:p w14:paraId="42BC9FD7" w14:textId="77777777" w:rsidR="00FF49ED" w:rsidRDefault="00FF49ED" w:rsidP="00D9276C">
      <w:r w:rsidRPr="00FF49ED">
        <w:t xml:space="preserve">1. Housing on Homelands </w:t>
      </w:r>
    </w:p>
    <w:p w14:paraId="73305DFB" w14:textId="77777777" w:rsidR="00FF49ED" w:rsidRDefault="00FF49ED" w:rsidP="00D9276C">
      <w:r w:rsidRPr="00FF49ED">
        <w:t xml:space="preserve">2. Community Controlled Housing </w:t>
      </w:r>
    </w:p>
    <w:p w14:paraId="065DCD83" w14:textId="77777777" w:rsidR="00FF49ED" w:rsidRDefault="00FF49ED" w:rsidP="00D9276C">
      <w:r w:rsidRPr="00FF49ED">
        <w:t xml:space="preserve">3. Repairs and Maintenance </w:t>
      </w:r>
    </w:p>
    <w:p w14:paraId="750C581D" w14:textId="77777777" w:rsidR="00FF49ED" w:rsidRDefault="00FF49ED" w:rsidP="00D9276C">
      <w:r w:rsidRPr="00FF49ED">
        <w:t xml:space="preserve">4. Building Design, Standards and Costs </w:t>
      </w:r>
    </w:p>
    <w:p w14:paraId="2C80333E" w14:textId="77777777" w:rsidR="00FF49ED" w:rsidRDefault="00FF49ED" w:rsidP="00D9276C">
      <w:r w:rsidRPr="00FF49ED">
        <w:t xml:space="preserve">5. Monitoring and Evaluation </w:t>
      </w:r>
    </w:p>
    <w:p w14:paraId="5CDE76B3" w14:textId="77777777" w:rsidR="00FF49ED" w:rsidRDefault="00FF49ED" w:rsidP="00D9276C">
      <w:r w:rsidRPr="00FF49ED">
        <w:t xml:space="preserve">6. Remote Essential Services </w:t>
      </w:r>
    </w:p>
    <w:p w14:paraId="79C69658" w14:textId="4D3A9E79" w:rsidR="00D9276C" w:rsidRPr="003E2721" w:rsidRDefault="00FF49ED" w:rsidP="00D9276C">
      <w:r w:rsidRPr="00FF49ED">
        <w:lastRenderedPageBreak/>
        <w:t>The JSC has finalised the 2024</w:t>
      </w:r>
      <w:r w:rsidRPr="00FF49ED">
        <w:noBreakHyphen/>
        <w:t>25 Annual Housing Work Plan and a Monitoring and Evaluation Framework. The JSC has worked on finalising the 2025</w:t>
      </w:r>
      <w:r w:rsidRPr="00FF49ED">
        <w:noBreakHyphen/>
        <w:t>26 Annual Housing Work Plans, and an overarching implementation plan.</w:t>
      </w:r>
    </w:p>
    <w:p w14:paraId="6587466C" w14:textId="08975ED6" w:rsidR="00D9276C" w:rsidRDefault="00A6227E" w:rsidP="00D9276C">
      <w:pPr>
        <w:pStyle w:val="Heading3"/>
      </w:pPr>
      <w:bookmarkStart w:id="46" w:name="_Toc225506068"/>
      <w:r w:rsidRPr="00A6227E">
        <w:t>Partnership on Closing the Gap is governed by the Partnership Agreement on Closing the Gap</w:t>
      </w:r>
      <w:bookmarkEnd w:id="46"/>
    </w:p>
    <w:p w14:paraId="11A58FCE" w14:textId="77777777" w:rsidR="00D9276C" w:rsidRDefault="00D9276C" w:rsidP="00D9276C">
      <w:pPr>
        <w:pStyle w:val="Heading4"/>
      </w:pPr>
      <w:r w:rsidRPr="00617C76">
        <w:t>Partnership description</w:t>
      </w:r>
    </w:p>
    <w:p w14:paraId="178A91E7" w14:textId="1C5C5B18" w:rsidR="00D9276C" w:rsidRPr="00D9276C" w:rsidRDefault="00A6227E" w:rsidP="00D9276C">
      <w:r w:rsidRPr="00A6227E">
        <w:t>The Partnership Agreement expresses the agreed arrangements for the formal partnership between all Australian Governments and Aboriginal and Torres Strait Islander peoples represented by their community</w:t>
      </w:r>
      <w:r w:rsidRPr="00A6227E">
        <w:noBreakHyphen/>
        <w:t>controlled peak organisations on Closing the Gap. The Partnership’s purpose is to design, implement and monitor the outcomes listed in the National Agreement and the Closing the Gap framework.</w:t>
      </w:r>
    </w:p>
    <w:p w14:paraId="3A0C0A02" w14:textId="77777777" w:rsidR="00D9276C" w:rsidRDefault="00D9276C" w:rsidP="00D9276C">
      <w:pPr>
        <w:pStyle w:val="Heading4"/>
      </w:pPr>
      <w:r w:rsidRPr="00DF6278">
        <w:t>Aboriginal and Torres Strait Islander parties</w:t>
      </w:r>
    </w:p>
    <w:p w14:paraId="7AE8C651" w14:textId="79EEFDE8" w:rsidR="00D9276C" w:rsidRPr="00B27ADE" w:rsidRDefault="007472B1" w:rsidP="00D9276C">
      <w:r w:rsidRPr="00B27ADE">
        <w:t>The Coalition of Aboriginal and Torres Strait Islander Peak Organisations (Coalition of Peaks)</w:t>
      </w:r>
      <w:r w:rsidR="003A08D5">
        <w:t xml:space="preserve"> (endorsing partner)</w:t>
      </w:r>
    </w:p>
    <w:p w14:paraId="4F0CF83A" w14:textId="77777777" w:rsidR="00D9276C" w:rsidRPr="00617C76" w:rsidRDefault="00D9276C" w:rsidP="00D9276C">
      <w:pPr>
        <w:pStyle w:val="Heading4"/>
      </w:pPr>
      <w:r w:rsidRPr="00617C76">
        <w:t>Government parties</w:t>
      </w:r>
    </w:p>
    <w:p w14:paraId="3F9BAB00" w14:textId="77777777" w:rsidR="00D9276C" w:rsidRDefault="00D9276C" w:rsidP="00D9276C">
      <w:pPr>
        <w:pStyle w:val="Heading5"/>
      </w:pPr>
      <w:r w:rsidRPr="00115C74">
        <w:t xml:space="preserve">COMMONWEALTH PARTIES </w:t>
      </w:r>
    </w:p>
    <w:p w14:paraId="51FC0859" w14:textId="0776D878" w:rsidR="00D9276C" w:rsidRPr="00152035" w:rsidRDefault="007472B1" w:rsidP="00D9276C">
      <w:pPr>
        <w:rPr>
          <w:b/>
          <w:bCs/>
        </w:rPr>
      </w:pPr>
      <w:r w:rsidRPr="00B27ADE">
        <w:t>National Indigenous Australians Agency (NIAA)</w:t>
      </w:r>
      <w:r w:rsidR="003A08D5">
        <w:t xml:space="preserve"> (endorsing partner)</w:t>
      </w:r>
      <w:r w:rsidRPr="00B27ADE">
        <w:t xml:space="preserve"> </w:t>
      </w:r>
      <w:r w:rsidRPr="007472B1">
        <w:t>on behalf of the Commonwealth Government</w:t>
      </w:r>
    </w:p>
    <w:p w14:paraId="4CD92702" w14:textId="77777777" w:rsidR="00D9276C" w:rsidRPr="00115C74" w:rsidRDefault="00D9276C" w:rsidP="00D9276C">
      <w:pPr>
        <w:pStyle w:val="Heading5"/>
      </w:pPr>
      <w:r w:rsidRPr="00115C74">
        <w:t xml:space="preserve">STATE AND TERRITORY PARTIES </w:t>
      </w:r>
    </w:p>
    <w:p w14:paraId="270722EB" w14:textId="77777777" w:rsidR="0026196A" w:rsidRDefault="0026196A" w:rsidP="00D9276C">
      <w:r w:rsidRPr="0026196A">
        <w:t xml:space="preserve">Governments of New South Wales, Victoria, Queensland, Western Australia, South Australia, Tasmania, the Australian Capital Territory and the Northern Territory </w:t>
      </w:r>
    </w:p>
    <w:p w14:paraId="5FB4629D" w14:textId="77777777" w:rsidR="0026196A" w:rsidRDefault="0026196A" w:rsidP="0026196A">
      <w:pPr>
        <w:pStyle w:val="Heading5"/>
      </w:pPr>
      <w:r w:rsidRPr="0026196A">
        <w:t xml:space="preserve">LOCAL GOVERNMENT PARTIES </w:t>
      </w:r>
    </w:p>
    <w:p w14:paraId="41BA480D" w14:textId="57D3496B" w:rsidR="00D9276C" w:rsidRPr="00617C76" w:rsidRDefault="0026196A" w:rsidP="00D9276C">
      <w:r w:rsidRPr="0026196A">
        <w:t>The Australian Local Government Association</w:t>
      </w:r>
    </w:p>
    <w:p w14:paraId="226AE9C6" w14:textId="77777777" w:rsidR="00D9276C" w:rsidRPr="00617C76" w:rsidRDefault="00D9276C" w:rsidP="00D9276C">
      <w:pPr>
        <w:pStyle w:val="Heading4"/>
      </w:pPr>
      <w:r w:rsidRPr="00617C76">
        <w:t>Priority Reforms and Socio-economic Outcomes</w:t>
      </w:r>
    </w:p>
    <w:p w14:paraId="038E9C0E" w14:textId="77777777" w:rsidR="00E6184D" w:rsidRDefault="00E6184D" w:rsidP="00D9276C">
      <w:r w:rsidRPr="00E6184D">
        <w:t xml:space="preserve">Priority Reform 1 </w:t>
      </w:r>
    </w:p>
    <w:p w14:paraId="17E6B565" w14:textId="77777777" w:rsidR="00E6184D" w:rsidRDefault="00E6184D" w:rsidP="00D9276C">
      <w:r w:rsidRPr="00E6184D">
        <w:t xml:space="preserve">Priority Reform 2 </w:t>
      </w:r>
    </w:p>
    <w:p w14:paraId="3B3461B6" w14:textId="77777777" w:rsidR="00E6184D" w:rsidRDefault="00E6184D" w:rsidP="00D9276C">
      <w:r w:rsidRPr="00E6184D">
        <w:t xml:space="preserve">Priority Reform 3 </w:t>
      </w:r>
    </w:p>
    <w:p w14:paraId="75890440" w14:textId="77777777" w:rsidR="00E6184D" w:rsidRDefault="00E6184D" w:rsidP="00D9276C">
      <w:r w:rsidRPr="00E6184D">
        <w:t xml:space="preserve">Priority Reform 4 </w:t>
      </w:r>
    </w:p>
    <w:p w14:paraId="35823E23" w14:textId="77777777" w:rsidR="00E6184D" w:rsidRDefault="00E6184D" w:rsidP="00D9276C">
      <w:r w:rsidRPr="00E6184D">
        <w:t xml:space="preserve">Outcome 1 </w:t>
      </w:r>
    </w:p>
    <w:p w14:paraId="0D2820F1" w14:textId="77777777" w:rsidR="00E6184D" w:rsidRDefault="00E6184D" w:rsidP="00D9276C">
      <w:r w:rsidRPr="00E6184D">
        <w:t xml:space="preserve">Outcome 2 </w:t>
      </w:r>
    </w:p>
    <w:p w14:paraId="112731BE" w14:textId="77777777" w:rsidR="00E6184D" w:rsidRDefault="00E6184D" w:rsidP="00D9276C">
      <w:r w:rsidRPr="00E6184D">
        <w:t xml:space="preserve">Outcome 3 </w:t>
      </w:r>
    </w:p>
    <w:p w14:paraId="0A8FA0AF" w14:textId="77777777" w:rsidR="00E6184D" w:rsidRDefault="00E6184D" w:rsidP="00D9276C">
      <w:r w:rsidRPr="00E6184D">
        <w:t xml:space="preserve">Outcome 4 </w:t>
      </w:r>
    </w:p>
    <w:p w14:paraId="766D390D" w14:textId="77777777" w:rsidR="00E6184D" w:rsidRDefault="00E6184D" w:rsidP="00D9276C">
      <w:r w:rsidRPr="00E6184D">
        <w:t>Outcome 5</w:t>
      </w:r>
      <w:r>
        <w:t xml:space="preserve"> </w:t>
      </w:r>
    </w:p>
    <w:p w14:paraId="4C3EADFB" w14:textId="77777777" w:rsidR="00E6184D" w:rsidRDefault="00E6184D" w:rsidP="00D9276C">
      <w:r w:rsidRPr="00E6184D">
        <w:t xml:space="preserve">Outcome 6 </w:t>
      </w:r>
    </w:p>
    <w:p w14:paraId="107408D2" w14:textId="77777777" w:rsidR="00E6184D" w:rsidRDefault="00E6184D" w:rsidP="00D9276C">
      <w:r w:rsidRPr="00E6184D">
        <w:t xml:space="preserve">Outcome 7 </w:t>
      </w:r>
    </w:p>
    <w:p w14:paraId="14440745" w14:textId="77777777" w:rsidR="00E6184D" w:rsidRDefault="00E6184D" w:rsidP="00D9276C">
      <w:r w:rsidRPr="00E6184D">
        <w:t xml:space="preserve">Outcome 8 </w:t>
      </w:r>
    </w:p>
    <w:p w14:paraId="3840764D" w14:textId="77777777" w:rsidR="00E6184D" w:rsidRDefault="00E6184D" w:rsidP="00D9276C">
      <w:r w:rsidRPr="00E6184D">
        <w:t xml:space="preserve">Outcome 9 </w:t>
      </w:r>
    </w:p>
    <w:p w14:paraId="5AE81797" w14:textId="77777777" w:rsidR="00E6184D" w:rsidRDefault="00E6184D" w:rsidP="00D9276C">
      <w:r w:rsidRPr="00E6184D">
        <w:lastRenderedPageBreak/>
        <w:t xml:space="preserve">Outcome 10 </w:t>
      </w:r>
    </w:p>
    <w:p w14:paraId="1F80E6A3" w14:textId="77777777" w:rsidR="00E6184D" w:rsidRDefault="00E6184D" w:rsidP="00D9276C">
      <w:r w:rsidRPr="00E6184D">
        <w:t xml:space="preserve">Outcome 11 </w:t>
      </w:r>
    </w:p>
    <w:p w14:paraId="7D1B4ECD" w14:textId="77777777" w:rsidR="00E6184D" w:rsidRDefault="00E6184D" w:rsidP="00D9276C">
      <w:r w:rsidRPr="00E6184D">
        <w:t xml:space="preserve">Outcome 12 </w:t>
      </w:r>
    </w:p>
    <w:p w14:paraId="0CF16E14" w14:textId="77777777" w:rsidR="00E6184D" w:rsidRDefault="00E6184D" w:rsidP="00D9276C">
      <w:r w:rsidRPr="00E6184D">
        <w:t xml:space="preserve">Outcome 13 </w:t>
      </w:r>
    </w:p>
    <w:p w14:paraId="3D537B1A" w14:textId="77777777" w:rsidR="00E6184D" w:rsidRDefault="00E6184D" w:rsidP="00D9276C">
      <w:r w:rsidRPr="00E6184D">
        <w:t xml:space="preserve">Outcome 14 </w:t>
      </w:r>
    </w:p>
    <w:p w14:paraId="79B69A21" w14:textId="77777777" w:rsidR="00E6184D" w:rsidRDefault="00E6184D" w:rsidP="00D9276C">
      <w:r w:rsidRPr="00E6184D">
        <w:t xml:space="preserve">Outcome 15 </w:t>
      </w:r>
    </w:p>
    <w:p w14:paraId="5E48B822" w14:textId="77777777" w:rsidR="00E6184D" w:rsidRDefault="00E6184D" w:rsidP="00D9276C">
      <w:r w:rsidRPr="00E6184D">
        <w:t xml:space="preserve">Outcome 16 </w:t>
      </w:r>
    </w:p>
    <w:p w14:paraId="7A971C9B" w14:textId="6D43D4D4" w:rsidR="00D9276C" w:rsidRPr="007C35F3" w:rsidRDefault="00E6184D" w:rsidP="00D9276C">
      <w:r w:rsidRPr="00E6184D">
        <w:t>Outcome 17</w:t>
      </w:r>
    </w:p>
    <w:p w14:paraId="123151AF" w14:textId="77777777" w:rsidR="00D9276C" w:rsidRPr="00617C76" w:rsidRDefault="00D9276C" w:rsidP="00D9276C">
      <w:pPr>
        <w:pStyle w:val="Heading4"/>
      </w:pPr>
      <w:r w:rsidRPr="00617C76">
        <w:t>Partnership function</w:t>
      </w:r>
    </w:p>
    <w:p w14:paraId="0917654B" w14:textId="1FC16648" w:rsidR="00D9276C" w:rsidRPr="00617C76" w:rsidRDefault="008D57B1" w:rsidP="00D9276C">
      <w:r w:rsidRPr="008D57B1">
        <w:t>Policy</w:t>
      </w:r>
    </w:p>
    <w:p w14:paraId="6195A2FE" w14:textId="77777777" w:rsidR="00D9276C" w:rsidRPr="00617C76" w:rsidRDefault="00D9276C" w:rsidP="00D9276C">
      <w:pPr>
        <w:pStyle w:val="Heading4"/>
      </w:pPr>
      <w:r w:rsidRPr="00617C76">
        <w:t>Partnership timeframe</w:t>
      </w:r>
    </w:p>
    <w:p w14:paraId="449AE5AE" w14:textId="4AE7CD17" w:rsidR="00D9276C" w:rsidRPr="00617C76" w:rsidRDefault="008D57B1" w:rsidP="00D9276C">
      <w:r w:rsidRPr="008D57B1">
        <w:t>2019 to 2029</w:t>
      </w:r>
    </w:p>
    <w:p w14:paraId="056A2446" w14:textId="77777777" w:rsidR="00D9276C" w:rsidRDefault="00D9276C" w:rsidP="00D9276C">
      <w:pPr>
        <w:pStyle w:val="Heading4"/>
      </w:pPr>
      <w:r w:rsidRPr="00617C76">
        <w:t>Actions taken to strengthen the partnership in 2025</w:t>
      </w:r>
    </w:p>
    <w:p w14:paraId="71984269" w14:textId="77777777" w:rsidR="007803BF" w:rsidRDefault="007803BF" w:rsidP="00D9276C">
      <w:r w:rsidRPr="007803BF">
        <w:t xml:space="preserve">This partnership continues to meet all the strong partnership elements. </w:t>
      </w:r>
    </w:p>
    <w:p w14:paraId="10959C0D" w14:textId="77777777" w:rsidR="007803BF" w:rsidRDefault="007803BF" w:rsidP="00D9276C">
      <w:r w:rsidRPr="007803BF">
        <w:t xml:space="preserve">Of </w:t>
      </w:r>
      <w:proofErr w:type="gramStart"/>
      <w:r w:rsidRPr="007803BF">
        <w:t>particular note</w:t>
      </w:r>
      <w:proofErr w:type="gramEnd"/>
      <w:r w:rsidRPr="007803BF">
        <w:t>, the Joint Council on Closing the Gap (Joint Council) agreed by consensus decision</w:t>
      </w:r>
      <w:r w:rsidRPr="007803BF">
        <w:noBreakHyphen/>
        <w:t xml:space="preserve">making to the 2026 Forward Work Plan, to ensure agendas are set that align with agreed strategic priorities. </w:t>
      </w:r>
    </w:p>
    <w:p w14:paraId="781052D2" w14:textId="77777777" w:rsidR="007803BF" w:rsidRDefault="007803BF" w:rsidP="00D9276C">
      <w:r w:rsidRPr="007803BF">
        <w:t xml:space="preserve">Further aligning with the strong partnership elements, the Commonwealth Secretariat has continued to work in partnership with the Coalition of Peaks Secretariat, including when considering adapting processes to better suit the needs of Partnership Working Group and Joint Council members to strengthen governance and partnership. </w:t>
      </w:r>
    </w:p>
    <w:p w14:paraId="53FE3FA9" w14:textId="56904768" w:rsidR="00D9276C" w:rsidRPr="00D9276C" w:rsidRDefault="007803BF" w:rsidP="00D9276C">
      <w:r w:rsidRPr="007803BF">
        <w:t>In line with the Joint Council Terms of Reference, equal participation includes identifying and addressing systemic and structural racism, discrimination and unconscious bias. While consensus decision</w:t>
      </w:r>
      <w:r w:rsidRPr="007803BF">
        <w:noBreakHyphen/>
        <w:t>making does not require uniformity of actions by all Parties, it does require agreement on the outcomes of an item and wording of a resolution. The Joint Council Terms of Reference further confirm that Parties will seek to maximise participation in Joint Council and support continuity in representation.</w:t>
      </w:r>
    </w:p>
    <w:p w14:paraId="5BDD1301" w14:textId="77777777" w:rsidR="00D9276C" w:rsidRPr="00617C76" w:rsidRDefault="00D9276C" w:rsidP="00D9276C">
      <w:pPr>
        <w:pStyle w:val="Heading4"/>
      </w:pPr>
      <w:r w:rsidRPr="00617C76">
        <w:t>Strong partnership indicators</w:t>
      </w:r>
    </w:p>
    <w:p w14:paraId="4B2EFAAF" w14:textId="77777777" w:rsidR="00D9276C" w:rsidRPr="00617C76" w:rsidRDefault="00D9276C" w:rsidP="00D9276C">
      <w:pPr>
        <w:pStyle w:val="Heading5"/>
      </w:pPr>
      <w:r w:rsidRPr="00617C76">
        <w:t>Clause 32A:</w:t>
      </w:r>
    </w:p>
    <w:p w14:paraId="6453E5F0" w14:textId="2E80C3FF" w:rsidR="00D9276C" w:rsidRDefault="00F172FA" w:rsidP="007803BF">
      <w:pPr>
        <w:pStyle w:val="ListParagraph"/>
        <w:numPr>
          <w:ilvl w:val="0"/>
          <w:numId w:val="147"/>
        </w:numPr>
      </w:pPr>
      <w:r w:rsidRPr="00F172FA">
        <w:t>Met</w:t>
      </w:r>
    </w:p>
    <w:p w14:paraId="01A90447" w14:textId="756903CC" w:rsidR="00D9276C" w:rsidRDefault="00F172FA" w:rsidP="007803BF">
      <w:pPr>
        <w:pStyle w:val="ListParagraph"/>
        <w:numPr>
          <w:ilvl w:val="0"/>
          <w:numId w:val="147"/>
        </w:numPr>
      </w:pPr>
      <w:r w:rsidRPr="00F172FA">
        <w:t>Met</w:t>
      </w:r>
    </w:p>
    <w:p w14:paraId="4C15D456" w14:textId="2663787C" w:rsidR="00D9276C" w:rsidRDefault="00F172FA" w:rsidP="007803BF">
      <w:pPr>
        <w:pStyle w:val="ListParagraph"/>
        <w:numPr>
          <w:ilvl w:val="0"/>
          <w:numId w:val="147"/>
        </w:numPr>
      </w:pPr>
      <w:r w:rsidRPr="00F172FA">
        <w:t>Met</w:t>
      </w:r>
    </w:p>
    <w:p w14:paraId="7C7FB816" w14:textId="77777777" w:rsidR="00D9276C" w:rsidRPr="00617C76" w:rsidRDefault="00D9276C" w:rsidP="00D9276C">
      <w:pPr>
        <w:pStyle w:val="Heading5"/>
      </w:pPr>
      <w:r w:rsidRPr="00617C76">
        <w:t>Clause 32B:</w:t>
      </w:r>
    </w:p>
    <w:p w14:paraId="4AC62F49" w14:textId="69F0612C" w:rsidR="00D9276C" w:rsidRDefault="00F172FA" w:rsidP="007803BF">
      <w:pPr>
        <w:pStyle w:val="ListParagraph"/>
        <w:numPr>
          <w:ilvl w:val="0"/>
          <w:numId w:val="148"/>
        </w:numPr>
      </w:pPr>
      <w:r w:rsidRPr="00F172FA">
        <w:t>Met</w:t>
      </w:r>
    </w:p>
    <w:p w14:paraId="3010D0C6" w14:textId="5D7C18FB" w:rsidR="00D9276C" w:rsidRDefault="00F172FA" w:rsidP="007803BF">
      <w:pPr>
        <w:pStyle w:val="ListParagraph"/>
        <w:numPr>
          <w:ilvl w:val="0"/>
          <w:numId w:val="148"/>
        </w:numPr>
      </w:pPr>
      <w:r w:rsidRPr="00F172FA">
        <w:t>Met</w:t>
      </w:r>
    </w:p>
    <w:p w14:paraId="1025F9D3" w14:textId="381E092D" w:rsidR="00D9276C" w:rsidRDefault="00F172FA" w:rsidP="007803BF">
      <w:pPr>
        <w:pStyle w:val="ListParagraph"/>
        <w:numPr>
          <w:ilvl w:val="0"/>
          <w:numId w:val="148"/>
        </w:numPr>
      </w:pPr>
      <w:r w:rsidRPr="00F172FA">
        <w:t>Met</w:t>
      </w:r>
    </w:p>
    <w:p w14:paraId="1BEDC87B" w14:textId="3D5E0F7A" w:rsidR="00D9276C" w:rsidRDefault="007803BF" w:rsidP="007803BF">
      <w:pPr>
        <w:pStyle w:val="ListParagraph"/>
        <w:numPr>
          <w:ilvl w:val="0"/>
          <w:numId w:val="148"/>
        </w:numPr>
      </w:pPr>
      <w:r>
        <w:t>N/A</w:t>
      </w:r>
    </w:p>
    <w:p w14:paraId="0C30CC56" w14:textId="77777777" w:rsidR="00D9276C" w:rsidRPr="00617C76" w:rsidRDefault="00D9276C" w:rsidP="00D9276C">
      <w:pPr>
        <w:pStyle w:val="Heading5"/>
      </w:pPr>
      <w:r w:rsidRPr="00617C76">
        <w:t>Clause 32C:</w:t>
      </w:r>
    </w:p>
    <w:p w14:paraId="471BB4D1" w14:textId="303ADFBC" w:rsidR="00D9276C" w:rsidRDefault="00F172FA" w:rsidP="007803BF">
      <w:pPr>
        <w:pStyle w:val="ListParagraph"/>
        <w:numPr>
          <w:ilvl w:val="0"/>
          <w:numId w:val="149"/>
        </w:numPr>
      </w:pPr>
      <w:r w:rsidRPr="00F172FA">
        <w:t>Met</w:t>
      </w:r>
    </w:p>
    <w:p w14:paraId="0CF48AE6" w14:textId="7EF1C1FF" w:rsidR="00D9276C" w:rsidRDefault="00F172FA" w:rsidP="007803BF">
      <w:pPr>
        <w:pStyle w:val="ListParagraph"/>
        <w:numPr>
          <w:ilvl w:val="0"/>
          <w:numId w:val="149"/>
        </w:numPr>
      </w:pPr>
      <w:r w:rsidRPr="00F172FA">
        <w:t>Met</w:t>
      </w:r>
    </w:p>
    <w:p w14:paraId="1C814C49" w14:textId="7910DDB9" w:rsidR="00D9276C" w:rsidRDefault="00F172FA" w:rsidP="007803BF">
      <w:pPr>
        <w:pStyle w:val="ListParagraph"/>
        <w:numPr>
          <w:ilvl w:val="0"/>
          <w:numId w:val="149"/>
        </w:numPr>
      </w:pPr>
      <w:r w:rsidRPr="00F172FA">
        <w:lastRenderedPageBreak/>
        <w:t>Met</w:t>
      </w:r>
    </w:p>
    <w:p w14:paraId="27583EE0" w14:textId="6F0A93E4" w:rsidR="00D9276C" w:rsidRDefault="00F172FA" w:rsidP="007803BF">
      <w:pPr>
        <w:pStyle w:val="ListParagraph"/>
        <w:numPr>
          <w:ilvl w:val="0"/>
          <w:numId w:val="149"/>
        </w:numPr>
      </w:pPr>
      <w:r w:rsidRPr="00F172FA">
        <w:t>Met</w:t>
      </w:r>
    </w:p>
    <w:p w14:paraId="7F70CD3F" w14:textId="19D86D1D" w:rsidR="00D9276C" w:rsidRDefault="00F172FA" w:rsidP="007803BF">
      <w:pPr>
        <w:pStyle w:val="ListParagraph"/>
        <w:numPr>
          <w:ilvl w:val="0"/>
          <w:numId w:val="149"/>
        </w:numPr>
      </w:pPr>
      <w:r w:rsidRPr="00F172FA">
        <w:t>Met</w:t>
      </w:r>
    </w:p>
    <w:p w14:paraId="257EDABB" w14:textId="3FED1B96" w:rsidR="00D9276C" w:rsidRDefault="00F172FA" w:rsidP="007803BF">
      <w:pPr>
        <w:pStyle w:val="ListParagraph"/>
        <w:numPr>
          <w:ilvl w:val="0"/>
          <w:numId w:val="149"/>
        </w:numPr>
      </w:pPr>
      <w:r w:rsidRPr="00F172FA">
        <w:t>Met</w:t>
      </w:r>
    </w:p>
    <w:p w14:paraId="0E9A00B1" w14:textId="0D7941CC" w:rsidR="00D9276C" w:rsidRDefault="00F172FA" w:rsidP="007803BF">
      <w:pPr>
        <w:pStyle w:val="ListParagraph"/>
        <w:numPr>
          <w:ilvl w:val="0"/>
          <w:numId w:val="149"/>
        </w:numPr>
      </w:pPr>
      <w:r w:rsidRPr="00F172FA">
        <w:t>Met</w:t>
      </w:r>
    </w:p>
    <w:p w14:paraId="45194816" w14:textId="77777777" w:rsidR="00D9276C" w:rsidRPr="00617C76" w:rsidRDefault="00D9276C" w:rsidP="00D9276C">
      <w:pPr>
        <w:pStyle w:val="Heading5"/>
      </w:pPr>
      <w:r w:rsidRPr="00617C76">
        <w:t>Clause 33:</w:t>
      </w:r>
    </w:p>
    <w:p w14:paraId="75EF6043" w14:textId="06D52484" w:rsidR="00D9276C" w:rsidRDefault="00F172FA" w:rsidP="00D9276C">
      <w:r w:rsidRPr="00F172FA">
        <w:t>Met</w:t>
      </w:r>
    </w:p>
    <w:p w14:paraId="7B4CD63C" w14:textId="77777777" w:rsidR="00D9276C" w:rsidRDefault="00D9276C" w:rsidP="00D9276C">
      <w:pPr>
        <w:pStyle w:val="Heading4"/>
      </w:pPr>
      <w:r w:rsidRPr="00617C76">
        <w:t>Achievements over 2025</w:t>
      </w:r>
    </w:p>
    <w:p w14:paraId="4F3463B7" w14:textId="77777777" w:rsidR="00AA43D1" w:rsidRDefault="007E59C8" w:rsidP="00D9276C">
      <w:r w:rsidRPr="007E59C8">
        <w:t>The Final Report of the first Independent Aboriginal and Torres Strait Islander</w:t>
      </w:r>
      <w:r w:rsidRPr="007E59C8">
        <w:noBreakHyphen/>
        <w:t xml:space="preserve">led Review has been published. The Joint Council is required to provide a response to the review within 6 months of receiving the review. Joint Council considered its response at the November 2025 meeting and agreed to prioritise finalisation of its response by the end of February 2026. </w:t>
      </w:r>
    </w:p>
    <w:p w14:paraId="2F5C2BC5" w14:textId="77777777" w:rsidR="00930DBC" w:rsidRDefault="007E59C8" w:rsidP="00D9276C">
      <w:r w:rsidRPr="007E59C8">
        <w:t xml:space="preserve">In June 2025, Joint Council endorsed the establishment of the Data Policy Partnership (DPP) as the sixth Policy Partnership under the National Agreement. The DPP will explore options in response to the Productivity Commission’s recommendation to establish a Bureau of Indigenous Data and consider progress under Priority Reform Four. </w:t>
      </w:r>
    </w:p>
    <w:p w14:paraId="125EBCFA" w14:textId="77777777" w:rsidR="00930DBC" w:rsidRDefault="007E59C8" w:rsidP="00D9276C">
      <w:r w:rsidRPr="007E59C8">
        <w:t>In March 2025, the Partnership Working Group agreed to re</w:t>
      </w:r>
      <w:r w:rsidRPr="007E59C8">
        <w:noBreakHyphen/>
        <w:t xml:space="preserve">establish the National Independent Mechanism Working Group. The Working Group is responsible for providing recommendations on the need for a national independent mechanism and sharing updates on jurisdictional progress. Its first meeting was held in August 2025. </w:t>
      </w:r>
    </w:p>
    <w:p w14:paraId="4DC3AB37" w14:textId="7E07F569" w:rsidR="00D9276C" w:rsidRPr="003E2721" w:rsidRDefault="007E59C8" w:rsidP="00D9276C">
      <w:r w:rsidRPr="007E59C8">
        <w:t>In 2025, Joint Council led a strategic approach to identify national, cross</w:t>
      </w:r>
      <w:r w:rsidRPr="007E59C8">
        <w:noBreakHyphen/>
        <w:t>cutting opportunities to accelerate improvements to drive progress on addressing the over</w:t>
      </w:r>
      <w:r w:rsidRPr="007E59C8">
        <w:noBreakHyphen/>
        <w:t>representation of Aboriginal and Torres Strait Islander children in the youth justice system (Target 11) and out</w:t>
      </w:r>
      <w:r w:rsidRPr="007E59C8">
        <w:noBreakHyphen/>
        <w:t>of</w:t>
      </w:r>
      <w:r w:rsidRPr="007E59C8">
        <w:noBreakHyphen/>
        <w:t>home care (Target 12).</w:t>
      </w:r>
    </w:p>
    <w:p w14:paraId="2519C74E" w14:textId="4187AF79" w:rsidR="00B712F2" w:rsidRDefault="00154179" w:rsidP="00B712F2">
      <w:pPr>
        <w:pStyle w:val="Heading3"/>
      </w:pPr>
      <w:bookmarkStart w:id="47" w:name="_Toc225506069"/>
      <w:r w:rsidRPr="00154179">
        <w:t>Port Augusta Partnership (Partnership)</w:t>
      </w:r>
      <w:bookmarkEnd w:id="47"/>
    </w:p>
    <w:p w14:paraId="36A46173" w14:textId="5EBB77FF" w:rsidR="00154179" w:rsidRPr="00154179" w:rsidRDefault="00154179" w:rsidP="00154179">
      <w:r w:rsidRPr="00154179">
        <w:t xml:space="preserve">NIAA, Department of Human Services (South Australia) and the Alliance are working in genuine </w:t>
      </w:r>
      <w:proofErr w:type="gramStart"/>
      <w:r w:rsidRPr="00154179">
        <w:t>partnership, and</w:t>
      </w:r>
      <w:proofErr w:type="gramEnd"/>
      <w:r w:rsidRPr="00154179">
        <w:t xml:space="preserve"> agreed for this to be a government assessment. The established structure of the Alliance means there is no definitive lead Aboriginal and Torres Strait Islander party.</w:t>
      </w:r>
    </w:p>
    <w:p w14:paraId="68FFBB8C" w14:textId="77777777" w:rsidR="00B712F2" w:rsidRDefault="00B712F2" w:rsidP="00B712F2">
      <w:pPr>
        <w:pStyle w:val="Heading4"/>
      </w:pPr>
      <w:r w:rsidRPr="00617C76">
        <w:t>Partnership description</w:t>
      </w:r>
    </w:p>
    <w:p w14:paraId="35CADD40" w14:textId="72440DCD" w:rsidR="00B712F2" w:rsidRPr="00D9276C" w:rsidRDefault="00B07F9D" w:rsidP="00B712F2">
      <w:r w:rsidRPr="00B07F9D">
        <w:t>The Partnership was established in 2024 as a joint investment by the Australian Government and the South Australian Government to partner with community and develop a shared decision</w:t>
      </w:r>
      <w:r w:rsidRPr="00B07F9D">
        <w:noBreakHyphen/>
        <w:t>making approach to safety and wellbeing in the region. The initiative established the Port Augusta and Davenport Community Alliance, membership of which comprises Traditional Owners, representatives of Aboriginal Community Controlled Organisations and a range of community stakeholders to progress community</w:t>
      </w:r>
      <w:r w:rsidRPr="00B07F9D">
        <w:noBreakHyphen/>
        <w:t>identified priorities.</w:t>
      </w:r>
    </w:p>
    <w:p w14:paraId="4296AF99" w14:textId="77777777" w:rsidR="00B712F2" w:rsidRDefault="00B712F2" w:rsidP="00B712F2">
      <w:pPr>
        <w:pStyle w:val="Heading4"/>
      </w:pPr>
      <w:r w:rsidRPr="00DF6278">
        <w:t>Aboriginal and Torres Strait Islander parties</w:t>
      </w:r>
    </w:p>
    <w:p w14:paraId="29DB6822" w14:textId="096FC8EB" w:rsidR="00B712F2" w:rsidRPr="00BE3985" w:rsidRDefault="000E152D" w:rsidP="00B712F2">
      <w:r w:rsidRPr="00BE3985">
        <w:t>Members of the Port Augusta and Davenport Community Alliance Group (Alliance)</w:t>
      </w:r>
    </w:p>
    <w:p w14:paraId="6136BB3D" w14:textId="77777777" w:rsidR="00B712F2" w:rsidRPr="00617C76" w:rsidRDefault="00B712F2" w:rsidP="00B712F2">
      <w:pPr>
        <w:pStyle w:val="Heading4"/>
      </w:pPr>
      <w:r w:rsidRPr="00617C76">
        <w:t>Government parties</w:t>
      </w:r>
    </w:p>
    <w:p w14:paraId="0BB9F9AA" w14:textId="77777777" w:rsidR="00B712F2" w:rsidRDefault="00B712F2" w:rsidP="00B712F2">
      <w:pPr>
        <w:pStyle w:val="Heading5"/>
      </w:pPr>
      <w:r w:rsidRPr="00115C74">
        <w:t xml:space="preserve">COMMONWEALTH PARTIES </w:t>
      </w:r>
    </w:p>
    <w:p w14:paraId="78ABB4D0" w14:textId="6C4E3485" w:rsidR="00B712F2" w:rsidRPr="00B27ADE" w:rsidRDefault="009D5AE3" w:rsidP="00B712F2">
      <w:r w:rsidRPr="00B27ADE">
        <w:t>National Indigenous Australians Agency (NIAA)</w:t>
      </w:r>
      <w:r w:rsidR="00EC4B73">
        <w:t xml:space="preserve"> (endorsing partner)</w:t>
      </w:r>
    </w:p>
    <w:p w14:paraId="6E448965" w14:textId="77777777" w:rsidR="00B712F2" w:rsidRPr="00115C74" w:rsidRDefault="00B712F2" w:rsidP="00B712F2">
      <w:pPr>
        <w:pStyle w:val="Heading5"/>
      </w:pPr>
      <w:r w:rsidRPr="00115C74">
        <w:t xml:space="preserve">STATE AND TERRITORY PARTIES </w:t>
      </w:r>
    </w:p>
    <w:p w14:paraId="5657CF04" w14:textId="4DCB8273" w:rsidR="00B712F2" w:rsidRPr="00617C76" w:rsidRDefault="009D5AE3" w:rsidP="00B712F2">
      <w:r w:rsidRPr="009D5AE3">
        <w:t>Department of Human Services (South Australia)</w:t>
      </w:r>
    </w:p>
    <w:p w14:paraId="01ADB8E1" w14:textId="77777777" w:rsidR="00B712F2" w:rsidRPr="00617C76" w:rsidRDefault="00B712F2" w:rsidP="00B712F2">
      <w:pPr>
        <w:pStyle w:val="Heading4"/>
      </w:pPr>
      <w:r w:rsidRPr="00617C76">
        <w:lastRenderedPageBreak/>
        <w:t>Priority Reforms and Socio-economic Outcomes</w:t>
      </w:r>
    </w:p>
    <w:p w14:paraId="0C6FB676" w14:textId="77777777" w:rsidR="00F27B12" w:rsidRDefault="000F51CF" w:rsidP="00B712F2">
      <w:r w:rsidRPr="000F51CF">
        <w:t>Priority Reform 1</w:t>
      </w:r>
    </w:p>
    <w:p w14:paraId="09DE1DC1" w14:textId="77777777" w:rsidR="00F27B12" w:rsidRDefault="000F51CF" w:rsidP="00B712F2">
      <w:r w:rsidRPr="000F51CF">
        <w:t>Priority Reform 2</w:t>
      </w:r>
    </w:p>
    <w:p w14:paraId="0061562E" w14:textId="77777777" w:rsidR="00F27B12" w:rsidRDefault="000F51CF" w:rsidP="00B712F2">
      <w:r w:rsidRPr="000F51CF">
        <w:t>Priority Reform 3</w:t>
      </w:r>
    </w:p>
    <w:p w14:paraId="2CE70BF2" w14:textId="77777777" w:rsidR="00F27B12" w:rsidRDefault="000F51CF" w:rsidP="00B712F2">
      <w:r w:rsidRPr="000F51CF">
        <w:t>Priority Reform 4</w:t>
      </w:r>
    </w:p>
    <w:p w14:paraId="725B52F7" w14:textId="77777777" w:rsidR="00F27B12" w:rsidRDefault="000F51CF" w:rsidP="00B712F2">
      <w:r w:rsidRPr="000F51CF">
        <w:t>Outcome 1</w:t>
      </w:r>
    </w:p>
    <w:p w14:paraId="16D3E749" w14:textId="77777777" w:rsidR="00F27B12" w:rsidRDefault="000F51CF" w:rsidP="00B712F2">
      <w:r w:rsidRPr="000F51CF">
        <w:t>Outcome 2</w:t>
      </w:r>
    </w:p>
    <w:p w14:paraId="377B62E0" w14:textId="77777777" w:rsidR="00F27B12" w:rsidRDefault="000F51CF" w:rsidP="00B712F2">
      <w:r w:rsidRPr="000F51CF">
        <w:t>Outcome 3</w:t>
      </w:r>
    </w:p>
    <w:p w14:paraId="18BEDAE8" w14:textId="77777777" w:rsidR="00F27B12" w:rsidRDefault="000F51CF" w:rsidP="00B712F2">
      <w:r w:rsidRPr="000F51CF">
        <w:t>Outcome 4</w:t>
      </w:r>
    </w:p>
    <w:p w14:paraId="769B62FF" w14:textId="77777777" w:rsidR="001025E1" w:rsidRDefault="000F51CF" w:rsidP="00B712F2">
      <w:r w:rsidRPr="000F51CF">
        <w:t>Outcome 5</w:t>
      </w:r>
    </w:p>
    <w:p w14:paraId="066AD0D4" w14:textId="2B730534" w:rsidR="001025E1" w:rsidRDefault="004E66B1" w:rsidP="00B712F2">
      <w:r w:rsidRPr="004E66B1">
        <w:t>Outcome 6</w:t>
      </w:r>
    </w:p>
    <w:p w14:paraId="02A87A77" w14:textId="79567F9E" w:rsidR="001025E1" w:rsidRDefault="004E66B1" w:rsidP="00B712F2">
      <w:r w:rsidRPr="004E66B1">
        <w:t>Outcome 7</w:t>
      </w:r>
    </w:p>
    <w:p w14:paraId="3EC5EBA4" w14:textId="417D656A" w:rsidR="001025E1" w:rsidRDefault="004E66B1" w:rsidP="00B712F2">
      <w:r w:rsidRPr="004E66B1">
        <w:t>Outcome 11</w:t>
      </w:r>
    </w:p>
    <w:p w14:paraId="5C7E0091" w14:textId="3DAD5C97" w:rsidR="001025E1" w:rsidRDefault="004E66B1" w:rsidP="00B712F2">
      <w:r w:rsidRPr="004E66B1">
        <w:t>Outcome 12</w:t>
      </w:r>
    </w:p>
    <w:p w14:paraId="73591232" w14:textId="395DBF3B" w:rsidR="001025E1" w:rsidRDefault="004E66B1" w:rsidP="00B712F2">
      <w:r w:rsidRPr="004E66B1">
        <w:t>Outcome 13</w:t>
      </w:r>
    </w:p>
    <w:p w14:paraId="125C77CB" w14:textId="59497D4E" w:rsidR="001025E1" w:rsidRDefault="004E66B1" w:rsidP="00B712F2">
      <w:r w:rsidRPr="004E66B1">
        <w:t>Outcome 14</w:t>
      </w:r>
    </w:p>
    <w:p w14:paraId="3A82199A" w14:textId="7D71D099" w:rsidR="00F27B12" w:rsidRDefault="004E66B1" w:rsidP="00B712F2">
      <w:r w:rsidRPr="004E66B1">
        <w:t xml:space="preserve">Outcome 16 </w:t>
      </w:r>
    </w:p>
    <w:p w14:paraId="009A3CD9" w14:textId="4FD2EC8D" w:rsidR="00B712F2" w:rsidRPr="007C35F3" w:rsidRDefault="001025E1" w:rsidP="00B712F2">
      <w:r>
        <w:t>O</w:t>
      </w:r>
      <w:r w:rsidR="004E66B1" w:rsidRPr="004E66B1">
        <w:t>utcome 17</w:t>
      </w:r>
    </w:p>
    <w:p w14:paraId="381D11A6" w14:textId="77777777" w:rsidR="00B712F2" w:rsidRPr="00617C76" w:rsidRDefault="00B712F2" w:rsidP="00B712F2">
      <w:pPr>
        <w:pStyle w:val="Heading4"/>
      </w:pPr>
      <w:r w:rsidRPr="00617C76">
        <w:t>Partnership function</w:t>
      </w:r>
    </w:p>
    <w:p w14:paraId="4E3ADC59" w14:textId="2F5BEE75" w:rsidR="00B712F2" w:rsidRPr="00617C76" w:rsidRDefault="003D51C4" w:rsidP="00B712F2">
      <w:r w:rsidRPr="003D51C4">
        <w:t>Place</w:t>
      </w:r>
      <w:r w:rsidRPr="003D51C4">
        <w:noBreakHyphen/>
        <w:t>based</w:t>
      </w:r>
    </w:p>
    <w:p w14:paraId="43242144" w14:textId="77777777" w:rsidR="00B712F2" w:rsidRPr="00617C76" w:rsidRDefault="00B712F2" w:rsidP="00B712F2">
      <w:pPr>
        <w:pStyle w:val="Heading4"/>
      </w:pPr>
      <w:r w:rsidRPr="00617C76">
        <w:t>Partnership timeframe</w:t>
      </w:r>
    </w:p>
    <w:p w14:paraId="5C1D0CDC" w14:textId="57214073" w:rsidR="00B712F2" w:rsidRPr="00617C76" w:rsidRDefault="003D51C4" w:rsidP="00B712F2">
      <w:r w:rsidRPr="003D51C4">
        <w:t>2024 to 2027</w:t>
      </w:r>
    </w:p>
    <w:p w14:paraId="618347FC" w14:textId="77777777" w:rsidR="00B712F2" w:rsidRDefault="00B712F2" w:rsidP="00B712F2">
      <w:pPr>
        <w:pStyle w:val="Heading4"/>
      </w:pPr>
      <w:r w:rsidRPr="00617C76">
        <w:t>Actions taken to strengthen the partnership in 2025</w:t>
      </w:r>
    </w:p>
    <w:p w14:paraId="0890A309" w14:textId="77777777" w:rsidR="001025E1" w:rsidRDefault="00F27B12" w:rsidP="00B712F2">
      <w:r w:rsidRPr="00F27B12">
        <w:t>The partnership approach is transforming how governments work in the region, by partnering with community, employing a consensus decision</w:t>
      </w:r>
      <w:r w:rsidRPr="00F27B12">
        <w:noBreakHyphen/>
        <w:t xml:space="preserve">making model and providing efficiencies in data sharing and service provision. </w:t>
      </w:r>
    </w:p>
    <w:p w14:paraId="751F7A8D" w14:textId="77777777" w:rsidR="00480AB3" w:rsidRDefault="00F27B12" w:rsidP="00B712F2">
      <w:r w:rsidRPr="00F27B12">
        <w:t>As a result of the Partnership, there has been improved engagement and collaboration with the local community</w:t>
      </w:r>
      <w:r w:rsidRPr="00F27B12">
        <w:noBreakHyphen/>
        <w:t>controlled sector to deliver community services, with an expanded safety and wellbeing funding footprint, delivered in alignment with community</w:t>
      </w:r>
      <w:r w:rsidRPr="00F27B12">
        <w:noBreakHyphen/>
        <w:t xml:space="preserve">identified priorities. Subsequently, along with the increased service footprint, additional First Nations workforce has been engaged. </w:t>
      </w:r>
    </w:p>
    <w:p w14:paraId="3C215D29" w14:textId="77777777" w:rsidR="00480AB3" w:rsidRDefault="00F27B12" w:rsidP="00B712F2">
      <w:r w:rsidRPr="00F27B12">
        <w:t xml:space="preserve">The work of the Alliance includes developing an Understanding, Measurement, Evaluation and Learning (UMEL) platform which gathers data to evaluate the implementation of the Partnership. This work is still in its initial stages. However, when further developed, it will set a foundation to determine the partnership model going forward. </w:t>
      </w:r>
    </w:p>
    <w:p w14:paraId="7DF1A537" w14:textId="77777777" w:rsidR="00480AB3" w:rsidRDefault="00F27B12" w:rsidP="00B712F2">
      <w:r w:rsidRPr="00F27B12">
        <w:t xml:space="preserve">There is no Partnership Agreement signed by First Nations people under the Partnership. </w:t>
      </w:r>
    </w:p>
    <w:p w14:paraId="7CD0184C" w14:textId="77777777" w:rsidR="00480AB3" w:rsidRDefault="00F27B12" w:rsidP="00B712F2">
      <w:r w:rsidRPr="00F27B12">
        <w:lastRenderedPageBreak/>
        <w:t xml:space="preserve">The Federated Funding Agreement (FFA) and Memorandum of Understanding (MoU) have not been signed by all Alliance parties given the structure of the initiative. Rather, it has only been signed by the government representatives. </w:t>
      </w:r>
    </w:p>
    <w:p w14:paraId="046D7640" w14:textId="3A5C2A50" w:rsidR="00B712F2" w:rsidRPr="00D9276C" w:rsidRDefault="00F27B12" w:rsidP="00B712F2">
      <w:r w:rsidRPr="00F27B12">
        <w:t>Given this, it was not possible to obtain the sign</w:t>
      </w:r>
      <w:r w:rsidRPr="00F27B12">
        <w:noBreakHyphen/>
      </w:r>
      <w:proofErr w:type="gramStart"/>
      <w:r w:rsidRPr="00F27B12">
        <w:t>off of</w:t>
      </w:r>
      <w:proofErr w:type="gramEnd"/>
      <w:r w:rsidRPr="00F27B12">
        <w:t xml:space="preserve"> a lead First Nations partner for this submission, however the Alliance was made aware of the submission in a meeting on 11 November 2025.</w:t>
      </w:r>
    </w:p>
    <w:p w14:paraId="765E37B5" w14:textId="77777777" w:rsidR="00B712F2" w:rsidRPr="00617C76" w:rsidRDefault="00B712F2" w:rsidP="00B712F2">
      <w:pPr>
        <w:pStyle w:val="Heading4"/>
      </w:pPr>
      <w:r w:rsidRPr="00617C76">
        <w:t>Strong partnership indicators</w:t>
      </w:r>
    </w:p>
    <w:p w14:paraId="178C1F61" w14:textId="77777777" w:rsidR="00B712F2" w:rsidRPr="00617C76" w:rsidRDefault="00B712F2" w:rsidP="00B712F2">
      <w:pPr>
        <w:pStyle w:val="Heading5"/>
      </w:pPr>
      <w:r w:rsidRPr="00617C76">
        <w:t>Clause 32A:</w:t>
      </w:r>
    </w:p>
    <w:p w14:paraId="759C9331" w14:textId="7DA040A6" w:rsidR="00B712F2" w:rsidRDefault="007A096C" w:rsidP="007A096C">
      <w:pPr>
        <w:pStyle w:val="ListParagraph"/>
        <w:numPr>
          <w:ilvl w:val="0"/>
          <w:numId w:val="150"/>
        </w:numPr>
      </w:pPr>
      <w:r w:rsidRPr="007A096C">
        <w:t>Met</w:t>
      </w:r>
    </w:p>
    <w:p w14:paraId="12C7BF88" w14:textId="0D96D104" w:rsidR="00B712F2" w:rsidRDefault="007A096C" w:rsidP="007A096C">
      <w:pPr>
        <w:pStyle w:val="ListParagraph"/>
        <w:numPr>
          <w:ilvl w:val="0"/>
          <w:numId w:val="150"/>
        </w:numPr>
      </w:pPr>
      <w:r w:rsidRPr="007A096C">
        <w:t>Met</w:t>
      </w:r>
    </w:p>
    <w:p w14:paraId="140B7A48" w14:textId="7517BCB7" w:rsidR="00B712F2" w:rsidRDefault="007A096C" w:rsidP="007A096C">
      <w:pPr>
        <w:pStyle w:val="ListParagraph"/>
        <w:numPr>
          <w:ilvl w:val="0"/>
          <w:numId w:val="150"/>
        </w:numPr>
      </w:pPr>
      <w:r w:rsidRPr="007A096C">
        <w:t>Met</w:t>
      </w:r>
    </w:p>
    <w:p w14:paraId="175EE6A3" w14:textId="77777777" w:rsidR="00B712F2" w:rsidRPr="00617C76" w:rsidRDefault="00B712F2" w:rsidP="00B712F2">
      <w:pPr>
        <w:pStyle w:val="Heading5"/>
      </w:pPr>
      <w:r w:rsidRPr="00617C76">
        <w:t>Clause 32B:</w:t>
      </w:r>
    </w:p>
    <w:p w14:paraId="2EC2C3D2" w14:textId="62B27A4A" w:rsidR="00B712F2" w:rsidRDefault="007A096C" w:rsidP="007A096C">
      <w:pPr>
        <w:pStyle w:val="ListParagraph"/>
        <w:numPr>
          <w:ilvl w:val="0"/>
          <w:numId w:val="151"/>
        </w:numPr>
      </w:pPr>
      <w:r w:rsidRPr="007A096C">
        <w:t>Not met</w:t>
      </w:r>
    </w:p>
    <w:p w14:paraId="00DF2982" w14:textId="15FDA56A" w:rsidR="00B712F2" w:rsidRDefault="007A096C" w:rsidP="007A096C">
      <w:pPr>
        <w:pStyle w:val="ListParagraph"/>
        <w:numPr>
          <w:ilvl w:val="0"/>
          <w:numId w:val="151"/>
        </w:numPr>
      </w:pPr>
      <w:r w:rsidRPr="007A096C">
        <w:t>Not met</w:t>
      </w:r>
    </w:p>
    <w:p w14:paraId="0C480804" w14:textId="3D94F530" w:rsidR="00B712F2" w:rsidRDefault="007A096C" w:rsidP="007A096C">
      <w:pPr>
        <w:pStyle w:val="ListParagraph"/>
        <w:numPr>
          <w:ilvl w:val="0"/>
          <w:numId w:val="151"/>
        </w:numPr>
      </w:pPr>
      <w:r w:rsidRPr="007A096C">
        <w:t>Not met</w:t>
      </w:r>
    </w:p>
    <w:p w14:paraId="4268463D" w14:textId="074FC970" w:rsidR="00B712F2" w:rsidRDefault="008F40F8" w:rsidP="007A096C">
      <w:pPr>
        <w:pStyle w:val="ListParagraph"/>
        <w:numPr>
          <w:ilvl w:val="0"/>
          <w:numId w:val="151"/>
        </w:numPr>
      </w:pPr>
      <w:r w:rsidRPr="008F40F8">
        <w:t>N/A</w:t>
      </w:r>
    </w:p>
    <w:p w14:paraId="355B6DC3" w14:textId="77777777" w:rsidR="00B712F2" w:rsidRPr="00617C76" w:rsidRDefault="00B712F2" w:rsidP="00B712F2">
      <w:pPr>
        <w:pStyle w:val="Heading5"/>
      </w:pPr>
      <w:r w:rsidRPr="00617C76">
        <w:t>Clause 32C:</w:t>
      </w:r>
    </w:p>
    <w:p w14:paraId="0F8E9AAC" w14:textId="0B897717" w:rsidR="00B712F2" w:rsidRDefault="008F40F8" w:rsidP="008F40F8">
      <w:pPr>
        <w:pStyle w:val="ListParagraph"/>
        <w:numPr>
          <w:ilvl w:val="0"/>
          <w:numId w:val="152"/>
        </w:numPr>
      </w:pPr>
      <w:r w:rsidRPr="008F40F8">
        <w:t>Met</w:t>
      </w:r>
    </w:p>
    <w:p w14:paraId="6CD0813D" w14:textId="6250063C" w:rsidR="00B712F2" w:rsidRDefault="008F40F8" w:rsidP="008F40F8">
      <w:pPr>
        <w:pStyle w:val="ListParagraph"/>
        <w:numPr>
          <w:ilvl w:val="0"/>
          <w:numId w:val="152"/>
        </w:numPr>
      </w:pPr>
      <w:r w:rsidRPr="008F40F8">
        <w:t>Met</w:t>
      </w:r>
    </w:p>
    <w:p w14:paraId="15FAE950" w14:textId="2806CD23" w:rsidR="00B712F2" w:rsidRDefault="008F40F8" w:rsidP="008F40F8">
      <w:pPr>
        <w:pStyle w:val="ListParagraph"/>
        <w:numPr>
          <w:ilvl w:val="0"/>
          <w:numId w:val="152"/>
        </w:numPr>
      </w:pPr>
      <w:r w:rsidRPr="008F40F8">
        <w:t>Met</w:t>
      </w:r>
    </w:p>
    <w:p w14:paraId="55D5681F" w14:textId="36514949" w:rsidR="00B712F2" w:rsidRDefault="008F40F8" w:rsidP="008F40F8">
      <w:pPr>
        <w:pStyle w:val="ListParagraph"/>
        <w:numPr>
          <w:ilvl w:val="0"/>
          <w:numId w:val="152"/>
        </w:numPr>
      </w:pPr>
      <w:r w:rsidRPr="008F40F8">
        <w:t>Met</w:t>
      </w:r>
    </w:p>
    <w:p w14:paraId="770840BB" w14:textId="729F03E5" w:rsidR="00B712F2" w:rsidRDefault="008F40F8" w:rsidP="008F40F8">
      <w:pPr>
        <w:pStyle w:val="ListParagraph"/>
        <w:numPr>
          <w:ilvl w:val="0"/>
          <w:numId w:val="152"/>
        </w:numPr>
      </w:pPr>
      <w:r w:rsidRPr="008F40F8">
        <w:t>Met</w:t>
      </w:r>
    </w:p>
    <w:p w14:paraId="12A82D1D" w14:textId="58599AF0" w:rsidR="00B712F2" w:rsidRDefault="008F40F8" w:rsidP="008F40F8">
      <w:pPr>
        <w:pStyle w:val="ListParagraph"/>
        <w:numPr>
          <w:ilvl w:val="0"/>
          <w:numId w:val="152"/>
        </w:numPr>
      </w:pPr>
      <w:r w:rsidRPr="008F40F8">
        <w:t>Met</w:t>
      </w:r>
    </w:p>
    <w:p w14:paraId="58D769A8" w14:textId="5E610EBF" w:rsidR="00B712F2" w:rsidRDefault="008F40F8" w:rsidP="008F40F8">
      <w:pPr>
        <w:pStyle w:val="ListParagraph"/>
        <w:numPr>
          <w:ilvl w:val="0"/>
          <w:numId w:val="152"/>
        </w:numPr>
      </w:pPr>
      <w:r w:rsidRPr="008F40F8">
        <w:t>Met</w:t>
      </w:r>
    </w:p>
    <w:p w14:paraId="5AFD2DBE" w14:textId="77777777" w:rsidR="00B712F2" w:rsidRPr="00617C76" w:rsidRDefault="00B712F2" w:rsidP="00B712F2">
      <w:pPr>
        <w:pStyle w:val="Heading5"/>
      </w:pPr>
      <w:r w:rsidRPr="00617C76">
        <w:t>Clause 33:</w:t>
      </w:r>
    </w:p>
    <w:p w14:paraId="3DD0B873" w14:textId="4049CD53" w:rsidR="00B712F2" w:rsidRDefault="008F40F8" w:rsidP="00B712F2">
      <w:r w:rsidRPr="008F40F8">
        <w:t>Met</w:t>
      </w:r>
    </w:p>
    <w:p w14:paraId="0B40F93C" w14:textId="77777777" w:rsidR="00B712F2" w:rsidRDefault="00B712F2" w:rsidP="00B712F2">
      <w:pPr>
        <w:pStyle w:val="Heading4"/>
      </w:pPr>
      <w:r w:rsidRPr="00617C76">
        <w:t>Achievements over 2025</w:t>
      </w:r>
    </w:p>
    <w:p w14:paraId="39779BB6" w14:textId="77777777" w:rsidR="00B029BB" w:rsidRDefault="0038736D" w:rsidP="00B712F2">
      <w:r w:rsidRPr="0038736D">
        <w:t xml:space="preserve">Achievements and deliverables include: </w:t>
      </w:r>
    </w:p>
    <w:p w14:paraId="214AFBFA" w14:textId="77777777" w:rsidR="00B029BB" w:rsidRDefault="0038736D" w:rsidP="00151BAD">
      <w:pPr>
        <w:pStyle w:val="ListParagraph"/>
        <w:numPr>
          <w:ilvl w:val="0"/>
          <w:numId w:val="153"/>
        </w:numPr>
      </w:pPr>
      <w:r w:rsidRPr="0038736D">
        <w:t>The Alliance met 15 times, in Port Augusta.</w:t>
      </w:r>
    </w:p>
    <w:p w14:paraId="2F7A834A" w14:textId="77777777" w:rsidR="00B029BB" w:rsidRDefault="0038736D" w:rsidP="00151BAD">
      <w:pPr>
        <w:pStyle w:val="ListParagraph"/>
        <w:numPr>
          <w:ilvl w:val="0"/>
          <w:numId w:val="153"/>
        </w:numPr>
      </w:pPr>
      <w:r w:rsidRPr="0038736D">
        <w:t>The development and endorsement of Terms of Reference documentation. This documentation outlines the partnership approach, decision making protocols, code of conduct and confidentiality.</w:t>
      </w:r>
    </w:p>
    <w:p w14:paraId="2064CFE4" w14:textId="77777777" w:rsidR="00B029BB" w:rsidRDefault="0038736D" w:rsidP="00151BAD">
      <w:pPr>
        <w:pStyle w:val="ListParagraph"/>
        <w:numPr>
          <w:ilvl w:val="0"/>
          <w:numId w:val="153"/>
        </w:numPr>
      </w:pPr>
      <w:r w:rsidRPr="0038736D">
        <w:t>The development of a strategic Priority Work Plan where the Alliance members collectively agree on the community’s priority areas for development.</w:t>
      </w:r>
    </w:p>
    <w:p w14:paraId="66D0411F" w14:textId="77777777" w:rsidR="00B029BB" w:rsidRDefault="0038736D" w:rsidP="00151BAD">
      <w:pPr>
        <w:pStyle w:val="ListParagraph"/>
        <w:numPr>
          <w:ilvl w:val="0"/>
          <w:numId w:val="153"/>
        </w:numPr>
      </w:pPr>
      <w:r w:rsidRPr="0038736D">
        <w:t xml:space="preserve">The creation of a Safety and Wellbeing Community Governance Model – aligned with Priority Reforms One and Three of the National Agreement. </w:t>
      </w:r>
    </w:p>
    <w:p w14:paraId="4D7BCCEA" w14:textId="77777777" w:rsidR="00B029BB" w:rsidRDefault="0038736D" w:rsidP="00151BAD">
      <w:pPr>
        <w:pStyle w:val="ListParagraph"/>
        <w:numPr>
          <w:ilvl w:val="0"/>
          <w:numId w:val="153"/>
        </w:numPr>
      </w:pPr>
      <w:r w:rsidRPr="0038736D">
        <w:t xml:space="preserve">Alliance members participated in training under the Restorative Practice Framework. </w:t>
      </w:r>
    </w:p>
    <w:p w14:paraId="599E62CA" w14:textId="77777777" w:rsidR="00B029BB" w:rsidRDefault="0038736D" w:rsidP="00151BAD">
      <w:pPr>
        <w:pStyle w:val="ListParagraph"/>
        <w:numPr>
          <w:ilvl w:val="0"/>
          <w:numId w:val="153"/>
        </w:numPr>
      </w:pPr>
      <w:r w:rsidRPr="0038736D">
        <w:t>The Alliance conducted a group planning day.</w:t>
      </w:r>
    </w:p>
    <w:p w14:paraId="77C8A52E" w14:textId="77777777" w:rsidR="00B029BB" w:rsidRDefault="0038736D" w:rsidP="00151BAD">
      <w:pPr>
        <w:pStyle w:val="ListParagraph"/>
        <w:numPr>
          <w:ilvl w:val="0"/>
          <w:numId w:val="153"/>
        </w:numPr>
      </w:pPr>
      <w:r w:rsidRPr="0038736D">
        <w:t>The development and endorsement of a Communication and Engagement Plan involving consultation with community, methods, platforms and communication updates.</w:t>
      </w:r>
    </w:p>
    <w:p w14:paraId="049B94A7" w14:textId="77777777" w:rsidR="00B029BB" w:rsidRDefault="0038736D" w:rsidP="00151BAD">
      <w:pPr>
        <w:pStyle w:val="ListParagraph"/>
        <w:numPr>
          <w:ilvl w:val="0"/>
          <w:numId w:val="153"/>
        </w:numPr>
      </w:pPr>
      <w:r w:rsidRPr="0038736D">
        <w:t>The commencement of an Understanding, Measurement and Evaluation (UMEL) framework development process.</w:t>
      </w:r>
    </w:p>
    <w:p w14:paraId="08969701" w14:textId="762F0339" w:rsidR="0038736D" w:rsidRDefault="0038736D" w:rsidP="00151BAD">
      <w:pPr>
        <w:pStyle w:val="ListParagraph"/>
        <w:numPr>
          <w:ilvl w:val="0"/>
          <w:numId w:val="153"/>
        </w:numPr>
      </w:pPr>
      <w:r w:rsidRPr="0038736D">
        <w:t xml:space="preserve">Endorsement of 11 activities totalling $5.5 million (as of 11 November 2025). </w:t>
      </w:r>
    </w:p>
    <w:p w14:paraId="75BD3AE8" w14:textId="77777777" w:rsidR="00B029BB" w:rsidRDefault="0038736D" w:rsidP="00151BAD">
      <w:pPr>
        <w:pStyle w:val="ListParagraph"/>
        <w:numPr>
          <w:ilvl w:val="0"/>
          <w:numId w:val="153"/>
        </w:numPr>
      </w:pPr>
      <w:r w:rsidRPr="0038736D">
        <w:t xml:space="preserve">Activities include: </w:t>
      </w:r>
    </w:p>
    <w:p w14:paraId="7C8BF516" w14:textId="77777777" w:rsidR="00B029BB" w:rsidRDefault="0038736D" w:rsidP="00151BAD">
      <w:pPr>
        <w:pStyle w:val="ListParagraph"/>
        <w:numPr>
          <w:ilvl w:val="1"/>
          <w:numId w:val="153"/>
        </w:numPr>
      </w:pPr>
      <w:r w:rsidRPr="0038736D">
        <w:t xml:space="preserve">Port Augusta Youth Aboriginal Community Court project </w:t>
      </w:r>
    </w:p>
    <w:p w14:paraId="425D1C4F" w14:textId="77777777" w:rsidR="00B029BB" w:rsidRDefault="0038736D" w:rsidP="00151BAD">
      <w:pPr>
        <w:pStyle w:val="ListParagraph"/>
        <w:numPr>
          <w:ilvl w:val="1"/>
          <w:numId w:val="153"/>
        </w:numPr>
      </w:pPr>
      <w:r w:rsidRPr="0038736D">
        <w:lastRenderedPageBreak/>
        <w:t xml:space="preserve">Student Wellbeing Hub project </w:t>
      </w:r>
    </w:p>
    <w:p w14:paraId="5BA1390D" w14:textId="77777777" w:rsidR="00B029BB" w:rsidRDefault="0038736D" w:rsidP="00151BAD">
      <w:pPr>
        <w:pStyle w:val="ListParagraph"/>
        <w:numPr>
          <w:ilvl w:val="1"/>
          <w:numId w:val="153"/>
        </w:numPr>
      </w:pPr>
      <w:r w:rsidRPr="0038736D">
        <w:t xml:space="preserve">Expansion of Port Augusta Aboriginal Youth Centre operations </w:t>
      </w:r>
    </w:p>
    <w:p w14:paraId="5E9E7BA5" w14:textId="77777777" w:rsidR="00151BAD" w:rsidRDefault="0038736D" w:rsidP="00151BAD">
      <w:pPr>
        <w:pStyle w:val="ListParagraph"/>
        <w:numPr>
          <w:ilvl w:val="1"/>
          <w:numId w:val="153"/>
        </w:numPr>
      </w:pPr>
      <w:r w:rsidRPr="0038736D">
        <w:t xml:space="preserve">Expanded Youth and Community Supports </w:t>
      </w:r>
    </w:p>
    <w:p w14:paraId="1C3FA010" w14:textId="77777777" w:rsidR="00151BAD" w:rsidRDefault="0038736D" w:rsidP="00151BAD">
      <w:pPr>
        <w:pStyle w:val="ListParagraph"/>
        <w:numPr>
          <w:ilvl w:val="1"/>
          <w:numId w:val="153"/>
        </w:numPr>
      </w:pPr>
      <w:r w:rsidRPr="0038736D">
        <w:t xml:space="preserve">Expansion of the Return to Country initiative </w:t>
      </w:r>
    </w:p>
    <w:p w14:paraId="56A62406" w14:textId="00FA4542" w:rsidR="00B712F2" w:rsidRPr="003E2721" w:rsidRDefault="0038736D" w:rsidP="00151BAD">
      <w:pPr>
        <w:pStyle w:val="ListParagraph"/>
        <w:numPr>
          <w:ilvl w:val="1"/>
          <w:numId w:val="153"/>
        </w:numPr>
      </w:pPr>
      <w:r w:rsidRPr="0038736D">
        <w:t>Expanded youth outreach program.</w:t>
      </w:r>
    </w:p>
    <w:p w14:paraId="2138A372" w14:textId="64E303D0" w:rsidR="002068C0" w:rsidRDefault="001C12F6" w:rsidP="002068C0">
      <w:pPr>
        <w:pStyle w:val="Heading3"/>
      </w:pPr>
      <w:bookmarkStart w:id="48" w:name="_Toc225506070"/>
      <w:r w:rsidRPr="001C12F6">
        <w:t>Remote First Nations Food Security Strategy Project Reference Group</w:t>
      </w:r>
      <w:bookmarkEnd w:id="48"/>
    </w:p>
    <w:p w14:paraId="14E3012B" w14:textId="77777777" w:rsidR="002068C0" w:rsidRDefault="002068C0" w:rsidP="002068C0">
      <w:pPr>
        <w:pStyle w:val="Heading4"/>
      </w:pPr>
      <w:r w:rsidRPr="00617C76">
        <w:t>Partnership description</w:t>
      </w:r>
    </w:p>
    <w:p w14:paraId="63B07D4D" w14:textId="66090AD9" w:rsidR="002068C0" w:rsidRPr="00D9276C" w:rsidRDefault="00B013B7" w:rsidP="002068C0">
      <w:r w:rsidRPr="00B013B7">
        <w:t>The Remote First Nations Food Security Strategy Project Reference Group (PRG) was set up to provide oversight and governance development of a national strategy for food security in remote First Nations communities. The Australian Government partnered with the National Aboriginal Community Controlled Health Organisation (NACCHO) to develop the National Strategy for Food Security in Remote First Nations Communities 2025</w:t>
      </w:r>
      <w:r w:rsidRPr="00B013B7">
        <w:noBreakHyphen/>
        <w:t>2035 with Aboriginal and Torres Strait Islander Community Controlled Health peak organisations, and state and territory governments.</w:t>
      </w:r>
    </w:p>
    <w:p w14:paraId="04C3D309" w14:textId="77777777" w:rsidR="002068C0" w:rsidRDefault="002068C0" w:rsidP="002068C0">
      <w:pPr>
        <w:pStyle w:val="Heading4"/>
      </w:pPr>
      <w:r w:rsidRPr="00DF6278">
        <w:t>Aboriginal and Torres Strait Islander parties</w:t>
      </w:r>
    </w:p>
    <w:p w14:paraId="06CBF7F4" w14:textId="26D865C9" w:rsidR="00E342A5" w:rsidRPr="00B27ADE" w:rsidRDefault="00E342A5" w:rsidP="002068C0">
      <w:r w:rsidRPr="00B27ADE">
        <w:t>National Aboriginal Community Controlled Health Organisation (NACCHO)</w:t>
      </w:r>
      <w:r w:rsidR="00E74174">
        <w:t xml:space="preserve"> (endorsing partner)</w:t>
      </w:r>
    </w:p>
    <w:p w14:paraId="7DFCB12F" w14:textId="77777777" w:rsidR="00E342A5" w:rsidRPr="00E342A5" w:rsidRDefault="00E342A5" w:rsidP="002068C0">
      <w:r w:rsidRPr="00E342A5">
        <w:t xml:space="preserve">Aboriginal Medical Services Alliance Northern Territory (AMSANT) </w:t>
      </w:r>
    </w:p>
    <w:p w14:paraId="71B6E8C0" w14:textId="77777777" w:rsidR="00E342A5" w:rsidRPr="00E342A5" w:rsidRDefault="00E342A5" w:rsidP="002068C0">
      <w:r w:rsidRPr="00E342A5">
        <w:t xml:space="preserve">Aboriginal Health and Medical Research Council of NSW (AH&amp;MRC) </w:t>
      </w:r>
    </w:p>
    <w:p w14:paraId="1483525B" w14:textId="77777777" w:rsidR="00E342A5" w:rsidRPr="00E342A5" w:rsidRDefault="00E342A5" w:rsidP="002068C0">
      <w:r w:rsidRPr="00E342A5">
        <w:t xml:space="preserve">Aboriginal Health Council of Western Australia (AHCWA) </w:t>
      </w:r>
    </w:p>
    <w:p w14:paraId="1B358143" w14:textId="77777777" w:rsidR="00E342A5" w:rsidRPr="00E342A5" w:rsidRDefault="00E342A5" w:rsidP="002068C0">
      <w:proofErr w:type="spellStart"/>
      <w:r w:rsidRPr="00E342A5">
        <w:t>Puntukurnu</w:t>
      </w:r>
      <w:proofErr w:type="spellEnd"/>
      <w:r w:rsidRPr="00E342A5">
        <w:t xml:space="preserve"> Aboriginal Medical Service (PAMS) </w:t>
      </w:r>
    </w:p>
    <w:p w14:paraId="6783AE80" w14:textId="0CFB2E8D" w:rsidR="002068C0" w:rsidRPr="00E342A5" w:rsidRDefault="00E342A5" w:rsidP="002068C0">
      <w:r w:rsidRPr="00E342A5">
        <w:t>Aboriginal Health Council of South Australia (AHCSA)</w:t>
      </w:r>
    </w:p>
    <w:p w14:paraId="41CA411D" w14:textId="77777777" w:rsidR="002068C0" w:rsidRPr="00617C76" w:rsidRDefault="002068C0" w:rsidP="002068C0">
      <w:pPr>
        <w:pStyle w:val="Heading4"/>
      </w:pPr>
      <w:r w:rsidRPr="00617C76">
        <w:t>Government parties</w:t>
      </w:r>
    </w:p>
    <w:p w14:paraId="0730BC7F" w14:textId="77777777" w:rsidR="002068C0" w:rsidRDefault="002068C0" w:rsidP="002068C0">
      <w:pPr>
        <w:pStyle w:val="Heading5"/>
      </w:pPr>
      <w:r w:rsidRPr="00115C74">
        <w:t xml:space="preserve">COMMONWEALTH PARTIES </w:t>
      </w:r>
    </w:p>
    <w:p w14:paraId="73BC0822" w14:textId="6AEF2959" w:rsidR="002068C0" w:rsidRPr="00B27ADE" w:rsidRDefault="009B30B4" w:rsidP="002068C0">
      <w:r w:rsidRPr="00B27ADE">
        <w:t>National Indigenous Australians Agency (NIAA)</w:t>
      </w:r>
      <w:r w:rsidR="00E74174">
        <w:t xml:space="preserve"> (endorsing partner)</w:t>
      </w:r>
    </w:p>
    <w:p w14:paraId="0F9102CE" w14:textId="77777777" w:rsidR="002068C0" w:rsidRPr="00115C74" w:rsidRDefault="002068C0" w:rsidP="002068C0">
      <w:pPr>
        <w:pStyle w:val="Heading5"/>
      </w:pPr>
      <w:r w:rsidRPr="00115C74">
        <w:t xml:space="preserve">STATE AND TERRITORY PARTIES </w:t>
      </w:r>
    </w:p>
    <w:p w14:paraId="26C4CFE2" w14:textId="77777777" w:rsidR="00451B0E" w:rsidRDefault="00451B0E" w:rsidP="002068C0">
      <w:r w:rsidRPr="00451B0E">
        <w:t xml:space="preserve">Department of Premier and Cabinet (Western Australia) </w:t>
      </w:r>
    </w:p>
    <w:p w14:paraId="187653AF" w14:textId="77777777" w:rsidR="00451B0E" w:rsidRDefault="00451B0E" w:rsidP="002068C0">
      <w:r w:rsidRPr="00451B0E">
        <w:t>Attorney</w:t>
      </w:r>
      <w:r w:rsidRPr="00451B0E">
        <w:noBreakHyphen/>
        <w:t xml:space="preserve">General’s Department (South Australia) </w:t>
      </w:r>
    </w:p>
    <w:p w14:paraId="3CBA2675" w14:textId="77777777" w:rsidR="00451B0E" w:rsidRDefault="00451B0E" w:rsidP="002068C0">
      <w:r w:rsidRPr="00451B0E">
        <w:t xml:space="preserve">Department of Women, Aboriginal and Torres Strait Islander Partnerships and Multiculturalism (Queensland) </w:t>
      </w:r>
    </w:p>
    <w:p w14:paraId="6A507AE5" w14:textId="77777777" w:rsidR="00451B0E" w:rsidRDefault="00451B0E" w:rsidP="002068C0">
      <w:r w:rsidRPr="00451B0E">
        <w:t xml:space="preserve">Department of Premier and Cabinet (New South Wales) </w:t>
      </w:r>
    </w:p>
    <w:p w14:paraId="49255574" w14:textId="4C621871" w:rsidR="002068C0" w:rsidRPr="00617C76" w:rsidRDefault="00451B0E" w:rsidP="002068C0">
      <w:r w:rsidRPr="00451B0E">
        <w:t>Department of Health (Northern Territory)</w:t>
      </w:r>
    </w:p>
    <w:p w14:paraId="384C1AF5" w14:textId="77777777" w:rsidR="002068C0" w:rsidRPr="00617C76" w:rsidRDefault="002068C0" w:rsidP="002068C0">
      <w:pPr>
        <w:pStyle w:val="Heading4"/>
      </w:pPr>
      <w:r w:rsidRPr="00617C76">
        <w:t>Priority Reforms and Socio-economic Outcomes</w:t>
      </w:r>
    </w:p>
    <w:p w14:paraId="75C37C91" w14:textId="77777777" w:rsidR="00F65F23" w:rsidRDefault="00F65F23" w:rsidP="002068C0">
      <w:r w:rsidRPr="00F65F23">
        <w:t xml:space="preserve">Priority Reform 1 </w:t>
      </w:r>
    </w:p>
    <w:p w14:paraId="6803BF01" w14:textId="77777777" w:rsidR="00F65F23" w:rsidRDefault="00F65F23" w:rsidP="002068C0">
      <w:r w:rsidRPr="00F65F23">
        <w:t xml:space="preserve">Priority Reform 2 </w:t>
      </w:r>
    </w:p>
    <w:p w14:paraId="4D6B2BEF" w14:textId="77777777" w:rsidR="00F65F23" w:rsidRDefault="00F65F23" w:rsidP="002068C0">
      <w:r w:rsidRPr="00F65F23">
        <w:t xml:space="preserve">Outcome 1 </w:t>
      </w:r>
    </w:p>
    <w:p w14:paraId="2FF42773" w14:textId="77777777" w:rsidR="00F65F23" w:rsidRDefault="00F65F23" w:rsidP="002068C0">
      <w:r w:rsidRPr="00F65F23">
        <w:t xml:space="preserve">Outcome 2 </w:t>
      </w:r>
    </w:p>
    <w:p w14:paraId="6D4EB7D3" w14:textId="77777777" w:rsidR="00F65F23" w:rsidRDefault="00F65F23" w:rsidP="002068C0">
      <w:r w:rsidRPr="00F65F23">
        <w:t xml:space="preserve">Outcome 4 </w:t>
      </w:r>
    </w:p>
    <w:p w14:paraId="12977A1E" w14:textId="77777777" w:rsidR="00F65F23" w:rsidRDefault="00F65F23" w:rsidP="002068C0">
      <w:r w:rsidRPr="00F65F23">
        <w:t xml:space="preserve">Outcome 5 </w:t>
      </w:r>
    </w:p>
    <w:p w14:paraId="75A9BBCC" w14:textId="77777777" w:rsidR="00F65F23" w:rsidRDefault="00F65F23" w:rsidP="002068C0">
      <w:r w:rsidRPr="00F65F23">
        <w:lastRenderedPageBreak/>
        <w:t xml:space="preserve">Outcome 9 </w:t>
      </w:r>
    </w:p>
    <w:p w14:paraId="26E337B6" w14:textId="77777777" w:rsidR="00F65F23" w:rsidRDefault="00F65F23" w:rsidP="002068C0">
      <w:r w:rsidRPr="00F65F23">
        <w:t xml:space="preserve">Outcome 15 </w:t>
      </w:r>
    </w:p>
    <w:p w14:paraId="38EDD966" w14:textId="77777777" w:rsidR="00F65F23" w:rsidRDefault="00F65F23" w:rsidP="002068C0">
      <w:r w:rsidRPr="00F65F23">
        <w:t xml:space="preserve">Outcome 16 </w:t>
      </w:r>
    </w:p>
    <w:p w14:paraId="5AB2FE59" w14:textId="75DCF69D" w:rsidR="002068C0" w:rsidRPr="007C35F3" w:rsidRDefault="00F65F23" w:rsidP="002068C0">
      <w:r w:rsidRPr="00F65F23">
        <w:t>Outcome 17</w:t>
      </w:r>
    </w:p>
    <w:p w14:paraId="1FD471E7" w14:textId="77777777" w:rsidR="002068C0" w:rsidRPr="00617C76" w:rsidRDefault="002068C0" w:rsidP="002068C0">
      <w:pPr>
        <w:pStyle w:val="Heading4"/>
      </w:pPr>
      <w:r w:rsidRPr="00617C76">
        <w:t>Partnership function</w:t>
      </w:r>
    </w:p>
    <w:p w14:paraId="34226F07" w14:textId="300C6879" w:rsidR="002068C0" w:rsidRPr="00617C76" w:rsidRDefault="00CD2315" w:rsidP="002068C0">
      <w:r w:rsidRPr="00CD2315">
        <w:t>Policy</w:t>
      </w:r>
    </w:p>
    <w:p w14:paraId="280A3DA8" w14:textId="77777777" w:rsidR="002068C0" w:rsidRPr="00617C76" w:rsidRDefault="002068C0" w:rsidP="002068C0">
      <w:pPr>
        <w:pStyle w:val="Heading4"/>
      </w:pPr>
      <w:r w:rsidRPr="00617C76">
        <w:t>Partnership timeframe</w:t>
      </w:r>
    </w:p>
    <w:p w14:paraId="2BEC0EE7" w14:textId="46D81FDE" w:rsidR="002068C0" w:rsidRPr="00617C76" w:rsidRDefault="00CD2315" w:rsidP="002068C0">
      <w:r w:rsidRPr="00CD2315">
        <w:t>Current</w:t>
      </w:r>
    </w:p>
    <w:p w14:paraId="1A048897" w14:textId="77777777" w:rsidR="002068C0" w:rsidRDefault="002068C0" w:rsidP="002068C0">
      <w:pPr>
        <w:pStyle w:val="Heading4"/>
      </w:pPr>
      <w:r w:rsidRPr="00617C76">
        <w:t>Actions taken to strengthen the partnership in 2025</w:t>
      </w:r>
    </w:p>
    <w:p w14:paraId="3AF8C613" w14:textId="30BD5590" w:rsidR="002068C0" w:rsidRPr="00D9276C" w:rsidRDefault="00633339" w:rsidP="002068C0">
      <w:r w:rsidRPr="00633339">
        <w:t>The PRG has noted that the partnership has strengthened since its establishment. Members are comfortable having robust conversations and raising criticisms in a constructive manner. Members acknowledge they operate in distinct operating environments but share a common goal to improve food security in remote Aboriginal and Torres Strait Islander communities.</w:t>
      </w:r>
    </w:p>
    <w:p w14:paraId="74D389BC" w14:textId="77777777" w:rsidR="002068C0" w:rsidRPr="00617C76" w:rsidRDefault="002068C0" w:rsidP="002068C0">
      <w:pPr>
        <w:pStyle w:val="Heading4"/>
      </w:pPr>
      <w:r w:rsidRPr="00617C76">
        <w:t>Strong partnership indicators</w:t>
      </w:r>
    </w:p>
    <w:p w14:paraId="7257F265" w14:textId="77777777" w:rsidR="002068C0" w:rsidRPr="00617C76" w:rsidRDefault="002068C0" w:rsidP="002068C0">
      <w:pPr>
        <w:pStyle w:val="Heading5"/>
      </w:pPr>
      <w:r w:rsidRPr="00617C76">
        <w:t>Clause 32A:</w:t>
      </w:r>
    </w:p>
    <w:p w14:paraId="32FB0BB2" w14:textId="0807C507" w:rsidR="002068C0" w:rsidRDefault="00633339" w:rsidP="00633339">
      <w:pPr>
        <w:pStyle w:val="ListParagraph"/>
        <w:numPr>
          <w:ilvl w:val="0"/>
          <w:numId w:val="154"/>
        </w:numPr>
      </w:pPr>
      <w:r w:rsidRPr="00633339">
        <w:t>Met</w:t>
      </w:r>
    </w:p>
    <w:p w14:paraId="63FC8101" w14:textId="5E110F7F" w:rsidR="002068C0" w:rsidRDefault="00633339" w:rsidP="00633339">
      <w:pPr>
        <w:pStyle w:val="ListParagraph"/>
        <w:numPr>
          <w:ilvl w:val="0"/>
          <w:numId w:val="154"/>
        </w:numPr>
      </w:pPr>
      <w:r w:rsidRPr="00633339">
        <w:t>Met</w:t>
      </w:r>
    </w:p>
    <w:p w14:paraId="68EDFF4B" w14:textId="6B942F68" w:rsidR="002068C0" w:rsidRDefault="00633339" w:rsidP="00633339">
      <w:pPr>
        <w:pStyle w:val="ListParagraph"/>
        <w:numPr>
          <w:ilvl w:val="0"/>
          <w:numId w:val="154"/>
        </w:numPr>
      </w:pPr>
      <w:r w:rsidRPr="00633339">
        <w:t>Met</w:t>
      </w:r>
    </w:p>
    <w:p w14:paraId="0D67CAB9" w14:textId="77777777" w:rsidR="002068C0" w:rsidRPr="00617C76" w:rsidRDefault="002068C0" w:rsidP="002068C0">
      <w:pPr>
        <w:pStyle w:val="Heading5"/>
      </w:pPr>
      <w:r w:rsidRPr="00617C76">
        <w:t>Clause 32B:</w:t>
      </w:r>
    </w:p>
    <w:p w14:paraId="61D8D2F4" w14:textId="17A632C1" w:rsidR="002068C0" w:rsidRDefault="00633339" w:rsidP="00633339">
      <w:pPr>
        <w:pStyle w:val="ListParagraph"/>
        <w:numPr>
          <w:ilvl w:val="0"/>
          <w:numId w:val="155"/>
        </w:numPr>
      </w:pPr>
      <w:r w:rsidRPr="00633339">
        <w:t>Met</w:t>
      </w:r>
    </w:p>
    <w:p w14:paraId="5621B9E0" w14:textId="168BD8E6" w:rsidR="002068C0" w:rsidRDefault="00633339" w:rsidP="00633339">
      <w:pPr>
        <w:pStyle w:val="ListParagraph"/>
        <w:numPr>
          <w:ilvl w:val="0"/>
          <w:numId w:val="155"/>
        </w:numPr>
      </w:pPr>
      <w:r w:rsidRPr="00633339">
        <w:t>Met</w:t>
      </w:r>
    </w:p>
    <w:p w14:paraId="66E49B0B" w14:textId="725E55BB" w:rsidR="002068C0" w:rsidRDefault="00200B81" w:rsidP="00633339">
      <w:pPr>
        <w:pStyle w:val="ListParagraph"/>
        <w:numPr>
          <w:ilvl w:val="0"/>
          <w:numId w:val="155"/>
        </w:numPr>
      </w:pPr>
      <w:r w:rsidRPr="00200B81">
        <w:t>N/A</w:t>
      </w:r>
    </w:p>
    <w:p w14:paraId="6B1CD893" w14:textId="0FD348CA" w:rsidR="002068C0" w:rsidRDefault="00200B81" w:rsidP="00633339">
      <w:pPr>
        <w:pStyle w:val="ListParagraph"/>
        <w:numPr>
          <w:ilvl w:val="0"/>
          <w:numId w:val="155"/>
        </w:numPr>
      </w:pPr>
      <w:r w:rsidRPr="00200B81">
        <w:t>N/A</w:t>
      </w:r>
    </w:p>
    <w:p w14:paraId="4CAD689A" w14:textId="77777777" w:rsidR="002068C0" w:rsidRPr="00617C76" w:rsidRDefault="002068C0" w:rsidP="002068C0">
      <w:pPr>
        <w:pStyle w:val="Heading5"/>
      </w:pPr>
      <w:r w:rsidRPr="00617C76">
        <w:t>Clause 32C:</w:t>
      </w:r>
    </w:p>
    <w:p w14:paraId="3392B6AF" w14:textId="51729524" w:rsidR="002068C0" w:rsidRDefault="00633339" w:rsidP="00633339">
      <w:pPr>
        <w:pStyle w:val="ListParagraph"/>
        <w:numPr>
          <w:ilvl w:val="0"/>
          <w:numId w:val="156"/>
        </w:numPr>
      </w:pPr>
      <w:r w:rsidRPr="00633339">
        <w:t>Met</w:t>
      </w:r>
    </w:p>
    <w:p w14:paraId="1E773024" w14:textId="7814603B" w:rsidR="002068C0" w:rsidRDefault="00633339" w:rsidP="00633339">
      <w:pPr>
        <w:pStyle w:val="ListParagraph"/>
        <w:numPr>
          <w:ilvl w:val="0"/>
          <w:numId w:val="156"/>
        </w:numPr>
      </w:pPr>
      <w:r w:rsidRPr="00633339">
        <w:t>Met</w:t>
      </w:r>
    </w:p>
    <w:p w14:paraId="5D7EA360" w14:textId="44F0B042" w:rsidR="002068C0" w:rsidRDefault="00633339" w:rsidP="00633339">
      <w:pPr>
        <w:pStyle w:val="ListParagraph"/>
        <w:numPr>
          <w:ilvl w:val="0"/>
          <w:numId w:val="156"/>
        </w:numPr>
      </w:pPr>
      <w:r w:rsidRPr="00633339">
        <w:t>Met</w:t>
      </w:r>
    </w:p>
    <w:p w14:paraId="5E4E92F5" w14:textId="4EAA6C57" w:rsidR="002068C0" w:rsidRDefault="00633339" w:rsidP="00633339">
      <w:pPr>
        <w:pStyle w:val="ListParagraph"/>
        <w:numPr>
          <w:ilvl w:val="0"/>
          <w:numId w:val="156"/>
        </w:numPr>
      </w:pPr>
      <w:r w:rsidRPr="00633339">
        <w:t>Met</w:t>
      </w:r>
    </w:p>
    <w:p w14:paraId="0768AF3A" w14:textId="6E3DBF48" w:rsidR="002068C0" w:rsidRDefault="00633339" w:rsidP="00633339">
      <w:pPr>
        <w:pStyle w:val="ListParagraph"/>
        <w:numPr>
          <w:ilvl w:val="0"/>
          <w:numId w:val="156"/>
        </w:numPr>
      </w:pPr>
      <w:r w:rsidRPr="00633339">
        <w:t>Met</w:t>
      </w:r>
    </w:p>
    <w:p w14:paraId="5616FEF7" w14:textId="6FC52D24" w:rsidR="002068C0" w:rsidRDefault="00B97B5E" w:rsidP="00633339">
      <w:pPr>
        <w:pStyle w:val="ListParagraph"/>
        <w:numPr>
          <w:ilvl w:val="0"/>
          <w:numId w:val="156"/>
        </w:numPr>
      </w:pPr>
      <w:r w:rsidRPr="00B97B5E">
        <w:t>Not met</w:t>
      </w:r>
    </w:p>
    <w:p w14:paraId="4B401ABA" w14:textId="6842E4C4" w:rsidR="002068C0" w:rsidRDefault="00633339" w:rsidP="00633339">
      <w:pPr>
        <w:pStyle w:val="ListParagraph"/>
        <w:numPr>
          <w:ilvl w:val="0"/>
          <w:numId w:val="156"/>
        </w:numPr>
      </w:pPr>
      <w:r w:rsidRPr="00633339">
        <w:t>Met</w:t>
      </w:r>
    </w:p>
    <w:p w14:paraId="754E38F8" w14:textId="77777777" w:rsidR="002068C0" w:rsidRPr="00617C76" w:rsidRDefault="002068C0" w:rsidP="002068C0">
      <w:pPr>
        <w:pStyle w:val="Heading5"/>
      </w:pPr>
      <w:r w:rsidRPr="00617C76">
        <w:t>Clause 33:</w:t>
      </w:r>
    </w:p>
    <w:p w14:paraId="54EC7568" w14:textId="3499FB61" w:rsidR="002068C0" w:rsidRDefault="00633339" w:rsidP="002068C0">
      <w:r w:rsidRPr="00633339">
        <w:t>Met</w:t>
      </w:r>
    </w:p>
    <w:p w14:paraId="0E61059B" w14:textId="77777777" w:rsidR="002068C0" w:rsidRDefault="002068C0" w:rsidP="002068C0">
      <w:pPr>
        <w:pStyle w:val="Heading4"/>
      </w:pPr>
      <w:r w:rsidRPr="00617C76">
        <w:t>Achievements over 2025</w:t>
      </w:r>
    </w:p>
    <w:p w14:paraId="3B20B139" w14:textId="1AAAD288" w:rsidR="002068C0" w:rsidRPr="003E2721" w:rsidRDefault="00464757" w:rsidP="002068C0">
      <w:r w:rsidRPr="00464757">
        <w:t>The key achievement for the PRG is the release of the National Strategy for Food Security in Remote Aboriginal and Torres Strait Islander Communities 2025</w:t>
      </w:r>
      <w:r w:rsidRPr="00464757">
        <w:noBreakHyphen/>
        <w:t>2035 (the Strategy) on 5 March 2025. With the publication of the Strategy, the group’s objectives have turned to considering partnership arrangements and implementation of the Strategy and related Action Plan. The PRG achieved its 50th meeting in August 2025.</w:t>
      </w:r>
    </w:p>
    <w:p w14:paraId="13842421" w14:textId="32D7AD15" w:rsidR="002068C0" w:rsidRDefault="009021AE" w:rsidP="002068C0">
      <w:pPr>
        <w:pStyle w:val="Heading3"/>
      </w:pPr>
      <w:bookmarkStart w:id="49" w:name="_Toc225506071"/>
      <w:r w:rsidRPr="009021AE">
        <w:lastRenderedPageBreak/>
        <w:t>Wreck Bay Aboriginal Community Council (WBACC) Housing Project</w:t>
      </w:r>
      <w:bookmarkEnd w:id="49"/>
    </w:p>
    <w:p w14:paraId="4F6ABE55" w14:textId="77777777" w:rsidR="002068C0" w:rsidRDefault="002068C0" w:rsidP="002068C0">
      <w:pPr>
        <w:pStyle w:val="Heading4"/>
      </w:pPr>
      <w:r w:rsidRPr="00617C76">
        <w:t>Partnership description</w:t>
      </w:r>
    </w:p>
    <w:p w14:paraId="4D14B37F" w14:textId="2B63641F" w:rsidR="002068C0" w:rsidRPr="00D9276C" w:rsidRDefault="00B97476" w:rsidP="002068C0">
      <w:r w:rsidRPr="00B97476">
        <w:t>The partnership is a commitment between WBACC and NIAA to support the major capital works program to rectify the disrepair of residential housing stock and to provide new housing where possible in Wreck Bay Village.</w:t>
      </w:r>
    </w:p>
    <w:p w14:paraId="2E36E934" w14:textId="77777777" w:rsidR="002068C0" w:rsidRDefault="002068C0" w:rsidP="002068C0">
      <w:pPr>
        <w:pStyle w:val="Heading4"/>
      </w:pPr>
      <w:r w:rsidRPr="00DF6278">
        <w:t>Aboriginal and Torres Strait Islander parties</w:t>
      </w:r>
    </w:p>
    <w:p w14:paraId="0B9D301C" w14:textId="44DA1A9C" w:rsidR="002068C0" w:rsidRPr="00B27ADE" w:rsidRDefault="006D14A4" w:rsidP="002068C0">
      <w:r w:rsidRPr="00B27ADE">
        <w:t>Wreck Bay Aboriginal Community Council (WBACC)</w:t>
      </w:r>
      <w:r w:rsidR="00E74174">
        <w:t xml:space="preserve"> (endorsing partner)</w:t>
      </w:r>
    </w:p>
    <w:p w14:paraId="284B48D6" w14:textId="77777777" w:rsidR="002068C0" w:rsidRPr="00617C76" w:rsidRDefault="002068C0" w:rsidP="002068C0">
      <w:pPr>
        <w:pStyle w:val="Heading4"/>
      </w:pPr>
      <w:r w:rsidRPr="00617C76">
        <w:t>Government parties</w:t>
      </w:r>
    </w:p>
    <w:p w14:paraId="6B360917" w14:textId="77777777" w:rsidR="002068C0" w:rsidRDefault="002068C0" w:rsidP="002068C0">
      <w:pPr>
        <w:pStyle w:val="Heading5"/>
      </w:pPr>
      <w:r w:rsidRPr="00115C74">
        <w:t xml:space="preserve">COMMONWEALTH PARTIES </w:t>
      </w:r>
    </w:p>
    <w:p w14:paraId="2D746B6C" w14:textId="52DC0E13" w:rsidR="009068C1" w:rsidRPr="00B27ADE" w:rsidRDefault="009068C1" w:rsidP="002068C0">
      <w:r w:rsidRPr="00B27ADE">
        <w:t>National Indigenous Australians Agency (NIAA)</w:t>
      </w:r>
      <w:r w:rsidR="00E74174">
        <w:t xml:space="preserve"> (endorsing partner)</w:t>
      </w:r>
      <w:r w:rsidRPr="00B27ADE">
        <w:t xml:space="preserve"> </w:t>
      </w:r>
    </w:p>
    <w:p w14:paraId="13079EE9" w14:textId="4D180493" w:rsidR="002068C0" w:rsidRPr="009068C1" w:rsidRDefault="0094275E" w:rsidP="002068C0">
      <w:r w:rsidRPr="009068C1">
        <w:t>Department of Infrastructure, Transport, Regional Development, Communication, Sport and the Arts (DITRDCSA)</w:t>
      </w:r>
    </w:p>
    <w:p w14:paraId="26680552" w14:textId="77777777" w:rsidR="002068C0" w:rsidRPr="00115C74" w:rsidRDefault="002068C0" w:rsidP="002068C0">
      <w:pPr>
        <w:pStyle w:val="Heading5"/>
      </w:pPr>
      <w:r w:rsidRPr="00115C74">
        <w:t xml:space="preserve">STATE AND TERRITORY PARTIES </w:t>
      </w:r>
    </w:p>
    <w:p w14:paraId="7FA0E8DC" w14:textId="77777777" w:rsidR="002068C0" w:rsidRPr="00617C76" w:rsidRDefault="002068C0" w:rsidP="002068C0">
      <w:r>
        <w:t>N/A</w:t>
      </w:r>
    </w:p>
    <w:p w14:paraId="5B124A77" w14:textId="77777777" w:rsidR="002068C0" w:rsidRPr="00617C76" w:rsidRDefault="002068C0" w:rsidP="002068C0">
      <w:pPr>
        <w:pStyle w:val="Heading4"/>
      </w:pPr>
      <w:r w:rsidRPr="00617C76">
        <w:t>Priority Reforms and Socio-economic Outcomes</w:t>
      </w:r>
    </w:p>
    <w:p w14:paraId="21F430C8" w14:textId="77777777" w:rsidR="00960FD4" w:rsidRDefault="00960FD4" w:rsidP="002068C0">
      <w:r w:rsidRPr="00960FD4">
        <w:t xml:space="preserve">Priority Reform 1 </w:t>
      </w:r>
    </w:p>
    <w:p w14:paraId="0F63B49B" w14:textId="77777777" w:rsidR="00960FD4" w:rsidRDefault="00960FD4" w:rsidP="002068C0">
      <w:r w:rsidRPr="00960FD4">
        <w:t xml:space="preserve">Priority Reform 2 </w:t>
      </w:r>
    </w:p>
    <w:p w14:paraId="4875CA7F" w14:textId="77777777" w:rsidR="00960FD4" w:rsidRDefault="00960FD4" w:rsidP="002068C0">
      <w:r w:rsidRPr="00960FD4">
        <w:t xml:space="preserve">Priority Reform 3 </w:t>
      </w:r>
    </w:p>
    <w:p w14:paraId="3FA2B853" w14:textId="77777777" w:rsidR="00960FD4" w:rsidRDefault="00960FD4" w:rsidP="002068C0">
      <w:r w:rsidRPr="00960FD4">
        <w:t xml:space="preserve">Priority Reform 4 </w:t>
      </w:r>
    </w:p>
    <w:p w14:paraId="1299B88E" w14:textId="77777777" w:rsidR="00960FD4" w:rsidRDefault="00960FD4" w:rsidP="002068C0">
      <w:r w:rsidRPr="00960FD4">
        <w:t xml:space="preserve">Outcome 7 </w:t>
      </w:r>
    </w:p>
    <w:p w14:paraId="62AE4D69" w14:textId="77777777" w:rsidR="00960FD4" w:rsidRDefault="00960FD4" w:rsidP="002068C0">
      <w:r w:rsidRPr="00960FD4">
        <w:t xml:space="preserve">Outcome 8 </w:t>
      </w:r>
    </w:p>
    <w:p w14:paraId="540C35AD" w14:textId="77777777" w:rsidR="00960FD4" w:rsidRDefault="00960FD4" w:rsidP="002068C0">
      <w:r w:rsidRPr="00960FD4">
        <w:t xml:space="preserve">Outcome 9 </w:t>
      </w:r>
    </w:p>
    <w:p w14:paraId="484E9A78" w14:textId="77777777" w:rsidR="00960FD4" w:rsidRDefault="00960FD4" w:rsidP="002068C0">
      <w:r w:rsidRPr="00960FD4">
        <w:t xml:space="preserve">Outcome 13 </w:t>
      </w:r>
    </w:p>
    <w:p w14:paraId="3A3B574F" w14:textId="77777777" w:rsidR="00960FD4" w:rsidRDefault="00960FD4" w:rsidP="002068C0">
      <w:r w:rsidRPr="00960FD4">
        <w:t xml:space="preserve">Outcome 14 </w:t>
      </w:r>
    </w:p>
    <w:p w14:paraId="67BF8B86" w14:textId="0A88B95A" w:rsidR="002068C0" w:rsidRPr="007C35F3" w:rsidRDefault="00960FD4" w:rsidP="002068C0">
      <w:r w:rsidRPr="00960FD4">
        <w:t>Outcome 17</w:t>
      </w:r>
    </w:p>
    <w:p w14:paraId="3A587AC8" w14:textId="77777777" w:rsidR="002068C0" w:rsidRPr="00617C76" w:rsidRDefault="002068C0" w:rsidP="002068C0">
      <w:pPr>
        <w:pStyle w:val="Heading4"/>
      </w:pPr>
      <w:r w:rsidRPr="00617C76">
        <w:t>Partnership function</w:t>
      </w:r>
    </w:p>
    <w:p w14:paraId="01721769" w14:textId="77777777" w:rsidR="00F75144" w:rsidRDefault="00F75144" w:rsidP="002068C0">
      <w:r w:rsidRPr="00F75144">
        <w:t xml:space="preserve">Policy </w:t>
      </w:r>
    </w:p>
    <w:p w14:paraId="337F2791" w14:textId="77777777" w:rsidR="00F75144" w:rsidRDefault="00F75144" w:rsidP="002068C0">
      <w:r w:rsidRPr="00F75144">
        <w:t>Place</w:t>
      </w:r>
      <w:r w:rsidRPr="00F75144">
        <w:noBreakHyphen/>
        <w:t xml:space="preserve">based </w:t>
      </w:r>
    </w:p>
    <w:p w14:paraId="6F6B2218" w14:textId="10F8CA8C" w:rsidR="002068C0" w:rsidRPr="00617C76" w:rsidRDefault="00F75144" w:rsidP="002068C0">
      <w:r w:rsidRPr="00F75144">
        <w:t>Other</w:t>
      </w:r>
    </w:p>
    <w:p w14:paraId="7C07F1F2" w14:textId="77777777" w:rsidR="002068C0" w:rsidRPr="00617C76" w:rsidRDefault="002068C0" w:rsidP="002068C0">
      <w:pPr>
        <w:pStyle w:val="Heading4"/>
      </w:pPr>
      <w:r w:rsidRPr="00617C76">
        <w:t>Partnership timeframe</w:t>
      </w:r>
    </w:p>
    <w:p w14:paraId="57D9BB3C" w14:textId="3D45D584" w:rsidR="002068C0" w:rsidRPr="00617C76" w:rsidRDefault="000754B8" w:rsidP="002068C0">
      <w:r w:rsidRPr="000754B8">
        <w:t>2024 to 2032</w:t>
      </w:r>
    </w:p>
    <w:p w14:paraId="56F0E368" w14:textId="77777777" w:rsidR="002068C0" w:rsidRDefault="002068C0" w:rsidP="002068C0">
      <w:pPr>
        <w:pStyle w:val="Heading4"/>
      </w:pPr>
      <w:r w:rsidRPr="00617C76">
        <w:t>Actions taken to strengthen the partnership in 2025</w:t>
      </w:r>
    </w:p>
    <w:p w14:paraId="6C1F0420" w14:textId="77777777" w:rsidR="005246A8" w:rsidRDefault="005246A8" w:rsidP="002068C0">
      <w:r w:rsidRPr="005246A8">
        <w:t>WBACC’s partnership with NIAA has remained strong and is based on trust and transparency. The voice, experience and cultural knowledge of WBACC is acknowledged as core to decision</w:t>
      </w:r>
      <w:r w:rsidRPr="005246A8">
        <w:noBreakHyphen/>
        <w:t xml:space="preserve">making with support and professional advice given when asked. Respect for culture and community underpins the partnership. The </w:t>
      </w:r>
      <w:r w:rsidRPr="005246A8">
        <w:lastRenderedPageBreak/>
        <w:t>partnership continues to focus on collective support and shared goals, guided by WBACC’s aspiration for self</w:t>
      </w:r>
      <w:r w:rsidRPr="005246A8">
        <w:noBreakHyphen/>
        <w:t xml:space="preserve">determination. </w:t>
      </w:r>
    </w:p>
    <w:p w14:paraId="7250FB39" w14:textId="77B1693B" w:rsidR="002068C0" w:rsidRPr="00D9276C" w:rsidRDefault="005246A8" w:rsidP="002068C0">
      <w:r w:rsidRPr="005246A8">
        <w:t>In 2025 the partnership agreed its Terms of Reference and has been working towards a formal partnership agreement.</w:t>
      </w:r>
    </w:p>
    <w:p w14:paraId="27C2AFDF" w14:textId="77777777" w:rsidR="002068C0" w:rsidRPr="00617C76" w:rsidRDefault="002068C0" w:rsidP="002068C0">
      <w:pPr>
        <w:pStyle w:val="Heading4"/>
      </w:pPr>
      <w:r w:rsidRPr="00617C76">
        <w:t>Strong partnership indicators</w:t>
      </w:r>
    </w:p>
    <w:p w14:paraId="72E1C2B8" w14:textId="77777777" w:rsidR="002068C0" w:rsidRPr="00617C76" w:rsidRDefault="002068C0" w:rsidP="002068C0">
      <w:pPr>
        <w:pStyle w:val="Heading5"/>
      </w:pPr>
      <w:r w:rsidRPr="00617C76">
        <w:t>Clause 32A:</w:t>
      </w:r>
    </w:p>
    <w:p w14:paraId="59F7FC56" w14:textId="474937AF" w:rsidR="002068C0" w:rsidRDefault="0032604A" w:rsidP="0032604A">
      <w:pPr>
        <w:pStyle w:val="ListParagraph"/>
        <w:numPr>
          <w:ilvl w:val="0"/>
          <w:numId w:val="157"/>
        </w:numPr>
      </w:pPr>
      <w:r w:rsidRPr="0032604A">
        <w:t>Met</w:t>
      </w:r>
    </w:p>
    <w:p w14:paraId="199853E0" w14:textId="6D7F3C79" w:rsidR="002068C0" w:rsidRDefault="0032604A" w:rsidP="0032604A">
      <w:pPr>
        <w:pStyle w:val="ListParagraph"/>
        <w:numPr>
          <w:ilvl w:val="0"/>
          <w:numId w:val="157"/>
        </w:numPr>
      </w:pPr>
      <w:r w:rsidRPr="0032604A">
        <w:t>Met</w:t>
      </w:r>
    </w:p>
    <w:p w14:paraId="03D669AF" w14:textId="5A4B6AF1" w:rsidR="002068C0" w:rsidRDefault="0032604A" w:rsidP="0032604A">
      <w:pPr>
        <w:pStyle w:val="ListParagraph"/>
        <w:numPr>
          <w:ilvl w:val="0"/>
          <w:numId w:val="157"/>
        </w:numPr>
      </w:pPr>
      <w:r w:rsidRPr="0032604A">
        <w:t>Met</w:t>
      </w:r>
    </w:p>
    <w:p w14:paraId="53A0FF9E" w14:textId="77777777" w:rsidR="002068C0" w:rsidRPr="00617C76" w:rsidRDefault="002068C0" w:rsidP="002068C0">
      <w:pPr>
        <w:pStyle w:val="Heading5"/>
      </w:pPr>
      <w:r w:rsidRPr="00617C76">
        <w:t>Clause 32B:</w:t>
      </w:r>
    </w:p>
    <w:p w14:paraId="627B2E35" w14:textId="419E0E1F" w:rsidR="002068C0" w:rsidRDefault="00C97A7A" w:rsidP="0032604A">
      <w:pPr>
        <w:pStyle w:val="ListParagraph"/>
        <w:numPr>
          <w:ilvl w:val="0"/>
          <w:numId w:val="158"/>
        </w:numPr>
      </w:pPr>
      <w:r w:rsidRPr="00C97A7A">
        <w:t>Not met</w:t>
      </w:r>
    </w:p>
    <w:p w14:paraId="2AA890FB" w14:textId="1D2C9A41" w:rsidR="002068C0" w:rsidRDefault="00C97A7A" w:rsidP="0032604A">
      <w:pPr>
        <w:pStyle w:val="ListParagraph"/>
        <w:numPr>
          <w:ilvl w:val="0"/>
          <w:numId w:val="158"/>
        </w:numPr>
      </w:pPr>
      <w:r w:rsidRPr="00C97A7A">
        <w:t>Not met</w:t>
      </w:r>
    </w:p>
    <w:p w14:paraId="1FCEABFA" w14:textId="7AE9EEBA" w:rsidR="002068C0" w:rsidRDefault="00C97A7A" w:rsidP="0032604A">
      <w:pPr>
        <w:pStyle w:val="ListParagraph"/>
        <w:numPr>
          <w:ilvl w:val="0"/>
          <w:numId w:val="158"/>
        </w:numPr>
      </w:pPr>
      <w:r w:rsidRPr="00C97A7A">
        <w:t>Not met</w:t>
      </w:r>
    </w:p>
    <w:p w14:paraId="56A85189" w14:textId="10EA69E7" w:rsidR="002068C0" w:rsidRDefault="0037577D" w:rsidP="0032604A">
      <w:pPr>
        <w:pStyle w:val="ListParagraph"/>
        <w:numPr>
          <w:ilvl w:val="0"/>
          <w:numId w:val="158"/>
        </w:numPr>
      </w:pPr>
      <w:r w:rsidRPr="0037577D">
        <w:t>N/A</w:t>
      </w:r>
    </w:p>
    <w:p w14:paraId="124CEC0F" w14:textId="77777777" w:rsidR="002068C0" w:rsidRPr="00617C76" w:rsidRDefault="002068C0" w:rsidP="002068C0">
      <w:pPr>
        <w:pStyle w:val="Heading5"/>
      </w:pPr>
      <w:r w:rsidRPr="00617C76">
        <w:t>Clause 32C:</w:t>
      </w:r>
    </w:p>
    <w:p w14:paraId="2C08B585" w14:textId="67986A23" w:rsidR="002068C0" w:rsidRDefault="0032604A" w:rsidP="0032604A">
      <w:pPr>
        <w:pStyle w:val="ListParagraph"/>
        <w:numPr>
          <w:ilvl w:val="0"/>
          <w:numId w:val="159"/>
        </w:numPr>
      </w:pPr>
      <w:r w:rsidRPr="0032604A">
        <w:t>Met</w:t>
      </w:r>
    </w:p>
    <w:p w14:paraId="65288063" w14:textId="2B6AEE56" w:rsidR="002068C0" w:rsidRDefault="0032604A" w:rsidP="0032604A">
      <w:pPr>
        <w:pStyle w:val="ListParagraph"/>
        <w:numPr>
          <w:ilvl w:val="0"/>
          <w:numId w:val="159"/>
        </w:numPr>
      </w:pPr>
      <w:r w:rsidRPr="0032604A">
        <w:t>Met</w:t>
      </w:r>
    </w:p>
    <w:p w14:paraId="5DD24455" w14:textId="0DA53CFE" w:rsidR="002068C0" w:rsidRDefault="0032604A" w:rsidP="0032604A">
      <w:pPr>
        <w:pStyle w:val="ListParagraph"/>
        <w:numPr>
          <w:ilvl w:val="0"/>
          <w:numId w:val="159"/>
        </w:numPr>
      </w:pPr>
      <w:r w:rsidRPr="0032604A">
        <w:t>Met</w:t>
      </w:r>
    </w:p>
    <w:p w14:paraId="66946012" w14:textId="250B4DB8" w:rsidR="002068C0" w:rsidRDefault="0032604A" w:rsidP="0032604A">
      <w:pPr>
        <w:pStyle w:val="ListParagraph"/>
        <w:numPr>
          <w:ilvl w:val="0"/>
          <w:numId w:val="159"/>
        </w:numPr>
      </w:pPr>
      <w:r w:rsidRPr="0032604A">
        <w:t>Met</w:t>
      </w:r>
    </w:p>
    <w:p w14:paraId="653681A8" w14:textId="258C6C7E" w:rsidR="002068C0" w:rsidRDefault="0032604A" w:rsidP="0032604A">
      <w:pPr>
        <w:pStyle w:val="ListParagraph"/>
        <w:numPr>
          <w:ilvl w:val="0"/>
          <w:numId w:val="159"/>
        </w:numPr>
      </w:pPr>
      <w:r w:rsidRPr="0032604A">
        <w:t>Met</w:t>
      </w:r>
    </w:p>
    <w:p w14:paraId="7718F22E" w14:textId="44A57E8C" w:rsidR="002068C0" w:rsidRDefault="0032604A" w:rsidP="0032604A">
      <w:pPr>
        <w:pStyle w:val="ListParagraph"/>
        <w:numPr>
          <w:ilvl w:val="0"/>
          <w:numId w:val="159"/>
        </w:numPr>
      </w:pPr>
      <w:r w:rsidRPr="0032604A">
        <w:t>Met</w:t>
      </w:r>
    </w:p>
    <w:p w14:paraId="130FBAFC" w14:textId="11B60495" w:rsidR="002068C0" w:rsidRDefault="00C97A7A" w:rsidP="0032604A">
      <w:pPr>
        <w:pStyle w:val="ListParagraph"/>
        <w:numPr>
          <w:ilvl w:val="0"/>
          <w:numId w:val="159"/>
        </w:numPr>
      </w:pPr>
      <w:r w:rsidRPr="00C97A7A">
        <w:t>Not met</w:t>
      </w:r>
    </w:p>
    <w:p w14:paraId="5D851B27" w14:textId="77777777" w:rsidR="002068C0" w:rsidRPr="00617C76" w:rsidRDefault="002068C0" w:rsidP="002068C0">
      <w:pPr>
        <w:pStyle w:val="Heading5"/>
      </w:pPr>
      <w:r w:rsidRPr="00617C76">
        <w:t>Clause 33:</w:t>
      </w:r>
    </w:p>
    <w:p w14:paraId="566F9D8E" w14:textId="41BF29DF" w:rsidR="002068C0" w:rsidRDefault="0032604A" w:rsidP="002068C0">
      <w:r w:rsidRPr="0032604A">
        <w:t>Met</w:t>
      </w:r>
    </w:p>
    <w:p w14:paraId="12FC2A21" w14:textId="77777777" w:rsidR="002068C0" w:rsidRDefault="002068C0" w:rsidP="002068C0">
      <w:pPr>
        <w:pStyle w:val="Heading4"/>
      </w:pPr>
      <w:r w:rsidRPr="00617C76">
        <w:t>Achievements over 2025</w:t>
      </w:r>
    </w:p>
    <w:p w14:paraId="6EE8E9C9" w14:textId="6E5C23FD" w:rsidR="002068C0" w:rsidRPr="003E2721" w:rsidRDefault="00D021C9" w:rsidP="002068C0">
      <w:r w:rsidRPr="00D021C9">
        <w:t>The partnership established an Executive Steering Committee to ensure shared decision</w:t>
      </w:r>
      <w:r w:rsidRPr="00D021C9">
        <w:noBreakHyphen/>
        <w:t>making in delivery of the Sustainable Housing Plan for WBACC members. The partnership provided guidance and support in procuring expertise to inform the Public Works Committee submissions for approval of major capital works and implementation of the Sustainable Housing Plan for Wreck Bay. It also gave strategic advice to establish the legal framework on which opportunities for homeownership style leases may be offered and sustainable housing stock ensured. The partnership will continue this work in 2026.</w:t>
      </w:r>
    </w:p>
    <w:p w14:paraId="4F576752" w14:textId="0EFC6611" w:rsidR="002068C0" w:rsidRDefault="00D02461" w:rsidP="002068C0">
      <w:pPr>
        <w:pStyle w:val="Heading3"/>
      </w:pPr>
      <w:bookmarkStart w:id="50" w:name="_Toc225506072"/>
      <w:r w:rsidRPr="00D02461">
        <w:t>First Nations Economic Partnership</w:t>
      </w:r>
      <w:bookmarkEnd w:id="50"/>
    </w:p>
    <w:p w14:paraId="67239FDC" w14:textId="77777777" w:rsidR="002068C0" w:rsidRDefault="002068C0" w:rsidP="002068C0">
      <w:pPr>
        <w:pStyle w:val="Heading4"/>
      </w:pPr>
      <w:r w:rsidRPr="00617C76">
        <w:t>Partnership description</w:t>
      </w:r>
    </w:p>
    <w:p w14:paraId="0FE7259C" w14:textId="77777777" w:rsidR="007454D9" w:rsidRDefault="007454D9" w:rsidP="002068C0">
      <w:r w:rsidRPr="007454D9">
        <w:t xml:space="preserve">The purpose of the First Nations Economic Partnership is to advance the economic empowerment and lasting economic security of First Nations peoples, communities and organisations. </w:t>
      </w:r>
    </w:p>
    <w:p w14:paraId="5CB8AA6A" w14:textId="0FD595F9" w:rsidR="002068C0" w:rsidRPr="00D9276C" w:rsidRDefault="007454D9" w:rsidP="002068C0">
      <w:r w:rsidRPr="007454D9">
        <w:t>The Economic Partnership establishes a mechanism for the partners to share in decisions about reforms to First Nations’ economic policy, built around the strong partnership elements under Priority Reform One of the National Agreement, and supports increased productivity and economic growth.</w:t>
      </w:r>
    </w:p>
    <w:p w14:paraId="336E8923" w14:textId="77777777" w:rsidR="002068C0" w:rsidRDefault="002068C0" w:rsidP="002068C0">
      <w:pPr>
        <w:pStyle w:val="Heading4"/>
      </w:pPr>
      <w:r w:rsidRPr="00DF6278">
        <w:t>Aboriginal and Torres Strait Islander parties</w:t>
      </w:r>
    </w:p>
    <w:p w14:paraId="6FB7737B" w14:textId="1BF794A9" w:rsidR="00811DDD" w:rsidRPr="00B27ADE" w:rsidRDefault="00811DDD" w:rsidP="002068C0">
      <w:r w:rsidRPr="00B27ADE">
        <w:t>Coalition of Aboriginal and Torres Strait Islander Community</w:t>
      </w:r>
      <w:r w:rsidRPr="00B27ADE">
        <w:noBreakHyphen/>
        <w:t xml:space="preserve">Controlled Peak Organisations (Coalition of Peaks) </w:t>
      </w:r>
      <w:r w:rsidR="00FA1172">
        <w:t>(endorsing partner)</w:t>
      </w:r>
    </w:p>
    <w:p w14:paraId="328FDB62" w14:textId="37CFBA5D" w:rsidR="002068C0" w:rsidRPr="00B27ADE" w:rsidRDefault="00811DDD" w:rsidP="002068C0">
      <w:r w:rsidRPr="00B27ADE">
        <w:lastRenderedPageBreak/>
        <w:t>First Nations Economic Empowerment Alliance</w:t>
      </w:r>
      <w:r w:rsidR="00FA1172">
        <w:t xml:space="preserve"> (endorsing partner)</w:t>
      </w:r>
    </w:p>
    <w:p w14:paraId="53E00602" w14:textId="77777777" w:rsidR="002068C0" w:rsidRPr="00617C76" w:rsidRDefault="002068C0" w:rsidP="002068C0">
      <w:pPr>
        <w:pStyle w:val="Heading4"/>
      </w:pPr>
      <w:r w:rsidRPr="00617C76">
        <w:t>Government parties</w:t>
      </w:r>
    </w:p>
    <w:p w14:paraId="54535889" w14:textId="77777777" w:rsidR="002068C0" w:rsidRDefault="002068C0" w:rsidP="002068C0">
      <w:pPr>
        <w:pStyle w:val="Heading5"/>
      </w:pPr>
      <w:r w:rsidRPr="00115C74">
        <w:t xml:space="preserve">COMMONWEALTH PARTIES </w:t>
      </w:r>
    </w:p>
    <w:p w14:paraId="1C78697F" w14:textId="291C066B" w:rsidR="002068C0" w:rsidRPr="00B27ADE" w:rsidRDefault="00860BFF" w:rsidP="002068C0">
      <w:r w:rsidRPr="00B27ADE">
        <w:t>The Treasury</w:t>
      </w:r>
      <w:r w:rsidR="00FA1172">
        <w:t xml:space="preserve"> (endorsing partner)</w:t>
      </w:r>
    </w:p>
    <w:p w14:paraId="74D27105" w14:textId="77777777" w:rsidR="00066309" w:rsidRDefault="00066309" w:rsidP="002068C0">
      <w:r w:rsidRPr="00066309">
        <w:t xml:space="preserve">Department of the Prime Minister and Cabinet </w:t>
      </w:r>
    </w:p>
    <w:p w14:paraId="3BEC87A7" w14:textId="69EE44CE" w:rsidR="00860BFF" w:rsidRPr="00860BFF" w:rsidRDefault="00066309" w:rsidP="002068C0">
      <w:r w:rsidRPr="00066309">
        <w:t>National Indigenous Australians Agency (NIAA)</w:t>
      </w:r>
    </w:p>
    <w:p w14:paraId="5273EBED" w14:textId="77777777" w:rsidR="002068C0" w:rsidRPr="00115C74" w:rsidRDefault="002068C0" w:rsidP="002068C0">
      <w:pPr>
        <w:pStyle w:val="Heading5"/>
      </w:pPr>
      <w:r w:rsidRPr="00115C74">
        <w:t xml:space="preserve">STATE AND TERRITORY PARTIES </w:t>
      </w:r>
    </w:p>
    <w:p w14:paraId="442EC52E" w14:textId="77777777" w:rsidR="002068C0" w:rsidRPr="00617C76" w:rsidRDefault="002068C0" w:rsidP="002068C0">
      <w:r>
        <w:t>N/A</w:t>
      </w:r>
    </w:p>
    <w:p w14:paraId="514F46A2" w14:textId="77777777" w:rsidR="002068C0" w:rsidRPr="00617C76" w:rsidRDefault="002068C0" w:rsidP="002068C0">
      <w:pPr>
        <w:pStyle w:val="Heading4"/>
      </w:pPr>
      <w:r w:rsidRPr="00617C76">
        <w:t>Priority Reforms and Socio-economic Outcomes</w:t>
      </w:r>
    </w:p>
    <w:p w14:paraId="33BBF633" w14:textId="77777777" w:rsidR="00563188" w:rsidRPr="00563188" w:rsidRDefault="00563188" w:rsidP="00563188">
      <w:r w:rsidRPr="00563188">
        <w:t xml:space="preserve">Priority Reform 1 </w:t>
      </w:r>
    </w:p>
    <w:p w14:paraId="4CE0DA31" w14:textId="77777777" w:rsidR="00563188" w:rsidRPr="00563188" w:rsidRDefault="00563188" w:rsidP="00563188">
      <w:r w:rsidRPr="00563188">
        <w:t xml:space="preserve">Priority Reform 2 </w:t>
      </w:r>
    </w:p>
    <w:p w14:paraId="691F7792" w14:textId="77777777" w:rsidR="00563188" w:rsidRPr="00563188" w:rsidRDefault="00563188" w:rsidP="00563188">
      <w:r w:rsidRPr="00563188">
        <w:t xml:space="preserve">Priority Reform 3 </w:t>
      </w:r>
    </w:p>
    <w:p w14:paraId="773AF9D9" w14:textId="77777777" w:rsidR="00563188" w:rsidRPr="00563188" w:rsidRDefault="00563188" w:rsidP="00563188">
      <w:r w:rsidRPr="00563188">
        <w:t xml:space="preserve">Priority Reform 4 </w:t>
      </w:r>
    </w:p>
    <w:p w14:paraId="2C8FE38F" w14:textId="77777777" w:rsidR="00563188" w:rsidRPr="00563188" w:rsidRDefault="00563188" w:rsidP="00563188">
      <w:r w:rsidRPr="00563188">
        <w:t xml:space="preserve">Outcome 7 </w:t>
      </w:r>
    </w:p>
    <w:p w14:paraId="2719A3D1" w14:textId="77777777" w:rsidR="00563188" w:rsidRPr="00563188" w:rsidRDefault="00563188" w:rsidP="00563188">
      <w:r w:rsidRPr="00563188">
        <w:t xml:space="preserve">Outcome 8 </w:t>
      </w:r>
    </w:p>
    <w:p w14:paraId="69559548" w14:textId="1DAE4B9D" w:rsidR="002068C0" w:rsidRPr="007C35F3" w:rsidRDefault="00563188" w:rsidP="002068C0">
      <w:r w:rsidRPr="00563188">
        <w:t>Outcome 15</w:t>
      </w:r>
    </w:p>
    <w:p w14:paraId="134CE298" w14:textId="77777777" w:rsidR="002068C0" w:rsidRPr="00617C76" w:rsidRDefault="002068C0" w:rsidP="002068C0">
      <w:pPr>
        <w:pStyle w:val="Heading4"/>
      </w:pPr>
      <w:r w:rsidRPr="00617C76">
        <w:t>Partnership function</w:t>
      </w:r>
    </w:p>
    <w:p w14:paraId="079DA93B" w14:textId="72985E19" w:rsidR="002068C0" w:rsidRPr="00617C76" w:rsidRDefault="0032337A" w:rsidP="002068C0">
      <w:r w:rsidRPr="0032337A">
        <w:t>Policy</w:t>
      </w:r>
    </w:p>
    <w:p w14:paraId="4671DEE7" w14:textId="77777777" w:rsidR="002068C0" w:rsidRPr="00617C76" w:rsidRDefault="002068C0" w:rsidP="002068C0">
      <w:pPr>
        <w:pStyle w:val="Heading4"/>
      </w:pPr>
      <w:r w:rsidRPr="00617C76">
        <w:t>Partnership timeframe</w:t>
      </w:r>
    </w:p>
    <w:p w14:paraId="19810CAD" w14:textId="1CC032B3" w:rsidR="002068C0" w:rsidRPr="00617C76" w:rsidRDefault="003B518F" w:rsidP="002068C0">
      <w:r w:rsidRPr="003B518F">
        <w:t>29 September 2025 to 30 June 2030</w:t>
      </w:r>
    </w:p>
    <w:p w14:paraId="06D00AA3" w14:textId="77777777" w:rsidR="002068C0" w:rsidRDefault="002068C0" w:rsidP="002068C0">
      <w:pPr>
        <w:pStyle w:val="Heading4"/>
      </w:pPr>
      <w:r w:rsidRPr="00617C76">
        <w:t>Actions taken to strengthen the partnership in 2025</w:t>
      </w:r>
    </w:p>
    <w:p w14:paraId="7634D51F" w14:textId="723A6F2B" w:rsidR="002068C0" w:rsidRPr="00D9276C" w:rsidRDefault="00645929" w:rsidP="002068C0">
      <w:r w:rsidRPr="00645929">
        <w:t>The First Nations Economic Partnership was formally established on 29 September 2025 and has been in its foundational phase during the review period. While it has not yet entered a “strengthening” phase, the Partnership Agreement embeds strong partnership elements from the outset, including consensus</w:t>
      </w:r>
      <w:r w:rsidRPr="00645929">
        <w:noBreakHyphen/>
        <w:t>based decision</w:t>
      </w:r>
      <w:r w:rsidRPr="00645929">
        <w:noBreakHyphen/>
        <w:t>making, majority First Nations representation, transparent governance and inclusive engagement with diverse First Nations stakeholders. The governance framework reflects principles of accountability, representation and respect for self</w:t>
      </w:r>
      <w:r w:rsidRPr="00645929">
        <w:noBreakHyphen/>
        <w:t>determination. 2 independent reviews, including a mid</w:t>
      </w:r>
      <w:r w:rsidRPr="00645929">
        <w:noBreakHyphen/>
        <w:t>phase review, are planned to guide future strengthening. Regular updates will track achievements, engagement and continuous improvement aligned with the National Agreement.</w:t>
      </w:r>
    </w:p>
    <w:p w14:paraId="63E0F228" w14:textId="77777777" w:rsidR="002068C0" w:rsidRPr="00617C76" w:rsidRDefault="002068C0" w:rsidP="002068C0">
      <w:pPr>
        <w:pStyle w:val="Heading4"/>
      </w:pPr>
      <w:r w:rsidRPr="00617C76">
        <w:t>Strong partnership indicators</w:t>
      </w:r>
    </w:p>
    <w:p w14:paraId="47B6D7F3" w14:textId="77777777" w:rsidR="002068C0" w:rsidRPr="00617C76" w:rsidRDefault="002068C0" w:rsidP="002068C0">
      <w:pPr>
        <w:pStyle w:val="Heading5"/>
      </w:pPr>
      <w:r w:rsidRPr="00617C76">
        <w:t>Clause 32A:</w:t>
      </w:r>
    </w:p>
    <w:p w14:paraId="4C8762F0" w14:textId="78818601" w:rsidR="002068C0" w:rsidRDefault="00011B73" w:rsidP="00011B73">
      <w:pPr>
        <w:pStyle w:val="ListParagraph"/>
        <w:numPr>
          <w:ilvl w:val="0"/>
          <w:numId w:val="160"/>
        </w:numPr>
      </w:pPr>
      <w:r w:rsidRPr="00011B73">
        <w:t>Met</w:t>
      </w:r>
    </w:p>
    <w:p w14:paraId="00EB6CFB" w14:textId="3B7F969D" w:rsidR="002068C0" w:rsidRDefault="00011B73" w:rsidP="00011B73">
      <w:pPr>
        <w:pStyle w:val="ListParagraph"/>
        <w:numPr>
          <w:ilvl w:val="0"/>
          <w:numId w:val="160"/>
        </w:numPr>
      </w:pPr>
      <w:r w:rsidRPr="00011B73">
        <w:t>Met</w:t>
      </w:r>
    </w:p>
    <w:p w14:paraId="62C079DA" w14:textId="3473E885" w:rsidR="002068C0" w:rsidRDefault="00011B73" w:rsidP="00011B73">
      <w:pPr>
        <w:pStyle w:val="ListParagraph"/>
        <w:numPr>
          <w:ilvl w:val="0"/>
          <w:numId w:val="160"/>
        </w:numPr>
      </w:pPr>
      <w:r w:rsidRPr="00011B73">
        <w:t>Met</w:t>
      </w:r>
    </w:p>
    <w:p w14:paraId="0D0F8188" w14:textId="77777777" w:rsidR="002068C0" w:rsidRPr="00617C76" w:rsidRDefault="002068C0" w:rsidP="002068C0">
      <w:pPr>
        <w:pStyle w:val="Heading5"/>
      </w:pPr>
      <w:r w:rsidRPr="00617C76">
        <w:t>Clause 32B:</w:t>
      </w:r>
    </w:p>
    <w:p w14:paraId="26E8FB7A" w14:textId="3548144B" w:rsidR="002068C0" w:rsidRDefault="00011B73" w:rsidP="00011B73">
      <w:pPr>
        <w:pStyle w:val="ListParagraph"/>
        <w:numPr>
          <w:ilvl w:val="0"/>
          <w:numId w:val="161"/>
        </w:numPr>
      </w:pPr>
      <w:r w:rsidRPr="00011B73">
        <w:t>Met</w:t>
      </w:r>
    </w:p>
    <w:p w14:paraId="53042C38" w14:textId="030B829B" w:rsidR="002068C0" w:rsidRDefault="00011B73" w:rsidP="00011B73">
      <w:pPr>
        <w:pStyle w:val="ListParagraph"/>
        <w:numPr>
          <w:ilvl w:val="0"/>
          <w:numId w:val="161"/>
        </w:numPr>
      </w:pPr>
      <w:r w:rsidRPr="00011B73">
        <w:t>Met</w:t>
      </w:r>
    </w:p>
    <w:p w14:paraId="62214352" w14:textId="6B85A182" w:rsidR="002068C0" w:rsidRDefault="00011B73" w:rsidP="00011B73">
      <w:pPr>
        <w:pStyle w:val="ListParagraph"/>
        <w:numPr>
          <w:ilvl w:val="0"/>
          <w:numId w:val="161"/>
        </w:numPr>
      </w:pPr>
      <w:r w:rsidRPr="00011B73">
        <w:t>Met</w:t>
      </w:r>
    </w:p>
    <w:p w14:paraId="31209EF8" w14:textId="29BC5D4F" w:rsidR="002068C0" w:rsidRDefault="002D5417" w:rsidP="00011B73">
      <w:pPr>
        <w:pStyle w:val="ListParagraph"/>
        <w:numPr>
          <w:ilvl w:val="0"/>
          <w:numId w:val="161"/>
        </w:numPr>
      </w:pPr>
      <w:r w:rsidRPr="002D5417">
        <w:lastRenderedPageBreak/>
        <w:t>N/A</w:t>
      </w:r>
    </w:p>
    <w:p w14:paraId="4B7F6570" w14:textId="77777777" w:rsidR="002068C0" w:rsidRPr="00617C76" w:rsidRDefault="002068C0" w:rsidP="002068C0">
      <w:pPr>
        <w:pStyle w:val="Heading5"/>
      </w:pPr>
      <w:r w:rsidRPr="00617C76">
        <w:t>Clause 32C:</w:t>
      </w:r>
    </w:p>
    <w:p w14:paraId="71634F41" w14:textId="29E226AE" w:rsidR="002068C0" w:rsidRDefault="00011B73" w:rsidP="00011B73">
      <w:pPr>
        <w:pStyle w:val="ListParagraph"/>
        <w:numPr>
          <w:ilvl w:val="0"/>
          <w:numId w:val="162"/>
        </w:numPr>
      </w:pPr>
      <w:r w:rsidRPr="00011B73">
        <w:t>Met</w:t>
      </w:r>
    </w:p>
    <w:p w14:paraId="09E45B17" w14:textId="12EC0B2E" w:rsidR="002068C0" w:rsidRDefault="00011B73" w:rsidP="00011B73">
      <w:pPr>
        <w:pStyle w:val="ListParagraph"/>
        <w:numPr>
          <w:ilvl w:val="0"/>
          <w:numId w:val="162"/>
        </w:numPr>
      </w:pPr>
      <w:r w:rsidRPr="00011B73">
        <w:t>Met</w:t>
      </w:r>
    </w:p>
    <w:p w14:paraId="1887392E" w14:textId="08B8B804" w:rsidR="002068C0" w:rsidRDefault="00011B73" w:rsidP="00011B73">
      <w:pPr>
        <w:pStyle w:val="ListParagraph"/>
        <w:numPr>
          <w:ilvl w:val="0"/>
          <w:numId w:val="162"/>
        </w:numPr>
      </w:pPr>
      <w:r w:rsidRPr="00011B73">
        <w:t>Met</w:t>
      </w:r>
    </w:p>
    <w:p w14:paraId="16A9598D" w14:textId="3377B80A" w:rsidR="002068C0" w:rsidRDefault="00011B73" w:rsidP="00011B73">
      <w:pPr>
        <w:pStyle w:val="ListParagraph"/>
        <w:numPr>
          <w:ilvl w:val="0"/>
          <w:numId w:val="162"/>
        </w:numPr>
      </w:pPr>
      <w:r w:rsidRPr="00011B73">
        <w:t>Met</w:t>
      </w:r>
    </w:p>
    <w:p w14:paraId="79DD46C4" w14:textId="30D86DD1" w:rsidR="002068C0" w:rsidRDefault="00011B73" w:rsidP="00011B73">
      <w:pPr>
        <w:pStyle w:val="ListParagraph"/>
        <w:numPr>
          <w:ilvl w:val="0"/>
          <w:numId w:val="162"/>
        </w:numPr>
      </w:pPr>
      <w:r w:rsidRPr="00011B73">
        <w:t>Met</w:t>
      </w:r>
    </w:p>
    <w:p w14:paraId="38F0D786" w14:textId="19CF98DC" w:rsidR="002068C0" w:rsidRDefault="00011B73" w:rsidP="00011B73">
      <w:pPr>
        <w:pStyle w:val="ListParagraph"/>
        <w:numPr>
          <w:ilvl w:val="0"/>
          <w:numId w:val="162"/>
        </w:numPr>
      </w:pPr>
      <w:r w:rsidRPr="00011B73">
        <w:t>Met</w:t>
      </w:r>
    </w:p>
    <w:p w14:paraId="0A88EF26" w14:textId="1398DC2F" w:rsidR="002068C0" w:rsidRDefault="00011B73" w:rsidP="00011B73">
      <w:pPr>
        <w:pStyle w:val="ListParagraph"/>
        <w:numPr>
          <w:ilvl w:val="0"/>
          <w:numId w:val="162"/>
        </w:numPr>
      </w:pPr>
      <w:r w:rsidRPr="00011B73">
        <w:t>Met</w:t>
      </w:r>
    </w:p>
    <w:p w14:paraId="424B3283" w14:textId="77777777" w:rsidR="002068C0" w:rsidRPr="00617C76" w:rsidRDefault="002068C0" w:rsidP="002068C0">
      <w:pPr>
        <w:pStyle w:val="Heading5"/>
      </w:pPr>
      <w:r w:rsidRPr="00617C76">
        <w:t>Clause 33:</w:t>
      </w:r>
    </w:p>
    <w:p w14:paraId="59DD9DC9" w14:textId="0226C6DE" w:rsidR="002068C0" w:rsidRDefault="00011B73" w:rsidP="002068C0">
      <w:r w:rsidRPr="00011B73">
        <w:t>Met</w:t>
      </w:r>
    </w:p>
    <w:p w14:paraId="25FB0BD3" w14:textId="77777777" w:rsidR="002068C0" w:rsidRDefault="002068C0" w:rsidP="002068C0">
      <w:pPr>
        <w:pStyle w:val="Heading4"/>
      </w:pPr>
      <w:r w:rsidRPr="00617C76">
        <w:t>Achievements over 2025</w:t>
      </w:r>
    </w:p>
    <w:p w14:paraId="7118A501" w14:textId="77777777" w:rsidR="0060228D" w:rsidRDefault="0060228D" w:rsidP="0060228D">
      <w:pPr>
        <w:pStyle w:val="ListParagraph"/>
        <w:numPr>
          <w:ilvl w:val="0"/>
          <w:numId w:val="163"/>
        </w:numPr>
      </w:pPr>
      <w:r w:rsidRPr="0060228D">
        <w:t xml:space="preserve">The First Nations Economic Partnership was announced by the Prime Minister at the 2025 Garma festival and signed by the Treasurer, the Minister for Indigenous Australians and First Nations Partners on 29 September 2025. </w:t>
      </w:r>
    </w:p>
    <w:p w14:paraId="7A4DB7B7" w14:textId="77777777" w:rsidR="0060228D" w:rsidRDefault="0060228D" w:rsidP="0060228D">
      <w:pPr>
        <w:pStyle w:val="ListParagraph"/>
        <w:numPr>
          <w:ilvl w:val="0"/>
          <w:numId w:val="163"/>
        </w:numPr>
      </w:pPr>
      <w:r w:rsidRPr="0060228D">
        <w:t xml:space="preserve">The inaugural meeting of the Economic Partnership was held on 21 October 2025. At the meeting, Partners agreed to the establishment of 3 initial Working Groups to progress priorities in the Annual Workplan. The Groups will focus on: </w:t>
      </w:r>
    </w:p>
    <w:p w14:paraId="674BE9C6" w14:textId="77777777" w:rsidR="0060228D" w:rsidRDefault="0060228D" w:rsidP="0060228D">
      <w:pPr>
        <w:pStyle w:val="ListParagraph"/>
        <w:numPr>
          <w:ilvl w:val="1"/>
          <w:numId w:val="163"/>
        </w:numPr>
      </w:pPr>
      <w:r w:rsidRPr="0060228D">
        <w:t xml:space="preserve">access to capital and institutional arrangements </w:t>
      </w:r>
    </w:p>
    <w:p w14:paraId="472D2B66" w14:textId="77777777" w:rsidR="0060228D" w:rsidRDefault="0060228D" w:rsidP="0060228D">
      <w:pPr>
        <w:pStyle w:val="ListParagraph"/>
        <w:numPr>
          <w:ilvl w:val="1"/>
          <w:numId w:val="163"/>
        </w:numPr>
      </w:pPr>
      <w:r w:rsidRPr="0060228D">
        <w:t>strengthening employment and career pathways in the community</w:t>
      </w:r>
      <w:r w:rsidRPr="0060228D">
        <w:noBreakHyphen/>
        <w:t xml:space="preserve">controlled sector </w:t>
      </w:r>
    </w:p>
    <w:p w14:paraId="2B017565" w14:textId="665432C9" w:rsidR="002068C0" w:rsidRPr="003E2721" w:rsidRDefault="0060228D" w:rsidP="0060228D">
      <w:pPr>
        <w:pStyle w:val="ListParagraph"/>
        <w:numPr>
          <w:ilvl w:val="1"/>
          <w:numId w:val="163"/>
        </w:numPr>
      </w:pPr>
      <w:r w:rsidRPr="0060228D">
        <w:t>development of a First Nations economic framework.</w:t>
      </w:r>
    </w:p>
    <w:p w14:paraId="1C76A446" w14:textId="7A6D4283" w:rsidR="002068C0" w:rsidRDefault="00CA2BE7" w:rsidP="002068C0">
      <w:pPr>
        <w:pStyle w:val="Heading3"/>
      </w:pPr>
      <w:bookmarkStart w:id="51" w:name="_Toc225506073"/>
      <w:r w:rsidRPr="00CA2BE7">
        <w:t>Housing Policy Partnership (HPP)</w:t>
      </w:r>
      <w:bookmarkEnd w:id="51"/>
    </w:p>
    <w:p w14:paraId="0E88D11F" w14:textId="77777777" w:rsidR="002068C0" w:rsidRDefault="002068C0" w:rsidP="002068C0">
      <w:pPr>
        <w:pStyle w:val="Heading4"/>
      </w:pPr>
      <w:r w:rsidRPr="00617C76">
        <w:t>Partnership description</w:t>
      </w:r>
    </w:p>
    <w:p w14:paraId="71413D51" w14:textId="77777777" w:rsidR="00E86981" w:rsidRDefault="00E86981" w:rsidP="002068C0">
      <w:r w:rsidRPr="00E86981">
        <w:t>The HPP is a mechanism for members to develop a joined</w:t>
      </w:r>
      <w:r w:rsidRPr="00E86981">
        <w:noBreakHyphen/>
        <w:t xml:space="preserve">up approach to Aboriginal and Torres Strait Islander housing policy. The HPP’s objectives are to improve housing outcomes for Aboriginal and Torres Strait Islander people and make recommendations to the Joint Council about improving housing outcomes and homelessness prevention. </w:t>
      </w:r>
    </w:p>
    <w:p w14:paraId="31CB54E0" w14:textId="672428E1" w:rsidR="002068C0" w:rsidRPr="00D9276C" w:rsidRDefault="00E86981" w:rsidP="002068C0">
      <w:r w:rsidRPr="00E86981">
        <w:t>This is a formal Policy Partnership under the National Agreement between the Australian Government, states and territories and Aboriginal and Torres Strait Islander representatives.</w:t>
      </w:r>
    </w:p>
    <w:p w14:paraId="6083DB35" w14:textId="77777777" w:rsidR="002068C0" w:rsidRDefault="002068C0" w:rsidP="002068C0">
      <w:pPr>
        <w:pStyle w:val="Heading4"/>
      </w:pPr>
      <w:r w:rsidRPr="00DF6278">
        <w:t>Aboriginal and Torres Strait Islander parties</w:t>
      </w:r>
    </w:p>
    <w:p w14:paraId="3D7D652F" w14:textId="353EC906" w:rsidR="002068C0" w:rsidRPr="00B27ADE" w:rsidRDefault="003E5E06" w:rsidP="002068C0">
      <w:r w:rsidRPr="00B27ADE">
        <w:t>National Aboriginal and Torres Strait Islander Housing Association (NATSIHA)</w:t>
      </w:r>
      <w:r w:rsidR="00D57EC2">
        <w:t xml:space="preserve"> (endorsing partner)</w:t>
      </w:r>
    </w:p>
    <w:p w14:paraId="3DE04F81" w14:textId="77777777" w:rsidR="003563FE" w:rsidRDefault="003563FE" w:rsidP="002068C0">
      <w:r w:rsidRPr="003563FE">
        <w:t xml:space="preserve">Australian Capital Territory Aboriginal and Torres Strait Islander Elected Body </w:t>
      </w:r>
    </w:p>
    <w:p w14:paraId="04A1981C" w14:textId="77777777" w:rsidR="00A92925" w:rsidRDefault="003563FE" w:rsidP="002068C0">
      <w:r w:rsidRPr="003563FE">
        <w:t xml:space="preserve">Aboriginal Community Housing Industry Association (ACHIA) </w:t>
      </w:r>
    </w:p>
    <w:p w14:paraId="4B22B22F" w14:textId="77777777" w:rsidR="00A92925" w:rsidRDefault="003563FE" w:rsidP="002068C0">
      <w:r w:rsidRPr="003563FE">
        <w:t>Aboriginal Housing Northern Territory (AHNT)</w:t>
      </w:r>
    </w:p>
    <w:p w14:paraId="3E0BB1E8" w14:textId="77777777" w:rsidR="00203D3C" w:rsidRDefault="003563FE" w:rsidP="002068C0">
      <w:r w:rsidRPr="003563FE">
        <w:t xml:space="preserve"> Aboriginal and Torres Strait Islander Housing Queensland (ATSIHQ) </w:t>
      </w:r>
    </w:p>
    <w:p w14:paraId="25206E17" w14:textId="77777777" w:rsidR="00203D3C" w:rsidRDefault="003563FE" w:rsidP="002068C0">
      <w:r w:rsidRPr="003563FE">
        <w:t>South Australian Aboriginal Community</w:t>
      </w:r>
      <w:r w:rsidRPr="003563FE">
        <w:noBreakHyphen/>
        <w:t xml:space="preserve">Controlled Organisation Network (SAACCON) </w:t>
      </w:r>
    </w:p>
    <w:p w14:paraId="7891F5DF" w14:textId="77777777" w:rsidR="00203D3C" w:rsidRDefault="003563FE" w:rsidP="002068C0">
      <w:r w:rsidRPr="003563FE">
        <w:t xml:space="preserve">Tasmania Aboriginal Centre (TAC) </w:t>
      </w:r>
    </w:p>
    <w:p w14:paraId="1573E119" w14:textId="77777777" w:rsidR="00203D3C" w:rsidRDefault="003563FE" w:rsidP="002068C0">
      <w:r w:rsidRPr="003563FE">
        <w:t xml:space="preserve">Independent Queensland Community Representative </w:t>
      </w:r>
    </w:p>
    <w:p w14:paraId="26E39E52" w14:textId="77777777" w:rsidR="00203D3C" w:rsidRDefault="003563FE" w:rsidP="002068C0">
      <w:r w:rsidRPr="003563FE">
        <w:t>Aboriginal Housing Victoria (AHV)</w:t>
      </w:r>
    </w:p>
    <w:p w14:paraId="7CC75648" w14:textId="77777777" w:rsidR="00A95305" w:rsidRDefault="003563FE" w:rsidP="002068C0">
      <w:r w:rsidRPr="003563FE">
        <w:lastRenderedPageBreak/>
        <w:t xml:space="preserve">Independent Western Australia Community Representative </w:t>
      </w:r>
    </w:p>
    <w:p w14:paraId="4548DF5D" w14:textId="77777777" w:rsidR="00A95305" w:rsidRDefault="003563FE" w:rsidP="002068C0">
      <w:r w:rsidRPr="003563FE">
        <w:t xml:space="preserve">First Peoples Disability Network (FPDN) </w:t>
      </w:r>
    </w:p>
    <w:p w14:paraId="6FC20B56" w14:textId="0645F807" w:rsidR="003E5E06" w:rsidRPr="003E5E06" w:rsidRDefault="003563FE" w:rsidP="002068C0">
      <w:r w:rsidRPr="003563FE">
        <w:t>National Aboriginal Community Controlled Health Organisation (NACCHO)</w:t>
      </w:r>
    </w:p>
    <w:p w14:paraId="0E9F8941" w14:textId="77777777" w:rsidR="002068C0" w:rsidRPr="00617C76" w:rsidRDefault="002068C0" w:rsidP="002068C0">
      <w:pPr>
        <w:pStyle w:val="Heading4"/>
      </w:pPr>
      <w:r w:rsidRPr="00617C76">
        <w:t>Government parties</w:t>
      </w:r>
    </w:p>
    <w:p w14:paraId="1961398A" w14:textId="77777777" w:rsidR="002068C0" w:rsidRDefault="002068C0" w:rsidP="002068C0">
      <w:pPr>
        <w:pStyle w:val="Heading5"/>
      </w:pPr>
      <w:r w:rsidRPr="00115C74">
        <w:t xml:space="preserve">COMMONWEALTH PARTIES </w:t>
      </w:r>
    </w:p>
    <w:p w14:paraId="41E91C14" w14:textId="67C93A54" w:rsidR="002068C0" w:rsidRPr="00B27ADE" w:rsidRDefault="00865899" w:rsidP="002068C0">
      <w:r w:rsidRPr="00B27ADE">
        <w:t>The Treasury</w:t>
      </w:r>
      <w:r w:rsidR="00D57EC2">
        <w:t xml:space="preserve"> (endorsing partner)</w:t>
      </w:r>
    </w:p>
    <w:p w14:paraId="6E7DDF99" w14:textId="77777777" w:rsidR="006006E0" w:rsidRDefault="006006E0" w:rsidP="002068C0">
      <w:r w:rsidRPr="006006E0">
        <w:t xml:space="preserve">National Indigenous Australians Agency (NIAA) </w:t>
      </w:r>
    </w:p>
    <w:p w14:paraId="6D06374C" w14:textId="7E4D1725" w:rsidR="00865899" w:rsidRPr="00865899" w:rsidRDefault="006006E0" w:rsidP="002068C0">
      <w:r w:rsidRPr="006006E0">
        <w:t>Department of Infrastructure, Transport, Regional Development, Communications, Sport and the Arts (DITRDCSA)</w:t>
      </w:r>
    </w:p>
    <w:p w14:paraId="26E706E8" w14:textId="77777777" w:rsidR="002068C0" w:rsidRPr="00115C74" w:rsidRDefault="002068C0" w:rsidP="002068C0">
      <w:pPr>
        <w:pStyle w:val="Heading5"/>
      </w:pPr>
      <w:r w:rsidRPr="00115C74">
        <w:t xml:space="preserve">STATE AND TERRITORY PARTIES </w:t>
      </w:r>
    </w:p>
    <w:p w14:paraId="133A0A95" w14:textId="77777777" w:rsidR="00B80C95" w:rsidRDefault="00B80C95" w:rsidP="002068C0">
      <w:r w:rsidRPr="00B80C95">
        <w:t xml:space="preserve">Homes Victoria </w:t>
      </w:r>
    </w:p>
    <w:p w14:paraId="121AAE23" w14:textId="77777777" w:rsidR="00B80C95" w:rsidRDefault="00B80C95" w:rsidP="002068C0">
      <w:r w:rsidRPr="00B80C95">
        <w:t xml:space="preserve">New South Wales Aboriginal Housing Office </w:t>
      </w:r>
    </w:p>
    <w:p w14:paraId="59858816" w14:textId="77777777" w:rsidR="00B80C95" w:rsidRDefault="00B80C95" w:rsidP="002068C0">
      <w:r w:rsidRPr="00B80C95">
        <w:t xml:space="preserve">Department of Housing, Local Government and Community Development (Northern Territory) </w:t>
      </w:r>
    </w:p>
    <w:p w14:paraId="572CAE02" w14:textId="77777777" w:rsidR="00B80C95" w:rsidRDefault="00B80C95" w:rsidP="002068C0">
      <w:r w:rsidRPr="00B80C95">
        <w:t xml:space="preserve">Department of Housing and Public Works (Queensland) </w:t>
      </w:r>
    </w:p>
    <w:p w14:paraId="2625D52C" w14:textId="77777777" w:rsidR="00B80C95" w:rsidRDefault="00B80C95" w:rsidP="002068C0">
      <w:r w:rsidRPr="00B80C95">
        <w:t xml:space="preserve">South Australian Housing Trust Department of State Growth (Tasmania) </w:t>
      </w:r>
    </w:p>
    <w:p w14:paraId="1FA48996" w14:textId="77777777" w:rsidR="00B80C95" w:rsidRDefault="00B80C95" w:rsidP="002068C0">
      <w:r w:rsidRPr="00B80C95">
        <w:t xml:space="preserve">Department of Communities (Western Australia) </w:t>
      </w:r>
    </w:p>
    <w:p w14:paraId="0800AB61" w14:textId="146FC9FC" w:rsidR="002068C0" w:rsidRPr="00617C76" w:rsidRDefault="00B80C95" w:rsidP="002068C0">
      <w:r w:rsidRPr="00B80C95">
        <w:t>Health and Community Services Directorate (Australian Capital Territory)</w:t>
      </w:r>
    </w:p>
    <w:p w14:paraId="1CBB6B74" w14:textId="77777777" w:rsidR="002068C0" w:rsidRPr="00617C76" w:rsidRDefault="002068C0" w:rsidP="002068C0">
      <w:pPr>
        <w:pStyle w:val="Heading4"/>
      </w:pPr>
      <w:r w:rsidRPr="00617C76">
        <w:t>Priority Reforms and Socio-economic Outcomes</w:t>
      </w:r>
    </w:p>
    <w:p w14:paraId="75A8B2EA" w14:textId="77777777" w:rsidR="00F86F65" w:rsidRDefault="00F86F65" w:rsidP="002068C0">
      <w:r w:rsidRPr="00F86F65">
        <w:t xml:space="preserve">Priority Reform 1 </w:t>
      </w:r>
    </w:p>
    <w:p w14:paraId="567F1480" w14:textId="77777777" w:rsidR="00F86F65" w:rsidRDefault="00F86F65" w:rsidP="002068C0">
      <w:r w:rsidRPr="00F86F65">
        <w:t xml:space="preserve">Priority Reform 2 </w:t>
      </w:r>
    </w:p>
    <w:p w14:paraId="6245EB6F" w14:textId="77777777" w:rsidR="00F86F65" w:rsidRDefault="00F86F65" w:rsidP="002068C0">
      <w:r w:rsidRPr="00F86F65">
        <w:t xml:space="preserve">Priority Reform 3 </w:t>
      </w:r>
    </w:p>
    <w:p w14:paraId="74DFE609" w14:textId="77777777" w:rsidR="00F86F65" w:rsidRDefault="00F86F65" w:rsidP="002068C0">
      <w:r w:rsidRPr="00F86F65">
        <w:t xml:space="preserve">Priority Reform 4 </w:t>
      </w:r>
    </w:p>
    <w:p w14:paraId="5D15F1FE" w14:textId="2F65F11E" w:rsidR="002068C0" w:rsidRPr="007C35F3" w:rsidRDefault="00F86F65" w:rsidP="002068C0">
      <w:r w:rsidRPr="00F86F65">
        <w:t>Outcome 9</w:t>
      </w:r>
    </w:p>
    <w:p w14:paraId="2DF18799" w14:textId="77777777" w:rsidR="002068C0" w:rsidRPr="00617C76" w:rsidRDefault="002068C0" w:rsidP="002068C0">
      <w:pPr>
        <w:pStyle w:val="Heading4"/>
      </w:pPr>
      <w:r w:rsidRPr="00617C76">
        <w:t>Partnership function</w:t>
      </w:r>
    </w:p>
    <w:p w14:paraId="25EBC8C2" w14:textId="71BBC9DE" w:rsidR="002068C0" w:rsidRPr="00617C76" w:rsidRDefault="00153A2A" w:rsidP="002068C0">
      <w:r w:rsidRPr="00153A2A">
        <w:t>Policy</w:t>
      </w:r>
    </w:p>
    <w:p w14:paraId="61817B96" w14:textId="77777777" w:rsidR="002068C0" w:rsidRPr="00617C76" w:rsidRDefault="002068C0" w:rsidP="002068C0">
      <w:pPr>
        <w:pStyle w:val="Heading4"/>
      </w:pPr>
      <w:r w:rsidRPr="00617C76">
        <w:t>Partnership timeframe</w:t>
      </w:r>
    </w:p>
    <w:p w14:paraId="3F6F23C7" w14:textId="5970B5EE" w:rsidR="002068C0" w:rsidRPr="00617C76" w:rsidRDefault="00153A2A" w:rsidP="002068C0">
      <w:r w:rsidRPr="00153A2A">
        <w:t>2023 to 2026</w:t>
      </w:r>
    </w:p>
    <w:p w14:paraId="25BC4D8E" w14:textId="77777777" w:rsidR="002068C0" w:rsidRDefault="002068C0" w:rsidP="002068C0">
      <w:pPr>
        <w:pStyle w:val="Heading4"/>
      </w:pPr>
      <w:r w:rsidRPr="00617C76">
        <w:t>Actions taken to strengthen the partnership in 2025</w:t>
      </w:r>
    </w:p>
    <w:p w14:paraId="43F80645" w14:textId="45CDFB91" w:rsidR="002068C0" w:rsidRPr="00D9276C" w:rsidRDefault="00782DBD" w:rsidP="002068C0">
      <w:r w:rsidRPr="00782DBD">
        <w:t>The Partnership now meets all the strong partnership elements. The Partnership has made the Agreement to Implement for the HPP publicly available and easily accessible. Shared decision</w:t>
      </w:r>
      <w:r w:rsidRPr="00782DBD">
        <w:noBreakHyphen/>
        <w:t>making has been strengthened by embedding strong partnership elements within the HPP Workplan horizons and outputs. Workplan activities and Output Working Groups are gaining momentum and include the inputs of community, stakeholders and government representatives.</w:t>
      </w:r>
    </w:p>
    <w:p w14:paraId="1D155C10" w14:textId="77777777" w:rsidR="002068C0" w:rsidRPr="00617C76" w:rsidRDefault="002068C0" w:rsidP="002068C0">
      <w:pPr>
        <w:pStyle w:val="Heading4"/>
      </w:pPr>
      <w:r w:rsidRPr="00617C76">
        <w:lastRenderedPageBreak/>
        <w:t>Strong partnership indicators</w:t>
      </w:r>
    </w:p>
    <w:p w14:paraId="577980DE" w14:textId="77777777" w:rsidR="002068C0" w:rsidRPr="00617C76" w:rsidRDefault="002068C0" w:rsidP="002068C0">
      <w:pPr>
        <w:pStyle w:val="Heading5"/>
      </w:pPr>
      <w:r w:rsidRPr="00617C76">
        <w:t>Clause 32A:</w:t>
      </w:r>
    </w:p>
    <w:p w14:paraId="6B51A12F" w14:textId="3C1843CA" w:rsidR="002068C0" w:rsidRDefault="00A44257" w:rsidP="00A44257">
      <w:pPr>
        <w:pStyle w:val="ListParagraph"/>
        <w:numPr>
          <w:ilvl w:val="0"/>
          <w:numId w:val="164"/>
        </w:numPr>
      </w:pPr>
      <w:r w:rsidRPr="00A44257">
        <w:t>Met</w:t>
      </w:r>
    </w:p>
    <w:p w14:paraId="35A16E6D" w14:textId="03FE29F4" w:rsidR="002068C0" w:rsidRDefault="00A44257" w:rsidP="00A44257">
      <w:pPr>
        <w:pStyle w:val="ListParagraph"/>
        <w:numPr>
          <w:ilvl w:val="0"/>
          <w:numId w:val="164"/>
        </w:numPr>
      </w:pPr>
      <w:r w:rsidRPr="00A44257">
        <w:t>Met</w:t>
      </w:r>
    </w:p>
    <w:p w14:paraId="0D162A3C" w14:textId="1985C355" w:rsidR="002068C0" w:rsidRDefault="00A44257" w:rsidP="00A44257">
      <w:pPr>
        <w:pStyle w:val="ListParagraph"/>
        <w:numPr>
          <w:ilvl w:val="0"/>
          <w:numId w:val="164"/>
        </w:numPr>
      </w:pPr>
      <w:r w:rsidRPr="00A44257">
        <w:t>Met</w:t>
      </w:r>
    </w:p>
    <w:p w14:paraId="265F0316" w14:textId="77777777" w:rsidR="002068C0" w:rsidRPr="00617C76" w:rsidRDefault="002068C0" w:rsidP="002068C0">
      <w:pPr>
        <w:pStyle w:val="Heading5"/>
      </w:pPr>
      <w:r w:rsidRPr="00617C76">
        <w:t>Clause 32B:</w:t>
      </w:r>
    </w:p>
    <w:p w14:paraId="26061AD1" w14:textId="3BD462DB" w:rsidR="002068C0" w:rsidRDefault="00A44257" w:rsidP="00A44257">
      <w:pPr>
        <w:pStyle w:val="ListParagraph"/>
        <w:numPr>
          <w:ilvl w:val="0"/>
          <w:numId w:val="165"/>
        </w:numPr>
      </w:pPr>
      <w:r w:rsidRPr="00A44257">
        <w:t>Met</w:t>
      </w:r>
    </w:p>
    <w:p w14:paraId="533F83C4" w14:textId="1C9661AB" w:rsidR="002068C0" w:rsidRDefault="00A44257" w:rsidP="00A44257">
      <w:pPr>
        <w:pStyle w:val="ListParagraph"/>
        <w:numPr>
          <w:ilvl w:val="0"/>
          <w:numId w:val="165"/>
        </w:numPr>
      </w:pPr>
      <w:r w:rsidRPr="00A44257">
        <w:t>Met</w:t>
      </w:r>
    </w:p>
    <w:p w14:paraId="46AEC6C0" w14:textId="7CE57D44" w:rsidR="002068C0" w:rsidRDefault="00A44257" w:rsidP="00A44257">
      <w:pPr>
        <w:pStyle w:val="ListParagraph"/>
        <w:numPr>
          <w:ilvl w:val="0"/>
          <w:numId w:val="165"/>
        </w:numPr>
      </w:pPr>
      <w:r w:rsidRPr="00A44257">
        <w:t>Met</w:t>
      </w:r>
    </w:p>
    <w:p w14:paraId="3A0B97B4" w14:textId="03F5BAA9" w:rsidR="002068C0" w:rsidRDefault="00A44257" w:rsidP="00A44257">
      <w:pPr>
        <w:pStyle w:val="ListParagraph"/>
        <w:numPr>
          <w:ilvl w:val="0"/>
          <w:numId w:val="165"/>
        </w:numPr>
      </w:pPr>
      <w:r w:rsidRPr="00A44257">
        <w:t>N/A</w:t>
      </w:r>
    </w:p>
    <w:p w14:paraId="69C7BA11" w14:textId="77777777" w:rsidR="002068C0" w:rsidRPr="00617C76" w:rsidRDefault="002068C0" w:rsidP="002068C0">
      <w:pPr>
        <w:pStyle w:val="Heading5"/>
      </w:pPr>
      <w:r w:rsidRPr="00617C76">
        <w:t>Clause 32C:</w:t>
      </w:r>
    </w:p>
    <w:p w14:paraId="2E3A0AAC" w14:textId="72F77AF0" w:rsidR="002068C0" w:rsidRDefault="00A44257" w:rsidP="00A44257">
      <w:pPr>
        <w:pStyle w:val="ListParagraph"/>
        <w:numPr>
          <w:ilvl w:val="0"/>
          <w:numId w:val="166"/>
        </w:numPr>
      </w:pPr>
      <w:r w:rsidRPr="00A44257">
        <w:t>Met</w:t>
      </w:r>
    </w:p>
    <w:p w14:paraId="03B842ED" w14:textId="1BF5A583" w:rsidR="002068C0" w:rsidRDefault="00A44257" w:rsidP="00A44257">
      <w:pPr>
        <w:pStyle w:val="ListParagraph"/>
        <w:numPr>
          <w:ilvl w:val="0"/>
          <w:numId w:val="166"/>
        </w:numPr>
      </w:pPr>
      <w:r w:rsidRPr="00A44257">
        <w:t>Met</w:t>
      </w:r>
    </w:p>
    <w:p w14:paraId="4EEC3ACA" w14:textId="1486C3EC" w:rsidR="002068C0" w:rsidRDefault="00A44257" w:rsidP="00A44257">
      <w:pPr>
        <w:pStyle w:val="ListParagraph"/>
        <w:numPr>
          <w:ilvl w:val="0"/>
          <w:numId w:val="166"/>
        </w:numPr>
      </w:pPr>
      <w:r w:rsidRPr="00A44257">
        <w:t>Met</w:t>
      </w:r>
    </w:p>
    <w:p w14:paraId="5798362A" w14:textId="25FCA2EC" w:rsidR="002068C0" w:rsidRDefault="00A44257" w:rsidP="00A44257">
      <w:pPr>
        <w:pStyle w:val="ListParagraph"/>
        <w:numPr>
          <w:ilvl w:val="0"/>
          <w:numId w:val="166"/>
        </w:numPr>
      </w:pPr>
      <w:r w:rsidRPr="00A44257">
        <w:t>Met</w:t>
      </w:r>
    </w:p>
    <w:p w14:paraId="0562E0D9" w14:textId="6A7BC797" w:rsidR="002068C0" w:rsidRDefault="00A44257" w:rsidP="00A44257">
      <w:pPr>
        <w:pStyle w:val="ListParagraph"/>
        <w:numPr>
          <w:ilvl w:val="0"/>
          <w:numId w:val="166"/>
        </w:numPr>
      </w:pPr>
      <w:r w:rsidRPr="00A44257">
        <w:t>Met</w:t>
      </w:r>
    </w:p>
    <w:p w14:paraId="3D589469" w14:textId="6AB763CC" w:rsidR="002068C0" w:rsidRDefault="00A44257" w:rsidP="00A44257">
      <w:pPr>
        <w:pStyle w:val="ListParagraph"/>
        <w:numPr>
          <w:ilvl w:val="0"/>
          <w:numId w:val="166"/>
        </w:numPr>
      </w:pPr>
      <w:r w:rsidRPr="00A44257">
        <w:t>Met</w:t>
      </w:r>
    </w:p>
    <w:p w14:paraId="0A426719" w14:textId="545E214C" w:rsidR="002068C0" w:rsidRDefault="00A44257" w:rsidP="00A44257">
      <w:pPr>
        <w:pStyle w:val="ListParagraph"/>
        <w:numPr>
          <w:ilvl w:val="0"/>
          <w:numId w:val="166"/>
        </w:numPr>
      </w:pPr>
      <w:r w:rsidRPr="00A44257">
        <w:t>Met</w:t>
      </w:r>
    </w:p>
    <w:p w14:paraId="3079F397" w14:textId="77777777" w:rsidR="002068C0" w:rsidRPr="00617C76" w:rsidRDefault="002068C0" w:rsidP="002068C0">
      <w:pPr>
        <w:pStyle w:val="Heading5"/>
      </w:pPr>
      <w:r w:rsidRPr="00617C76">
        <w:t>Clause 33:</w:t>
      </w:r>
    </w:p>
    <w:p w14:paraId="5182A299" w14:textId="0CED4DE7" w:rsidR="002068C0" w:rsidRDefault="00A44257" w:rsidP="002068C0">
      <w:r w:rsidRPr="00A44257">
        <w:t>Met</w:t>
      </w:r>
    </w:p>
    <w:p w14:paraId="1BA4B102" w14:textId="77777777" w:rsidR="002068C0" w:rsidRDefault="002068C0" w:rsidP="002068C0">
      <w:pPr>
        <w:pStyle w:val="Heading4"/>
      </w:pPr>
      <w:r w:rsidRPr="00617C76">
        <w:t>Achievements over 2025</w:t>
      </w:r>
    </w:p>
    <w:p w14:paraId="6D623F38" w14:textId="77777777" w:rsidR="005A76B9" w:rsidRDefault="005A76B9" w:rsidP="002068C0">
      <w:r w:rsidRPr="005A76B9">
        <w:t xml:space="preserve">The HPP held 4 meetings, and 9 dedicated Output Working Group workshops over the 2025 calendar year. Also: </w:t>
      </w:r>
    </w:p>
    <w:p w14:paraId="35BD462C" w14:textId="77777777" w:rsidR="005A76B9" w:rsidRDefault="005A76B9" w:rsidP="00436F5F">
      <w:pPr>
        <w:pStyle w:val="ListParagraph"/>
        <w:numPr>
          <w:ilvl w:val="0"/>
          <w:numId w:val="167"/>
        </w:numPr>
      </w:pPr>
      <w:r w:rsidRPr="005A76B9">
        <w:t>the HPP workplan developed in late 2024 was formally published in August 2025 and is supported by a robust implementation approach</w:t>
      </w:r>
    </w:p>
    <w:p w14:paraId="3DDFFDCA" w14:textId="77777777" w:rsidR="00436F5F" w:rsidRDefault="005A76B9" w:rsidP="00436F5F">
      <w:pPr>
        <w:pStyle w:val="ListParagraph"/>
        <w:numPr>
          <w:ilvl w:val="0"/>
          <w:numId w:val="167"/>
        </w:numPr>
      </w:pPr>
      <w:r w:rsidRPr="005A76B9">
        <w:t xml:space="preserve">advice and feedback were provided to the Hon Clare O’Neil MP, Minister for Housing, Homelessness and Cities, and the Chief Executive Officer of Housing Australia expressing the Partnership’s views on harnessing the Housing Australia Future Fund to improve housing outcomes for Aboriginal and Torres Strait Islander people </w:t>
      </w:r>
    </w:p>
    <w:p w14:paraId="068CCF2F" w14:textId="77777777" w:rsidR="00436F5F" w:rsidRDefault="005A76B9" w:rsidP="00436F5F">
      <w:pPr>
        <w:pStyle w:val="ListParagraph"/>
        <w:numPr>
          <w:ilvl w:val="0"/>
          <w:numId w:val="167"/>
        </w:numPr>
      </w:pPr>
      <w:r w:rsidRPr="005A76B9">
        <w:t>a Target 9b Sub</w:t>
      </w:r>
      <w:r w:rsidRPr="005A76B9">
        <w:noBreakHyphen/>
        <w:t>Working Group was established comprised of Aboriginal and Torres Strait Islander community and government members, which is progressing a Terms of Reference, exploring data capacity and draft indicators and developing a program logic to drive progress on Target 9b</w:t>
      </w:r>
    </w:p>
    <w:p w14:paraId="269397B7" w14:textId="77777777" w:rsidR="00436F5F" w:rsidRDefault="005A76B9" w:rsidP="00436F5F">
      <w:pPr>
        <w:pStyle w:val="ListParagraph"/>
        <w:numPr>
          <w:ilvl w:val="0"/>
          <w:numId w:val="167"/>
        </w:numPr>
      </w:pPr>
      <w:r w:rsidRPr="005A76B9">
        <w:t>projects under the HPP workplan have commenced, including contracting Adelaide University to develop comprehensive jurisdictional profiles on the status of Aboriginal and Torres Strait Islander housing and homelessness</w:t>
      </w:r>
    </w:p>
    <w:p w14:paraId="18276302" w14:textId="3767DCEF" w:rsidR="002068C0" w:rsidRPr="003E2721" w:rsidRDefault="005A76B9" w:rsidP="00436F5F">
      <w:pPr>
        <w:pStyle w:val="ListParagraph"/>
        <w:numPr>
          <w:ilvl w:val="0"/>
          <w:numId w:val="167"/>
        </w:numPr>
      </w:pPr>
      <w:r w:rsidRPr="005A76B9">
        <w:t>the HPP guided the formal tender for the Evaluation of the HPP and is actively participating in the evaluation design and its activities.</w:t>
      </w:r>
    </w:p>
    <w:p w14:paraId="4617E0D1" w14:textId="5D3A0119" w:rsidR="002068C0" w:rsidRDefault="00A9728D" w:rsidP="002068C0">
      <w:pPr>
        <w:pStyle w:val="Heading3"/>
      </w:pPr>
      <w:bookmarkStart w:id="52" w:name="_Toc225506074"/>
      <w:r w:rsidRPr="00A9728D">
        <w:t>Empowered Communities (EC) – Cape York</w:t>
      </w:r>
      <w:bookmarkEnd w:id="52"/>
    </w:p>
    <w:p w14:paraId="1D1879B6" w14:textId="77777777" w:rsidR="002068C0" w:rsidRDefault="002068C0" w:rsidP="002068C0">
      <w:pPr>
        <w:pStyle w:val="Heading4"/>
      </w:pPr>
      <w:r w:rsidRPr="00617C76">
        <w:t>Partnership description</w:t>
      </w:r>
    </w:p>
    <w:p w14:paraId="4F01EF0B" w14:textId="7C07022D" w:rsidR="002068C0" w:rsidRPr="00D9276C" w:rsidRDefault="00B17054" w:rsidP="002068C0">
      <w:r w:rsidRPr="00B17054">
        <w:t>One of 10 EC regions, this is an Aboriginal and Torres Strait Islander designed and led place</w:t>
      </w:r>
      <w:r w:rsidRPr="00B17054">
        <w:noBreakHyphen/>
        <w:t>based reform partnership with government, underpinned by a commitment to First Nations empowerment, development and productivity. This partnership empowers Cape York communities by working on the ground with local organisations and people, building partnerships and local capability. It responds uniquely to what communities want with a focus on empowerment at the individual, family and community level.</w:t>
      </w:r>
    </w:p>
    <w:p w14:paraId="183C4E1E" w14:textId="77777777" w:rsidR="002068C0" w:rsidRDefault="002068C0" w:rsidP="002068C0">
      <w:pPr>
        <w:pStyle w:val="Heading4"/>
      </w:pPr>
      <w:r w:rsidRPr="00DF6278">
        <w:lastRenderedPageBreak/>
        <w:t>Aboriginal and Torres Strait Islander parties</w:t>
      </w:r>
    </w:p>
    <w:p w14:paraId="5C8D958F" w14:textId="3CD6094E" w:rsidR="002068C0" w:rsidRPr="00B27ADE" w:rsidRDefault="00DB2395" w:rsidP="002068C0">
      <w:r w:rsidRPr="00B27ADE">
        <w:t>Cape York Institute for Policy and Leadership</w:t>
      </w:r>
      <w:r w:rsidR="00D57EC2">
        <w:t xml:space="preserve"> (endorsing partner)</w:t>
      </w:r>
    </w:p>
    <w:p w14:paraId="3EAF85C9" w14:textId="77777777" w:rsidR="002068C0" w:rsidRPr="00617C76" w:rsidRDefault="002068C0" w:rsidP="002068C0">
      <w:pPr>
        <w:pStyle w:val="Heading4"/>
      </w:pPr>
      <w:r w:rsidRPr="00617C76">
        <w:t>Government parties</w:t>
      </w:r>
    </w:p>
    <w:p w14:paraId="6EAC4D01" w14:textId="77777777" w:rsidR="002068C0" w:rsidRDefault="002068C0" w:rsidP="002068C0">
      <w:pPr>
        <w:pStyle w:val="Heading5"/>
      </w:pPr>
      <w:r w:rsidRPr="00115C74">
        <w:t xml:space="preserve">COMMONWEALTH PARTIES </w:t>
      </w:r>
    </w:p>
    <w:p w14:paraId="63130929" w14:textId="73D92563" w:rsidR="002068C0" w:rsidRPr="00B27ADE" w:rsidRDefault="00DB2395" w:rsidP="002068C0">
      <w:r w:rsidRPr="00B27ADE">
        <w:t>National Indigenous Australians Agency (NIAA)</w:t>
      </w:r>
      <w:r w:rsidR="00D57EC2">
        <w:t xml:space="preserve"> (endorsing partner)</w:t>
      </w:r>
    </w:p>
    <w:p w14:paraId="6C535604" w14:textId="77777777" w:rsidR="002068C0" w:rsidRPr="00115C74" w:rsidRDefault="002068C0" w:rsidP="002068C0">
      <w:pPr>
        <w:pStyle w:val="Heading5"/>
      </w:pPr>
      <w:r w:rsidRPr="00115C74">
        <w:t xml:space="preserve">STATE AND TERRITORY PARTIES </w:t>
      </w:r>
    </w:p>
    <w:p w14:paraId="5417B56A" w14:textId="77777777" w:rsidR="002068C0" w:rsidRPr="00617C76" w:rsidRDefault="002068C0" w:rsidP="002068C0">
      <w:r>
        <w:t>N/A</w:t>
      </w:r>
    </w:p>
    <w:p w14:paraId="2C9774F5" w14:textId="77777777" w:rsidR="002068C0" w:rsidRPr="00617C76" w:rsidRDefault="002068C0" w:rsidP="002068C0">
      <w:pPr>
        <w:pStyle w:val="Heading4"/>
      </w:pPr>
      <w:r w:rsidRPr="00617C76">
        <w:t>Priority Reforms and Socio-economic Outcomes</w:t>
      </w:r>
    </w:p>
    <w:p w14:paraId="55A58FCD" w14:textId="77777777" w:rsidR="006E4AC3" w:rsidRDefault="00F30367" w:rsidP="002068C0">
      <w:r w:rsidRPr="00F30367">
        <w:t xml:space="preserve">Priority Reform 1 </w:t>
      </w:r>
    </w:p>
    <w:p w14:paraId="1E3FC7AF" w14:textId="77777777" w:rsidR="006E4AC3" w:rsidRDefault="00F30367" w:rsidP="002068C0">
      <w:r w:rsidRPr="00F30367">
        <w:t xml:space="preserve">Priority Reform 2 </w:t>
      </w:r>
    </w:p>
    <w:p w14:paraId="0E6A9BE1" w14:textId="77777777" w:rsidR="006E4AC3" w:rsidRDefault="00F30367" w:rsidP="002068C0">
      <w:r w:rsidRPr="00F30367">
        <w:t xml:space="preserve">Priority Reform 3 </w:t>
      </w:r>
    </w:p>
    <w:p w14:paraId="0D2CBCAB" w14:textId="77777777" w:rsidR="006E4AC3" w:rsidRDefault="00F30367" w:rsidP="002068C0">
      <w:r w:rsidRPr="00F30367">
        <w:t xml:space="preserve">Priority Reform 4 </w:t>
      </w:r>
    </w:p>
    <w:p w14:paraId="4CD470AA" w14:textId="77777777" w:rsidR="006E4AC3" w:rsidRDefault="00F30367" w:rsidP="002068C0">
      <w:r w:rsidRPr="00F30367">
        <w:t xml:space="preserve">Outcome 1 </w:t>
      </w:r>
    </w:p>
    <w:p w14:paraId="640B7D2A" w14:textId="77777777" w:rsidR="006E4AC3" w:rsidRDefault="00F30367" w:rsidP="002068C0">
      <w:r w:rsidRPr="00F30367">
        <w:t xml:space="preserve">Outcome 2 </w:t>
      </w:r>
    </w:p>
    <w:p w14:paraId="14AB9CEE" w14:textId="77777777" w:rsidR="006E4AC3" w:rsidRDefault="00F30367" w:rsidP="002068C0">
      <w:r w:rsidRPr="00F30367">
        <w:t xml:space="preserve">Outcome 3 </w:t>
      </w:r>
    </w:p>
    <w:p w14:paraId="7977597F" w14:textId="77777777" w:rsidR="006E4AC3" w:rsidRDefault="00F30367" w:rsidP="002068C0">
      <w:r w:rsidRPr="00F30367">
        <w:t xml:space="preserve">Outcome 4 </w:t>
      </w:r>
    </w:p>
    <w:p w14:paraId="175CBB1E" w14:textId="77777777" w:rsidR="006E4AC3" w:rsidRDefault="00F30367" w:rsidP="002068C0">
      <w:r w:rsidRPr="00F30367">
        <w:t xml:space="preserve">Outcome 5 </w:t>
      </w:r>
    </w:p>
    <w:p w14:paraId="51172C60" w14:textId="77777777" w:rsidR="006E4AC3" w:rsidRDefault="00F30367" w:rsidP="002068C0">
      <w:r w:rsidRPr="00F30367">
        <w:t xml:space="preserve">Outcome 6 </w:t>
      </w:r>
    </w:p>
    <w:p w14:paraId="1C2A4C84" w14:textId="5B83245F" w:rsidR="006E4AC3" w:rsidRDefault="00F30367" w:rsidP="002068C0">
      <w:r w:rsidRPr="00F30367">
        <w:t>Outcome 7</w:t>
      </w:r>
    </w:p>
    <w:p w14:paraId="17DC6A97" w14:textId="77777777" w:rsidR="006E4AC3" w:rsidRDefault="006E4AC3" w:rsidP="002068C0">
      <w:r w:rsidRPr="006E4AC3">
        <w:t xml:space="preserve">Outcome 8 </w:t>
      </w:r>
    </w:p>
    <w:p w14:paraId="417EDAA4" w14:textId="77777777" w:rsidR="006E4AC3" w:rsidRDefault="006E4AC3" w:rsidP="002068C0">
      <w:r w:rsidRPr="006E4AC3">
        <w:t xml:space="preserve">Outcome 9 </w:t>
      </w:r>
    </w:p>
    <w:p w14:paraId="3CAB7D5C" w14:textId="77777777" w:rsidR="006E4AC3" w:rsidRDefault="006E4AC3" w:rsidP="002068C0">
      <w:r w:rsidRPr="006E4AC3">
        <w:t xml:space="preserve">Outcome 10 </w:t>
      </w:r>
    </w:p>
    <w:p w14:paraId="6585DECF" w14:textId="77777777" w:rsidR="006E4AC3" w:rsidRDefault="006E4AC3" w:rsidP="002068C0">
      <w:r w:rsidRPr="006E4AC3">
        <w:t xml:space="preserve">Outcome 11 </w:t>
      </w:r>
    </w:p>
    <w:p w14:paraId="2B55D415" w14:textId="77777777" w:rsidR="006E4AC3" w:rsidRDefault="006E4AC3" w:rsidP="002068C0">
      <w:r w:rsidRPr="006E4AC3">
        <w:t xml:space="preserve">Outcome 12 </w:t>
      </w:r>
    </w:p>
    <w:p w14:paraId="5AED1B19" w14:textId="77777777" w:rsidR="006E4AC3" w:rsidRDefault="006E4AC3" w:rsidP="002068C0">
      <w:r w:rsidRPr="006E4AC3">
        <w:t xml:space="preserve">Outcome 13 </w:t>
      </w:r>
    </w:p>
    <w:p w14:paraId="7FF436F8" w14:textId="77777777" w:rsidR="006E4AC3" w:rsidRDefault="006E4AC3" w:rsidP="002068C0">
      <w:r w:rsidRPr="006E4AC3">
        <w:t xml:space="preserve">Outcome 14 </w:t>
      </w:r>
    </w:p>
    <w:p w14:paraId="789A7AD7" w14:textId="77777777" w:rsidR="006E4AC3" w:rsidRDefault="006E4AC3" w:rsidP="002068C0">
      <w:r w:rsidRPr="006E4AC3">
        <w:t xml:space="preserve">Outcome 15 </w:t>
      </w:r>
    </w:p>
    <w:p w14:paraId="724080E4" w14:textId="77777777" w:rsidR="006E4AC3" w:rsidRDefault="006E4AC3" w:rsidP="002068C0">
      <w:r w:rsidRPr="006E4AC3">
        <w:t xml:space="preserve">Outcome 16 </w:t>
      </w:r>
    </w:p>
    <w:p w14:paraId="496E9F7D" w14:textId="59677D58" w:rsidR="002068C0" w:rsidRPr="007C35F3" w:rsidRDefault="006E4AC3" w:rsidP="002068C0">
      <w:r w:rsidRPr="006E4AC3">
        <w:t>Outcome 17</w:t>
      </w:r>
    </w:p>
    <w:p w14:paraId="33E95900" w14:textId="77777777" w:rsidR="002068C0" w:rsidRPr="00617C76" w:rsidRDefault="002068C0" w:rsidP="002068C0">
      <w:pPr>
        <w:pStyle w:val="Heading4"/>
      </w:pPr>
      <w:r w:rsidRPr="00617C76">
        <w:t>Partnership function</w:t>
      </w:r>
    </w:p>
    <w:p w14:paraId="34FC6BB0" w14:textId="77777777" w:rsidR="00E41D5E" w:rsidRDefault="00E41D5E" w:rsidP="002068C0">
      <w:r w:rsidRPr="00E41D5E">
        <w:t xml:space="preserve">Policy </w:t>
      </w:r>
    </w:p>
    <w:p w14:paraId="1A081FA2" w14:textId="37C25324" w:rsidR="002068C0" w:rsidRPr="00617C76" w:rsidRDefault="00E41D5E" w:rsidP="002068C0">
      <w:r w:rsidRPr="00E41D5E">
        <w:t>Place</w:t>
      </w:r>
      <w:r w:rsidRPr="00E41D5E">
        <w:noBreakHyphen/>
        <w:t>based</w:t>
      </w:r>
    </w:p>
    <w:p w14:paraId="44B23A08" w14:textId="77777777" w:rsidR="002068C0" w:rsidRPr="00617C76" w:rsidRDefault="002068C0" w:rsidP="002068C0">
      <w:pPr>
        <w:pStyle w:val="Heading4"/>
      </w:pPr>
      <w:r w:rsidRPr="00617C76">
        <w:lastRenderedPageBreak/>
        <w:t>Partnership timeframe</w:t>
      </w:r>
    </w:p>
    <w:p w14:paraId="046916E2" w14:textId="20D43C24" w:rsidR="002068C0" w:rsidRPr="00617C76" w:rsidRDefault="00BB22EE" w:rsidP="002068C0">
      <w:r w:rsidRPr="00BB22EE">
        <w:t>2015 to 2028</w:t>
      </w:r>
    </w:p>
    <w:p w14:paraId="4E9F84A3" w14:textId="77777777" w:rsidR="002068C0" w:rsidRDefault="002068C0" w:rsidP="002068C0">
      <w:pPr>
        <w:pStyle w:val="Heading4"/>
      </w:pPr>
      <w:r w:rsidRPr="00617C76">
        <w:t>Actions taken to strengthen the partnership in 2025</w:t>
      </w:r>
    </w:p>
    <w:p w14:paraId="1A735AB2" w14:textId="77777777" w:rsidR="005165E5" w:rsidRDefault="005165E5" w:rsidP="002068C0">
      <w:r w:rsidRPr="005165E5">
        <w:t>The next 3 years’ funding to EC will provide an opportunity to practically enact best</w:t>
      </w:r>
      <w:r w:rsidRPr="005165E5">
        <w:noBreakHyphen/>
        <w:t xml:space="preserve">practice principles of partnership within the broader reform context. </w:t>
      </w:r>
    </w:p>
    <w:p w14:paraId="66642C93" w14:textId="77777777" w:rsidR="005165E5" w:rsidRDefault="005165E5" w:rsidP="002068C0">
      <w:r w:rsidRPr="005165E5">
        <w:t xml:space="preserve">Regional leaders have prepared development agendas which articulate a strategic commitment to further the priorities specific to each region in line with the underpinning principle of subsidiarity. </w:t>
      </w:r>
    </w:p>
    <w:p w14:paraId="529D95EF" w14:textId="77777777" w:rsidR="005165E5" w:rsidRDefault="005165E5" w:rsidP="002068C0">
      <w:r w:rsidRPr="005165E5">
        <w:t>For a strong and effective partnership, it is essential that both government and First Nations partners reflect on the partnership itself and, importantly, on what it will ultimately deliver on</w:t>
      </w:r>
      <w:r w:rsidRPr="005165E5">
        <w:noBreakHyphen/>
        <w:t>the</w:t>
      </w:r>
      <w:r w:rsidRPr="005165E5">
        <w:noBreakHyphen/>
        <w:t xml:space="preserve">ground for Aboriginal and Torres Strait Islander people over the next 3 years. </w:t>
      </w:r>
    </w:p>
    <w:p w14:paraId="1696F5BE" w14:textId="77777777" w:rsidR="005165E5" w:rsidRDefault="005165E5" w:rsidP="002068C0">
      <w:r w:rsidRPr="005165E5">
        <w:t xml:space="preserve">The process of refreshing local partnership agreements has strengthened the relationship between the parties and will support future progress against the shared priorities contained in the development agendas. </w:t>
      </w:r>
    </w:p>
    <w:p w14:paraId="58B04551" w14:textId="028DD7A8" w:rsidR="002068C0" w:rsidRPr="00D9276C" w:rsidRDefault="005165E5" w:rsidP="002068C0">
      <w:r w:rsidRPr="005165E5">
        <w:t>The Closing the Gap Priority Reforms are central to meaningful partnership. Early engagement with EC, such as Cape York EC, ensures reforms are community</w:t>
      </w:r>
      <w:r w:rsidRPr="005165E5">
        <w:noBreakHyphen/>
        <w:t>led, culturally grounded and sustainable, and strengthens local capacity to drive lasting change.</w:t>
      </w:r>
    </w:p>
    <w:p w14:paraId="7D602809" w14:textId="77777777" w:rsidR="002068C0" w:rsidRPr="00617C76" w:rsidRDefault="002068C0" w:rsidP="002068C0">
      <w:pPr>
        <w:pStyle w:val="Heading4"/>
      </w:pPr>
      <w:r w:rsidRPr="00617C76">
        <w:t>Strong partnership indicators</w:t>
      </w:r>
    </w:p>
    <w:p w14:paraId="6CECEBE2" w14:textId="77777777" w:rsidR="002068C0" w:rsidRPr="00617C76" w:rsidRDefault="002068C0" w:rsidP="002068C0">
      <w:pPr>
        <w:pStyle w:val="Heading5"/>
      </w:pPr>
      <w:r w:rsidRPr="00617C76">
        <w:t>Clause 32A:</w:t>
      </w:r>
    </w:p>
    <w:p w14:paraId="58223ECD" w14:textId="6312D3F2" w:rsidR="002068C0" w:rsidRDefault="005B63ED" w:rsidP="005B63ED">
      <w:pPr>
        <w:pStyle w:val="ListParagraph"/>
        <w:numPr>
          <w:ilvl w:val="0"/>
          <w:numId w:val="168"/>
        </w:numPr>
      </w:pPr>
      <w:r w:rsidRPr="005B63ED">
        <w:t>Met</w:t>
      </w:r>
    </w:p>
    <w:p w14:paraId="34D0287F" w14:textId="788B811A" w:rsidR="002068C0" w:rsidRDefault="005B63ED" w:rsidP="005B63ED">
      <w:pPr>
        <w:pStyle w:val="ListParagraph"/>
        <w:numPr>
          <w:ilvl w:val="0"/>
          <w:numId w:val="168"/>
        </w:numPr>
      </w:pPr>
      <w:r w:rsidRPr="005B63ED">
        <w:t>Met</w:t>
      </w:r>
    </w:p>
    <w:p w14:paraId="30AE6ACD" w14:textId="36C49B52" w:rsidR="002068C0" w:rsidRDefault="005B63ED" w:rsidP="005B63ED">
      <w:pPr>
        <w:pStyle w:val="ListParagraph"/>
        <w:numPr>
          <w:ilvl w:val="0"/>
          <w:numId w:val="168"/>
        </w:numPr>
      </w:pPr>
      <w:r w:rsidRPr="005B63ED">
        <w:t>Met</w:t>
      </w:r>
    </w:p>
    <w:p w14:paraId="2E440C12" w14:textId="77777777" w:rsidR="002068C0" w:rsidRPr="00617C76" w:rsidRDefault="002068C0" w:rsidP="002068C0">
      <w:pPr>
        <w:pStyle w:val="Heading5"/>
      </w:pPr>
      <w:r w:rsidRPr="00617C76">
        <w:t>Clause 32B:</w:t>
      </w:r>
    </w:p>
    <w:p w14:paraId="038FE0F7" w14:textId="3498A9D1" w:rsidR="002068C0" w:rsidRDefault="0015080D" w:rsidP="0015080D">
      <w:pPr>
        <w:pStyle w:val="ListParagraph"/>
        <w:numPr>
          <w:ilvl w:val="0"/>
          <w:numId w:val="169"/>
        </w:numPr>
      </w:pPr>
      <w:r w:rsidRPr="0015080D">
        <w:t>Not met</w:t>
      </w:r>
    </w:p>
    <w:p w14:paraId="41B60FB7" w14:textId="7E1A8A4E" w:rsidR="002068C0" w:rsidRDefault="0015080D" w:rsidP="0015080D">
      <w:pPr>
        <w:pStyle w:val="ListParagraph"/>
        <w:numPr>
          <w:ilvl w:val="0"/>
          <w:numId w:val="169"/>
        </w:numPr>
      </w:pPr>
      <w:r w:rsidRPr="0015080D">
        <w:t>Not met</w:t>
      </w:r>
    </w:p>
    <w:p w14:paraId="0085AADD" w14:textId="48092C92" w:rsidR="002068C0" w:rsidRDefault="0015080D" w:rsidP="0015080D">
      <w:pPr>
        <w:pStyle w:val="ListParagraph"/>
        <w:numPr>
          <w:ilvl w:val="0"/>
          <w:numId w:val="169"/>
        </w:numPr>
      </w:pPr>
      <w:r w:rsidRPr="0015080D">
        <w:t>Not met</w:t>
      </w:r>
    </w:p>
    <w:p w14:paraId="22F8896C" w14:textId="5E6F3E55" w:rsidR="002068C0" w:rsidRDefault="007D6A68" w:rsidP="0015080D">
      <w:pPr>
        <w:pStyle w:val="ListParagraph"/>
        <w:numPr>
          <w:ilvl w:val="0"/>
          <w:numId w:val="169"/>
        </w:numPr>
      </w:pPr>
      <w:r w:rsidRPr="007D6A68">
        <w:t>N/A</w:t>
      </w:r>
    </w:p>
    <w:p w14:paraId="33BCC35C" w14:textId="77777777" w:rsidR="002068C0" w:rsidRPr="00617C76" w:rsidRDefault="002068C0" w:rsidP="002068C0">
      <w:pPr>
        <w:pStyle w:val="Heading5"/>
      </w:pPr>
      <w:r w:rsidRPr="00617C76">
        <w:t>Clause 32C:</w:t>
      </w:r>
    </w:p>
    <w:p w14:paraId="6B9F7E91" w14:textId="3A87A68D" w:rsidR="002068C0" w:rsidRDefault="007D6A68" w:rsidP="007D6A68">
      <w:pPr>
        <w:pStyle w:val="ListParagraph"/>
        <w:numPr>
          <w:ilvl w:val="0"/>
          <w:numId w:val="170"/>
        </w:numPr>
      </w:pPr>
      <w:r w:rsidRPr="007D6A68">
        <w:t>Met</w:t>
      </w:r>
    </w:p>
    <w:p w14:paraId="60C77693" w14:textId="045C7226" w:rsidR="002068C0" w:rsidRDefault="007D6A68" w:rsidP="007D6A68">
      <w:pPr>
        <w:pStyle w:val="ListParagraph"/>
        <w:numPr>
          <w:ilvl w:val="0"/>
          <w:numId w:val="170"/>
        </w:numPr>
      </w:pPr>
      <w:r w:rsidRPr="007D6A68">
        <w:t>Met</w:t>
      </w:r>
    </w:p>
    <w:p w14:paraId="5F1CCB3A" w14:textId="53F52191" w:rsidR="002068C0" w:rsidRDefault="007D6A68" w:rsidP="007D6A68">
      <w:pPr>
        <w:pStyle w:val="ListParagraph"/>
        <w:numPr>
          <w:ilvl w:val="0"/>
          <w:numId w:val="170"/>
        </w:numPr>
      </w:pPr>
      <w:r w:rsidRPr="007D6A68">
        <w:t>Met</w:t>
      </w:r>
    </w:p>
    <w:p w14:paraId="6EAD6A80" w14:textId="56E0263F" w:rsidR="002068C0" w:rsidRDefault="007D6A68" w:rsidP="007D6A68">
      <w:pPr>
        <w:pStyle w:val="ListParagraph"/>
        <w:numPr>
          <w:ilvl w:val="0"/>
          <w:numId w:val="170"/>
        </w:numPr>
      </w:pPr>
      <w:r w:rsidRPr="007D6A68">
        <w:t>Met</w:t>
      </w:r>
    </w:p>
    <w:p w14:paraId="0DDBA910" w14:textId="5FF0EE8F" w:rsidR="002068C0" w:rsidRDefault="007D6A68" w:rsidP="007D6A68">
      <w:pPr>
        <w:pStyle w:val="ListParagraph"/>
        <w:numPr>
          <w:ilvl w:val="0"/>
          <w:numId w:val="170"/>
        </w:numPr>
      </w:pPr>
      <w:r w:rsidRPr="007D6A68">
        <w:t>Met</w:t>
      </w:r>
    </w:p>
    <w:p w14:paraId="3EF18854" w14:textId="4971238A" w:rsidR="002068C0" w:rsidRDefault="007D6A68" w:rsidP="007D6A68">
      <w:pPr>
        <w:pStyle w:val="ListParagraph"/>
        <w:numPr>
          <w:ilvl w:val="0"/>
          <w:numId w:val="170"/>
        </w:numPr>
      </w:pPr>
      <w:r w:rsidRPr="007D6A68">
        <w:t>Met</w:t>
      </w:r>
    </w:p>
    <w:p w14:paraId="5307DD39" w14:textId="3A76EC3B" w:rsidR="002068C0" w:rsidRDefault="007D6A68" w:rsidP="007D6A68">
      <w:pPr>
        <w:pStyle w:val="ListParagraph"/>
        <w:numPr>
          <w:ilvl w:val="0"/>
          <w:numId w:val="170"/>
        </w:numPr>
      </w:pPr>
      <w:r w:rsidRPr="007D6A68">
        <w:t>Met</w:t>
      </w:r>
    </w:p>
    <w:p w14:paraId="6FBEC452" w14:textId="77777777" w:rsidR="002068C0" w:rsidRPr="00617C76" w:rsidRDefault="002068C0" w:rsidP="002068C0">
      <w:pPr>
        <w:pStyle w:val="Heading5"/>
      </w:pPr>
      <w:r w:rsidRPr="00617C76">
        <w:t>Clause 33:</w:t>
      </w:r>
    </w:p>
    <w:p w14:paraId="047E7E38" w14:textId="09607990" w:rsidR="002068C0" w:rsidRDefault="007D6A68" w:rsidP="002068C0">
      <w:r w:rsidRPr="007D6A68">
        <w:t>Met</w:t>
      </w:r>
    </w:p>
    <w:p w14:paraId="03BCEAB6" w14:textId="77777777" w:rsidR="002068C0" w:rsidRDefault="002068C0" w:rsidP="002068C0">
      <w:pPr>
        <w:pStyle w:val="Heading4"/>
      </w:pPr>
      <w:r w:rsidRPr="00617C76">
        <w:t>Achievements over 2025</w:t>
      </w:r>
    </w:p>
    <w:p w14:paraId="7861B09F" w14:textId="77777777" w:rsidR="00C2307F" w:rsidRDefault="00C2307F" w:rsidP="00A456D4">
      <w:pPr>
        <w:pStyle w:val="ListParagraph"/>
        <w:numPr>
          <w:ilvl w:val="0"/>
          <w:numId w:val="171"/>
        </w:numPr>
      </w:pPr>
      <w:r w:rsidRPr="00C2307F">
        <w:t xml:space="preserve">The Partnership Agreement (2025 to 2028) is being developed, which formalises the EC partnership at the regional level, setting strategic shared priorities, expectations and accountability mechanisms between NIAA and EC leaders in the Cape York region. </w:t>
      </w:r>
    </w:p>
    <w:p w14:paraId="1D866756" w14:textId="77777777" w:rsidR="00C2307F" w:rsidRDefault="00C2307F" w:rsidP="00A456D4">
      <w:pPr>
        <w:pStyle w:val="ListParagraph"/>
        <w:numPr>
          <w:ilvl w:val="0"/>
          <w:numId w:val="171"/>
        </w:numPr>
      </w:pPr>
      <w:r w:rsidRPr="00C2307F">
        <w:lastRenderedPageBreak/>
        <w:t>An updated Regional Development Agenda was developed through multiple forums and engagement with Cape York community members, ensuring that development in Cape York is community</w:t>
      </w:r>
      <w:r w:rsidRPr="00C2307F">
        <w:noBreakHyphen/>
        <w:t>driven, regionally coordinated, culturally grounded and outcomes</w:t>
      </w:r>
      <w:r w:rsidRPr="00C2307F">
        <w:noBreakHyphen/>
        <w:t xml:space="preserve">focused. </w:t>
      </w:r>
    </w:p>
    <w:p w14:paraId="0184FCB9" w14:textId="37038808" w:rsidR="002068C0" w:rsidRPr="003E2721" w:rsidRDefault="00C2307F" w:rsidP="00A456D4">
      <w:pPr>
        <w:pStyle w:val="ListParagraph"/>
        <w:numPr>
          <w:ilvl w:val="0"/>
          <w:numId w:val="171"/>
        </w:numPr>
      </w:pPr>
      <w:r w:rsidRPr="00C2307F">
        <w:t xml:space="preserve">Cape York EC maintained engagement at the local level across communities such as Aurukun, Hope Vale, Kowanyama, Lockhart River, Mossman Gorge and </w:t>
      </w:r>
      <w:proofErr w:type="spellStart"/>
      <w:r w:rsidRPr="00C2307F">
        <w:t>Wujal</w:t>
      </w:r>
      <w:proofErr w:type="spellEnd"/>
      <w:r w:rsidRPr="00C2307F">
        <w:t xml:space="preserve"> </w:t>
      </w:r>
      <w:proofErr w:type="spellStart"/>
      <w:r w:rsidRPr="00C2307F">
        <w:t>Wujal</w:t>
      </w:r>
      <w:proofErr w:type="spellEnd"/>
      <w:r w:rsidRPr="00C2307F">
        <w:t>. The Cape York EC strengthened community members’ capabilities to engage in complex negotiations on behalf of their community, ensuring that communities have a say in decisions which impact them. This engagement supported the development of the regional development agenda, strategic and community development planning through workshop tools and data sharing to build capability of local champions and organisations, while collaborating with local leadership.</w:t>
      </w:r>
    </w:p>
    <w:p w14:paraId="03D74933" w14:textId="63831D1D" w:rsidR="002068C0" w:rsidRDefault="004B4D0D" w:rsidP="002068C0">
      <w:pPr>
        <w:pStyle w:val="Heading3"/>
      </w:pPr>
      <w:bookmarkStart w:id="53" w:name="_Toc225506075"/>
      <w:r w:rsidRPr="004B4D0D">
        <w:t>Empowered Communities (EC) – Central Coast</w:t>
      </w:r>
      <w:bookmarkEnd w:id="53"/>
    </w:p>
    <w:p w14:paraId="751FE458" w14:textId="77777777" w:rsidR="002068C0" w:rsidRDefault="002068C0" w:rsidP="002068C0">
      <w:pPr>
        <w:pStyle w:val="Heading4"/>
      </w:pPr>
      <w:r w:rsidRPr="00617C76">
        <w:t>Partnership description</w:t>
      </w:r>
    </w:p>
    <w:p w14:paraId="6387F45C" w14:textId="370B088A" w:rsidR="002068C0" w:rsidRPr="00D9276C" w:rsidRDefault="004B4D0D" w:rsidP="002068C0">
      <w:r w:rsidRPr="004B4D0D">
        <w:t>One of 10 EC regions, this is an Aboriginal and Torres Strait Islander designed and led place</w:t>
      </w:r>
      <w:r w:rsidRPr="004B4D0D">
        <w:noBreakHyphen/>
        <w:t>based reform partnership with government, underpinned by a commitment to First Nations empowerment, development and productivity. This partnership empowers the Aboriginal and Torres Strait Islander community on Darkinjung country to drive systemic reform through community</w:t>
      </w:r>
      <w:r w:rsidRPr="004B4D0D">
        <w:noBreakHyphen/>
        <w:t>led decision making with government and advocacy for change that best meets the needs of the community.</w:t>
      </w:r>
    </w:p>
    <w:p w14:paraId="71B658F1" w14:textId="77777777" w:rsidR="002068C0" w:rsidRDefault="002068C0" w:rsidP="002068C0">
      <w:pPr>
        <w:pStyle w:val="Heading4"/>
      </w:pPr>
      <w:r w:rsidRPr="00DF6278">
        <w:t>Aboriginal and Torres Strait Islander parties</w:t>
      </w:r>
    </w:p>
    <w:p w14:paraId="7B7F087D" w14:textId="1D989D83" w:rsidR="002068C0" w:rsidRPr="00B27ADE" w:rsidRDefault="005A5826" w:rsidP="002068C0">
      <w:r w:rsidRPr="00B27ADE">
        <w:t>Barang Regional Alliance Limited (Barang)</w:t>
      </w:r>
      <w:r w:rsidR="00E0660A">
        <w:t xml:space="preserve"> (endorsing partner)</w:t>
      </w:r>
    </w:p>
    <w:p w14:paraId="537595D3" w14:textId="77777777" w:rsidR="002068C0" w:rsidRPr="00617C76" w:rsidRDefault="002068C0" w:rsidP="002068C0">
      <w:pPr>
        <w:pStyle w:val="Heading4"/>
      </w:pPr>
      <w:r w:rsidRPr="00617C76">
        <w:t>Government parties</w:t>
      </w:r>
    </w:p>
    <w:p w14:paraId="6101A794" w14:textId="77777777" w:rsidR="002068C0" w:rsidRDefault="002068C0" w:rsidP="002068C0">
      <w:pPr>
        <w:pStyle w:val="Heading5"/>
      </w:pPr>
      <w:r w:rsidRPr="00115C74">
        <w:t xml:space="preserve">COMMONWEALTH PARTIES </w:t>
      </w:r>
    </w:p>
    <w:p w14:paraId="1786B023" w14:textId="25FA973C" w:rsidR="002068C0" w:rsidRPr="00B27ADE" w:rsidRDefault="00726766" w:rsidP="002068C0">
      <w:r w:rsidRPr="00B27ADE">
        <w:t>National Indigenous Australians Agency (NIAA)</w:t>
      </w:r>
      <w:r w:rsidR="00E0660A">
        <w:t xml:space="preserve"> (endorsing partner)</w:t>
      </w:r>
    </w:p>
    <w:p w14:paraId="251FDA40" w14:textId="77777777" w:rsidR="002068C0" w:rsidRPr="00115C74" w:rsidRDefault="002068C0" w:rsidP="002068C0">
      <w:pPr>
        <w:pStyle w:val="Heading5"/>
      </w:pPr>
      <w:r w:rsidRPr="00115C74">
        <w:t xml:space="preserve">STATE AND TERRITORY PARTIES </w:t>
      </w:r>
    </w:p>
    <w:p w14:paraId="5204912E" w14:textId="77777777" w:rsidR="002068C0" w:rsidRPr="00617C76" w:rsidRDefault="002068C0" w:rsidP="002068C0">
      <w:r>
        <w:t>N/A</w:t>
      </w:r>
    </w:p>
    <w:p w14:paraId="144279F0" w14:textId="77777777" w:rsidR="002068C0" w:rsidRPr="00617C76" w:rsidRDefault="002068C0" w:rsidP="002068C0">
      <w:pPr>
        <w:pStyle w:val="Heading4"/>
      </w:pPr>
      <w:r w:rsidRPr="00617C76">
        <w:t>Priority Reforms and Socio-economic Outcomes</w:t>
      </w:r>
    </w:p>
    <w:p w14:paraId="73863386" w14:textId="77777777" w:rsidR="00DE5ED8" w:rsidRDefault="00726766" w:rsidP="002068C0">
      <w:r w:rsidRPr="00726766">
        <w:t xml:space="preserve">Priority Reform 1 </w:t>
      </w:r>
    </w:p>
    <w:p w14:paraId="34C57820" w14:textId="77777777" w:rsidR="00DE5ED8" w:rsidRDefault="00726766" w:rsidP="002068C0">
      <w:r w:rsidRPr="00726766">
        <w:t xml:space="preserve">Priority Reform 2 </w:t>
      </w:r>
    </w:p>
    <w:p w14:paraId="4D476B52" w14:textId="77777777" w:rsidR="00DE5ED8" w:rsidRDefault="00726766" w:rsidP="002068C0">
      <w:r w:rsidRPr="00726766">
        <w:t xml:space="preserve">Priority Reform 3 </w:t>
      </w:r>
    </w:p>
    <w:p w14:paraId="692BFBF0" w14:textId="77777777" w:rsidR="00DE5ED8" w:rsidRDefault="00726766" w:rsidP="002068C0">
      <w:r w:rsidRPr="00726766">
        <w:t xml:space="preserve">Priority Reform 4 </w:t>
      </w:r>
    </w:p>
    <w:p w14:paraId="0C30D803" w14:textId="77777777" w:rsidR="00DE5ED8" w:rsidRDefault="00726766" w:rsidP="002068C0">
      <w:r w:rsidRPr="00726766">
        <w:t xml:space="preserve">Outcome 1 </w:t>
      </w:r>
    </w:p>
    <w:p w14:paraId="2B67BD79" w14:textId="77777777" w:rsidR="00DE5ED8" w:rsidRDefault="00726766" w:rsidP="002068C0">
      <w:r w:rsidRPr="00726766">
        <w:t>Outcome 2</w:t>
      </w:r>
    </w:p>
    <w:p w14:paraId="3838AAFF" w14:textId="641ED6E9" w:rsidR="00DE5ED8" w:rsidRDefault="00726766" w:rsidP="002068C0">
      <w:r w:rsidRPr="00726766">
        <w:t>Outcome 3</w:t>
      </w:r>
    </w:p>
    <w:p w14:paraId="5E53C34A" w14:textId="0E27A301" w:rsidR="00DE5ED8" w:rsidRDefault="00726766" w:rsidP="002068C0">
      <w:r w:rsidRPr="00726766">
        <w:t>Outcome 4</w:t>
      </w:r>
    </w:p>
    <w:p w14:paraId="6E77A005" w14:textId="77777777" w:rsidR="00DE5ED8" w:rsidRDefault="00726766" w:rsidP="002068C0">
      <w:r w:rsidRPr="00726766">
        <w:t>Outcome 5</w:t>
      </w:r>
    </w:p>
    <w:p w14:paraId="6B502955" w14:textId="77777777" w:rsidR="00DE5ED8" w:rsidRDefault="00726766" w:rsidP="002068C0">
      <w:r w:rsidRPr="00726766">
        <w:t>Outcome 6</w:t>
      </w:r>
    </w:p>
    <w:p w14:paraId="75C47932" w14:textId="77777777" w:rsidR="00DE5ED8" w:rsidRDefault="00726766" w:rsidP="002068C0">
      <w:r w:rsidRPr="00726766">
        <w:t>Outcome 7</w:t>
      </w:r>
    </w:p>
    <w:p w14:paraId="72DA3605" w14:textId="77777777" w:rsidR="00DE5ED8" w:rsidRDefault="00DE5ED8" w:rsidP="002068C0">
      <w:r w:rsidRPr="00DE5ED8">
        <w:t>Outcome 8</w:t>
      </w:r>
    </w:p>
    <w:p w14:paraId="28E98BB0" w14:textId="77777777" w:rsidR="00DE5ED8" w:rsidRDefault="00DE5ED8" w:rsidP="002068C0">
      <w:r w:rsidRPr="00DE5ED8">
        <w:lastRenderedPageBreak/>
        <w:t>Outcome 9</w:t>
      </w:r>
    </w:p>
    <w:p w14:paraId="601CDB3E" w14:textId="77777777" w:rsidR="00DE5ED8" w:rsidRDefault="00DE5ED8" w:rsidP="002068C0">
      <w:r w:rsidRPr="00DE5ED8">
        <w:t>Outcome 10</w:t>
      </w:r>
    </w:p>
    <w:p w14:paraId="554D407C" w14:textId="77777777" w:rsidR="00DE5ED8" w:rsidRDefault="00DE5ED8" w:rsidP="002068C0">
      <w:r w:rsidRPr="00DE5ED8">
        <w:t>Outcome 11</w:t>
      </w:r>
    </w:p>
    <w:p w14:paraId="6A1D0FF5" w14:textId="77777777" w:rsidR="00DE5ED8" w:rsidRDefault="00DE5ED8" w:rsidP="002068C0">
      <w:r w:rsidRPr="00DE5ED8">
        <w:t>Outcome 12</w:t>
      </w:r>
    </w:p>
    <w:p w14:paraId="50B6C182" w14:textId="77777777" w:rsidR="00DE5ED8" w:rsidRDefault="00DE5ED8" w:rsidP="002068C0">
      <w:r w:rsidRPr="00DE5ED8">
        <w:t>Outcome 13</w:t>
      </w:r>
    </w:p>
    <w:p w14:paraId="4EFE81F3" w14:textId="77777777" w:rsidR="00DE5ED8" w:rsidRDefault="00DE5ED8" w:rsidP="002068C0">
      <w:r w:rsidRPr="00DE5ED8">
        <w:t>Outcome 14</w:t>
      </w:r>
    </w:p>
    <w:p w14:paraId="004B6698" w14:textId="77777777" w:rsidR="00DE5ED8" w:rsidRDefault="00DE5ED8" w:rsidP="002068C0">
      <w:r w:rsidRPr="00DE5ED8">
        <w:t>Outcome 15</w:t>
      </w:r>
    </w:p>
    <w:p w14:paraId="22D75DA6" w14:textId="77777777" w:rsidR="00DE5ED8" w:rsidRDefault="00DE5ED8" w:rsidP="002068C0">
      <w:r w:rsidRPr="00DE5ED8">
        <w:t>Outcome 16</w:t>
      </w:r>
    </w:p>
    <w:p w14:paraId="554CB910" w14:textId="3BD2D8E3" w:rsidR="002068C0" w:rsidRPr="007C35F3" w:rsidRDefault="00DE5ED8" w:rsidP="002068C0">
      <w:r w:rsidRPr="00DE5ED8">
        <w:t>Outcome 17</w:t>
      </w:r>
    </w:p>
    <w:p w14:paraId="7B648296" w14:textId="77777777" w:rsidR="002068C0" w:rsidRPr="00617C76" w:rsidRDefault="002068C0" w:rsidP="002068C0">
      <w:pPr>
        <w:pStyle w:val="Heading4"/>
      </w:pPr>
      <w:r w:rsidRPr="00617C76">
        <w:t>Partnership function</w:t>
      </w:r>
    </w:p>
    <w:p w14:paraId="14221275" w14:textId="77777777" w:rsidR="00D44C0E" w:rsidRDefault="00D5203C" w:rsidP="002068C0">
      <w:r w:rsidRPr="00D5203C">
        <w:t xml:space="preserve">Policy </w:t>
      </w:r>
    </w:p>
    <w:p w14:paraId="59F2A449" w14:textId="07604ACB" w:rsidR="002068C0" w:rsidRPr="00617C76" w:rsidRDefault="00D5203C" w:rsidP="002068C0">
      <w:r w:rsidRPr="00D5203C">
        <w:t>Place</w:t>
      </w:r>
      <w:r w:rsidRPr="00D5203C">
        <w:noBreakHyphen/>
        <w:t>based</w:t>
      </w:r>
    </w:p>
    <w:p w14:paraId="4C955EA8" w14:textId="77777777" w:rsidR="002068C0" w:rsidRPr="00617C76" w:rsidRDefault="002068C0" w:rsidP="002068C0">
      <w:pPr>
        <w:pStyle w:val="Heading4"/>
      </w:pPr>
      <w:r w:rsidRPr="00617C76">
        <w:t>Partnership timeframe</w:t>
      </w:r>
    </w:p>
    <w:p w14:paraId="195D4094" w14:textId="3ADBC0B4" w:rsidR="002068C0" w:rsidRPr="00617C76" w:rsidRDefault="00BC0FE8" w:rsidP="002068C0">
      <w:r w:rsidRPr="00BC0FE8">
        <w:t>2015 to 2028</w:t>
      </w:r>
    </w:p>
    <w:p w14:paraId="298336AC" w14:textId="77777777" w:rsidR="002068C0" w:rsidRDefault="002068C0" w:rsidP="002068C0">
      <w:pPr>
        <w:pStyle w:val="Heading4"/>
      </w:pPr>
      <w:r w:rsidRPr="00617C76">
        <w:t>Actions taken to strengthen the partnership in 2025</w:t>
      </w:r>
    </w:p>
    <w:p w14:paraId="787ADAD7" w14:textId="77777777" w:rsidR="00D71F92" w:rsidRDefault="00D71F92" w:rsidP="002068C0">
      <w:r w:rsidRPr="00D71F92">
        <w:t>The next 3 years’ funding to EC will provide an opportunity to practically enact best</w:t>
      </w:r>
      <w:r w:rsidRPr="00D71F92">
        <w:noBreakHyphen/>
        <w:t xml:space="preserve">practice principles of partnership within the broader reform context. </w:t>
      </w:r>
    </w:p>
    <w:p w14:paraId="01CE6FFF" w14:textId="77777777" w:rsidR="00DD3A7F" w:rsidRDefault="00D71F92" w:rsidP="002068C0">
      <w:r w:rsidRPr="00D71F92">
        <w:t xml:space="preserve">Regional leaders have prepared development agendas which articulate a strategic commitment to further the priorities specific to each region in line with the underpinning principle of subsidiarity. </w:t>
      </w:r>
    </w:p>
    <w:p w14:paraId="2C7A340F" w14:textId="77777777" w:rsidR="00DD3A7F" w:rsidRDefault="00D71F92" w:rsidP="002068C0">
      <w:r w:rsidRPr="00D71F92">
        <w:t>For a strong and effective partnership, it is essential that both government and First Nations partners reflect on the partnership itself and, importantly, on what it will ultimately deliver on</w:t>
      </w:r>
      <w:r w:rsidRPr="00D71F92">
        <w:noBreakHyphen/>
        <w:t>the</w:t>
      </w:r>
      <w:r w:rsidRPr="00D71F92">
        <w:noBreakHyphen/>
        <w:t xml:space="preserve">ground for Aboriginal and Torres Strait Islander people over the next 3 years. </w:t>
      </w:r>
    </w:p>
    <w:p w14:paraId="29D53436" w14:textId="67AB2A14" w:rsidR="002068C0" w:rsidRPr="00D9276C" w:rsidRDefault="00D71F92" w:rsidP="002068C0">
      <w:r w:rsidRPr="00D71F92">
        <w:t>The process of refreshing local partnership agreements has strengthened the relationship between the parties and will support future progress against the shared priorities contained in the development agendas.</w:t>
      </w:r>
    </w:p>
    <w:p w14:paraId="7340B948" w14:textId="77777777" w:rsidR="002068C0" w:rsidRPr="00617C76" w:rsidRDefault="002068C0" w:rsidP="002068C0">
      <w:pPr>
        <w:pStyle w:val="Heading4"/>
      </w:pPr>
      <w:r w:rsidRPr="00617C76">
        <w:t>Strong partnership indicators</w:t>
      </w:r>
    </w:p>
    <w:p w14:paraId="1510EBCE" w14:textId="77777777" w:rsidR="002068C0" w:rsidRPr="00617C76" w:rsidRDefault="002068C0" w:rsidP="002068C0">
      <w:pPr>
        <w:pStyle w:val="Heading5"/>
      </w:pPr>
      <w:r w:rsidRPr="00617C76">
        <w:t>Clause 32A:</w:t>
      </w:r>
    </w:p>
    <w:p w14:paraId="4532FFFF" w14:textId="674AED1A" w:rsidR="002068C0" w:rsidRDefault="00265884" w:rsidP="00265884">
      <w:pPr>
        <w:pStyle w:val="ListParagraph"/>
        <w:numPr>
          <w:ilvl w:val="0"/>
          <w:numId w:val="172"/>
        </w:numPr>
      </w:pPr>
      <w:r w:rsidRPr="00265884">
        <w:t>Met</w:t>
      </w:r>
    </w:p>
    <w:p w14:paraId="5093C263" w14:textId="740826B0" w:rsidR="002068C0" w:rsidRDefault="00265884" w:rsidP="00265884">
      <w:pPr>
        <w:pStyle w:val="ListParagraph"/>
        <w:numPr>
          <w:ilvl w:val="0"/>
          <w:numId w:val="172"/>
        </w:numPr>
      </w:pPr>
      <w:r w:rsidRPr="00265884">
        <w:t>Met</w:t>
      </w:r>
    </w:p>
    <w:p w14:paraId="4F952741" w14:textId="68DE7661" w:rsidR="002068C0" w:rsidRDefault="00265884" w:rsidP="00265884">
      <w:pPr>
        <w:pStyle w:val="ListParagraph"/>
        <w:numPr>
          <w:ilvl w:val="0"/>
          <w:numId w:val="172"/>
        </w:numPr>
      </w:pPr>
      <w:r w:rsidRPr="00265884">
        <w:t>Met</w:t>
      </w:r>
    </w:p>
    <w:p w14:paraId="280FD9E8" w14:textId="77777777" w:rsidR="002068C0" w:rsidRPr="00617C76" w:rsidRDefault="002068C0" w:rsidP="002068C0">
      <w:pPr>
        <w:pStyle w:val="Heading5"/>
      </w:pPr>
      <w:r w:rsidRPr="00617C76">
        <w:t>Clause 32B:</w:t>
      </w:r>
    </w:p>
    <w:p w14:paraId="03276556" w14:textId="1460BAC6" w:rsidR="002068C0" w:rsidRDefault="00265884" w:rsidP="00265884">
      <w:pPr>
        <w:pStyle w:val="ListParagraph"/>
        <w:numPr>
          <w:ilvl w:val="0"/>
          <w:numId w:val="173"/>
        </w:numPr>
      </w:pPr>
      <w:r w:rsidRPr="00265884">
        <w:t>Met</w:t>
      </w:r>
    </w:p>
    <w:p w14:paraId="196755BB" w14:textId="2B2B58C7" w:rsidR="002068C0" w:rsidRDefault="00265884" w:rsidP="00265884">
      <w:pPr>
        <w:pStyle w:val="ListParagraph"/>
        <w:numPr>
          <w:ilvl w:val="0"/>
          <w:numId w:val="173"/>
        </w:numPr>
      </w:pPr>
      <w:r w:rsidRPr="00265884">
        <w:t>Met</w:t>
      </w:r>
    </w:p>
    <w:p w14:paraId="2C50B756" w14:textId="092461E4" w:rsidR="002068C0" w:rsidRDefault="00265884" w:rsidP="00265884">
      <w:pPr>
        <w:pStyle w:val="ListParagraph"/>
        <w:numPr>
          <w:ilvl w:val="0"/>
          <w:numId w:val="173"/>
        </w:numPr>
      </w:pPr>
      <w:r>
        <w:t>Not met</w:t>
      </w:r>
    </w:p>
    <w:p w14:paraId="2F9624E7" w14:textId="4A726510" w:rsidR="002068C0" w:rsidRDefault="00BB3376" w:rsidP="00265884">
      <w:pPr>
        <w:pStyle w:val="ListParagraph"/>
        <w:numPr>
          <w:ilvl w:val="0"/>
          <w:numId w:val="173"/>
        </w:numPr>
      </w:pPr>
      <w:r w:rsidRPr="00BB3376">
        <w:t>N/A</w:t>
      </w:r>
    </w:p>
    <w:p w14:paraId="2E127069" w14:textId="77777777" w:rsidR="002068C0" w:rsidRPr="00617C76" w:rsidRDefault="002068C0" w:rsidP="002068C0">
      <w:pPr>
        <w:pStyle w:val="Heading5"/>
      </w:pPr>
      <w:r w:rsidRPr="00617C76">
        <w:t>Clause 32C:</w:t>
      </w:r>
    </w:p>
    <w:p w14:paraId="146F325B" w14:textId="25DD3685" w:rsidR="002068C0" w:rsidRDefault="00265884" w:rsidP="00265884">
      <w:pPr>
        <w:pStyle w:val="ListParagraph"/>
        <w:numPr>
          <w:ilvl w:val="0"/>
          <w:numId w:val="174"/>
        </w:numPr>
      </w:pPr>
      <w:r w:rsidRPr="00265884">
        <w:t>Met</w:t>
      </w:r>
    </w:p>
    <w:p w14:paraId="08EB881B" w14:textId="1FBF0DBB" w:rsidR="002068C0" w:rsidRDefault="00265884" w:rsidP="00265884">
      <w:pPr>
        <w:pStyle w:val="ListParagraph"/>
        <w:numPr>
          <w:ilvl w:val="0"/>
          <w:numId w:val="174"/>
        </w:numPr>
      </w:pPr>
      <w:r w:rsidRPr="00265884">
        <w:t>Met</w:t>
      </w:r>
    </w:p>
    <w:p w14:paraId="4ED12C61" w14:textId="23629206" w:rsidR="002068C0" w:rsidRDefault="00265884" w:rsidP="00265884">
      <w:pPr>
        <w:pStyle w:val="ListParagraph"/>
        <w:numPr>
          <w:ilvl w:val="0"/>
          <w:numId w:val="174"/>
        </w:numPr>
      </w:pPr>
      <w:r w:rsidRPr="00265884">
        <w:lastRenderedPageBreak/>
        <w:t>Met</w:t>
      </w:r>
    </w:p>
    <w:p w14:paraId="49A06466" w14:textId="08E53D53" w:rsidR="002068C0" w:rsidRDefault="00265884" w:rsidP="00265884">
      <w:pPr>
        <w:pStyle w:val="ListParagraph"/>
        <w:numPr>
          <w:ilvl w:val="0"/>
          <w:numId w:val="174"/>
        </w:numPr>
      </w:pPr>
      <w:r w:rsidRPr="00265884">
        <w:t>Met</w:t>
      </w:r>
    </w:p>
    <w:p w14:paraId="29386AC2" w14:textId="69C4A91E" w:rsidR="002068C0" w:rsidRDefault="00265884" w:rsidP="00265884">
      <w:pPr>
        <w:pStyle w:val="ListParagraph"/>
        <w:numPr>
          <w:ilvl w:val="0"/>
          <w:numId w:val="174"/>
        </w:numPr>
      </w:pPr>
      <w:r w:rsidRPr="00265884">
        <w:t>Met</w:t>
      </w:r>
    </w:p>
    <w:p w14:paraId="746455D0" w14:textId="51089522" w:rsidR="002068C0" w:rsidRDefault="00265884" w:rsidP="00265884">
      <w:pPr>
        <w:pStyle w:val="ListParagraph"/>
        <w:numPr>
          <w:ilvl w:val="0"/>
          <w:numId w:val="174"/>
        </w:numPr>
      </w:pPr>
      <w:r w:rsidRPr="00265884">
        <w:t>Met</w:t>
      </w:r>
    </w:p>
    <w:p w14:paraId="483CF563" w14:textId="1E4E6CB0" w:rsidR="002068C0" w:rsidRDefault="00265884" w:rsidP="00265884">
      <w:pPr>
        <w:pStyle w:val="ListParagraph"/>
        <w:numPr>
          <w:ilvl w:val="0"/>
          <w:numId w:val="174"/>
        </w:numPr>
      </w:pPr>
      <w:r w:rsidRPr="00265884">
        <w:t>Met</w:t>
      </w:r>
    </w:p>
    <w:p w14:paraId="659EB54C" w14:textId="77777777" w:rsidR="002068C0" w:rsidRPr="00617C76" w:rsidRDefault="002068C0" w:rsidP="002068C0">
      <w:pPr>
        <w:pStyle w:val="Heading5"/>
      </w:pPr>
      <w:r w:rsidRPr="00617C76">
        <w:t>Clause 33:</w:t>
      </w:r>
    </w:p>
    <w:p w14:paraId="149E18C0" w14:textId="241C2473" w:rsidR="002068C0" w:rsidRDefault="00265884" w:rsidP="002068C0">
      <w:r w:rsidRPr="00265884">
        <w:t>Met</w:t>
      </w:r>
    </w:p>
    <w:p w14:paraId="1028460F" w14:textId="77777777" w:rsidR="002068C0" w:rsidRDefault="002068C0" w:rsidP="002068C0">
      <w:pPr>
        <w:pStyle w:val="Heading4"/>
      </w:pPr>
      <w:r w:rsidRPr="00617C76">
        <w:t>Achievements over 2025</w:t>
      </w:r>
    </w:p>
    <w:p w14:paraId="2037E41C" w14:textId="77777777" w:rsidR="00E701CE" w:rsidRDefault="00E701CE" w:rsidP="00E701CE">
      <w:pPr>
        <w:pStyle w:val="ListParagraph"/>
        <w:numPr>
          <w:ilvl w:val="0"/>
          <w:numId w:val="175"/>
        </w:numPr>
      </w:pPr>
      <w:r w:rsidRPr="00E701CE">
        <w:t xml:space="preserve">A refreshed Local Partnership Agreement (2025 to 2028) has been finalised, which formalised the EC partnership at the local level, setting strategic shared priorities, expectations and accountability mechanisms between NIAA and EC leaders in the Central Coast region. </w:t>
      </w:r>
    </w:p>
    <w:p w14:paraId="16BA0940" w14:textId="77777777" w:rsidR="00E701CE" w:rsidRDefault="00E701CE" w:rsidP="00E701CE">
      <w:pPr>
        <w:pStyle w:val="ListParagraph"/>
        <w:numPr>
          <w:ilvl w:val="0"/>
          <w:numId w:val="175"/>
        </w:numPr>
      </w:pPr>
      <w:r w:rsidRPr="00E701CE">
        <w:t>Barang and NIAA began work together to explore available data linkages in the Health and Wellbeing sector to better understand regional investment. This will help inform a Central Coast Health and Wellbeing Development Map.</w:t>
      </w:r>
    </w:p>
    <w:p w14:paraId="256B9CFB" w14:textId="77777777" w:rsidR="00E701CE" w:rsidRDefault="00E701CE" w:rsidP="00E701CE">
      <w:pPr>
        <w:pStyle w:val="ListParagraph"/>
        <w:numPr>
          <w:ilvl w:val="0"/>
          <w:numId w:val="175"/>
        </w:numPr>
      </w:pPr>
      <w:r w:rsidRPr="00E701CE">
        <w:t>Through deep engagement with the community, the Regional Development Agenda was updated to reflect community priorities and to ensure transparency and responsiveness to community.</w:t>
      </w:r>
    </w:p>
    <w:p w14:paraId="350BA1EB" w14:textId="77777777" w:rsidR="00E701CE" w:rsidRDefault="00E701CE" w:rsidP="00E701CE">
      <w:pPr>
        <w:pStyle w:val="ListParagraph"/>
        <w:numPr>
          <w:ilvl w:val="0"/>
          <w:numId w:val="175"/>
        </w:numPr>
      </w:pPr>
      <w:r w:rsidRPr="00E701CE">
        <w:t xml:space="preserve">A key milestone for Barang has been the increased visibility and growth of the alliance, with the inclusion of Connected Beginnings within the backbone structure, serving to strengthen their collective impact. </w:t>
      </w:r>
    </w:p>
    <w:p w14:paraId="74146BC9" w14:textId="2BC1634F" w:rsidR="002068C0" w:rsidRPr="003E2721" w:rsidRDefault="00E701CE" w:rsidP="00E701CE">
      <w:pPr>
        <w:pStyle w:val="ListParagraph"/>
        <w:numPr>
          <w:ilvl w:val="0"/>
          <w:numId w:val="175"/>
        </w:numPr>
      </w:pPr>
      <w:r w:rsidRPr="00E701CE">
        <w:t>Youth leadership and inclusion are a core pillar of the Regional Development Agenda. Barang’s youth representatives connected with peers and key decision</w:t>
      </w:r>
      <w:r w:rsidRPr="00E701CE">
        <w:noBreakHyphen/>
        <w:t>makers, including the New South Wales Premier, in the New South Wales Parliament Youth Aboriginal Leaders Program. They also attended the 2025 AIATSIS Summit, further connecting Barang’s youth agenda with national conversations on cultural, governance and policy priorities.</w:t>
      </w:r>
    </w:p>
    <w:p w14:paraId="60E19098" w14:textId="19F55D27" w:rsidR="002068C0" w:rsidRDefault="00EE5F13" w:rsidP="002068C0">
      <w:pPr>
        <w:pStyle w:val="Heading3"/>
      </w:pPr>
      <w:bookmarkStart w:id="54" w:name="_Toc225506076"/>
      <w:r w:rsidRPr="00EE5F13">
        <w:t>Empowered Communities (EC) – East Kimberley</w:t>
      </w:r>
      <w:bookmarkEnd w:id="54"/>
    </w:p>
    <w:p w14:paraId="4874F70D" w14:textId="77777777" w:rsidR="002068C0" w:rsidRDefault="002068C0" w:rsidP="002068C0">
      <w:pPr>
        <w:pStyle w:val="Heading4"/>
      </w:pPr>
      <w:r w:rsidRPr="00617C76">
        <w:t>Partnership description</w:t>
      </w:r>
    </w:p>
    <w:p w14:paraId="4A3693C6" w14:textId="38011542" w:rsidR="002068C0" w:rsidRPr="00D9276C" w:rsidRDefault="002F6726" w:rsidP="002068C0">
      <w:r w:rsidRPr="002F6726">
        <w:t>One of 10 EC regions, this is an Aboriginal and Torres Strait Islander designed and led place</w:t>
      </w:r>
      <w:r w:rsidRPr="002F6726">
        <w:rPr>
          <w:rFonts w:ascii="Cambria Math" w:hAnsi="Cambria Math" w:cs="Cambria Math"/>
        </w:rPr>
        <w:t>‑</w:t>
      </w:r>
      <w:r w:rsidRPr="002F6726">
        <w:t>based reform partnership with government, underpinned by a commitment to First Nations empowerment, development and productivity. This partnership in the East Kimberley region aims to improve enduring and sustainable outcomes for Aboriginal and Torres Strait Islander people in a self</w:t>
      </w:r>
      <w:r w:rsidRPr="002F6726">
        <w:rPr>
          <w:rFonts w:ascii="Cambria Math" w:hAnsi="Cambria Math" w:cs="Cambria Math"/>
        </w:rPr>
        <w:t>‑</w:t>
      </w:r>
      <w:r w:rsidRPr="002F6726">
        <w:t>determining way.</w:t>
      </w:r>
    </w:p>
    <w:p w14:paraId="2ACFFBE8" w14:textId="77777777" w:rsidR="002068C0" w:rsidRDefault="002068C0" w:rsidP="002068C0">
      <w:pPr>
        <w:pStyle w:val="Heading4"/>
      </w:pPr>
      <w:r w:rsidRPr="00DF6278">
        <w:t>Aboriginal and Torres Strait Islander parties</w:t>
      </w:r>
    </w:p>
    <w:p w14:paraId="07FFB91E" w14:textId="726DE04D" w:rsidR="002068C0" w:rsidRPr="00B27ADE" w:rsidRDefault="005F7F03" w:rsidP="002068C0">
      <w:proofErr w:type="spellStart"/>
      <w:r w:rsidRPr="00B27ADE">
        <w:t>Binarri</w:t>
      </w:r>
      <w:r w:rsidRPr="00B27ADE">
        <w:noBreakHyphen/>
        <w:t>Binyja</w:t>
      </w:r>
      <w:proofErr w:type="spellEnd"/>
      <w:r w:rsidRPr="00B27ADE">
        <w:t xml:space="preserve"> </w:t>
      </w:r>
      <w:proofErr w:type="spellStart"/>
      <w:r w:rsidRPr="00B27ADE">
        <w:t>Yarrawoo</w:t>
      </w:r>
      <w:proofErr w:type="spellEnd"/>
      <w:r w:rsidRPr="00B27ADE">
        <w:t xml:space="preserve"> Aboriginal Corporation (BBY)</w:t>
      </w:r>
      <w:r w:rsidR="00122136">
        <w:t xml:space="preserve"> (endorsing partner)</w:t>
      </w:r>
    </w:p>
    <w:p w14:paraId="786D7276" w14:textId="77777777" w:rsidR="002068C0" w:rsidRPr="00617C76" w:rsidRDefault="002068C0" w:rsidP="002068C0">
      <w:pPr>
        <w:pStyle w:val="Heading4"/>
      </w:pPr>
      <w:r w:rsidRPr="00617C76">
        <w:t>Government parties</w:t>
      </w:r>
    </w:p>
    <w:p w14:paraId="19CD0C69" w14:textId="77777777" w:rsidR="002068C0" w:rsidRDefault="002068C0" w:rsidP="002068C0">
      <w:pPr>
        <w:pStyle w:val="Heading5"/>
      </w:pPr>
      <w:r w:rsidRPr="00115C74">
        <w:t xml:space="preserve">COMMONWEALTH PARTIES </w:t>
      </w:r>
    </w:p>
    <w:p w14:paraId="6A61CF37" w14:textId="5633190F" w:rsidR="002068C0" w:rsidRPr="00B27ADE" w:rsidRDefault="005F7F03" w:rsidP="002068C0">
      <w:r w:rsidRPr="00B27ADE">
        <w:t>National Indigenous Australians Agency (NIAA)</w:t>
      </w:r>
      <w:r w:rsidR="00122136">
        <w:t xml:space="preserve"> (endorsing partner)</w:t>
      </w:r>
    </w:p>
    <w:p w14:paraId="45575E3A" w14:textId="77777777" w:rsidR="002068C0" w:rsidRPr="00115C74" w:rsidRDefault="002068C0" w:rsidP="002068C0">
      <w:pPr>
        <w:pStyle w:val="Heading5"/>
      </w:pPr>
      <w:r w:rsidRPr="00115C74">
        <w:t xml:space="preserve">STATE AND TERRITORY PARTIES </w:t>
      </w:r>
    </w:p>
    <w:p w14:paraId="43C6AA77" w14:textId="77777777" w:rsidR="002068C0" w:rsidRPr="00617C76" w:rsidRDefault="002068C0" w:rsidP="002068C0">
      <w:r>
        <w:t>N/A</w:t>
      </w:r>
    </w:p>
    <w:p w14:paraId="37867770" w14:textId="77777777" w:rsidR="002068C0" w:rsidRPr="00617C76" w:rsidRDefault="002068C0" w:rsidP="002068C0">
      <w:pPr>
        <w:pStyle w:val="Heading4"/>
      </w:pPr>
      <w:r w:rsidRPr="00617C76">
        <w:t>Priority Reforms and Socio-economic Outcomes</w:t>
      </w:r>
    </w:p>
    <w:p w14:paraId="2BDAEB56" w14:textId="77777777" w:rsidR="00001AA5" w:rsidRDefault="00001AA5" w:rsidP="002068C0">
      <w:r w:rsidRPr="00001AA5">
        <w:t xml:space="preserve">Priority Reform 1 </w:t>
      </w:r>
    </w:p>
    <w:p w14:paraId="647DFAF7" w14:textId="77777777" w:rsidR="00001AA5" w:rsidRDefault="00001AA5" w:rsidP="002068C0">
      <w:r w:rsidRPr="00001AA5">
        <w:t>Priority Reform 2</w:t>
      </w:r>
    </w:p>
    <w:p w14:paraId="03E30686" w14:textId="77777777" w:rsidR="00001AA5" w:rsidRDefault="00001AA5" w:rsidP="002068C0">
      <w:r w:rsidRPr="00001AA5">
        <w:t>Priority Reform 3</w:t>
      </w:r>
    </w:p>
    <w:p w14:paraId="7B4B133D" w14:textId="77777777" w:rsidR="00001AA5" w:rsidRDefault="00001AA5" w:rsidP="002068C0">
      <w:r w:rsidRPr="00001AA5">
        <w:lastRenderedPageBreak/>
        <w:t>Priority Reform 4</w:t>
      </w:r>
    </w:p>
    <w:p w14:paraId="231AC4AC" w14:textId="77777777" w:rsidR="00001AA5" w:rsidRDefault="00001AA5" w:rsidP="002068C0">
      <w:r w:rsidRPr="00001AA5">
        <w:t xml:space="preserve">Outcome 1 </w:t>
      </w:r>
    </w:p>
    <w:p w14:paraId="40577FD2" w14:textId="77777777" w:rsidR="00001AA5" w:rsidRDefault="00001AA5" w:rsidP="002068C0">
      <w:r w:rsidRPr="00001AA5">
        <w:t xml:space="preserve">Outcome 2 </w:t>
      </w:r>
    </w:p>
    <w:p w14:paraId="6A634077" w14:textId="77777777" w:rsidR="00001AA5" w:rsidRDefault="00001AA5" w:rsidP="002068C0">
      <w:r w:rsidRPr="00001AA5">
        <w:t xml:space="preserve">Outcome 3 </w:t>
      </w:r>
    </w:p>
    <w:p w14:paraId="11DAD186" w14:textId="77777777" w:rsidR="00001AA5" w:rsidRDefault="00001AA5" w:rsidP="002068C0">
      <w:r w:rsidRPr="00001AA5">
        <w:t xml:space="preserve">Outcome 4 </w:t>
      </w:r>
    </w:p>
    <w:p w14:paraId="554D7F9D" w14:textId="77777777" w:rsidR="00001AA5" w:rsidRDefault="00001AA5" w:rsidP="002068C0">
      <w:r w:rsidRPr="00001AA5">
        <w:t xml:space="preserve">Outcome 5 </w:t>
      </w:r>
    </w:p>
    <w:p w14:paraId="516EA0F5" w14:textId="77777777" w:rsidR="00001AA5" w:rsidRDefault="00001AA5" w:rsidP="002068C0">
      <w:r w:rsidRPr="00001AA5">
        <w:t xml:space="preserve">Outcome 6 </w:t>
      </w:r>
    </w:p>
    <w:p w14:paraId="3CA0E638" w14:textId="1925926A" w:rsidR="002068C0" w:rsidRPr="007C35F3" w:rsidRDefault="00001AA5" w:rsidP="002068C0">
      <w:r w:rsidRPr="00001AA5">
        <w:t>Outcome 7</w:t>
      </w:r>
    </w:p>
    <w:p w14:paraId="79040DF4" w14:textId="77777777" w:rsidR="00FD44BC" w:rsidRDefault="00FD44BC" w:rsidP="002068C0">
      <w:r w:rsidRPr="00FD44BC">
        <w:t xml:space="preserve">Outcome 8 </w:t>
      </w:r>
    </w:p>
    <w:p w14:paraId="098CD54B" w14:textId="77777777" w:rsidR="00FD44BC" w:rsidRDefault="00FD44BC" w:rsidP="002068C0">
      <w:r w:rsidRPr="00FD44BC">
        <w:t xml:space="preserve">Outcome 9 </w:t>
      </w:r>
    </w:p>
    <w:p w14:paraId="6338246C" w14:textId="77777777" w:rsidR="00FD44BC" w:rsidRDefault="00FD44BC" w:rsidP="002068C0">
      <w:r w:rsidRPr="00FD44BC">
        <w:t>Outcome 10</w:t>
      </w:r>
    </w:p>
    <w:p w14:paraId="37696FA1" w14:textId="77777777" w:rsidR="00FD44BC" w:rsidRDefault="00FD44BC" w:rsidP="002068C0">
      <w:r w:rsidRPr="00FD44BC">
        <w:t>Outcome 11</w:t>
      </w:r>
    </w:p>
    <w:p w14:paraId="34F03FBE" w14:textId="77777777" w:rsidR="00FD44BC" w:rsidRDefault="00FD44BC" w:rsidP="002068C0">
      <w:r w:rsidRPr="00FD44BC">
        <w:t>Outcome 12</w:t>
      </w:r>
    </w:p>
    <w:p w14:paraId="57554B18" w14:textId="77777777" w:rsidR="00FD44BC" w:rsidRDefault="00FD44BC" w:rsidP="002068C0">
      <w:r w:rsidRPr="00FD44BC">
        <w:t>Outcome 13</w:t>
      </w:r>
    </w:p>
    <w:p w14:paraId="0CB228A7" w14:textId="77777777" w:rsidR="00FD44BC" w:rsidRDefault="00FD44BC" w:rsidP="002068C0">
      <w:r w:rsidRPr="00FD44BC">
        <w:t>Outcome 14</w:t>
      </w:r>
    </w:p>
    <w:p w14:paraId="4D4844CF" w14:textId="77777777" w:rsidR="00FD44BC" w:rsidRDefault="00FD44BC" w:rsidP="002068C0">
      <w:r w:rsidRPr="00FD44BC">
        <w:t>Outcome 15</w:t>
      </w:r>
    </w:p>
    <w:p w14:paraId="794D2C23" w14:textId="77777777" w:rsidR="00FD44BC" w:rsidRDefault="00FD44BC" w:rsidP="002068C0">
      <w:r w:rsidRPr="00FD44BC">
        <w:t>Outcome 16</w:t>
      </w:r>
    </w:p>
    <w:p w14:paraId="18F2F3B7" w14:textId="43AA5A0B" w:rsidR="00FD44BC" w:rsidRPr="007C35F3" w:rsidRDefault="00FD44BC" w:rsidP="002068C0">
      <w:r w:rsidRPr="00FD44BC">
        <w:t>Outcome 17</w:t>
      </w:r>
    </w:p>
    <w:p w14:paraId="03ACC6B8" w14:textId="77777777" w:rsidR="002068C0" w:rsidRPr="00617C76" w:rsidRDefault="002068C0" w:rsidP="002068C0">
      <w:pPr>
        <w:pStyle w:val="Heading4"/>
      </w:pPr>
      <w:r w:rsidRPr="00617C76">
        <w:t>Partnership function</w:t>
      </w:r>
    </w:p>
    <w:p w14:paraId="6A987C53" w14:textId="77777777" w:rsidR="00E126FB" w:rsidRDefault="00E126FB" w:rsidP="002068C0">
      <w:r w:rsidRPr="00E126FB">
        <w:t xml:space="preserve">Policy </w:t>
      </w:r>
    </w:p>
    <w:p w14:paraId="16502231" w14:textId="21AFA6A3" w:rsidR="002068C0" w:rsidRPr="00617C76" w:rsidRDefault="00E126FB" w:rsidP="002068C0">
      <w:r w:rsidRPr="00E126FB">
        <w:t>Place</w:t>
      </w:r>
      <w:r w:rsidRPr="00E126FB">
        <w:noBreakHyphen/>
        <w:t>based</w:t>
      </w:r>
    </w:p>
    <w:p w14:paraId="1B3C5EC3" w14:textId="77777777" w:rsidR="002068C0" w:rsidRPr="00617C76" w:rsidRDefault="002068C0" w:rsidP="002068C0">
      <w:pPr>
        <w:pStyle w:val="Heading4"/>
      </w:pPr>
      <w:r w:rsidRPr="00617C76">
        <w:t>Partnership timeframe</w:t>
      </w:r>
    </w:p>
    <w:p w14:paraId="760C11B7" w14:textId="0DDB21ED" w:rsidR="002068C0" w:rsidRPr="00617C76" w:rsidRDefault="000F29F4" w:rsidP="002068C0">
      <w:r w:rsidRPr="000F29F4">
        <w:t>2015 to 2028</w:t>
      </w:r>
    </w:p>
    <w:p w14:paraId="48108022" w14:textId="77777777" w:rsidR="002068C0" w:rsidRDefault="002068C0" w:rsidP="002068C0">
      <w:pPr>
        <w:pStyle w:val="Heading4"/>
      </w:pPr>
      <w:r w:rsidRPr="00617C76">
        <w:t>Actions taken to strengthen the partnership in 2025</w:t>
      </w:r>
    </w:p>
    <w:p w14:paraId="6AFB34DF" w14:textId="77777777" w:rsidR="008734CA" w:rsidRDefault="008734CA" w:rsidP="002068C0">
      <w:r w:rsidRPr="008734CA">
        <w:t>The next 3 years’ funding to EC provides an opportunity to practically enact best</w:t>
      </w:r>
      <w:r w:rsidRPr="008734CA">
        <w:noBreakHyphen/>
        <w:t xml:space="preserve">practice principles of partnership within the broader reform context. </w:t>
      </w:r>
    </w:p>
    <w:p w14:paraId="1C3AC7C5" w14:textId="77777777" w:rsidR="008734CA" w:rsidRDefault="008734CA" w:rsidP="002068C0">
      <w:r w:rsidRPr="008734CA">
        <w:t xml:space="preserve">Regional leaders have prepared development agendas which articulate a strategic commitment to further the priorities specific to each region in line with the underpinning principle of subsidiarity. </w:t>
      </w:r>
    </w:p>
    <w:p w14:paraId="4AA0D57B" w14:textId="77777777" w:rsidR="008734CA" w:rsidRDefault="008734CA" w:rsidP="002068C0">
      <w:r w:rsidRPr="008734CA">
        <w:t>For a strong and effective partnership, it is essential that both government and First Nations partners reflect on the partnership itself and, importantly, on what it will ultimately deliver on</w:t>
      </w:r>
      <w:r w:rsidRPr="008734CA">
        <w:noBreakHyphen/>
        <w:t>the</w:t>
      </w:r>
      <w:r w:rsidRPr="008734CA">
        <w:noBreakHyphen/>
        <w:t xml:space="preserve">ground for Aboriginal and Torres Strait Islander people over the next 3 years. </w:t>
      </w:r>
    </w:p>
    <w:p w14:paraId="3C106C7F" w14:textId="160EA371" w:rsidR="002068C0" w:rsidRPr="00D9276C" w:rsidRDefault="008734CA" w:rsidP="002068C0">
      <w:r w:rsidRPr="008734CA">
        <w:t>The process of refreshing local partnership agreements has strengthened the relationship between the parties and will support future progress against the shared priorities contained in the development agendas.</w:t>
      </w:r>
    </w:p>
    <w:p w14:paraId="5D1F1D4D" w14:textId="77777777" w:rsidR="002068C0" w:rsidRPr="00617C76" w:rsidRDefault="002068C0" w:rsidP="002068C0">
      <w:pPr>
        <w:pStyle w:val="Heading4"/>
      </w:pPr>
      <w:r w:rsidRPr="00617C76">
        <w:lastRenderedPageBreak/>
        <w:t>Strong partnership indicators</w:t>
      </w:r>
    </w:p>
    <w:p w14:paraId="0DB3F2A9" w14:textId="77777777" w:rsidR="002068C0" w:rsidRPr="00617C76" w:rsidRDefault="002068C0" w:rsidP="002068C0">
      <w:pPr>
        <w:pStyle w:val="Heading5"/>
      </w:pPr>
      <w:r w:rsidRPr="00617C76">
        <w:t>Clause 32A:</w:t>
      </w:r>
    </w:p>
    <w:p w14:paraId="4B70EF26" w14:textId="5A331494" w:rsidR="002068C0" w:rsidRDefault="005831C5" w:rsidP="008734CA">
      <w:pPr>
        <w:pStyle w:val="ListParagraph"/>
        <w:numPr>
          <w:ilvl w:val="0"/>
          <w:numId w:val="176"/>
        </w:numPr>
      </w:pPr>
      <w:r w:rsidRPr="005831C5">
        <w:t>Met</w:t>
      </w:r>
    </w:p>
    <w:p w14:paraId="46934FA8" w14:textId="5D896817" w:rsidR="002068C0" w:rsidRDefault="005831C5" w:rsidP="008734CA">
      <w:pPr>
        <w:pStyle w:val="ListParagraph"/>
        <w:numPr>
          <w:ilvl w:val="0"/>
          <w:numId w:val="176"/>
        </w:numPr>
      </w:pPr>
      <w:r w:rsidRPr="005831C5">
        <w:t>Met</w:t>
      </w:r>
    </w:p>
    <w:p w14:paraId="1C63CB7B" w14:textId="2E33654B" w:rsidR="002068C0" w:rsidRDefault="005831C5" w:rsidP="008734CA">
      <w:pPr>
        <w:pStyle w:val="ListParagraph"/>
        <w:numPr>
          <w:ilvl w:val="0"/>
          <w:numId w:val="176"/>
        </w:numPr>
      </w:pPr>
      <w:r w:rsidRPr="005831C5">
        <w:t>Met</w:t>
      </w:r>
    </w:p>
    <w:p w14:paraId="3B81F34B" w14:textId="77777777" w:rsidR="002068C0" w:rsidRPr="00617C76" w:rsidRDefault="002068C0" w:rsidP="002068C0">
      <w:pPr>
        <w:pStyle w:val="Heading5"/>
      </w:pPr>
      <w:r w:rsidRPr="00617C76">
        <w:t>Clause 32B:</w:t>
      </w:r>
    </w:p>
    <w:p w14:paraId="035F5446" w14:textId="3E480136" w:rsidR="002068C0" w:rsidRDefault="005831C5" w:rsidP="008734CA">
      <w:pPr>
        <w:pStyle w:val="ListParagraph"/>
        <w:numPr>
          <w:ilvl w:val="0"/>
          <w:numId w:val="177"/>
        </w:numPr>
      </w:pPr>
      <w:r w:rsidRPr="005831C5">
        <w:t>Met</w:t>
      </w:r>
    </w:p>
    <w:p w14:paraId="7B30B49A" w14:textId="45DB2963" w:rsidR="002068C0" w:rsidRDefault="005831C5" w:rsidP="008734CA">
      <w:pPr>
        <w:pStyle w:val="ListParagraph"/>
        <w:numPr>
          <w:ilvl w:val="0"/>
          <w:numId w:val="177"/>
        </w:numPr>
      </w:pPr>
      <w:r w:rsidRPr="005831C5">
        <w:t>Met</w:t>
      </w:r>
    </w:p>
    <w:p w14:paraId="168D7A79" w14:textId="62E8E8E8" w:rsidR="002068C0" w:rsidRDefault="001A634F" w:rsidP="008734CA">
      <w:pPr>
        <w:pStyle w:val="ListParagraph"/>
        <w:numPr>
          <w:ilvl w:val="0"/>
          <w:numId w:val="177"/>
        </w:numPr>
      </w:pPr>
      <w:r w:rsidRPr="001A634F">
        <w:t>Not met</w:t>
      </w:r>
    </w:p>
    <w:p w14:paraId="4CA0379E" w14:textId="09E8FEC0" w:rsidR="002068C0" w:rsidRDefault="001A634F" w:rsidP="008734CA">
      <w:pPr>
        <w:pStyle w:val="ListParagraph"/>
        <w:numPr>
          <w:ilvl w:val="0"/>
          <w:numId w:val="177"/>
        </w:numPr>
      </w:pPr>
      <w:r w:rsidRPr="001A634F">
        <w:t>N/A</w:t>
      </w:r>
    </w:p>
    <w:p w14:paraId="39828310" w14:textId="77777777" w:rsidR="002068C0" w:rsidRPr="00617C76" w:rsidRDefault="002068C0" w:rsidP="002068C0">
      <w:pPr>
        <w:pStyle w:val="Heading5"/>
      </w:pPr>
      <w:r w:rsidRPr="00617C76">
        <w:t>Clause 32C:</w:t>
      </w:r>
    </w:p>
    <w:p w14:paraId="5EEACE68" w14:textId="0D228591" w:rsidR="002068C0" w:rsidRDefault="005831C5" w:rsidP="005831C5">
      <w:pPr>
        <w:pStyle w:val="ListParagraph"/>
        <w:numPr>
          <w:ilvl w:val="0"/>
          <w:numId w:val="178"/>
        </w:numPr>
      </w:pPr>
      <w:r w:rsidRPr="005831C5">
        <w:t>Met</w:t>
      </w:r>
    </w:p>
    <w:p w14:paraId="70FD6490" w14:textId="53CFF061" w:rsidR="002068C0" w:rsidRDefault="005831C5" w:rsidP="005831C5">
      <w:pPr>
        <w:pStyle w:val="ListParagraph"/>
        <w:numPr>
          <w:ilvl w:val="0"/>
          <w:numId w:val="178"/>
        </w:numPr>
      </w:pPr>
      <w:r w:rsidRPr="005831C5">
        <w:t>Met</w:t>
      </w:r>
    </w:p>
    <w:p w14:paraId="4407E106" w14:textId="6BC896F3" w:rsidR="002068C0" w:rsidRDefault="005831C5" w:rsidP="005831C5">
      <w:pPr>
        <w:pStyle w:val="ListParagraph"/>
        <w:numPr>
          <w:ilvl w:val="0"/>
          <w:numId w:val="178"/>
        </w:numPr>
      </w:pPr>
      <w:r w:rsidRPr="005831C5">
        <w:t>Met</w:t>
      </w:r>
    </w:p>
    <w:p w14:paraId="7D506EA1" w14:textId="5C694FA0" w:rsidR="002068C0" w:rsidRDefault="005831C5" w:rsidP="005831C5">
      <w:pPr>
        <w:pStyle w:val="ListParagraph"/>
        <w:numPr>
          <w:ilvl w:val="0"/>
          <w:numId w:val="178"/>
        </w:numPr>
      </w:pPr>
      <w:r w:rsidRPr="005831C5">
        <w:t>Met</w:t>
      </w:r>
    </w:p>
    <w:p w14:paraId="11B11352" w14:textId="29B8CA55" w:rsidR="002068C0" w:rsidRDefault="005831C5" w:rsidP="005831C5">
      <w:pPr>
        <w:pStyle w:val="ListParagraph"/>
        <w:numPr>
          <w:ilvl w:val="0"/>
          <w:numId w:val="178"/>
        </w:numPr>
      </w:pPr>
      <w:r w:rsidRPr="005831C5">
        <w:t>Met</w:t>
      </w:r>
    </w:p>
    <w:p w14:paraId="513EFBF1" w14:textId="3C95BE21" w:rsidR="002068C0" w:rsidRDefault="005831C5" w:rsidP="005831C5">
      <w:pPr>
        <w:pStyle w:val="ListParagraph"/>
        <w:numPr>
          <w:ilvl w:val="0"/>
          <w:numId w:val="178"/>
        </w:numPr>
      </w:pPr>
      <w:r w:rsidRPr="005831C5">
        <w:t>Met</w:t>
      </w:r>
    </w:p>
    <w:p w14:paraId="78542D81" w14:textId="5C1690C9" w:rsidR="002068C0" w:rsidRDefault="005831C5" w:rsidP="005831C5">
      <w:pPr>
        <w:pStyle w:val="ListParagraph"/>
        <w:numPr>
          <w:ilvl w:val="0"/>
          <w:numId w:val="178"/>
        </w:numPr>
      </w:pPr>
      <w:r w:rsidRPr="005831C5">
        <w:t>Met</w:t>
      </w:r>
    </w:p>
    <w:p w14:paraId="5062AFB7" w14:textId="77777777" w:rsidR="002068C0" w:rsidRPr="00617C76" w:rsidRDefault="002068C0" w:rsidP="002068C0">
      <w:pPr>
        <w:pStyle w:val="Heading5"/>
      </w:pPr>
      <w:r w:rsidRPr="00617C76">
        <w:t>Clause 33:</w:t>
      </w:r>
    </w:p>
    <w:p w14:paraId="74FBD113" w14:textId="1F8B6C5B" w:rsidR="002068C0" w:rsidRDefault="005831C5" w:rsidP="002068C0">
      <w:r w:rsidRPr="005831C5">
        <w:t>Met</w:t>
      </w:r>
    </w:p>
    <w:p w14:paraId="7B90BEAF" w14:textId="77777777" w:rsidR="002068C0" w:rsidRDefault="002068C0" w:rsidP="002068C0">
      <w:pPr>
        <w:pStyle w:val="Heading4"/>
      </w:pPr>
      <w:r w:rsidRPr="00617C76">
        <w:t>Achievements over 2025</w:t>
      </w:r>
    </w:p>
    <w:p w14:paraId="5B2A97A4" w14:textId="77777777" w:rsidR="005F1722" w:rsidRDefault="005F1722" w:rsidP="005C666C">
      <w:pPr>
        <w:pStyle w:val="ListParagraph"/>
        <w:numPr>
          <w:ilvl w:val="0"/>
          <w:numId w:val="179"/>
        </w:numPr>
      </w:pPr>
      <w:r w:rsidRPr="005F1722">
        <w:t>A refreshed Local Partnership Agreement (2025 to 2028) was finalised, formalising the EC partnership at the local level, setting strategic shared priorities, expectations and accountability mechanisms between NIAA and EC leaders in the East Kimberley region.</w:t>
      </w:r>
    </w:p>
    <w:p w14:paraId="1B9096DA" w14:textId="77777777" w:rsidR="005F1722" w:rsidRDefault="005F1722" w:rsidP="005C666C">
      <w:pPr>
        <w:pStyle w:val="ListParagraph"/>
        <w:numPr>
          <w:ilvl w:val="0"/>
          <w:numId w:val="179"/>
        </w:numPr>
      </w:pPr>
      <w:r w:rsidRPr="005F1722">
        <w:t xml:space="preserve">The Regional Development Agenda (RDA), a dynamic and evolving document, was updated based on consultation and listening to community and stakeholders. This input is gathered through Local Management Committees, which convene 4 times a year in each of the 4 regions: Kununurra, Halls Creek, Wyndham and </w:t>
      </w:r>
      <w:proofErr w:type="spellStart"/>
      <w:r w:rsidRPr="005F1722">
        <w:t>Kalumburu</w:t>
      </w:r>
      <w:proofErr w:type="spellEnd"/>
      <w:r w:rsidRPr="005F1722">
        <w:t>.</w:t>
      </w:r>
    </w:p>
    <w:p w14:paraId="383299D5" w14:textId="77777777" w:rsidR="005F1722" w:rsidRDefault="005F1722" w:rsidP="005C666C">
      <w:pPr>
        <w:pStyle w:val="ListParagraph"/>
        <w:numPr>
          <w:ilvl w:val="0"/>
          <w:numId w:val="179"/>
        </w:numPr>
      </w:pPr>
      <w:r w:rsidRPr="005F1722">
        <w:t>An RDA barometer tool is under development, which is a monitoring and evaluating tool that will be used to track progress on priorities; measure change over time in key economic and social indicators; identify strengths, challenges and emerging trends in the region; and inform decision</w:t>
      </w:r>
      <w:r w:rsidRPr="005F1722">
        <w:noBreakHyphen/>
        <w:t>making for policy, investment and project development.</w:t>
      </w:r>
    </w:p>
    <w:p w14:paraId="7AF03848" w14:textId="3A2BAA57" w:rsidR="002068C0" w:rsidRPr="003E2721" w:rsidRDefault="005F1722" w:rsidP="005C666C">
      <w:pPr>
        <w:pStyle w:val="ListParagraph"/>
        <w:numPr>
          <w:ilvl w:val="0"/>
          <w:numId w:val="179"/>
        </w:numPr>
      </w:pPr>
      <w:r w:rsidRPr="005F1722">
        <w:t>Co</w:t>
      </w:r>
      <w:r w:rsidRPr="005F1722">
        <w:noBreakHyphen/>
        <w:t>design workshops were conducted where community members and key stakeholders were brought together to identify local priorities and gaps in current service deliveries—in relation to available funding opportunities. Through these workshops, BBY supported communities in co</w:t>
      </w:r>
      <w:r w:rsidRPr="005F1722">
        <w:noBreakHyphen/>
        <w:t>designing future services and programs, tailored to their communities’ specific needs.</w:t>
      </w:r>
    </w:p>
    <w:p w14:paraId="2485AF97" w14:textId="6FEAC7B5" w:rsidR="002068C0" w:rsidRDefault="009C458F" w:rsidP="002068C0">
      <w:pPr>
        <w:pStyle w:val="Heading3"/>
      </w:pPr>
      <w:bookmarkStart w:id="55" w:name="_Toc225506077"/>
      <w:r w:rsidRPr="009C458F">
        <w:t>Empowered Communities (EC) – Far West Community Partnerships (FWCP)</w:t>
      </w:r>
      <w:bookmarkEnd w:id="55"/>
    </w:p>
    <w:p w14:paraId="37ADF319" w14:textId="77777777" w:rsidR="002068C0" w:rsidRDefault="002068C0" w:rsidP="002068C0">
      <w:pPr>
        <w:pStyle w:val="Heading4"/>
      </w:pPr>
      <w:r w:rsidRPr="00617C76">
        <w:t>Partnership description</w:t>
      </w:r>
    </w:p>
    <w:p w14:paraId="2753C540" w14:textId="1A59AD55" w:rsidR="002068C0" w:rsidRPr="00D9276C" w:rsidRDefault="00E1426A" w:rsidP="002068C0">
      <w:r w:rsidRPr="00E1426A">
        <w:t>One of 10 EC regions, this is an Aboriginal and Torres Strait Islander designed and led place</w:t>
      </w:r>
      <w:r w:rsidRPr="00E1426A">
        <w:noBreakHyphen/>
        <w:t>based reform partnership with 3 tiers of government, underpinned by a commitment to First Nations empowerment, development and productivity. FWCP is a facilitator of community</w:t>
      </w:r>
      <w:r w:rsidRPr="00E1426A">
        <w:noBreakHyphen/>
        <w:t xml:space="preserve">led social change in the Far West Communities of Ceduna, </w:t>
      </w:r>
      <w:proofErr w:type="spellStart"/>
      <w:r w:rsidRPr="00E1426A">
        <w:t>Koonibba</w:t>
      </w:r>
      <w:proofErr w:type="spellEnd"/>
      <w:r w:rsidRPr="00E1426A">
        <w:t xml:space="preserve">, </w:t>
      </w:r>
      <w:proofErr w:type="spellStart"/>
      <w:r w:rsidRPr="00E1426A">
        <w:t>Scotdesco</w:t>
      </w:r>
      <w:proofErr w:type="spellEnd"/>
      <w:r w:rsidRPr="00E1426A">
        <w:t>, Yalata and Oak Valley.</w:t>
      </w:r>
    </w:p>
    <w:p w14:paraId="53C2E072" w14:textId="77777777" w:rsidR="002068C0" w:rsidRDefault="002068C0" w:rsidP="002068C0">
      <w:pPr>
        <w:pStyle w:val="Heading4"/>
      </w:pPr>
      <w:r w:rsidRPr="00DF6278">
        <w:lastRenderedPageBreak/>
        <w:t>Aboriginal and Torres Strait Islander parties</w:t>
      </w:r>
    </w:p>
    <w:p w14:paraId="76295817" w14:textId="36D82C1E" w:rsidR="002068C0" w:rsidRPr="00B27ADE" w:rsidRDefault="005400E1" w:rsidP="002068C0">
      <w:r w:rsidRPr="00B27ADE">
        <w:t>Far West Community Partnerships (FWCP)</w:t>
      </w:r>
      <w:r w:rsidR="00122136">
        <w:t xml:space="preserve"> (endorsing partner)</w:t>
      </w:r>
    </w:p>
    <w:p w14:paraId="2B257307" w14:textId="77777777" w:rsidR="002068C0" w:rsidRPr="00617C76" w:rsidRDefault="002068C0" w:rsidP="002068C0">
      <w:pPr>
        <w:pStyle w:val="Heading4"/>
      </w:pPr>
      <w:r w:rsidRPr="00617C76">
        <w:t>Government parties</w:t>
      </w:r>
    </w:p>
    <w:p w14:paraId="56BA9302" w14:textId="77777777" w:rsidR="002068C0" w:rsidRDefault="002068C0" w:rsidP="002068C0">
      <w:pPr>
        <w:pStyle w:val="Heading5"/>
      </w:pPr>
      <w:r w:rsidRPr="00115C74">
        <w:t xml:space="preserve">COMMONWEALTH PARTIES </w:t>
      </w:r>
    </w:p>
    <w:p w14:paraId="4EA687CC" w14:textId="6F55B145" w:rsidR="002068C0" w:rsidRPr="00B27ADE" w:rsidRDefault="00DB7688" w:rsidP="002068C0">
      <w:r w:rsidRPr="00B27ADE">
        <w:t>National Indigenous Australians Agency (NIAA)</w:t>
      </w:r>
      <w:r w:rsidR="00122136">
        <w:t xml:space="preserve"> (endorsing partner)</w:t>
      </w:r>
    </w:p>
    <w:p w14:paraId="655BFD3F" w14:textId="3D72075A" w:rsidR="00DB7688" w:rsidRPr="00DB7688" w:rsidRDefault="00F910B0" w:rsidP="002068C0">
      <w:r w:rsidRPr="00F910B0">
        <w:t>Department of Social Services (DSS)</w:t>
      </w:r>
    </w:p>
    <w:p w14:paraId="65B46F4E" w14:textId="77777777" w:rsidR="002068C0" w:rsidRPr="00115C74" w:rsidRDefault="002068C0" w:rsidP="002068C0">
      <w:pPr>
        <w:pStyle w:val="Heading5"/>
      </w:pPr>
      <w:r w:rsidRPr="00115C74">
        <w:t xml:space="preserve">STATE AND TERRITORY PARTIES </w:t>
      </w:r>
    </w:p>
    <w:p w14:paraId="561EE724" w14:textId="729EB600" w:rsidR="002068C0" w:rsidRPr="00617C76" w:rsidRDefault="00F910B0" w:rsidP="002068C0">
      <w:r w:rsidRPr="00F910B0">
        <w:t>Department of Human Services (South Australia)</w:t>
      </w:r>
    </w:p>
    <w:p w14:paraId="7A9627D1" w14:textId="77777777" w:rsidR="002068C0" w:rsidRPr="00617C76" w:rsidRDefault="002068C0" w:rsidP="002068C0">
      <w:pPr>
        <w:pStyle w:val="Heading4"/>
      </w:pPr>
      <w:r w:rsidRPr="00617C76">
        <w:t>Priority Reforms and Socio-economic Outcomes</w:t>
      </w:r>
    </w:p>
    <w:p w14:paraId="4188A309" w14:textId="77777777" w:rsidR="003445A6" w:rsidRDefault="003445A6" w:rsidP="002068C0">
      <w:r w:rsidRPr="003445A6">
        <w:t>Priority Reform 1</w:t>
      </w:r>
    </w:p>
    <w:p w14:paraId="05B2D222" w14:textId="77777777" w:rsidR="003445A6" w:rsidRDefault="003445A6" w:rsidP="002068C0">
      <w:r w:rsidRPr="003445A6">
        <w:t>Priority Reform 2</w:t>
      </w:r>
    </w:p>
    <w:p w14:paraId="6B849164" w14:textId="77777777" w:rsidR="003445A6" w:rsidRDefault="003445A6" w:rsidP="002068C0">
      <w:r w:rsidRPr="003445A6">
        <w:t>Priority Reform 3</w:t>
      </w:r>
    </w:p>
    <w:p w14:paraId="17A5FCEB" w14:textId="77777777" w:rsidR="003445A6" w:rsidRDefault="003445A6" w:rsidP="002068C0">
      <w:r w:rsidRPr="003445A6">
        <w:t>Priority Reform 4</w:t>
      </w:r>
    </w:p>
    <w:p w14:paraId="0035228A" w14:textId="77777777" w:rsidR="003445A6" w:rsidRDefault="003445A6" w:rsidP="002068C0">
      <w:r w:rsidRPr="003445A6">
        <w:t>Outcome 1</w:t>
      </w:r>
    </w:p>
    <w:p w14:paraId="31A651DC" w14:textId="77777777" w:rsidR="000303BB" w:rsidRDefault="003445A6" w:rsidP="002068C0">
      <w:r w:rsidRPr="003445A6">
        <w:t xml:space="preserve">Outcome 2 </w:t>
      </w:r>
    </w:p>
    <w:p w14:paraId="791E3434" w14:textId="77777777" w:rsidR="000303BB" w:rsidRDefault="003445A6" w:rsidP="002068C0">
      <w:r w:rsidRPr="003445A6">
        <w:t xml:space="preserve">Outcome 3 </w:t>
      </w:r>
    </w:p>
    <w:p w14:paraId="36C45585" w14:textId="77777777" w:rsidR="000303BB" w:rsidRDefault="003445A6" w:rsidP="002068C0">
      <w:r w:rsidRPr="003445A6">
        <w:t xml:space="preserve">Outcome 4 </w:t>
      </w:r>
    </w:p>
    <w:p w14:paraId="32708B3F" w14:textId="77777777" w:rsidR="000303BB" w:rsidRDefault="003445A6" w:rsidP="002068C0">
      <w:r w:rsidRPr="003445A6">
        <w:t xml:space="preserve">Outcome 5 </w:t>
      </w:r>
    </w:p>
    <w:p w14:paraId="2598E8FF" w14:textId="77777777" w:rsidR="000303BB" w:rsidRDefault="003445A6" w:rsidP="002068C0">
      <w:r w:rsidRPr="003445A6">
        <w:t xml:space="preserve">Outcome 6 </w:t>
      </w:r>
    </w:p>
    <w:p w14:paraId="675048A2" w14:textId="09D214DF" w:rsidR="000303BB" w:rsidRDefault="003445A6" w:rsidP="002068C0">
      <w:r w:rsidRPr="003445A6">
        <w:t xml:space="preserve">Outcome 7 </w:t>
      </w:r>
    </w:p>
    <w:p w14:paraId="0C4C9B22" w14:textId="77777777" w:rsidR="000303BB" w:rsidRDefault="003445A6" w:rsidP="002068C0">
      <w:r w:rsidRPr="003445A6">
        <w:t xml:space="preserve">Outcome 8 </w:t>
      </w:r>
    </w:p>
    <w:p w14:paraId="6E46409C" w14:textId="77777777" w:rsidR="000303BB" w:rsidRDefault="003445A6" w:rsidP="002068C0">
      <w:r w:rsidRPr="003445A6">
        <w:t xml:space="preserve">Outcome 9 </w:t>
      </w:r>
    </w:p>
    <w:p w14:paraId="0F444C2E" w14:textId="77777777" w:rsidR="000303BB" w:rsidRDefault="003445A6" w:rsidP="002068C0">
      <w:r w:rsidRPr="003445A6">
        <w:t xml:space="preserve">Outcome 10 </w:t>
      </w:r>
    </w:p>
    <w:p w14:paraId="74B4DBAB" w14:textId="77777777" w:rsidR="000303BB" w:rsidRDefault="003445A6" w:rsidP="002068C0">
      <w:r w:rsidRPr="003445A6">
        <w:t xml:space="preserve">Outcome 11 </w:t>
      </w:r>
    </w:p>
    <w:p w14:paraId="40F4F073" w14:textId="77777777" w:rsidR="000303BB" w:rsidRDefault="003445A6" w:rsidP="002068C0">
      <w:r w:rsidRPr="003445A6">
        <w:t xml:space="preserve">Outcome 12 </w:t>
      </w:r>
    </w:p>
    <w:p w14:paraId="4F57CB19" w14:textId="77777777" w:rsidR="000303BB" w:rsidRDefault="003445A6" w:rsidP="002068C0">
      <w:r w:rsidRPr="003445A6">
        <w:t xml:space="preserve">Outcome 13 </w:t>
      </w:r>
    </w:p>
    <w:p w14:paraId="7B1B8D4E" w14:textId="77777777" w:rsidR="000303BB" w:rsidRDefault="003445A6" w:rsidP="002068C0">
      <w:r w:rsidRPr="003445A6">
        <w:t xml:space="preserve">Outcome 14 </w:t>
      </w:r>
    </w:p>
    <w:p w14:paraId="4EEBB0C7" w14:textId="77777777" w:rsidR="000303BB" w:rsidRDefault="003445A6" w:rsidP="002068C0">
      <w:r w:rsidRPr="003445A6">
        <w:t xml:space="preserve">Outcome 15 </w:t>
      </w:r>
    </w:p>
    <w:p w14:paraId="17681268" w14:textId="77777777" w:rsidR="000303BB" w:rsidRDefault="003445A6" w:rsidP="002068C0">
      <w:r w:rsidRPr="003445A6">
        <w:t xml:space="preserve">Outcome 16 </w:t>
      </w:r>
    </w:p>
    <w:p w14:paraId="6D8271A9" w14:textId="42E99E3B" w:rsidR="002068C0" w:rsidRPr="007C35F3" w:rsidRDefault="003445A6" w:rsidP="002068C0">
      <w:r w:rsidRPr="003445A6">
        <w:t>Outcome 17</w:t>
      </w:r>
    </w:p>
    <w:p w14:paraId="404F6099" w14:textId="77777777" w:rsidR="002068C0" w:rsidRPr="00617C76" w:rsidRDefault="002068C0" w:rsidP="002068C0">
      <w:pPr>
        <w:pStyle w:val="Heading4"/>
      </w:pPr>
      <w:r w:rsidRPr="00617C76">
        <w:t>Partnership function</w:t>
      </w:r>
    </w:p>
    <w:p w14:paraId="6F05057A" w14:textId="77777777" w:rsidR="00B838D1" w:rsidRDefault="00B838D1" w:rsidP="002068C0">
      <w:r w:rsidRPr="00B838D1">
        <w:t xml:space="preserve">Policy </w:t>
      </w:r>
    </w:p>
    <w:p w14:paraId="40399F54" w14:textId="2E402CD7" w:rsidR="002068C0" w:rsidRPr="00617C76" w:rsidRDefault="00B838D1" w:rsidP="002068C0">
      <w:r w:rsidRPr="00B838D1">
        <w:t>Place</w:t>
      </w:r>
      <w:r w:rsidRPr="00B838D1">
        <w:noBreakHyphen/>
        <w:t>based</w:t>
      </w:r>
    </w:p>
    <w:p w14:paraId="7DA239DF" w14:textId="77777777" w:rsidR="002068C0" w:rsidRPr="00617C76" w:rsidRDefault="002068C0" w:rsidP="002068C0">
      <w:pPr>
        <w:pStyle w:val="Heading4"/>
      </w:pPr>
      <w:r w:rsidRPr="00617C76">
        <w:lastRenderedPageBreak/>
        <w:t>Partnership timeframe</w:t>
      </w:r>
    </w:p>
    <w:p w14:paraId="5393107A" w14:textId="29226D68" w:rsidR="002068C0" w:rsidRPr="00617C76" w:rsidRDefault="00AF3091" w:rsidP="002068C0">
      <w:r w:rsidRPr="00AF3091">
        <w:t>2015 to 2029</w:t>
      </w:r>
    </w:p>
    <w:p w14:paraId="4BEC0AE3" w14:textId="77777777" w:rsidR="002068C0" w:rsidRDefault="002068C0" w:rsidP="002068C0">
      <w:pPr>
        <w:pStyle w:val="Heading4"/>
      </w:pPr>
      <w:r w:rsidRPr="00617C76">
        <w:t>Actions taken to strengthen the partnership in 2025</w:t>
      </w:r>
    </w:p>
    <w:p w14:paraId="506CD6FD" w14:textId="77777777" w:rsidR="00645893" w:rsidRDefault="00645893" w:rsidP="002068C0">
      <w:r w:rsidRPr="00645893">
        <w:t>The next 3 years provide an opportunity to practically enact best</w:t>
      </w:r>
      <w:r w:rsidRPr="00645893">
        <w:noBreakHyphen/>
        <w:t xml:space="preserve">practice principles of partnership, within the broader reform context. </w:t>
      </w:r>
    </w:p>
    <w:p w14:paraId="2E40BCF5" w14:textId="77777777" w:rsidR="00645893" w:rsidRDefault="00645893" w:rsidP="002068C0">
      <w:r w:rsidRPr="00645893">
        <w:t xml:space="preserve">Regional leaders have prepared development agendas which articulate a strategic commitment to further the priorities specific to each region in line with the underpinning principle of subsidiarity. </w:t>
      </w:r>
    </w:p>
    <w:p w14:paraId="37A116F8" w14:textId="77777777" w:rsidR="00645893" w:rsidRDefault="00645893" w:rsidP="002068C0">
      <w:r w:rsidRPr="00645893">
        <w:t>For a strong and effective partnership, it is essential that both government and First Nations partners reflect on the partnership itself and, importantly, on what it will ultimately deliver on</w:t>
      </w:r>
      <w:r w:rsidRPr="00645893">
        <w:noBreakHyphen/>
        <w:t>the</w:t>
      </w:r>
      <w:r w:rsidRPr="00645893">
        <w:noBreakHyphen/>
        <w:t xml:space="preserve">ground for Aboriginal and Torres Strait Islander people over the next 3 years. </w:t>
      </w:r>
    </w:p>
    <w:p w14:paraId="396A75E4" w14:textId="049DDFD8" w:rsidR="002068C0" w:rsidRPr="00D9276C" w:rsidRDefault="00645893" w:rsidP="002068C0">
      <w:r w:rsidRPr="00645893">
        <w:t>The process of refreshing the Partnership Agreement has strengthened the relationship between the parties and will support future progress against the shared priorities contained in the development agendas.</w:t>
      </w:r>
    </w:p>
    <w:p w14:paraId="443973FC" w14:textId="77777777" w:rsidR="002068C0" w:rsidRPr="00617C76" w:rsidRDefault="002068C0" w:rsidP="002068C0">
      <w:pPr>
        <w:pStyle w:val="Heading4"/>
      </w:pPr>
      <w:r w:rsidRPr="00617C76">
        <w:t>Strong partnership indicators</w:t>
      </w:r>
    </w:p>
    <w:p w14:paraId="6B236150" w14:textId="77777777" w:rsidR="002068C0" w:rsidRPr="00617C76" w:rsidRDefault="002068C0" w:rsidP="002068C0">
      <w:pPr>
        <w:pStyle w:val="Heading5"/>
      </w:pPr>
      <w:r w:rsidRPr="00617C76">
        <w:t>Clause 32A:</w:t>
      </w:r>
    </w:p>
    <w:p w14:paraId="475920F0" w14:textId="2F59C320" w:rsidR="002068C0" w:rsidRDefault="00E511A0" w:rsidP="00E511A0">
      <w:pPr>
        <w:pStyle w:val="ListParagraph"/>
        <w:numPr>
          <w:ilvl w:val="0"/>
          <w:numId w:val="180"/>
        </w:numPr>
      </w:pPr>
      <w:r w:rsidRPr="00E511A0">
        <w:t>Met</w:t>
      </w:r>
    </w:p>
    <w:p w14:paraId="4151802A" w14:textId="4C12A0CC" w:rsidR="002068C0" w:rsidRDefault="00E511A0" w:rsidP="00E511A0">
      <w:pPr>
        <w:pStyle w:val="ListParagraph"/>
        <w:numPr>
          <w:ilvl w:val="0"/>
          <w:numId w:val="180"/>
        </w:numPr>
      </w:pPr>
      <w:r w:rsidRPr="00E511A0">
        <w:t>Met</w:t>
      </w:r>
    </w:p>
    <w:p w14:paraId="6EAE9117" w14:textId="34CA6ABF" w:rsidR="002068C0" w:rsidRDefault="00E511A0" w:rsidP="00E511A0">
      <w:pPr>
        <w:pStyle w:val="ListParagraph"/>
        <w:numPr>
          <w:ilvl w:val="0"/>
          <w:numId w:val="180"/>
        </w:numPr>
      </w:pPr>
      <w:r w:rsidRPr="00E511A0">
        <w:t>Met</w:t>
      </w:r>
    </w:p>
    <w:p w14:paraId="3A010449" w14:textId="77777777" w:rsidR="002068C0" w:rsidRPr="00617C76" w:rsidRDefault="002068C0" w:rsidP="002068C0">
      <w:pPr>
        <w:pStyle w:val="Heading5"/>
      </w:pPr>
      <w:r w:rsidRPr="00617C76">
        <w:t>Clause 32B:</w:t>
      </w:r>
    </w:p>
    <w:p w14:paraId="540E31C5" w14:textId="442944E4" w:rsidR="002068C0" w:rsidRDefault="005E280D" w:rsidP="00E511A0">
      <w:pPr>
        <w:pStyle w:val="ListParagraph"/>
        <w:numPr>
          <w:ilvl w:val="0"/>
          <w:numId w:val="181"/>
        </w:numPr>
      </w:pPr>
      <w:r w:rsidRPr="005E280D">
        <w:t>Not met</w:t>
      </w:r>
    </w:p>
    <w:p w14:paraId="3F9836D2" w14:textId="6D29B2E4" w:rsidR="002068C0" w:rsidRDefault="005E280D" w:rsidP="00E511A0">
      <w:pPr>
        <w:pStyle w:val="ListParagraph"/>
        <w:numPr>
          <w:ilvl w:val="0"/>
          <w:numId w:val="181"/>
        </w:numPr>
      </w:pPr>
      <w:r w:rsidRPr="005E280D">
        <w:t>Not met</w:t>
      </w:r>
    </w:p>
    <w:p w14:paraId="4D7BF17A" w14:textId="6D4E2D8D" w:rsidR="002068C0" w:rsidRDefault="005E280D" w:rsidP="00E511A0">
      <w:pPr>
        <w:pStyle w:val="ListParagraph"/>
        <w:numPr>
          <w:ilvl w:val="0"/>
          <w:numId w:val="181"/>
        </w:numPr>
      </w:pPr>
      <w:r w:rsidRPr="005E280D">
        <w:t>Not met</w:t>
      </w:r>
    </w:p>
    <w:p w14:paraId="26EBB156" w14:textId="176A64A4" w:rsidR="002068C0" w:rsidRDefault="005E280D" w:rsidP="00E511A0">
      <w:pPr>
        <w:pStyle w:val="ListParagraph"/>
        <w:numPr>
          <w:ilvl w:val="0"/>
          <w:numId w:val="181"/>
        </w:numPr>
      </w:pPr>
      <w:r w:rsidRPr="005E280D">
        <w:t>N/A</w:t>
      </w:r>
    </w:p>
    <w:p w14:paraId="3AFEE5D1" w14:textId="77777777" w:rsidR="002068C0" w:rsidRPr="00617C76" w:rsidRDefault="002068C0" w:rsidP="002068C0">
      <w:pPr>
        <w:pStyle w:val="Heading5"/>
      </w:pPr>
      <w:r w:rsidRPr="00617C76">
        <w:t>Clause 32C:</w:t>
      </w:r>
    </w:p>
    <w:p w14:paraId="5FC357E5" w14:textId="05BC584D" w:rsidR="002068C0" w:rsidRDefault="00777489" w:rsidP="005E280D">
      <w:pPr>
        <w:pStyle w:val="ListParagraph"/>
        <w:numPr>
          <w:ilvl w:val="0"/>
          <w:numId w:val="182"/>
        </w:numPr>
      </w:pPr>
      <w:r w:rsidRPr="00777489">
        <w:t>Met</w:t>
      </w:r>
    </w:p>
    <w:p w14:paraId="640FC547" w14:textId="04A7C651" w:rsidR="002068C0" w:rsidRDefault="00777489" w:rsidP="005E280D">
      <w:pPr>
        <w:pStyle w:val="ListParagraph"/>
        <w:numPr>
          <w:ilvl w:val="0"/>
          <w:numId w:val="182"/>
        </w:numPr>
      </w:pPr>
      <w:r w:rsidRPr="00777489">
        <w:t>Met</w:t>
      </w:r>
    </w:p>
    <w:p w14:paraId="4C1033DF" w14:textId="55451392" w:rsidR="002068C0" w:rsidRDefault="00777489" w:rsidP="005E280D">
      <w:pPr>
        <w:pStyle w:val="ListParagraph"/>
        <w:numPr>
          <w:ilvl w:val="0"/>
          <w:numId w:val="182"/>
        </w:numPr>
      </w:pPr>
      <w:r w:rsidRPr="00777489">
        <w:t>Met</w:t>
      </w:r>
    </w:p>
    <w:p w14:paraId="24A2CE40" w14:textId="1102BCBD" w:rsidR="002068C0" w:rsidRDefault="00777489" w:rsidP="005E280D">
      <w:pPr>
        <w:pStyle w:val="ListParagraph"/>
        <w:numPr>
          <w:ilvl w:val="0"/>
          <w:numId w:val="182"/>
        </w:numPr>
      </w:pPr>
      <w:r w:rsidRPr="00777489">
        <w:t>Met</w:t>
      </w:r>
    </w:p>
    <w:p w14:paraId="14CF37BB" w14:textId="002AC0F7" w:rsidR="002068C0" w:rsidRDefault="00777489" w:rsidP="005E280D">
      <w:pPr>
        <w:pStyle w:val="ListParagraph"/>
        <w:numPr>
          <w:ilvl w:val="0"/>
          <w:numId w:val="182"/>
        </w:numPr>
      </w:pPr>
      <w:r w:rsidRPr="00777489">
        <w:t>Met</w:t>
      </w:r>
    </w:p>
    <w:p w14:paraId="6C99C989" w14:textId="32C84410" w:rsidR="002068C0" w:rsidRDefault="00777489" w:rsidP="005E280D">
      <w:pPr>
        <w:pStyle w:val="ListParagraph"/>
        <w:numPr>
          <w:ilvl w:val="0"/>
          <w:numId w:val="182"/>
        </w:numPr>
      </w:pPr>
      <w:r w:rsidRPr="00777489">
        <w:t>Met</w:t>
      </w:r>
    </w:p>
    <w:p w14:paraId="62D58D58" w14:textId="13A99903" w:rsidR="002068C0" w:rsidRDefault="00777489" w:rsidP="005E280D">
      <w:pPr>
        <w:pStyle w:val="ListParagraph"/>
        <w:numPr>
          <w:ilvl w:val="0"/>
          <w:numId w:val="182"/>
        </w:numPr>
      </w:pPr>
      <w:r w:rsidRPr="00777489">
        <w:t>Met</w:t>
      </w:r>
    </w:p>
    <w:p w14:paraId="359C5D7C" w14:textId="77777777" w:rsidR="002068C0" w:rsidRPr="00617C76" w:rsidRDefault="002068C0" w:rsidP="002068C0">
      <w:pPr>
        <w:pStyle w:val="Heading5"/>
      </w:pPr>
      <w:r w:rsidRPr="00617C76">
        <w:t>Clause 33:</w:t>
      </w:r>
    </w:p>
    <w:p w14:paraId="4ABB22D5" w14:textId="20DD2A6D" w:rsidR="002068C0" w:rsidRDefault="00777489" w:rsidP="002068C0">
      <w:r w:rsidRPr="00777489">
        <w:t>Met</w:t>
      </w:r>
    </w:p>
    <w:p w14:paraId="0834157B" w14:textId="77777777" w:rsidR="002068C0" w:rsidRDefault="002068C0" w:rsidP="002068C0">
      <w:pPr>
        <w:pStyle w:val="Heading4"/>
      </w:pPr>
      <w:r w:rsidRPr="00617C76">
        <w:t>Achievements over 2025</w:t>
      </w:r>
    </w:p>
    <w:p w14:paraId="48FCDF58" w14:textId="77777777" w:rsidR="00562CBB" w:rsidRDefault="00562CBB" w:rsidP="00644C4F">
      <w:pPr>
        <w:pStyle w:val="ListParagraph"/>
        <w:numPr>
          <w:ilvl w:val="0"/>
          <w:numId w:val="183"/>
        </w:numPr>
      </w:pPr>
      <w:r w:rsidRPr="00562CBB">
        <w:t xml:space="preserve">A refreshed Partnership Agreement (2025 to 2028) is being finalised, which formalises the partnership at the local level, setting strategic shared priorities, expectations and accountability mechanisms between NIAA, the Department of Social Services, the South Australian Government and Far West Leaders in Ceduna, </w:t>
      </w:r>
      <w:proofErr w:type="spellStart"/>
      <w:r w:rsidRPr="00562CBB">
        <w:t>Koonibba</w:t>
      </w:r>
      <w:proofErr w:type="spellEnd"/>
      <w:r w:rsidRPr="00562CBB">
        <w:t xml:space="preserve">, </w:t>
      </w:r>
      <w:proofErr w:type="spellStart"/>
      <w:r w:rsidRPr="00562CBB">
        <w:t>Scotdesco</w:t>
      </w:r>
      <w:proofErr w:type="spellEnd"/>
      <w:r w:rsidRPr="00562CBB">
        <w:t xml:space="preserve">, Yalata and Oak Valley. </w:t>
      </w:r>
    </w:p>
    <w:p w14:paraId="132B41B5" w14:textId="77777777" w:rsidR="00562CBB" w:rsidRDefault="00562CBB" w:rsidP="00644C4F">
      <w:pPr>
        <w:pStyle w:val="ListParagraph"/>
        <w:numPr>
          <w:ilvl w:val="0"/>
          <w:numId w:val="183"/>
        </w:numPr>
      </w:pPr>
      <w:r w:rsidRPr="00562CBB">
        <w:t>Implementing planned engagement across the 5 communities has commenced, to inform an updated Far West Change Agenda to reflect the evolving needs and priorities of communities.</w:t>
      </w:r>
    </w:p>
    <w:p w14:paraId="7989601A" w14:textId="77777777" w:rsidR="00644C4F" w:rsidRDefault="00562CBB" w:rsidP="00644C4F">
      <w:pPr>
        <w:pStyle w:val="ListParagraph"/>
        <w:numPr>
          <w:ilvl w:val="0"/>
          <w:numId w:val="183"/>
        </w:numPr>
      </w:pPr>
      <w:r w:rsidRPr="00562CBB">
        <w:t>New agreements are being developed with local government, the Department for Child Protection (South Australia), and the Department for Education (</w:t>
      </w:r>
      <w:proofErr w:type="spellStart"/>
      <w:r w:rsidRPr="00562CBB">
        <w:t>Cth</w:t>
      </w:r>
      <w:proofErr w:type="spellEnd"/>
      <w:r w:rsidRPr="00562CBB">
        <w:t>), to ensure decisions are more joined</w:t>
      </w:r>
      <w:r w:rsidRPr="00562CBB">
        <w:noBreakHyphen/>
        <w:t xml:space="preserve">up </w:t>
      </w:r>
      <w:r w:rsidRPr="00562CBB">
        <w:lastRenderedPageBreak/>
        <w:t>across the region. Early work has started with the Department for Education to strengthen links across public, Anangu, and private schools.</w:t>
      </w:r>
    </w:p>
    <w:p w14:paraId="36400122" w14:textId="77777777" w:rsidR="00644C4F" w:rsidRDefault="00562CBB" w:rsidP="00644C4F">
      <w:pPr>
        <w:pStyle w:val="ListParagraph"/>
        <w:numPr>
          <w:ilvl w:val="0"/>
          <w:numId w:val="183"/>
        </w:numPr>
      </w:pPr>
      <w:r w:rsidRPr="00562CBB">
        <w:t xml:space="preserve">An emerging </w:t>
      </w:r>
      <w:proofErr w:type="gramStart"/>
      <w:r w:rsidRPr="00562CBB">
        <w:t>leaders</w:t>
      </w:r>
      <w:proofErr w:type="gramEnd"/>
      <w:r w:rsidRPr="00562CBB">
        <w:t xml:space="preserve"> program has been developed, building on the experience of other EC regions and informed by a needs analysis with current leaders in the Far West South Australian region for implementation in 2026. </w:t>
      </w:r>
    </w:p>
    <w:p w14:paraId="5128C9D4" w14:textId="2AF93A58" w:rsidR="002068C0" w:rsidRPr="003E2721" w:rsidRDefault="00562CBB" w:rsidP="00644C4F">
      <w:pPr>
        <w:pStyle w:val="ListParagraph"/>
        <w:numPr>
          <w:ilvl w:val="0"/>
          <w:numId w:val="183"/>
        </w:numPr>
      </w:pPr>
      <w:r w:rsidRPr="00562CBB">
        <w:t>Research partnerships such as projects with Flinders University, the University of Adelaide, the South Australian Health and Medical Research Institute (SAHMRI) and others are giving voice to community concerns about housing, health costs and road injury compensation.</w:t>
      </w:r>
    </w:p>
    <w:p w14:paraId="0378D1C4" w14:textId="2DDCA2D7" w:rsidR="002068C0" w:rsidRDefault="001900BC" w:rsidP="002068C0">
      <w:pPr>
        <w:pStyle w:val="Heading3"/>
      </w:pPr>
      <w:bookmarkStart w:id="56" w:name="_Toc225506078"/>
      <w:r w:rsidRPr="001900BC">
        <w:t>Empowered Communities (EC) – Inner Sydney</w:t>
      </w:r>
      <w:bookmarkEnd w:id="56"/>
    </w:p>
    <w:p w14:paraId="4D13FBDB" w14:textId="77777777" w:rsidR="002068C0" w:rsidRDefault="002068C0" w:rsidP="002068C0">
      <w:pPr>
        <w:pStyle w:val="Heading4"/>
      </w:pPr>
      <w:r w:rsidRPr="00617C76">
        <w:t>Partnership description</w:t>
      </w:r>
    </w:p>
    <w:p w14:paraId="12B1EE7B" w14:textId="02C0172D" w:rsidR="002068C0" w:rsidRPr="00D9276C" w:rsidRDefault="00422891" w:rsidP="002068C0">
      <w:r w:rsidRPr="00422891">
        <w:t>One of 10 EC regions, this is an Aboriginal and Torres Strait Islander designed and led place</w:t>
      </w:r>
      <w:r w:rsidRPr="00422891">
        <w:noBreakHyphen/>
        <w:t>based reform partnership with government, underpinned by a commitment to First Nations empowerment, development and productivity. The Inner Sydney Empowered Communities (ISEC) enables Aboriginal and Torres Strait Islander peoples to take control of their affairs and secure the future of their region while inspiring future generations to become leaders.</w:t>
      </w:r>
    </w:p>
    <w:p w14:paraId="4F16AA11" w14:textId="77777777" w:rsidR="002068C0" w:rsidRDefault="002068C0" w:rsidP="002068C0">
      <w:pPr>
        <w:pStyle w:val="Heading4"/>
      </w:pPr>
      <w:r w:rsidRPr="00DF6278">
        <w:t>Aboriginal and Torres Strait Islander parties</w:t>
      </w:r>
    </w:p>
    <w:p w14:paraId="33872FA9" w14:textId="396A67EA" w:rsidR="002068C0" w:rsidRPr="00B27ADE" w:rsidRDefault="00422891" w:rsidP="002068C0">
      <w:r w:rsidRPr="00B27ADE">
        <w:t>Inner Sydney Empowered Communities Limited (ISEC)</w:t>
      </w:r>
      <w:r w:rsidR="00B40B52">
        <w:t xml:space="preserve"> (endorsing partner)</w:t>
      </w:r>
    </w:p>
    <w:p w14:paraId="643C25EF" w14:textId="77777777" w:rsidR="002068C0" w:rsidRPr="00617C76" w:rsidRDefault="002068C0" w:rsidP="002068C0">
      <w:pPr>
        <w:pStyle w:val="Heading4"/>
      </w:pPr>
      <w:r w:rsidRPr="00617C76">
        <w:t>Government parties</w:t>
      </w:r>
    </w:p>
    <w:p w14:paraId="72881CDC" w14:textId="77777777" w:rsidR="002068C0" w:rsidRDefault="002068C0" w:rsidP="002068C0">
      <w:pPr>
        <w:pStyle w:val="Heading5"/>
      </w:pPr>
      <w:r w:rsidRPr="00115C74">
        <w:t xml:space="preserve">COMMONWEALTH PARTIES </w:t>
      </w:r>
    </w:p>
    <w:p w14:paraId="6AC8185C" w14:textId="2A0910ED" w:rsidR="002068C0" w:rsidRPr="00B27ADE" w:rsidRDefault="00F5054C" w:rsidP="002068C0">
      <w:r w:rsidRPr="00B27ADE">
        <w:t>National Indigenous Australians Agency (NIAA)</w:t>
      </w:r>
      <w:r w:rsidR="00B40B52">
        <w:t xml:space="preserve"> (endorsing partner)</w:t>
      </w:r>
    </w:p>
    <w:p w14:paraId="195B65C1" w14:textId="77777777" w:rsidR="002068C0" w:rsidRPr="00115C74" w:rsidRDefault="002068C0" w:rsidP="002068C0">
      <w:pPr>
        <w:pStyle w:val="Heading5"/>
      </w:pPr>
      <w:r w:rsidRPr="00115C74">
        <w:t xml:space="preserve">STATE AND TERRITORY PARTIES </w:t>
      </w:r>
    </w:p>
    <w:p w14:paraId="625B58FB" w14:textId="77777777" w:rsidR="002068C0" w:rsidRPr="00617C76" w:rsidRDefault="002068C0" w:rsidP="002068C0">
      <w:r>
        <w:t>N/A</w:t>
      </w:r>
    </w:p>
    <w:p w14:paraId="6571740A" w14:textId="77777777" w:rsidR="002068C0" w:rsidRPr="00617C76" w:rsidRDefault="002068C0" w:rsidP="002068C0">
      <w:pPr>
        <w:pStyle w:val="Heading4"/>
      </w:pPr>
      <w:r w:rsidRPr="00617C76">
        <w:t>Priority Reforms and Socio-economic Outcomes</w:t>
      </w:r>
    </w:p>
    <w:p w14:paraId="47E56CAA" w14:textId="77777777" w:rsidR="00C0255E" w:rsidRDefault="00B72679" w:rsidP="002068C0">
      <w:r w:rsidRPr="00B72679">
        <w:t xml:space="preserve">Priority Reform 1 </w:t>
      </w:r>
    </w:p>
    <w:p w14:paraId="0EEC8185" w14:textId="77777777" w:rsidR="00C0255E" w:rsidRDefault="00B72679" w:rsidP="002068C0">
      <w:r w:rsidRPr="00B72679">
        <w:t xml:space="preserve">Priority Reform 2 </w:t>
      </w:r>
    </w:p>
    <w:p w14:paraId="5DEB99A9" w14:textId="77777777" w:rsidR="00C0255E" w:rsidRDefault="00B72679" w:rsidP="002068C0">
      <w:r w:rsidRPr="00B72679">
        <w:t xml:space="preserve">Priority Reform 3 </w:t>
      </w:r>
    </w:p>
    <w:p w14:paraId="7A3E6AB0" w14:textId="77777777" w:rsidR="00C0255E" w:rsidRDefault="00B72679" w:rsidP="002068C0">
      <w:r w:rsidRPr="00B72679">
        <w:t xml:space="preserve">Priority Reform 4 </w:t>
      </w:r>
    </w:p>
    <w:p w14:paraId="7290771A" w14:textId="77777777" w:rsidR="00C0255E" w:rsidRDefault="00B72679" w:rsidP="002068C0">
      <w:r w:rsidRPr="00B72679">
        <w:t xml:space="preserve">Outcome 1 </w:t>
      </w:r>
    </w:p>
    <w:p w14:paraId="565E7453" w14:textId="77777777" w:rsidR="00C0255E" w:rsidRDefault="00B72679" w:rsidP="002068C0">
      <w:r w:rsidRPr="00B72679">
        <w:t xml:space="preserve">Outcome 2 </w:t>
      </w:r>
    </w:p>
    <w:p w14:paraId="4D0B0F2D" w14:textId="77777777" w:rsidR="00C0255E" w:rsidRDefault="00B72679" w:rsidP="002068C0">
      <w:r w:rsidRPr="00B72679">
        <w:t xml:space="preserve">Outcome 3 </w:t>
      </w:r>
    </w:p>
    <w:p w14:paraId="33BD5F7A" w14:textId="77777777" w:rsidR="00C0255E" w:rsidRDefault="00B72679" w:rsidP="002068C0">
      <w:r w:rsidRPr="00B72679">
        <w:t xml:space="preserve">Outcome 4 </w:t>
      </w:r>
    </w:p>
    <w:p w14:paraId="64A862E9" w14:textId="77777777" w:rsidR="00C0255E" w:rsidRDefault="00B72679" w:rsidP="002068C0">
      <w:r w:rsidRPr="00B72679">
        <w:t xml:space="preserve">Outcome 5 </w:t>
      </w:r>
    </w:p>
    <w:p w14:paraId="09D2DBB5" w14:textId="77777777" w:rsidR="00C0255E" w:rsidRDefault="00B72679" w:rsidP="002068C0">
      <w:r w:rsidRPr="00B72679">
        <w:t>Outcome 6</w:t>
      </w:r>
    </w:p>
    <w:p w14:paraId="4F8B3219" w14:textId="388E738A" w:rsidR="00C0255E" w:rsidRDefault="00B72679" w:rsidP="002068C0">
      <w:r w:rsidRPr="00B72679">
        <w:t>Outcome 7</w:t>
      </w:r>
      <w:r w:rsidR="00C0255E">
        <w:t xml:space="preserve"> </w:t>
      </w:r>
    </w:p>
    <w:p w14:paraId="5A56D31F" w14:textId="77777777" w:rsidR="00C0255E" w:rsidRDefault="00C0255E" w:rsidP="002068C0">
      <w:r w:rsidRPr="00C0255E">
        <w:t>Outcome 8</w:t>
      </w:r>
    </w:p>
    <w:p w14:paraId="7FE4D1D8" w14:textId="77777777" w:rsidR="00C0255E" w:rsidRDefault="00C0255E" w:rsidP="002068C0">
      <w:r w:rsidRPr="00C0255E">
        <w:t xml:space="preserve">Outcome 9 </w:t>
      </w:r>
    </w:p>
    <w:p w14:paraId="4EF8F9A5" w14:textId="77777777" w:rsidR="00C0255E" w:rsidRDefault="00C0255E" w:rsidP="002068C0">
      <w:r w:rsidRPr="00C0255E">
        <w:t>Outcome 10</w:t>
      </w:r>
    </w:p>
    <w:p w14:paraId="37297B9A" w14:textId="77777777" w:rsidR="00C0255E" w:rsidRDefault="00C0255E" w:rsidP="002068C0">
      <w:r w:rsidRPr="00C0255E">
        <w:lastRenderedPageBreak/>
        <w:t>Outcome 11</w:t>
      </w:r>
    </w:p>
    <w:p w14:paraId="60BA4713" w14:textId="77777777" w:rsidR="00C0255E" w:rsidRDefault="00C0255E" w:rsidP="002068C0">
      <w:r w:rsidRPr="00C0255E">
        <w:t>Outcome 12</w:t>
      </w:r>
    </w:p>
    <w:p w14:paraId="6AE2FCBE" w14:textId="77777777" w:rsidR="00C0255E" w:rsidRDefault="00C0255E" w:rsidP="002068C0">
      <w:r w:rsidRPr="00C0255E">
        <w:t>Outcome 13</w:t>
      </w:r>
    </w:p>
    <w:p w14:paraId="5A88C2CB" w14:textId="77777777" w:rsidR="00C0255E" w:rsidRDefault="00C0255E" w:rsidP="002068C0">
      <w:r w:rsidRPr="00C0255E">
        <w:t>Outcome 14</w:t>
      </w:r>
    </w:p>
    <w:p w14:paraId="3579618D" w14:textId="77777777" w:rsidR="00C0255E" w:rsidRDefault="00C0255E" w:rsidP="002068C0">
      <w:r w:rsidRPr="00C0255E">
        <w:t>Outcome 15</w:t>
      </w:r>
    </w:p>
    <w:p w14:paraId="7A8DA43B" w14:textId="77777777" w:rsidR="00C0255E" w:rsidRDefault="00C0255E" w:rsidP="002068C0">
      <w:r w:rsidRPr="00C0255E">
        <w:t>Outcome 16</w:t>
      </w:r>
    </w:p>
    <w:p w14:paraId="4C7DA230" w14:textId="26E25DED" w:rsidR="002068C0" w:rsidRPr="007C35F3" w:rsidRDefault="00C0255E" w:rsidP="002068C0">
      <w:r w:rsidRPr="00C0255E">
        <w:t>Outcome 17</w:t>
      </w:r>
    </w:p>
    <w:p w14:paraId="0AC3DD43" w14:textId="77777777" w:rsidR="002068C0" w:rsidRPr="00617C76" w:rsidRDefault="002068C0" w:rsidP="002068C0">
      <w:pPr>
        <w:pStyle w:val="Heading4"/>
      </w:pPr>
      <w:r w:rsidRPr="00617C76">
        <w:t>Partnership function</w:t>
      </w:r>
    </w:p>
    <w:p w14:paraId="757EA495" w14:textId="77777777" w:rsidR="001A122C" w:rsidRDefault="001A122C" w:rsidP="002068C0">
      <w:r w:rsidRPr="001A122C">
        <w:t>Policy</w:t>
      </w:r>
    </w:p>
    <w:p w14:paraId="170C144E" w14:textId="62D737A5" w:rsidR="002068C0" w:rsidRPr="00617C76" w:rsidRDefault="001A122C" w:rsidP="002068C0">
      <w:r w:rsidRPr="001A122C">
        <w:t>Place</w:t>
      </w:r>
      <w:r w:rsidRPr="001A122C">
        <w:noBreakHyphen/>
        <w:t>based</w:t>
      </w:r>
    </w:p>
    <w:p w14:paraId="4573BA52" w14:textId="77777777" w:rsidR="002068C0" w:rsidRPr="00617C76" w:rsidRDefault="002068C0" w:rsidP="002068C0">
      <w:pPr>
        <w:pStyle w:val="Heading4"/>
      </w:pPr>
      <w:r w:rsidRPr="00617C76">
        <w:t>Partnership timeframe</w:t>
      </w:r>
    </w:p>
    <w:p w14:paraId="03BFA84B" w14:textId="15CBB519" w:rsidR="002068C0" w:rsidRPr="00617C76" w:rsidRDefault="008E656F" w:rsidP="002068C0">
      <w:r w:rsidRPr="008E656F">
        <w:t>2015 to 2028</w:t>
      </w:r>
    </w:p>
    <w:p w14:paraId="6AA80A2E" w14:textId="77777777" w:rsidR="002068C0" w:rsidRDefault="002068C0" w:rsidP="002068C0">
      <w:pPr>
        <w:pStyle w:val="Heading4"/>
      </w:pPr>
      <w:r w:rsidRPr="00617C76">
        <w:t>Actions taken to strengthen the partnership in 2025</w:t>
      </w:r>
    </w:p>
    <w:p w14:paraId="7252D178" w14:textId="59FB73FF" w:rsidR="0061429C" w:rsidRPr="0061429C" w:rsidRDefault="0061429C" w:rsidP="0061429C">
      <w:r w:rsidRPr="0061429C">
        <w:t>The next 3 years’ funding to EC will provide an opportunity to practically enact best</w:t>
      </w:r>
      <w:r w:rsidRPr="0061429C">
        <w:rPr>
          <w:rFonts w:ascii="Cambria Math" w:hAnsi="Cambria Math" w:cs="Cambria Math"/>
        </w:rPr>
        <w:t>‑</w:t>
      </w:r>
      <w:r w:rsidRPr="0061429C">
        <w:t xml:space="preserve">practice principles of partnership within the broader reform context.  </w:t>
      </w:r>
    </w:p>
    <w:p w14:paraId="62838891" w14:textId="44D256F3" w:rsidR="0061429C" w:rsidRPr="0061429C" w:rsidRDefault="0061429C" w:rsidP="0061429C">
      <w:r w:rsidRPr="0061429C">
        <w:t xml:space="preserve">Regional leaders have prepared development agendas which articulate a strategic commitment to further the priorities specific to each region in line with the underpinning principle of subsidiarity. </w:t>
      </w:r>
    </w:p>
    <w:p w14:paraId="23AE676C" w14:textId="008FE6A7" w:rsidR="0061429C" w:rsidRPr="0061429C" w:rsidRDefault="0061429C" w:rsidP="0061429C">
      <w:r w:rsidRPr="0061429C">
        <w:t>For a strong and effective partnership, it is essential that both government and First Nations partners reflect on the partnership itself and, importantly, on what it will ultimately deliver on</w:t>
      </w:r>
      <w:r w:rsidRPr="0061429C">
        <w:rPr>
          <w:rFonts w:ascii="Cambria Math" w:hAnsi="Cambria Math" w:cs="Cambria Math"/>
        </w:rPr>
        <w:t>‑</w:t>
      </w:r>
      <w:r w:rsidRPr="0061429C">
        <w:t>the</w:t>
      </w:r>
      <w:r w:rsidRPr="0061429C">
        <w:rPr>
          <w:rFonts w:ascii="Cambria Math" w:hAnsi="Cambria Math" w:cs="Cambria Math"/>
        </w:rPr>
        <w:t>‑</w:t>
      </w:r>
      <w:r w:rsidRPr="0061429C">
        <w:t xml:space="preserve">ground for Aboriginal and Torres Strait Islander people over the next 3 years. </w:t>
      </w:r>
    </w:p>
    <w:p w14:paraId="4B9B64BF" w14:textId="5CCFE35A" w:rsidR="002068C0" w:rsidRPr="00D9276C" w:rsidRDefault="0061429C" w:rsidP="002068C0">
      <w:r w:rsidRPr="0061429C">
        <w:t>The process of refreshing local partnership agreements has strengthened the relationship between the parties and will support future progress against the shared priorities contained in the development agendas.</w:t>
      </w:r>
    </w:p>
    <w:p w14:paraId="2374CBA8" w14:textId="77777777" w:rsidR="002068C0" w:rsidRPr="00617C76" w:rsidRDefault="002068C0" w:rsidP="002068C0">
      <w:pPr>
        <w:pStyle w:val="Heading4"/>
      </w:pPr>
      <w:r w:rsidRPr="00617C76">
        <w:t>Strong partnership indicators</w:t>
      </w:r>
    </w:p>
    <w:p w14:paraId="52B59E75" w14:textId="77777777" w:rsidR="002068C0" w:rsidRPr="00617C76" w:rsidRDefault="002068C0" w:rsidP="002068C0">
      <w:pPr>
        <w:pStyle w:val="Heading5"/>
      </w:pPr>
      <w:r w:rsidRPr="00617C76">
        <w:t>Clause 32A:</w:t>
      </w:r>
    </w:p>
    <w:p w14:paraId="1C8CD1B6" w14:textId="40C094D3" w:rsidR="002068C0" w:rsidRDefault="00241E32" w:rsidP="0061429C">
      <w:pPr>
        <w:pStyle w:val="ListParagraph"/>
        <w:numPr>
          <w:ilvl w:val="0"/>
          <w:numId w:val="184"/>
        </w:numPr>
      </w:pPr>
      <w:r w:rsidRPr="00241E32">
        <w:t>Met</w:t>
      </w:r>
    </w:p>
    <w:p w14:paraId="6155F979" w14:textId="36DC24DC" w:rsidR="002068C0" w:rsidRDefault="00241E32" w:rsidP="0061429C">
      <w:pPr>
        <w:pStyle w:val="ListParagraph"/>
        <w:numPr>
          <w:ilvl w:val="0"/>
          <w:numId w:val="184"/>
        </w:numPr>
      </w:pPr>
      <w:r w:rsidRPr="00241E32">
        <w:t>Met</w:t>
      </w:r>
    </w:p>
    <w:p w14:paraId="3A50864D" w14:textId="7EB89F53" w:rsidR="002068C0" w:rsidRDefault="00241E32" w:rsidP="0061429C">
      <w:pPr>
        <w:pStyle w:val="ListParagraph"/>
        <w:numPr>
          <w:ilvl w:val="0"/>
          <w:numId w:val="184"/>
        </w:numPr>
      </w:pPr>
      <w:r w:rsidRPr="00241E32">
        <w:t>Met</w:t>
      </w:r>
    </w:p>
    <w:p w14:paraId="3E3D0EAA" w14:textId="77777777" w:rsidR="002068C0" w:rsidRPr="00617C76" w:rsidRDefault="002068C0" w:rsidP="002068C0">
      <w:pPr>
        <w:pStyle w:val="Heading5"/>
      </w:pPr>
      <w:r w:rsidRPr="00617C76">
        <w:t>Clause 32B:</w:t>
      </w:r>
    </w:p>
    <w:p w14:paraId="47686FAA" w14:textId="72AE5CBA" w:rsidR="002068C0" w:rsidRDefault="00241E32" w:rsidP="00643159">
      <w:pPr>
        <w:pStyle w:val="ListParagraph"/>
        <w:numPr>
          <w:ilvl w:val="0"/>
          <w:numId w:val="185"/>
        </w:numPr>
      </w:pPr>
      <w:r w:rsidRPr="00241E32">
        <w:t>Met</w:t>
      </w:r>
    </w:p>
    <w:p w14:paraId="0C90B9C8" w14:textId="6FC28C18" w:rsidR="002068C0" w:rsidRDefault="00241E32" w:rsidP="00643159">
      <w:pPr>
        <w:pStyle w:val="ListParagraph"/>
        <w:numPr>
          <w:ilvl w:val="0"/>
          <w:numId w:val="185"/>
        </w:numPr>
      </w:pPr>
      <w:r w:rsidRPr="00241E32">
        <w:t>Met</w:t>
      </w:r>
    </w:p>
    <w:p w14:paraId="2733EC26" w14:textId="132B208D" w:rsidR="002068C0" w:rsidRDefault="00241E32" w:rsidP="00643159">
      <w:pPr>
        <w:pStyle w:val="ListParagraph"/>
        <w:numPr>
          <w:ilvl w:val="0"/>
          <w:numId w:val="185"/>
        </w:numPr>
      </w:pPr>
      <w:r w:rsidRPr="00241E32">
        <w:t>Not met</w:t>
      </w:r>
    </w:p>
    <w:p w14:paraId="0DF73404" w14:textId="03523FBA" w:rsidR="002068C0" w:rsidRDefault="00451F37" w:rsidP="00643159">
      <w:pPr>
        <w:pStyle w:val="ListParagraph"/>
        <w:numPr>
          <w:ilvl w:val="0"/>
          <w:numId w:val="185"/>
        </w:numPr>
      </w:pPr>
      <w:r w:rsidRPr="00451F37">
        <w:t>N/A</w:t>
      </w:r>
    </w:p>
    <w:p w14:paraId="5F93387F" w14:textId="77777777" w:rsidR="002068C0" w:rsidRPr="00617C76" w:rsidRDefault="002068C0" w:rsidP="002068C0">
      <w:pPr>
        <w:pStyle w:val="Heading5"/>
      </w:pPr>
      <w:r w:rsidRPr="00617C76">
        <w:t>Clause 32C:</w:t>
      </w:r>
    </w:p>
    <w:p w14:paraId="2DEB3F13" w14:textId="017FDB4D" w:rsidR="002068C0" w:rsidRDefault="00241E32" w:rsidP="00643159">
      <w:pPr>
        <w:pStyle w:val="ListParagraph"/>
        <w:numPr>
          <w:ilvl w:val="0"/>
          <w:numId w:val="186"/>
        </w:numPr>
      </w:pPr>
      <w:r w:rsidRPr="00241E32">
        <w:t>Met</w:t>
      </w:r>
    </w:p>
    <w:p w14:paraId="34DF74B3" w14:textId="1DB1AC1D" w:rsidR="002068C0" w:rsidRDefault="00241E32" w:rsidP="00643159">
      <w:pPr>
        <w:pStyle w:val="ListParagraph"/>
        <w:numPr>
          <w:ilvl w:val="0"/>
          <w:numId w:val="186"/>
        </w:numPr>
      </w:pPr>
      <w:r w:rsidRPr="00241E32">
        <w:t>Met</w:t>
      </w:r>
    </w:p>
    <w:p w14:paraId="7B8CC4BA" w14:textId="26FD8FCA" w:rsidR="002068C0" w:rsidRDefault="00241E32" w:rsidP="00643159">
      <w:pPr>
        <w:pStyle w:val="ListParagraph"/>
        <w:numPr>
          <w:ilvl w:val="0"/>
          <w:numId w:val="186"/>
        </w:numPr>
      </w:pPr>
      <w:r w:rsidRPr="00241E32">
        <w:t>Met</w:t>
      </w:r>
    </w:p>
    <w:p w14:paraId="6263FB45" w14:textId="3AFDBA6B" w:rsidR="002068C0" w:rsidRDefault="00241E32" w:rsidP="00643159">
      <w:pPr>
        <w:pStyle w:val="ListParagraph"/>
        <w:numPr>
          <w:ilvl w:val="0"/>
          <w:numId w:val="186"/>
        </w:numPr>
      </w:pPr>
      <w:r w:rsidRPr="00241E32">
        <w:t>Met</w:t>
      </w:r>
    </w:p>
    <w:p w14:paraId="30AB6EE4" w14:textId="3DA037D8" w:rsidR="002068C0" w:rsidRDefault="00241E32" w:rsidP="00643159">
      <w:pPr>
        <w:pStyle w:val="ListParagraph"/>
        <w:numPr>
          <w:ilvl w:val="0"/>
          <w:numId w:val="186"/>
        </w:numPr>
      </w:pPr>
      <w:r w:rsidRPr="00241E32">
        <w:t>Met</w:t>
      </w:r>
    </w:p>
    <w:p w14:paraId="3BC9FF17" w14:textId="4D97650D" w:rsidR="002068C0" w:rsidRDefault="00241E32" w:rsidP="00643159">
      <w:pPr>
        <w:pStyle w:val="ListParagraph"/>
        <w:numPr>
          <w:ilvl w:val="0"/>
          <w:numId w:val="186"/>
        </w:numPr>
      </w:pPr>
      <w:r w:rsidRPr="00241E32">
        <w:lastRenderedPageBreak/>
        <w:t>Met</w:t>
      </w:r>
    </w:p>
    <w:p w14:paraId="4F4BDC29" w14:textId="7E16B440" w:rsidR="002068C0" w:rsidRDefault="00241E32" w:rsidP="00643159">
      <w:pPr>
        <w:pStyle w:val="ListParagraph"/>
        <w:numPr>
          <w:ilvl w:val="0"/>
          <w:numId w:val="186"/>
        </w:numPr>
      </w:pPr>
      <w:r w:rsidRPr="00241E32">
        <w:t>Met</w:t>
      </w:r>
    </w:p>
    <w:p w14:paraId="2C4A03B0" w14:textId="77777777" w:rsidR="002068C0" w:rsidRPr="00617C76" w:rsidRDefault="002068C0" w:rsidP="002068C0">
      <w:pPr>
        <w:pStyle w:val="Heading5"/>
      </w:pPr>
      <w:r w:rsidRPr="00617C76">
        <w:t>Clause 33:</w:t>
      </w:r>
    </w:p>
    <w:p w14:paraId="2E7C34E8" w14:textId="13EBAF4C" w:rsidR="002068C0" w:rsidRDefault="00241E32" w:rsidP="002068C0">
      <w:r w:rsidRPr="00241E32">
        <w:t>Met</w:t>
      </w:r>
    </w:p>
    <w:p w14:paraId="6E066412" w14:textId="77777777" w:rsidR="002068C0" w:rsidRDefault="002068C0" w:rsidP="002068C0">
      <w:pPr>
        <w:pStyle w:val="Heading4"/>
      </w:pPr>
      <w:r w:rsidRPr="00617C76">
        <w:t>Achievements over 2025</w:t>
      </w:r>
    </w:p>
    <w:p w14:paraId="4DFE48E8" w14:textId="77777777" w:rsidR="00451F37" w:rsidRDefault="00451F37" w:rsidP="00451F37">
      <w:pPr>
        <w:pStyle w:val="ListParagraph"/>
        <w:numPr>
          <w:ilvl w:val="0"/>
          <w:numId w:val="187"/>
        </w:numPr>
      </w:pPr>
      <w:r w:rsidRPr="00451F37">
        <w:t>A refreshed Local Partnership Agreement (2025 to 2028) was finalised, formalising the EC partnership at the local level and setting strategic shared priorities, expectations and accountability mechanisms between NIAA and EC leaders in the Redfern and La Perouse region.</w:t>
      </w:r>
    </w:p>
    <w:p w14:paraId="322F8DB8" w14:textId="77777777" w:rsidR="00451F37" w:rsidRDefault="00451F37" w:rsidP="00451F37">
      <w:pPr>
        <w:pStyle w:val="ListParagraph"/>
        <w:numPr>
          <w:ilvl w:val="0"/>
          <w:numId w:val="187"/>
        </w:numPr>
      </w:pPr>
      <w:r w:rsidRPr="00451F37">
        <w:t>Affordable housing was identified as a key priority in the Local Partnership Agreement. ISEC has worked closely with community to articulate the key issues being faced by Aboriginal people in Redfern and La Perouse. NIAA and ISEC collaborated to convene the first partnership table with a broad range of industry and government stakeholders to ensure community priorities are embedded in affordable housing models. Further partnership table meetings in 2026 will progress this work.</w:t>
      </w:r>
    </w:p>
    <w:p w14:paraId="59E629FE" w14:textId="77777777" w:rsidR="00451F37" w:rsidRDefault="00451F37" w:rsidP="00451F37">
      <w:pPr>
        <w:pStyle w:val="ListParagraph"/>
        <w:numPr>
          <w:ilvl w:val="0"/>
          <w:numId w:val="187"/>
        </w:numPr>
      </w:pPr>
      <w:r w:rsidRPr="00451F37">
        <w:t>Through engagement with Aboriginal communities in Redfern and La Perouse, the ISEC Regional Development Agenda was updated to reflect community priorities and to ensure transparency and responsiveness to community.</w:t>
      </w:r>
    </w:p>
    <w:p w14:paraId="063A04CC" w14:textId="465C3190" w:rsidR="002068C0" w:rsidRPr="003E2721" w:rsidRDefault="00451F37" w:rsidP="00451F37">
      <w:pPr>
        <w:pStyle w:val="ListParagraph"/>
        <w:numPr>
          <w:ilvl w:val="0"/>
          <w:numId w:val="187"/>
        </w:numPr>
      </w:pPr>
      <w:r w:rsidRPr="00451F37">
        <w:t>Following the development of a communication strategy, ISEC increased their communication with the community, highlighting ISEC’s progress and achievements.</w:t>
      </w:r>
    </w:p>
    <w:p w14:paraId="59A7D55F" w14:textId="7C0A7EC4" w:rsidR="002068C0" w:rsidRDefault="007F5A93" w:rsidP="002068C0">
      <w:pPr>
        <w:pStyle w:val="Heading3"/>
      </w:pPr>
      <w:bookmarkStart w:id="57" w:name="_Toc225506079"/>
      <w:r w:rsidRPr="007F5A93">
        <w:t>Empowered Communities (EC) – Ngarrindjeri Ruwe</w:t>
      </w:r>
      <w:bookmarkEnd w:id="57"/>
    </w:p>
    <w:p w14:paraId="16B17FD2" w14:textId="77777777" w:rsidR="002068C0" w:rsidRDefault="002068C0" w:rsidP="002068C0">
      <w:pPr>
        <w:pStyle w:val="Heading4"/>
      </w:pPr>
      <w:r w:rsidRPr="00617C76">
        <w:t>Partnership description</w:t>
      </w:r>
    </w:p>
    <w:p w14:paraId="32815AC1" w14:textId="09038892" w:rsidR="002068C0" w:rsidRPr="00D9276C" w:rsidRDefault="002F02AF" w:rsidP="002068C0">
      <w:r w:rsidRPr="002F02AF">
        <w:t>One of 10 EC regions, this is an Aboriginal and Torres Strait Islander designed and led place</w:t>
      </w:r>
      <w:r w:rsidRPr="002F02AF">
        <w:noBreakHyphen/>
        <w:t>based reform partnership with government, underpinned by a commitment to First Nations empowerment, development and productivity. This partnership is committed to a future where Ngarrindjeri people lead decisions about their lives, land and waters, grounded in cultural authority, community leadership and shared responsibility.</w:t>
      </w:r>
    </w:p>
    <w:p w14:paraId="2783722F" w14:textId="77777777" w:rsidR="002068C0" w:rsidRDefault="002068C0" w:rsidP="002068C0">
      <w:pPr>
        <w:pStyle w:val="Heading4"/>
      </w:pPr>
      <w:r w:rsidRPr="00DF6278">
        <w:t>Aboriginal and Torres Strait Islander parties</w:t>
      </w:r>
    </w:p>
    <w:p w14:paraId="78C04744" w14:textId="232D97D1" w:rsidR="002068C0" w:rsidRPr="00B27ADE" w:rsidRDefault="002F02AF" w:rsidP="002068C0">
      <w:r w:rsidRPr="00B27ADE">
        <w:t>Ngarrindjeri Ruwe Empowered Communities (NREC)</w:t>
      </w:r>
      <w:r w:rsidR="00B40B52">
        <w:t xml:space="preserve"> (endorsing partner)</w:t>
      </w:r>
    </w:p>
    <w:p w14:paraId="037B05E0" w14:textId="77777777" w:rsidR="002068C0" w:rsidRPr="00617C76" w:rsidRDefault="002068C0" w:rsidP="002068C0">
      <w:pPr>
        <w:pStyle w:val="Heading4"/>
      </w:pPr>
      <w:r w:rsidRPr="00617C76">
        <w:t>Government parties</w:t>
      </w:r>
    </w:p>
    <w:p w14:paraId="219D13C1" w14:textId="77777777" w:rsidR="002068C0" w:rsidRDefault="002068C0" w:rsidP="002068C0">
      <w:pPr>
        <w:pStyle w:val="Heading5"/>
      </w:pPr>
      <w:r w:rsidRPr="00115C74">
        <w:t xml:space="preserve">COMMONWEALTH PARTIES </w:t>
      </w:r>
    </w:p>
    <w:p w14:paraId="220BA17E" w14:textId="33A5DD8E" w:rsidR="002068C0" w:rsidRPr="00B27ADE" w:rsidRDefault="00A42E5A" w:rsidP="002068C0">
      <w:r w:rsidRPr="00B27ADE">
        <w:t>National Indigenous Australians Agency (NIAA)</w:t>
      </w:r>
      <w:r w:rsidR="00B40B52">
        <w:t xml:space="preserve"> (endorsing partner)</w:t>
      </w:r>
    </w:p>
    <w:p w14:paraId="333F121A" w14:textId="77777777" w:rsidR="002068C0" w:rsidRPr="00115C74" w:rsidRDefault="002068C0" w:rsidP="002068C0">
      <w:pPr>
        <w:pStyle w:val="Heading5"/>
      </w:pPr>
      <w:r w:rsidRPr="00115C74">
        <w:t xml:space="preserve">STATE AND TERRITORY PARTIES </w:t>
      </w:r>
    </w:p>
    <w:p w14:paraId="15A6332F" w14:textId="77777777" w:rsidR="002068C0" w:rsidRPr="00617C76" w:rsidRDefault="002068C0" w:rsidP="002068C0">
      <w:r>
        <w:t>N/A</w:t>
      </w:r>
    </w:p>
    <w:p w14:paraId="24064D58" w14:textId="77777777" w:rsidR="002068C0" w:rsidRPr="00617C76" w:rsidRDefault="002068C0" w:rsidP="002068C0">
      <w:pPr>
        <w:pStyle w:val="Heading4"/>
      </w:pPr>
      <w:r w:rsidRPr="00617C76">
        <w:t>Priority Reforms and Socio-economic Outcomes</w:t>
      </w:r>
    </w:p>
    <w:p w14:paraId="1CD63CBD" w14:textId="77777777" w:rsidR="00A42E5A" w:rsidRDefault="00A42E5A" w:rsidP="002068C0">
      <w:r w:rsidRPr="00A42E5A">
        <w:t xml:space="preserve">Priority Reform 1 </w:t>
      </w:r>
    </w:p>
    <w:p w14:paraId="26100FD7" w14:textId="77777777" w:rsidR="00A42E5A" w:rsidRDefault="00A42E5A" w:rsidP="002068C0">
      <w:r w:rsidRPr="00A42E5A">
        <w:t xml:space="preserve">Priority Reform 2 </w:t>
      </w:r>
    </w:p>
    <w:p w14:paraId="17BCC0FF" w14:textId="77777777" w:rsidR="00A42E5A" w:rsidRDefault="00A42E5A" w:rsidP="002068C0">
      <w:r w:rsidRPr="00A42E5A">
        <w:t xml:space="preserve">Priority Reform 3 </w:t>
      </w:r>
    </w:p>
    <w:p w14:paraId="4ABA2FA0" w14:textId="77777777" w:rsidR="00A42E5A" w:rsidRDefault="00A42E5A" w:rsidP="002068C0">
      <w:r w:rsidRPr="00A42E5A">
        <w:t>Priority Reform 4</w:t>
      </w:r>
    </w:p>
    <w:p w14:paraId="2685C6E6" w14:textId="77777777" w:rsidR="002F2B22" w:rsidRDefault="00A42E5A" w:rsidP="002068C0">
      <w:r w:rsidRPr="00A42E5A">
        <w:t xml:space="preserve">Outcome 1 </w:t>
      </w:r>
    </w:p>
    <w:p w14:paraId="50172451" w14:textId="77777777" w:rsidR="002F2B22" w:rsidRDefault="00A42E5A" w:rsidP="002068C0">
      <w:r w:rsidRPr="00A42E5A">
        <w:t>Outcome 2</w:t>
      </w:r>
    </w:p>
    <w:p w14:paraId="7D94C291" w14:textId="77777777" w:rsidR="002F2B22" w:rsidRDefault="00A42E5A" w:rsidP="002068C0">
      <w:r w:rsidRPr="00A42E5A">
        <w:t xml:space="preserve">Outcome 3 </w:t>
      </w:r>
    </w:p>
    <w:p w14:paraId="4B76B600" w14:textId="77777777" w:rsidR="002F2B22" w:rsidRDefault="00A42E5A" w:rsidP="002068C0">
      <w:r w:rsidRPr="00A42E5A">
        <w:lastRenderedPageBreak/>
        <w:t xml:space="preserve">Outcome 4 </w:t>
      </w:r>
    </w:p>
    <w:p w14:paraId="08C2C0B3" w14:textId="77777777" w:rsidR="002F2B22" w:rsidRDefault="00A42E5A" w:rsidP="002068C0">
      <w:r w:rsidRPr="00A42E5A">
        <w:t xml:space="preserve">Outcome 5 </w:t>
      </w:r>
    </w:p>
    <w:p w14:paraId="3F22735F" w14:textId="77777777" w:rsidR="002F2B22" w:rsidRDefault="00A42E5A" w:rsidP="002068C0">
      <w:r w:rsidRPr="00A42E5A">
        <w:t xml:space="preserve">Outcome 6 </w:t>
      </w:r>
    </w:p>
    <w:p w14:paraId="474835F2" w14:textId="77777777" w:rsidR="002F2B22" w:rsidRDefault="00A42E5A" w:rsidP="002068C0">
      <w:r w:rsidRPr="00A42E5A">
        <w:t xml:space="preserve">Outcome 7 </w:t>
      </w:r>
    </w:p>
    <w:p w14:paraId="1E12AF0C" w14:textId="77777777" w:rsidR="002A5040" w:rsidRDefault="00A42E5A" w:rsidP="002068C0">
      <w:r w:rsidRPr="00A42E5A">
        <w:t>Outcome 8</w:t>
      </w:r>
    </w:p>
    <w:p w14:paraId="13DDD73B" w14:textId="77777777" w:rsidR="002A5040" w:rsidRDefault="00A42E5A" w:rsidP="002068C0">
      <w:r w:rsidRPr="00A42E5A">
        <w:t>Outcome 9</w:t>
      </w:r>
    </w:p>
    <w:p w14:paraId="5D6A4904" w14:textId="77777777" w:rsidR="002A5040" w:rsidRDefault="00A42E5A" w:rsidP="002068C0">
      <w:r w:rsidRPr="00A42E5A">
        <w:t>Outcome 10</w:t>
      </w:r>
    </w:p>
    <w:p w14:paraId="7C17EAB4" w14:textId="77777777" w:rsidR="002A5040" w:rsidRDefault="00A42E5A" w:rsidP="002068C0">
      <w:r w:rsidRPr="00A42E5A">
        <w:t>Outcome 11</w:t>
      </w:r>
    </w:p>
    <w:p w14:paraId="06AD4666" w14:textId="77777777" w:rsidR="002A5040" w:rsidRDefault="00A42E5A" w:rsidP="002068C0">
      <w:r w:rsidRPr="00A42E5A">
        <w:t>Outcome 12</w:t>
      </w:r>
    </w:p>
    <w:p w14:paraId="2723C131" w14:textId="77777777" w:rsidR="002A5040" w:rsidRDefault="00A42E5A" w:rsidP="002068C0">
      <w:r w:rsidRPr="00A42E5A">
        <w:t>Outcome 13</w:t>
      </w:r>
    </w:p>
    <w:p w14:paraId="3EF0B88B" w14:textId="77777777" w:rsidR="002A5040" w:rsidRDefault="00A42E5A" w:rsidP="002068C0">
      <w:r w:rsidRPr="00A42E5A">
        <w:t>Outcome 14</w:t>
      </w:r>
    </w:p>
    <w:p w14:paraId="4D6B1F30" w14:textId="77777777" w:rsidR="002A5040" w:rsidRDefault="00A42E5A" w:rsidP="002068C0">
      <w:r w:rsidRPr="00A42E5A">
        <w:t>Outcome 15</w:t>
      </w:r>
    </w:p>
    <w:p w14:paraId="484AE691" w14:textId="77777777" w:rsidR="002A5040" w:rsidRDefault="00A42E5A" w:rsidP="002068C0">
      <w:r w:rsidRPr="00A42E5A">
        <w:t>Outcome 16</w:t>
      </w:r>
    </w:p>
    <w:p w14:paraId="20D1F672" w14:textId="6E3026BC" w:rsidR="002068C0" w:rsidRPr="007C35F3" w:rsidRDefault="00A42E5A" w:rsidP="002068C0">
      <w:r w:rsidRPr="00A42E5A">
        <w:t>Outcome 17</w:t>
      </w:r>
    </w:p>
    <w:p w14:paraId="31E84636" w14:textId="77777777" w:rsidR="002068C0" w:rsidRPr="00617C76" w:rsidRDefault="002068C0" w:rsidP="002068C0">
      <w:pPr>
        <w:pStyle w:val="Heading4"/>
      </w:pPr>
      <w:r w:rsidRPr="00617C76">
        <w:t>Partnership function</w:t>
      </w:r>
    </w:p>
    <w:p w14:paraId="7381D11A" w14:textId="77777777" w:rsidR="009F4586" w:rsidRDefault="009F4586" w:rsidP="002068C0">
      <w:r w:rsidRPr="009F4586">
        <w:t xml:space="preserve">Policy </w:t>
      </w:r>
    </w:p>
    <w:p w14:paraId="36DA5471" w14:textId="5FE51C76" w:rsidR="002068C0" w:rsidRPr="00617C76" w:rsidRDefault="009F4586" w:rsidP="002068C0">
      <w:r w:rsidRPr="009F4586">
        <w:t>Place</w:t>
      </w:r>
      <w:r w:rsidRPr="009F4586">
        <w:noBreakHyphen/>
        <w:t>based</w:t>
      </w:r>
    </w:p>
    <w:p w14:paraId="70E6502F" w14:textId="77777777" w:rsidR="002068C0" w:rsidRPr="00617C76" w:rsidRDefault="002068C0" w:rsidP="002068C0">
      <w:pPr>
        <w:pStyle w:val="Heading4"/>
      </w:pPr>
      <w:r w:rsidRPr="00617C76">
        <w:t>Partnership timeframe</w:t>
      </w:r>
    </w:p>
    <w:p w14:paraId="4E9F12CF" w14:textId="5861E4A9" w:rsidR="002068C0" w:rsidRPr="00617C76" w:rsidRDefault="009F4586" w:rsidP="002068C0">
      <w:r w:rsidRPr="009F4586">
        <w:t>2015 to 2028</w:t>
      </w:r>
    </w:p>
    <w:p w14:paraId="47A1733A" w14:textId="77777777" w:rsidR="002068C0" w:rsidRDefault="002068C0" w:rsidP="002068C0">
      <w:pPr>
        <w:pStyle w:val="Heading4"/>
      </w:pPr>
      <w:r w:rsidRPr="00617C76">
        <w:t>Actions taken to strengthen the partnership in 2025</w:t>
      </w:r>
    </w:p>
    <w:p w14:paraId="131487AB" w14:textId="77777777" w:rsidR="00C74BB1" w:rsidRDefault="00C74BB1" w:rsidP="002068C0">
      <w:r w:rsidRPr="00C74BB1">
        <w:t>The next 3 years’ funding to EC will provide an opportunity to practically enact best</w:t>
      </w:r>
      <w:r w:rsidRPr="00C74BB1">
        <w:noBreakHyphen/>
        <w:t xml:space="preserve">practice principles of partnership within the broader reform context. </w:t>
      </w:r>
    </w:p>
    <w:p w14:paraId="041F65C6" w14:textId="77777777" w:rsidR="00C74BB1" w:rsidRDefault="00C74BB1" w:rsidP="002068C0">
      <w:r w:rsidRPr="00C74BB1">
        <w:t xml:space="preserve">The process of refreshing local partnership agreements has been an opportunity for NIAA and EC regions to articulate strategic commitments to further the shared priorities, specific to each region in line with the underpinning principle of subsidiarity. This has strengthened the relationship between parties and will support future progress against shared priorities. </w:t>
      </w:r>
    </w:p>
    <w:p w14:paraId="17CE64B8" w14:textId="15A55E4D" w:rsidR="002068C0" w:rsidRPr="00D9276C" w:rsidRDefault="00C74BB1" w:rsidP="002068C0">
      <w:r w:rsidRPr="00C74BB1">
        <w:t>For a strong and effective partnership, it is essential that both government and First Nations partners reflect on the partnership itself and, importantly, on what it will ultimately deliver on</w:t>
      </w:r>
      <w:r w:rsidRPr="00C74BB1">
        <w:noBreakHyphen/>
        <w:t>the</w:t>
      </w:r>
      <w:r w:rsidRPr="00C74BB1">
        <w:noBreakHyphen/>
        <w:t>ground for Aboriginal and Torres Strait Islander people over the next 3 years.</w:t>
      </w:r>
    </w:p>
    <w:p w14:paraId="63FAA8DB" w14:textId="77777777" w:rsidR="002068C0" w:rsidRPr="00617C76" w:rsidRDefault="002068C0" w:rsidP="002068C0">
      <w:pPr>
        <w:pStyle w:val="Heading4"/>
      </w:pPr>
      <w:r w:rsidRPr="00617C76">
        <w:t>Strong partnership indicators</w:t>
      </w:r>
    </w:p>
    <w:p w14:paraId="222CB460" w14:textId="77777777" w:rsidR="002068C0" w:rsidRPr="00617C76" w:rsidRDefault="002068C0" w:rsidP="002068C0">
      <w:pPr>
        <w:pStyle w:val="Heading5"/>
      </w:pPr>
      <w:r w:rsidRPr="00617C76">
        <w:t>Clause 32A:</w:t>
      </w:r>
    </w:p>
    <w:p w14:paraId="2810800C" w14:textId="47FBDAAF" w:rsidR="002068C0" w:rsidRDefault="00986792" w:rsidP="00986792">
      <w:pPr>
        <w:pStyle w:val="ListParagraph"/>
        <w:numPr>
          <w:ilvl w:val="0"/>
          <w:numId w:val="188"/>
        </w:numPr>
      </w:pPr>
      <w:r w:rsidRPr="00986792">
        <w:t>Met</w:t>
      </w:r>
    </w:p>
    <w:p w14:paraId="1C0D168A" w14:textId="4CD5A1E7" w:rsidR="002068C0" w:rsidRDefault="00986792" w:rsidP="00986792">
      <w:pPr>
        <w:pStyle w:val="ListParagraph"/>
        <w:numPr>
          <w:ilvl w:val="0"/>
          <w:numId w:val="188"/>
        </w:numPr>
      </w:pPr>
      <w:r w:rsidRPr="00986792">
        <w:t>Met</w:t>
      </w:r>
    </w:p>
    <w:p w14:paraId="3D267F3B" w14:textId="2782F169" w:rsidR="002068C0" w:rsidRDefault="00986792" w:rsidP="00986792">
      <w:pPr>
        <w:pStyle w:val="ListParagraph"/>
        <w:numPr>
          <w:ilvl w:val="0"/>
          <w:numId w:val="188"/>
        </w:numPr>
      </w:pPr>
      <w:r w:rsidRPr="00986792">
        <w:t>Met</w:t>
      </w:r>
    </w:p>
    <w:p w14:paraId="08EBBEC6" w14:textId="77777777" w:rsidR="002068C0" w:rsidRPr="00617C76" w:rsidRDefault="002068C0" w:rsidP="002068C0">
      <w:pPr>
        <w:pStyle w:val="Heading5"/>
      </w:pPr>
      <w:r w:rsidRPr="00617C76">
        <w:t>Clause 32B:</w:t>
      </w:r>
    </w:p>
    <w:p w14:paraId="57025838" w14:textId="4BA202F0" w:rsidR="002068C0" w:rsidRDefault="00986792" w:rsidP="00986792">
      <w:pPr>
        <w:pStyle w:val="ListParagraph"/>
        <w:numPr>
          <w:ilvl w:val="0"/>
          <w:numId w:val="189"/>
        </w:numPr>
      </w:pPr>
      <w:r w:rsidRPr="00986792">
        <w:t>Met</w:t>
      </w:r>
    </w:p>
    <w:p w14:paraId="0FFF2F38" w14:textId="49E9102A" w:rsidR="002068C0" w:rsidRDefault="00986792" w:rsidP="00986792">
      <w:pPr>
        <w:pStyle w:val="ListParagraph"/>
        <w:numPr>
          <w:ilvl w:val="0"/>
          <w:numId w:val="189"/>
        </w:numPr>
      </w:pPr>
      <w:r w:rsidRPr="00986792">
        <w:lastRenderedPageBreak/>
        <w:t>Met</w:t>
      </w:r>
    </w:p>
    <w:p w14:paraId="4BC326C6" w14:textId="1B0C379D" w:rsidR="002068C0" w:rsidRDefault="00FC66D8" w:rsidP="00986792">
      <w:pPr>
        <w:pStyle w:val="ListParagraph"/>
        <w:numPr>
          <w:ilvl w:val="0"/>
          <w:numId w:val="189"/>
        </w:numPr>
      </w:pPr>
      <w:r w:rsidRPr="00FC66D8">
        <w:t>Not met</w:t>
      </w:r>
    </w:p>
    <w:p w14:paraId="18B352F2" w14:textId="60D18DDE" w:rsidR="002068C0" w:rsidRDefault="00FC66D8" w:rsidP="00986792">
      <w:pPr>
        <w:pStyle w:val="ListParagraph"/>
        <w:numPr>
          <w:ilvl w:val="0"/>
          <w:numId w:val="189"/>
        </w:numPr>
      </w:pPr>
      <w:r w:rsidRPr="00FC66D8">
        <w:t>N/A</w:t>
      </w:r>
    </w:p>
    <w:p w14:paraId="3281DFA9" w14:textId="77777777" w:rsidR="002068C0" w:rsidRPr="00617C76" w:rsidRDefault="002068C0" w:rsidP="002068C0">
      <w:pPr>
        <w:pStyle w:val="Heading5"/>
      </w:pPr>
      <w:r w:rsidRPr="00617C76">
        <w:t>Clause 32C:</w:t>
      </w:r>
    </w:p>
    <w:p w14:paraId="3B6E36C1" w14:textId="17CBF5D7" w:rsidR="002068C0" w:rsidRDefault="00986792" w:rsidP="00986792">
      <w:pPr>
        <w:pStyle w:val="ListParagraph"/>
        <w:numPr>
          <w:ilvl w:val="0"/>
          <w:numId w:val="190"/>
        </w:numPr>
      </w:pPr>
      <w:r w:rsidRPr="00986792">
        <w:t>Met</w:t>
      </w:r>
    </w:p>
    <w:p w14:paraId="0E375439" w14:textId="35D055E4" w:rsidR="002068C0" w:rsidRDefault="00986792" w:rsidP="00986792">
      <w:pPr>
        <w:pStyle w:val="ListParagraph"/>
        <w:numPr>
          <w:ilvl w:val="0"/>
          <w:numId w:val="190"/>
        </w:numPr>
      </w:pPr>
      <w:r w:rsidRPr="00986792">
        <w:t>Met</w:t>
      </w:r>
    </w:p>
    <w:p w14:paraId="7BA6B478" w14:textId="6E020AD3" w:rsidR="002068C0" w:rsidRDefault="00986792" w:rsidP="00986792">
      <w:pPr>
        <w:pStyle w:val="ListParagraph"/>
        <w:numPr>
          <w:ilvl w:val="0"/>
          <w:numId w:val="190"/>
        </w:numPr>
      </w:pPr>
      <w:r w:rsidRPr="00986792">
        <w:t>Met</w:t>
      </w:r>
    </w:p>
    <w:p w14:paraId="45664E6A" w14:textId="2498CA62" w:rsidR="002068C0" w:rsidRDefault="00986792" w:rsidP="00986792">
      <w:pPr>
        <w:pStyle w:val="ListParagraph"/>
        <w:numPr>
          <w:ilvl w:val="0"/>
          <w:numId w:val="190"/>
        </w:numPr>
      </w:pPr>
      <w:r w:rsidRPr="00986792">
        <w:t>Met</w:t>
      </w:r>
    </w:p>
    <w:p w14:paraId="00DB04DD" w14:textId="326CC5AF" w:rsidR="002068C0" w:rsidRDefault="00986792" w:rsidP="00986792">
      <w:pPr>
        <w:pStyle w:val="ListParagraph"/>
        <w:numPr>
          <w:ilvl w:val="0"/>
          <w:numId w:val="190"/>
        </w:numPr>
      </w:pPr>
      <w:r w:rsidRPr="00986792">
        <w:t>Met</w:t>
      </w:r>
    </w:p>
    <w:p w14:paraId="6D564948" w14:textId="6F6097F2" w:rsidR="002068C0" w:rsidRDefault="00986792" w:rsidP="00986792">
      <w:pPr>
        <w:pStyle w:val="ListParagraph"/>
        <w:numPr>
          <w:ilvl w:val="0"/>
          <w:numId w:val="190"/>
        </w:numPr>
      </w:pPr>
      <w:r w:rsidRPr="00986792">
        <w:t>Met</w:t>
      </w:r>
    </w:p>
    <w:p w14:paraId="22463570" w14:textId="3360D286" w:rsidR="002068C0" w:rsidRDefault="00986792" w:rsidP="00986792">
      <w:pPr>
        <w:pStyle w:val="ListParagraph"/>
        <w:numPr>
          <w:ilvl w:val="0"/>
          <w:numId w:val="190"/>
        </w:numPr>
      </w:pPr>
      <w:r w:rsidRPr="00986792">
        <w:t>Met</w:t>
      </w:r>
    </w:p>
    <w:p w14:paraId="7A7CC673" w14:textId="77777777" w:rsidR="002068C0" w:rsidRPr="00617C76" w:rsidRDefault="002068C0" w:rsidP="002068C0">
      <w:pPr>
        <w:pStyle w:val="Heading5"/>
      </w:pPr>
      <w:r w:rsidRPr="00617C76">
        <w:t>Clause 33:</w:t>
      </w:r>
    </w:p>
    <w:p w14:paraId="1FD635E5" w14:textId="3CA6642E" w:rsidR="002068C0" w:rsidRDefault="00986792" w:rsidP="002068C0">
      <w:r w:rsidRPr="00986792">
        <w:t>Met</w:t>
      </w:r>
    </w:p>
    <w:p w14:paraId="77DE5F70" w14:textId="77777777" w:rsidR="002068C0" w:rsidRDefault="002068C0" w:rsidP="002068C0">
      <w:pPr>
        <w:pStyle w:val="Heading4"/>
      </w:pPr>
      <w:r w:rsidRPr="00617C76">
        <w:t>Achievements over 2025</w:t>
      </w:r>
    </w:p>
    <w:p w14:paraId="199723F8" w14:textId="77777777" w:rsidR="0044207A" w:rsidRDefault="0044207A" w:rsidP="0044207A">
      <w:pPr>
        <w:pStyle w:val="ListParagraph"/>
        <w:numPr>
          <w:ilvl w:val="0"/>
          <w:numId w:val="191"/>
        </w:numPr>
      </w:pPr>
      <w:r w:rsidRPr="0044207A">
        <w:t xml:space="preserve">A refreshed Local Partnership Agreement (2025 to 2028) was finalised. The Agreement formalised the EC partnership at the local level, setting strategic shared priorities, expectations and accountability mechanisms between NIAA and EC leaders in the Ngarrindjeri Ruwe region. </w:t>
      </w:r>
    </w:p>
    <w:p w14:paraId="66B00E8B" w14:textId="77777777" w:rsidR="0044207A" w:rsidRDefault="0044207A" w:rsidP="0044207A">
      <w:pPr>
        <w:pStyle w:val="ListParagraph"/>
        <w:numPr>
          <w:ilvl w:val="0"/>
          <w:numId w:val="191"/>
        </w:numPr>
      </w:pPr>
      <w:r w:rsidRPr="0044207A">
        <w:t xml:space="preserve">The Regional Development Agenda was updated and outlines NREC’s strategic priorities for regional growth, reflecting Ngarrindjeri cultural values through community engagement. </w:t>
      </w:r>
    </w:p>
    <w:p w14:paraId="7132DFB0" w14:textId="77777777" w:rsidR="0044207A" w:rsidRDefault="0044207A" w:rsidP="0044207A">
      <w:pPr>
        <w:pStyle w:val="ListParagraph"/>
        <w:numPr>
          <w:ilvl w:val="0"/>
          <w:numId w:val="191"/>
        </w:numPr>
      </w:pPr>
      <w:r w:rsidRPr="0044207A">
        <w:t xml:space="preserve">NREC has increased visibility and awareness of their work within the community, strengthened connection with stakeholders and community members through consistent communication, workshops and community events, improving community engagement and participation in NREC initiatives. </w:t>
      </w:r>
    </w:p>
    <w:p w14:paraId="1C0ADCD5" w14:textId="77777777" w:rsidR="0044207A" w:rsidRDefault="0044207A" w:rsidP="0044207A">
      <w:pPr>
        <w:pStyle w:val="ListParagraph"/>
        <w:numPr>
          <w:ilvl w:val="0"/>
          <w:numId w:val="191"/>
        </w:numPr>
      </w:pPr>
      <w:r w:rsidRPr="0044207A">
        <w:t xml:space="preserve">NREC collaborated with Rural City of Murray Bridge, reinforcing the importance of Ngarrindjeri cultural leadership and storytelling in shaping the vision for the Sturt Reserve Play Precinct and strengthening the project’s alignment with the community. This collaboration won a Planning Institute of Australia Award. </w:t>
      </w:r>
    </w:p>
    <w:p w14:paraId="2900564E" w14:textId="0082267B" w:rsidR="002068C0" w:rsidRPr="003E2721" w:rsidRDefault="0044207A" w:rsidP="0044207A">
      <w:pPr>
        <w:pStyle w:val="ListParagraph"/>
        <w:numPr>
          <w:ilvl w:val="0"/>
          <w:numId w:val="191"/>
        </w:numPr>
      </w:pPr>
      <w:r w:rsidRPr="0044207A">
        <w:t>Key initiatives—such as the Healthy Corporations Checklist, Leaders to Leaders discussions, and the establishment of a Youth Network—have empowered communities, strengthened governance, and addressed critical issues like youth incarceration and organisational capacity building. This amplifies Ngarrindjeri voices and ensures sustainable, community</w:t>
      </w:r>
      <w:r w:rsidRPr="0044207A">
        <w:noBreakHyphen/>
        <w:t>led outcomes.</w:t>
      </w:r>
    </w:p>
    <w:p w14:paraId="3548ED58" w14:textId="44231179" w:rsidR="002068C0" w:rsidRDefault="00484155" w:rsidP="002068C0">
      <w:pPr>
        <w:pStyle w:val="Heading3"/>
      </w:pPr>
      <w:bookmarkStart w:id="58" w:name="_Toc225506080"/>
      <w:r w:rsidRPr="00484155">
        <w:t>Empowered Communities (EC) – Tristate</w:t>
      </w:r>
      <w:bookmarkEnd w:id="58"/>
    </w:p>
    <w:p w14:paraId="49C61D56" w14:textId="77777777" w:rsidR="002068C0" w:rsidRDefault="002068C0" w:rsidP="002068C0">
      <w:pPr>
        <w:pStyle w:val="Heading4"/>
      </w:pPr>
      <w:r w:rsidRPr="00617C76">
        <w:t>Partnership description</w:t>
      </w:r>
    </w:p>
    <w:p w14:paraId="50605A50" w14:textId="65B52F41" w:rsidR="002068C0" w:rsidRPr="00D9276C" w:rsidRDefault="00497326" w:rsidP="002068C0">
      <w:r w:rsidRPr="00497326">
        <w:t>One of 10 EC regions, this is an Aboriginal and Torres Strait Islander designed and led place</w:t>
      </w:r>
      <w:r w:rsidRPr="00497326">
        <w:noBreakHyphen/>
        <w:t>based reform partnership with government, underpinned by a commitment to First Nations empowerment, development and productivity. The Tristate EC Partnership enables an A</w:t>
      </w:r>
      <w:r w:rsidRPr="00497326">
        <w:rPr>
          <w:rFonts w:ascii="Calibri" w:hAnsi="Calibri" w:cs="Calibri"/>
        </w:rPr>
        <w:t>ṉ</w:t>
      </w:r>
      <w:r w:rsidRPr="00497326">
        <w:t>angu</w:t>
      </w:r>
      <w:r w:rsidRPr="00497326">
        <w:noBreakHyphen/>
        <w:t>led approach, where A</w:t>
      </w:r>
      <w:r w:rsidRPr="00497326">
        <w:rPr>
          <w:rFonts w:ascii="Calibri" w:hAnsi="Calibri" w:cs="Calibri"/>
        </w:rPr>
        <w:t>ṉ</w:t>
      </w:r>
      <w:r w:rsidRPr="00497326">
        <w:t>angu people on Ngaanyatjarra, Pitjantjatjara and Yankunytjatjara (NPY) lands are empowered to be involved in decisions that affect them, work to Close the Gap and to deliver on</w:t>
      </w:r>
      <w:r w:rsidRPr="00497326">
        <w:noBreakHyphen/>
        <w:t>the</w:t>
      </w:r>
      <w:r w:rsidRPr="00497326">
        <w:noBreakHyphen/>
        <w:t>ground change.</w:t>
      </w:r>
    </w:p>
    <w:p w14:paraId="1B758263" w14:textId="77777777" w:rsidR="002068C0" w:rsidRDefault="002068C0" w:rsidP="002068C0">
      <w:pPr>
        <w:pStyle w:val="Heading4"/>
      </w:pPr>
      <w:r w:rsidRPr="00DF6278">
        <w:t>Aboriginal and Torres Strait Islander parties</w:t>
      </w:r>
    </w:p>
    <w:p w14:paraId="0617C2D8" w14:textId="69C13BBA" w:rsidR="002068C0" w:rsidRPr="00B27ADE" w:rsidRDefault="003179AF" w:rsidP="002068C0">
      <w:proofErr w:type="spellStart"/>
      <w:r w:rsidRPr="00B27ADE">
        <w:t>Kulintja</w:t>
      </w:r>
      <w:proofErr w:type="spellEnd"/>
      <w:r w:rsidRPr="00B27ADE">
        <w:t xml:space="preserve"> </w:t>
      </w:r>
      <w:proofErr w:type="spellStart"/>
      <w:r w:rsidRPr="00B27ADE">
        <w:t>Kutju</w:t>
      </w:r>
      <w:proofErr w:type="spellEnd"/>
      <w:r w:rsidRPr="00B27ADE">
        <w:t xml:space="preserve"> Limited</w:t>
      </w:r>
      <w:r w:rsidR="004C0FFA">
        <w:t xml:space="preserve"> (endorsing partner)</w:t>
      </w:r>
    </w:p>
    <w:p w14:paraId="589A98C2" w14:textId="6F37CE24" w:rsidR="002068C0" w:rsidRPr="00617C76" w:rsidRDefault="002068C0" w:rsidP="002068C0">
      <w:pPr>
        <w:pStyle w:val="Heading4"/>
      </w:pPr>
      <w:r w:rsidRPr="00617C76">
        <w:t>Government parties</w:t>
      </w:r>
    </w:p>
    <w:p w14:paraId="3DE31E79" w14:textId="77777777" w:rsidR="002068C0" w:rsidRDefault="002068C0" w:rsidP="002068C0">
      <w:pPr>
        <w:pStyle w:val="Heading5"/>
      </w:pPr>
      <w:r w:rsidRPr="00115C74">
        <w:t xml:space="preserve">COMMONWEALTH PARTIES </w:t>
      </w:r>
    </w:p>
    <w:p w14:paraId="4D14D32F" w14:textId="3BA57758" w:rsidR="002068C0" w:rsidRPr="00B27ADE" w:rsidRDefault="008144B3" w:rsidP="002068C0">
      <w:r w:rsidRPr="00B27ADE">
        <w:t>National Indigenous Australians Agency (NIAA)</w:t>
      </w:r>
      <w:r w:rsidR="004C0FFA">
        <w:t xml:space="preserve"> (endorsing partner)</w:t>
      </w:r>
    </w:p>
    <w:p w14:paraId="32F69A00" w14:textId="77777777" w:rsidR="002068C0" w:rsidRPr="00115C74" w:rsidRDefault="002068C0" w:rsidP="002068C0">
      <w:pPr>
        <w:pStyle w:val="Heading5"/>
      </w:pPr>
      <w:r w:rsidRPr="00115C74">
        <w:lastRenderedPageBreak/>
        <w:t xml:space="preserve">STATE AND TERRITORY PARTIES </w:t>
      </w:r>
    </w:p>
    <w:p w14:paraId="397EC95E" w14:textId="77777777" w:rsidR="002068C0" w:rsidRPr="00617C76" w:rsidRDefault="002068C0" w:rsidP="002068C0">
      <w:r>
        <w:t>N/A</w:t>
      </w:r>
    </w:p>
    <w:p w14:paraId="4FFFED0B" w14:textId="77777777" w:rsidR="002068C0" w:rsidRPr="00617C76" w:rsidRDefault="002068C0" w:rsidP="002068C0">
      <w:pPr>
        <w:pStyle w:val="Heading4"/>
      </w:pPr>
      <w:r w:rsidRPr="00617C76">
        <w:t>Priority Reforms and Socio-economic Outcomes</w:t>
      </w:r>
    </w:p>
    <w:p w14:paraId="38A99FFF" w14:textId="77777777" w:rsidR="003D2E1D" w:rsidRDefault="003D2E1D" w:rsidP="002068C0">
      <w:r w:rsidRPr="003D2E1D">
        <w:t xml:space="preserve">Priority Reform 1 </w:t>
      </w:r>
    </w:p>
    <w:p w14:paraId="58D5A44D" w14:textId="77777777" w:rsidR="006A2AE6" w:rsidRDefault="003D2E1D" w:rsidP="002068C0">
      <w:r w:rsidRPr="003D2E1D">
        <w:t xml:space="preserve">Priority Reform 2 </w:t>
      </w:r>
    </w:p>
    <w:p w14:paraId="66FEDE92" w14:textId="77777777" w:rsidR="006A2AE6" w:rsidRDefault="003D2E1D" w:rsidP="002068C0">
      <w:r w:rsidRPr="003D2E1D">
        <w:t xml:space="preserve">Priority Reform 3 </w:t>
      </w:r>
    </w:p>
    <w:p w14:paraId="49DD38BA" w14:textId="77777777" w:rsidR="006A2AE6" w:rsidRDefault="003D2E1D" w:rsidP="002068C0">
      <w:r w:rsidRPr="003D2E1D">
        <w:t xml:space="preserve">Priority Reform 4 </w:t>
      </w:r>
    </w:p>
    <w:p w14:paraId="658773FD" w14:textId="77777777" w:rsidR="006A2AE6" w:rsidRDefault="003D2E1D" w:rsidP="002068C0">
      <w:r w:rsidRPr="003D2E1D">
        <w:t>Outcome 1</w:t>
      </w:r>
    </w:p>
    <w:p w14:paraId="0BD22226" w14:textId="77777777" w:rsidR="006A2AE6" w:rsidRDefault="003D2E1D" w:rsidP="002068C0">
      <w:r w:rsidRPr="003D2E1D">
        <w:t xml:space="preserve">Outcome 2 </w:t>
      </w:r>
    </w:p>
    <w:p w14:paraId="72DB55D8" w14:textId="77777777" w:rsidR="006A2AE6" w:rsidRDefault="003D2E1D" w:rsidP="002068C0">
      <w:r w:rsidRPr="003D2E1D">
        <w:t xml:space="preserve">Outcome 3 </w:t>
      </w:r>
    </w:p>
    <w:p w14:paraId="3E2D73FD" w14:textId="77777777" w:rsidR="006A2AE6" w:rsidRDefault="003D2E1D" w:rsidP="002068C0">
      <w:r w:rsidRPr="003D2E1D">
        <w:t xml:space="preserve">Outcome 4 </w:t>
      </w:r>
    </w:p>
    <w:p w14:paraId="3305CF35" w14:textId="77777777" w:rsidR="006A2AE6" w:rsidRDefault="003D2E1D" w:rsidP="002068C0">
      <w:r w:rsidRPr="003D2E1D">
        <w:t xml:space="preserve">Outcome 5 </w:t>
      </w:r>
    </w:p>
    <w:p w14:paraId="4F48913D" w14:textId="77777777" w:rsidR="006A2AE6" w:rsidRDefault="003D2E1D" w:rsidP="002068C0">
      <w:r w:rsidRPr="003D2E1D">
        <w:t xml:space="preserve">Outcome 6 </w:t>
      </w:r>
    </w:p>
    <w:p w14:paraId="39576A08" w14:textId="77777777" w:rsidR="006A2AE6" w:rsidRDefault="003D2E1D" w:rsidP="002068C0">
      <w:r w:rsidRPr="003D2E1D">
        <w:t xml:space="preserve">Outcome 7 </w:t>
      </w:r>
    </w:p>
    <w:p w14:paraId="2871B843" w14:textId="77777777" w:rsidR="006A2AE6" w:rsidRDefault="003D2E1D" w:rsidP="002068C0">
      <w:r w:rsidRPr="003D2E1D">
        <w:t xml:space="preserve">Outcome 8 </w:t>
      </w:r>
    </w:p>
    <w:p w14:paraId="5233925D" w14:textId="77777777" w:rsidR="006A2AE6" w:rsidRDefault="003D2E1D" w:rsidP="002068C0">
      <w:r w:rsidRPr="003D2E1D">
        <w:t xml:space="preserve">Outcome 9 </w:t>
      </w:r>
    </w:p>
    <w:p w14:paraId="78149D45" w14:textId="77777777" w:rsidR="006A2AE6" w:rsidRDefault="003D2E1D" w:rsidP="002068C0">
      <w:r w:rsidRPr="003D2E1D">
        <w:t xml:space="preserve">Outcome 10 </w:t>
      </w:r>
    </w:p>
    <w:p w14:paraId="0ACAFD4E" w14:textId="77777777" w:rsidR="006A2AE6" w:rsidRDefault="003D2E1D" w:rsidP="002068C0">
      <w:r w:rsidRPr="003D2E1D">
        <w:t xml:space="preserve">Outcome 11 </w:t>
      </w:r>
    </w:p>
    <w:p w14:paraId="2B4834B6" w14:textId="77777777" w:rsidR="006A2AE6" w:rsidRDefault="003D2E1D" w:rsidP="002068C0">
      <w:r w:rsidRPr="003D2E1D">
        <w:t xml:space="preserve">Outcome 12 </w:t>
      </w:r>
    </w:p>
    <w:p w14:paraId="7F0432C2" w14:textId="77777777" w:rsidR="006A2AE6" w:rsidRDefault="003D2E1D" w:rsidP="002068C0">
      <w:r w:rsidRPr="003D2E1D">
        <w:t xml:space="preserve">Outcome 13 </w:t>
      </w:r>
    </w:p>
    <w:p w14:paraId="55FAF771" w14:textId="77777777" w:rsidR="006A2AE6" w:rsidRDefault="003D2E1D" w:rsidP="002068C0">
      <w:r w:rsidRPr="003D2E1D">
        <w:t xml:space="preserve">Outcome 14 </w:t>
      </w:r>
    </w:p>
    <w:p w14:paraId="7590228E" w14:textId="77777777" w:rsidR="006A2AE6" w:rsidRDefault="003D2E1D" w:rsidP="002068C0">
      <w:r w:rsidRPr="003D2E1D">
        <w:t xml:space="preserve">Outcome 15 </w:t>
      </w:r>
    </w:p>
    <w:p w14:paraId="21F1F99E" w14:textId="77777777" w:rsidR="006A2AE6" w:rsidRDefault="003D2E1D" w:rsidP="002068C0">
      <w:r w:rsidRPr="003D2E1D">
        <w:t xml:space="preserve">Outcome 16 </w:t>
      </w:r>
    </w:p>
    <w:p w14:paraId="2835AD4B" w14:textId="358A9E91" w:rsidR="002068C0" w:rsidRPr="007C35F3" w:rsidRDefault="003D2E1D" w:rsidP="002068C0">
      <w:r w:rsidRPr="003D2E1D">
        <w:t>Outcome 17</w:t>
      </w:r>
    </w:p>
    <w:p w14:paraId="2E45D81C" w14:textId="77777777" w:rsidR="002068C0" w:rsidRPr="00617C76" w:rsidRDefault="002068C0" w:rsidP="002068C0">
      <w:pPr>
        <w:pStyle w:val="Heading4"/>
      </w:pPr>
      <w:r w:rsidRPr="00617C76">
        <w:t>Partnership function</w:t>
      </w:r>
    </w:p>
    <w:p w14:paraId="670BFBE3" w14:textId="77777777" w:rsidR="0042135D" w:rsidRDefault="0042135D" w:rsidP="002068C0">
      <w:r w:rsidRPr="0042135D">
        <w:t>Policy</w:t>
      </w:r>
    </w:p>
    <w:p w14:paraId="4880770C" w14:textId="3C320C3B" w:rsidR="002068C0" w:rsidRPr="00617C76" w:rsidRDefault="0042135D" w:rsidP="002068C0">
      <w:r w:rsidRPr="0042135D">
        <w:t>Place</w:t>
      </w:r>
      <w:r w:rsidRPr="0042135D">
        <w:noBreakHyphen/>
        <w:t>based</w:t>
      </w:r>
    </w:p>
    <w:p w14:paraId="0363EF24" w14:textId="77777777" w:rsidR="002068C0" w:rsidRPr="00617C76" w:rsidRDefault="002068C0" w:rsidP="002068C0">
      <w:pPr>
        <w:pStyle w:val="Heading4"/>
      </w:pPr>
      <w:r w:rsidRPr="00617C76">
        <w:t>Partnership timeframe</w:t>
      </w:r>
    </w:p>
    <w:p w14:paraId="2BD9DB25" w14:textId="76EA1E18" w:rsidR="002068C0" w:rsidRPr="00617C76" w:rsidRDefault="002F6C6E" w:rsidP="002068C0">
      <w:r w:rsidRPr="002F6C6E">
        <w:t>2015 to 2028</w:t>
      </w:r>
    </w:p>
    <w:p w14:paraId="5FB8F494" w14:textId="77777777" w:rsidR="002068C0" w:rsidRDefault="002068C0" w:rsidP="002068C0">
      <w:pPr>
        <w:pStyle w:val="Heading4"/>
      </w:pPr>
      <w:r w:rsidRPr="00617C76">
        <w:t>Actions taken to strengthen the partnership in 2025</w:t>
      </w:r>
    </w:p>
    <w:p w14:paraId="5B9A03FB" w14:textId="77777777" w:rsidR="0051265E" w:rsidRDefault="00A2271E" w:rsidP="002068C0">
      <w:r w:rsidRPr="00A2271E">
        <w:t>The next 3 years’ funding to EC will provide an opportunity to practically enact best</w:t>
      </w:r>
      <w:r w:rsidRPr="00A2271E">
        <w:noBreakHyphen/>
        <w:t xml:space="preserve">practice principles of partnership within the broader reform context. </w:t>
      </w:r>
    </w:p>
    <w:p w14:paraId="5A32AB31" w14:textId="77777777" w:rsidR="0051265E" w:rsidRDefault="00A2271E" w:rsidP="002068C0">
      <w:r w:rsidRPr="00A2271E">
        <w:lastRenderedPageBreak/>
        <w:t>Regional leaders have prepared development agendas which articulate a strategic commitment to further the priorities specific to each region in line with the underpinning principle of subsidiarity.</w:t>
      </w:r>
    </w:p>
    <w:p w14:paraId="106BC9E4" w14:textId="77777777" w:rsidR="00F87232" w:rsidRDefault="00A2271E" w:rsidP="002068C0">
      <w:r w:rsidRPr="00A2271E">
        <w:t>For a strong and effective partnership, it is essential that both government and First Nations partners reflect on the partnership itself and, importantly, on what it will ultimately deliver on</w:t>
      </w:r>
      <w:r w:rsidRPr="00A2271E">
        <w:noBreakHyphen/>
        <w:t>the</w:t>
      </w:r>
      <w:r w:rsidRPr="00A2271E">
        <w:noBreakHyphen/>
        <w:t xml:space="preserve">ground for Aboriginal and Torres Strait Islander people over the next 3 years. </w:t>
      </w:r>
    </w:p>
    <w:p w14:paraId="558BBF4F" w14:textId="017C162F" w:rsidR="002068C0" w:rsidRPr="00D9276C" w:rsidRDefault="00A2271E" w:rsidP="002068C0">
      <w:r w:rsidRPr="00A2271E">
        <w:t>The process of refreshing local partnership agreements has strengthened the relationship between the parties and will support future progress against the shared priorities contained in the development agendas.</w:t>
      </w:r>
    </w:p>
    <w:p w14:paraId="6D3728F7" w14:textId="77777777" w:rsidR="002068C0" w:rsidRPr="00617C76" w:rsidRDefault="002068C0" w:rsidP="002068C0">
      <w:pPr>
        <w:pStyle w:val="Heading4"/>
      </w:pPr>
      <w:r w:rsidRPr="00617C76">
        <w:t>Strong partnership indicators</w:t>
      </w:r>
    </w:p>
    <w:p w14:paraId="782B81D0" w14:textId="77777777" w:rsidR="002068C0" w:rsidRPr="00617C76" w:rsidRDefault="002068C0" w:rsidP="002068C0">
      <w:pPr>
        <w:pStyle w:val="Heading5"/>
      </w:pPr>
      <w:r w:rsidRPr="00617C76">
        <w:t>Clause 32A:</w:t>
      </w:r>
    </w:p>
    <w:p w14:paraId="382012F5" w14:textId="6667D1B8" w:rsidR="002068C0" w:rsidRDefault="009174E8" w:rsidP="00FB1851">
      <w:pPr>
        <w:pStyle w:val="ListParagraph"/>
        <w:numPr>
          <w:ilvl w:val="0"/>
          <w:numId w:val="192"/>
        </w:numPr>
      </w:pPr>
      <w:r w:rsidRPr="009174E8">
        <w:t>Met</w:t>
      </w:r>
    </w:p>
    <w:p w14:paraId="4184075D" w14:textId="763973E0" w:rsidR="002068C0" w:rsidRDefault="009174E8" w:rsidP="00FB1851">
      <w:pPr>
        <w:pStyle w:val="ListParagraph"/>
        <w:numPr>
          <w:ilvl w:val="0"/>
          <w:numId w:val="192"/>
        </w:numPr>
      </w:pPr>
      <w:r w:rsidRPr="009174E8">
        <w:t>Met</w:t>
      </w:r>
    </w:p>
    <w:p w14:paraId="011B43C5" w14:textId="79F824EF" w:rsidR="002068C0" w:rsidRDefault="009174E8" w:rsidP="00FB1851">
      <w:pPr>
        <w:pStyle w:val="ListParagraph"/>
        <w:numPr>
          <w:ilvl w:val="0"/>
          <w:numId w:val="192"/>
        </w:numPr>
      </w:pPr>
      <w:r w:rsidRPr="009174E8">
        <w:t>Met</w:t>
      </w:r>
    </w:p>
    <w:p w14:paraId="0E038CE6" w14:textId="77777777" w:rsidR="002068C0" w:rsidRPr="00617C76" w:rsidRDefault="002068C0" w:rsidP="002068C0">
      <w:pPr>
        <w:pStyle w:val="Heading5"/>
      </w:pPr>
      <w:r w:rsidRPr="00617C76">
        <w:t>Clause 32B:</w:t>
      </w:r>
    </w:p>
    <w:p w14:paraId="39410D1A" w14:textId="403461A7" w:rsidR="002068C0" w:rsidRDefault="009174E8" w:rsidP="00FB1851">
      <w:pPr>
        <w:pStyle w:val="ListParagraph"/>
        <w:numPr>
          <w:ilvl w:val="0"/>
          <w:numId w:val="193"/>
        </w:numPr>
      </w:pPr>
      <w:r w:rsidRPr="009174E8">
        <w:t>Met</w:t>
      </w:r>
    </w:p>
    <w:p w14:paraId="0FA0709C" w14:textId="38B3FCAA" w:rsidR="002068C0" w:rsidRDefault="009174E8" w:rsidP="00FB1851">
      <w:pPr>
        <w:pStyle w:val="ListParagraph"/>
        <w:numPr>
          <w:ilvl w:val="0"/>
          <w:numId w:val="193"/>
        </w:numPr>
      </w:pPr>
      <w:r w:rsidRPr="009174E8">
        <w:t>Met</w:t>
      </w:r>
    </w:p>
    <w:p w14:paraId="190CB77D" w14:textId="20F30020" w:rsidR="002068C0" w:rsidRDefault="009174E8" w:rsidP="00FB1851">
      <w:pPr>
        <w:pStyle w:val="ListParagraph"/>
        <w:numPr>
          <w:ilvl w:val="0"/>
          <w:numId w:val="193"/>
        </w:numPr>
      </w:pPr>
      <w:r w:rsidRPr="009174E8">
        <w:t>Not met</w:t>
      </w:r>
    </w:p>
    <w:p w14:paraId="17E7ED56" w14:textId="4731B199" w:rsidR="002068C0" w:rsidRDefault="009174E8" w:rsidP="00FB1851">
      <w:pPr>
        <w:pStyle w:val="ListParagraph"/>
        <w:numPr>
          <w:ilvl w:val="0"/>
          <w:numId w:val="193"/>
        </w:numPr>
      </w:pPr>
      <w:r w:rsidRPr="009174E8">
        <w:t>N/A</w:t>
      </w:r>
    </w:p>
    <w:p w14:paraId="3788B530" w14:textId="77777777" w:rsidR="002068C0" w:rsidRPr="00617C76" w:rsidRDefault="002068C0" w:rsidP="002068C0">
      <w:pPr>
        <w:pStyle w:val="Heading5"/>
      </w:pPr>
      <w:r w:rsidRPr="00617C76">
        <w:t>Clause 32C:</w:t>
      </w:r>
    </w:p>
    <w:p w14:paraId="129BCE14" w14:textId="6E977874" w:rsidR="002068C0" w:rsidRDefault="009174E8" w:rsidP="00FB1851">
      <w:pPr>
        <w:pStyle w:val="ListParagraph"/>
        <w:numPr>
          <w:ilvl w:val="0"/>
          <w:numId w:val="194"/>
        </w:numPr>
      </w:pPr>
      <w:r w:rsidRPr="009174E8">
        <w:t>Met</w:t>
      </w:r>
    </w:p>
    <w:p w14:paraId="7E3D8E5C" w14:textId="60F4F66D" w:rsidR="002068C0" w:rsidRDefault="009174E8" w:rsidP="00FB1851">
      <w:pPr>
        <w:pStyle w:val="ListParagraph"/>
        <w:numPr>
          <w:ilvl w:val="0"/>
          <w:numId w:val="194"/>
        </w:numPr>
      </w:pPr>
      <w:r w:rsidRPr="009174E8">
        <w:t>Met</w:t>
      </w:r>
    </w:p>
    <w:p w14:paraId="1A8B4900" w14:textId="0F4BB8F8" w:rsidR="002068C0" w:rsidRDefault="009174E8" w:rsidP="00FB1851">
      <w:pPr>
        <w:pStyle w:val="ListParagraph"/>
        <w:numPr>
          <w:ilvl w:val="0"/>
          <w:numId w:val="194"/>
        </w:numPr>
      </w:pPr>
      <w:r w:rsidRPr="009174E8">
        <w:t>Met</w:t>
      </w:r>
    </w:p>
    <w:p w14:paraId="6C7C35ED" w14:textId="334198D0" w:rsidR="002068C0" w:rsidRDefault="009174E8" w:rsidP="00FB1851">
      <w:pPr>
        <w:pStyle w:val="ListParagraph"/>
        <w:numPr>
          <w:ilvl w:val="0"/>
          <w:numId w:val="194"/>
        </w:numPr>
      </w:pPr>
      <w:r w:rsidRPr="009174E8">
        <w:t>Met</w:t>
      </w:r>
    </w:p>
    <w:p w14:paraId="742DB663" w14:textId="64A147E6" w:rsidR="002068C0" w:rsidRDefault="009174E8" w:rsidP="00FB1851">
      <w:pPr>
        <w:pStyle w:val="ListParagraph"/>
        <w:numPr>
          <w:ilvl w:val="0"/>
          <w:numId w:val="194"/>
        </w:numPr>
      </w:pPr>
      <w:r w:rsidRPr="009174E8">
        <w:t>Met</w:t>
      </w:r>
    </w:p>
    <w:p w14:paraId="18BAE662" w14:textId="04C8032E" w:rsidR="002068C0" w:rsidRDefault="009174E8" w:rsidP="00FB1851">
      <w:pPr>
        <w:pStyle w:val="ListParagraph"/>
        <w:numPr>
          <w:ilvl w:val="0"/>
          <w:numId w:val="194"/>
        </w:numPr>
      </w:pPr>
      <w:r w:rsidRPr="009174E8">
        <w:t>Met</w:t>
      </w:r>
    </w:p>
    <w:p w14:paraId="5524FF2A" w14:textId="62D5B731" w:rsidR="002068C0" w:rsidRDefault="009174E8" w:rsidP="00FB1851">
      <w:pPr>
        <w:pStyle w:val="ListParagraph"/>
        <w:numPr>
          <w:ilvl w:val="0"/>
          <w:numId w:val="194"/>
        </w:numPr>
      </w:pPr>
      <w:r w:rsidRPr="009174E8">
        <w:t>Met</w:t>
      </w:r>
    </w:p>
    <w:p w14:paraId="075DC5A1" w14:textId="77777777" w:rsidR="002068C0" w:rsidRPr="00617C76" w:rsidRDefault="002068C0" w:rsidP="002068C0">
      <w:pPr>
        <w:pStyle w:val="Heading5"/>
      </w:pPr>
      <w:r w:rsidRPr="00617C76">
        <w:t>Clause 33:</w:t>
      </w:r>
    </w:p>
    <w:p w14:paraId="33735D06" w14:textId="6DFFA712" w:rsidR="002068C0" w:rsidRDefault="009174E8" w:rsidP="002068C0">
      <w:r w:rsidRPr="009174E8">
        <w:t>Met</w:t>
      </w:r>
    </w:p>
    <w:p w14:paraId="6BC4771C" w14:textId="77777777" w:rsidR="002068C0" w:rsidRDefault="002068C0" w:rsidP="002068C0">
      <w:pPr>
        <w:pStyle w:val="Heading4"/>
      </w:pPr>
      <w:r w:rsidRPr="00617C76">
        <w:t>Achievements over 2025</w:t>
      </w:r>
    </w:p>
    <w:p w14:paraId="1A551559" w14:textId="77777777" w:rsidR="009174E8" w:rsidRDefault="00F06FF3" w:rsidP="002068C0">
      <w:r w:rsidRPr="00F06FF3">
        <w:t xml:space="preserve">The partnership undertook </w:t>
      </w:r>
      <w:proofErr w:type="gramStart"/>
      <w:r w:rsidRPr="00F06FF3">
        <w:t>a number of</w:t>
      </w:r>
      <w:proofErr w:type="gramEnd"/>
      <w:r w:rsidRPr="00F06FF3">
        <w:t xml:space="preserve"> key activities across 2025. For example,</w:t>
      </w:r>
    </w:p>
    <w:p w14:paraId="3046F10D" w14:textId="77777777" w:rsidR="009174E8" w:rsidRDefault="00F06FF3" w:rsidP="007A7ED5">
      <w:pPr>
        <w:pStyle w:val="ListParagraph"/>
        <w:numPr>
          <w:ilvl w:val="0"/>
          <w:numId w:val="198"/>
        </w:numPr>
      </w:pPr>
      <w:r w:rsidRPr="00F06FF3">
        <w:t xml:space="preserve">Considerable work was undertaken to transition from the historically </w:t>
      </w:r>
      <w:proofErr w:type="spellStart"/>
      <w:r w:rsidRPr="00F06FF3">
        <w:t>auspiced</w:t>
      </w:r>
      <w:proofErr w:type="spellEnd"/>
      <w:r w:rsidRPr="00F06FF3">
        <w:t xml:space="preserve"> arrangements with NPY Women’s Council to a new entity, </w:t>
      </w:r>
      <w:proofErr w:type="spellStart"/>
      <w:r w:rsidRPr="00F06FF3">
        <w:t>Kulintja</w:t>
      </w:r>
      <w:proofErr w:type="spellEnd"/>
      <w:r w:rsidRPr="00F06FF3">
        <w:t xml:space="preserve"> </w:t>
      </w:r>
      <w:proofErr w:type="spellStart"/>
      <w:r w:rsidRPr="00F06FF3">
        <w:t>Kutju</w:t>
      </w:r>
      <w:proofErr w:type="spellEnd"/>
      <w:r w:rsidRPr="00F06FF3">
        <w:t xml:space="preserve"> Limited, which was registered with an interim board in April 2025.</w:t>
      </w:r>
    </w:p>
    <w:p w14:paraId="3D4D661F" w14:textId="77777777" w:rsidR="009174E8" w:rsidRDefault="00F06FF3" w:rsidP="007A7ED5">
      <w:pPr>
        <w:pStyle w:val="ListParagraph"/>
        <w:numPr>
          <w:ilvl w:val="0"/>
          <w:numId w:val="198"/>
        </w:numPr>
      </w:pPr>
      <w:r w:rsidRPr="00F06FF3">
        <w:t xml:space="preserve">A Local Partnership Agreement (2025 to 2028) was finalised, which formalised the EC partnership at the local level, setting strategic shared priorities, expectations and accountability mechanisms between NIAA and </w:t>
      </w:r>
      <w:proofErr w:type="spellStart"/>
      <w:r w:rsidRPr="00F06FF3">
        <w:t>Kulintja</w:t>
      </w:r>
      <w:proofErr w:type="spellEnd"/>
      <w:r w:rsidRPr="00F06FF3">
        <w:t xml:space="preserve"> </w:t>
      </w:r>
      <w:proofErr w:type="spellStart"/>
      <w:r w:rsidRPr="00F06FF3">
        <w:t>Kutju</w:t>
      </w:r>
      <w:proofErr w:type="spellEnd"/>
      <w:r w:rsidRPr="00F06FF3">
        <w:t xml:space="preserve"> leaders. A key focus during this period was rebuilding the purpose, mandate, capacity and capability of local, community governance. </w:t>
      </w:r>
    </w:p>
    <w:p w14:paraId="0611E19F" w14:textId="77777777" w:rsidR="009174E8" w:rsidRDefault="00F06FF3" w:rsidP="007A7ED5">
      <w:pPr>
        <w:pStyle w:val="ListParagraph"/>
        <w:numPr>
          <w:ilvl w:val="0"/>
          <w:numId w:val="198"/>
        </w:numPr>
      </w:pPr>
      <w:r w:rsidRPr="00F06FF3">
        <w:t xml:space="preserve">Planning for community engagement was undertaken to develop a renewed Regional Development Roadmap, ensuring responsiveness to the community whilst setting out new governance arrangements. </w:t>
      </w:r>
    </w:p>
    <w:p w14:paraId="6B1A5565" w14:textId="771BF1A3" w:rsidR="002068C0" w:rsidRPr="003E2721" w:rsidRDefault="009174E8" w:rsidP="007A7ED5">
      <w:pPr>
        <w:pStyle w:val="ListParagraph"/>
        <w:numPr>
          <w:ilvl w:val="0"/>
          <w:numId w:val="198"/>
        </w:numPr>
      </w:pPr>
      <w:r>
        <w:t>S</w:t>
      </w:r>
      <w:r w:rsidR="00F06FF3" w:rsidRPr="00F06FF3">
        <w:t xml:space="preserve">ignificant progress has been made in partnership development with the South Australian Government through the drafting of a Memorandum of Understanding (MOU) with South Australia’s First Nations Voice to Parliament. </w:t>
      </w:r>
      <w:proofErr w:type="spellStart"/>
      <w:r w:rsidR="00F06FF3" w:rsidRPr="00F06FF3">
        <w:t>Kulintja</w:t>
      </w:r>
      <w:proofErr w:type="spellEnd"/>
      <w:r w:rsidR="00F06FF3" w:rsidRPr="00F06FF3">
        <w:t xml:space="preserve"> </w:t>
      </w:r>
      <w:proofErr w:type="spellStart"/>
      <w:r w:rsidR="00F06FF3" w:rsidRPr="00F06FF3">
        <w:t>Kutju</w:t>
      </w:r>
      <w:proofErr w:type="spellEnd"/>
      <w:r w:rsidR="00F06FF3" w:rsidRPr="00F06FF3">
        <w:t xml:space="preserve"> is positioned to support coordination and engagement activities under this MOU, representing a formal recognition of the organisation’s role in regional governance and </w:t>
      </w:r>
      <w:r w:rsidR="00F06FF3" w:rsidRPr="00F06FF3">
        <w:lastRenderedPageBreak/>
        <w:t>community representation. This represents an important opportunity to strengthen collaboration and ensure effective representation of community priorities in state</w:t>
      </w:r>
      <w:r w:rsidR="00F06FF3" w:rsidRPr="00F06FF3">
        <w:noBreakHyphen/>
        <w:t>level decision</w:t>
      </w:r>
      <w:r w:rsidR="00F06FF3" w:rsidRPr="00F06FF3">
        <w:noBreakHyphen/>
        <w:t>making processes.</w:t>
      </w:r>
    </w:p>
    <w:p w14:paraId="5231C2A4" w14:textId="301DC804" w:rsidR="002068C0" w:rsidRDefault="003079FD" w:rsidP="002068C0">
      <w:pPr>
        <w:pStyle w:val="Heading3"/>
      </w:pPr>
      <w:bookmarkStart w:id="59" w:name="_Toc225506081"/>
      <w:r w:rsidRPr="003079FD">
        <w:t>Empowered Communities (EC) – West Kimberley</w:t>
      </w:r>
      <w:bookmarkEnd w:id="59"/>
    </w:p>
    <w:p w14:paraId="5A04E073" w14:textId="77777777" w:rsidR="002068C0" w:rsidRDefault="002068C0" w:rsidP="002068C0">
      <w:pPr>
        <w:pStyle w:val="Heading4"/>
      </w:pPr>
      <w:r w:rsidRPr="00617C76">
        <w:t>Partnership description</w:t>
      </w:r>
    </w:p>
    <w:p w14:paraId="08237193" w14:textId="2381BEC7" w:rsidR="002068C0" w:rsidRPr="00D9276C" w:rsidRDefault="003079FD" w:rsidP="002068C0">
      <w:r w:rsidRPr="003079FD">
        <w:t>One of 10 EC regions, this is an Aboriginal and Torres Strait Islander designed and led place</w:t>
      </w:r>
      <w:r w:rsidRPr="003079FD">
        <w:noBreakHyphen/>
        <w:t>based reform partnership with government, underpinned by a commitment to First Nations empowerment, development and productivity. This partnership aims to empower all West Kimberley Aboriginal people, both at the structural and individual level, to lead generational change.</w:t>
      </w:r>
    </w:p>
    <w:p w14:paraId="52C8C70E" w14:textId="77777777" w:rsidR="002068C0" w:rsidRDefault="002068C0" w:rsidP="002068C0">
      <w:pPr>
        <w:pStyle w:val="Heading4"/>
      </w:pPr>
      <w:r w:rsidRPr="00DF6278">
        <w:t>Aboriginal and Torres Strait Islander parties</w:t>
      </w:r>
    </w:p>
    <w:p w14:paraId="7B8935D4" w14:textId="5C364C4D" w:rsidR="002068C0" w:rsidRPr="00B27ADE" w:rsidRDefault="00DF7B33" w:rsidP="002068C0">
      <w:r w:rsidRPr="00B27ADE">
        <w:t>West Kimberley Futures</w:t>
      </w:r>
      <w:r w:rsidR="00501F7A">
        <w:t xml:space="preserve"> (endorsing partner)</w:t>
      </w:r>
    </w:p>
    <w:p w14:paraId="59E30CBC" w14:textId="77777777" w:rsidR="002068C0" w:rsidRPr="00617C76" w:rsidRDefault="002068C0" w:rsidP="002068C0">
      <w:pPr>
        <w:pStyle w:val="Heading4"/>
      </w:pPr>
      <w:r w:rsidRPr="00617C76">
        <w:t>Government parties</w:t>
      </w:r>
    </w:p>
    <w:p w14:paraId="766C78E9" w14:textId="77777777" w:rsidR="002068C0" w:rsidRDefault="002068C0" w:rsidP="002068C0">
      <w:pPr>
        <w:pStyle w:val="Heading5"/>
      </w:pPr>
      <w:r w:rsidRPr="00115C74">
        <w:t xml:space="preserve">COMMONWEALTH PARTIES </w:t>
      </w:r>
    </w:p>
    <w:p w14:paraId="3A678313" w14:textId="1D1B174C" w:rsidR="002068C0" w:rsidRPr="00B27ADE" w:rsidRDefault="00DF7B33" w:rsidP="002068C0">
      <w:r w:rsidRPr="00B27ADE">
        <w:t>National Indigenous Australians Agency (NIAA)</w:t>
      </w:r>
      <w:r w:rsidR="00501F7A">
        <w:t xml:space="preserve"> (endorsing partner)</w:t>
      </w:r>
    </w:p>
    <w:p w14:paraId="301C3044" w14:textId="77777777" w:rsidR="002068C0" w:rsidRPr="00115C74" w:rsidRDefault="002068C0" w:rsidP="002068C0">
      <w:pPr>
        <w:pStyle w:val="Heading5"/>
      </w:pPr>
      <w:r w:rsidRPr="00115C74">
        <w:t xml:space="preserve">STATE AND TERRITORY PARTIES </w:t>
      </w:r>
    </w:p>
    <w:p w14:paraId="44747BAB" w14:textId="77777777" w:rsidR="002068C0" w:rsidRPr="00617C76" w:rsidRDefault="002068C0" w:rsidP="002068C0">
      <w:r>
        <w:t>N/A</w:t>
      </w:r>
    </w:p>
    <w:p w14:paraId="43B9163A" w14:textId="77777777" w:rsidR="002068C0" w:rsidRPr="00617C76" w:rsidRDefault="002068C0" w:rsidP="002068C0">
      <w:pPr>
        <w:pStyle w:val="Heading4"/>
      </w:pPr>
      <w:r w:rsidRPr="00617C76">
        <w:t>Priority Reforms and Socio-economic Outcomes</w:t>
      </w:r>
    </w:p>
    <w:p w14:paraId="4FF46293" w14:textId="77777777" w:rsidR="00BA6D50" w:rsidRDefault="00BA6D50" w:rsidP="002068C0">
      <w:r w:rsidRPr="00BA6D50">
        <w:t>Priority Reform 1</w:t>
      </w:r>
    </w:p>
    <w:p w14:paraId="34AF1A16" w14:textId="77777777" w:rsidR="00BA6D50" w:rsidRDefault="00BA6D50" w:rsidP="002068C0">
      <w:r w:rsidRPr="00BA6D50">
        <w:t>Priority Reform 2</w:t>
      </w:r>
    </w:p>
    <w:p w14:paraId="4765120E" w14:textId="77777777" w:rsidR="00BA6D50" w:rsidRDefault="00BA6D50" w:rsidP="002068C0">
      <w:r w:rsidRPr="00BA6D50">
        <w:t>Priority Reform 3</w:t>
      </w:r>
    </w:p>
    <w:p w14:paraId="03D6FC98" w14:textId="77777777" w:rsidR="00BA6D50" w:rsidRDefault="00BA6D50" w:rsidP="002068C0">
      <w:r w:rsidRPr="00BA6D50">
        <w:t>Priority Reform 4</w:t>
      </w:r>
    </w:p>
    <w:p w14:paraId="6B6072D3" w14:textId="77777777" w:rsidR="00BA6D50" w:rsidRDefault="00BA6D50" w:rsidP="002068C0">
      <w:r w:rsidRPr="00BA6D50">
        <w:t xml:space="preserve">Outcome 1 </w:t>
      </w:r>
    </w:p>
    <w:p w14:paraId="27E06C28" w14:textId="77777777" w:rsidR="00BA6D50" w:rsidRDefault="00BA6D50" w:rsidP="002068C0">
      <w:r w:rsidRPr="00BA6D50">
        <w:t xml:space="preserve">Outcome 2 </w:t>
      </w:r>
    </w:p>
    <w:p w14:paraId="4CD53623" w14:textId="77777777" w:rsidR="00BA6D50" w:rsidRDefault="00BA6D50" w:rsidP="002068C0">
      <w:r w:rsidRPr="00BA6D50">
        <w:t xml:space="preserve">Outcome 3 </w:t>
      </w:r>
    </w:p>
    <w:p w14:paraId="25AFC117" w14:textId="77777777" w:rsidR="00BA6D50" w:rsidRDefault="00BA6D50" w:rsidP="002068C0">
      <w:r w:rsidRPr="00BA6D50">
        <w:t xml:space="preserve">Outcome 4 </w:t>
      </w:r>
    </w:p>
    <w:p w14:paraId="3D9C71C2" w14:textId="77777777" w:rsidR="00BA6D50" w:rsidRDefault="00BA6D50" w:rsidP="002068C0">
      <w:r w:rsidRPr="00BA6D50">
        <w:t xml:space="preserve">Outcome 5 </w:t>
      </w:r>
    </w:p>
    <w:p w14:paraId="6066CC8E" w14:textId="77777777" w:rsidR="00BA6D50" w:rsidRDefault="00BA6D50" w:rsidP="002068C0">
      <w:r w:rsidRPr="00BA6D50">
        <w:t xml:space="preserve">Outcome 6 </w:t>
      </w:r>
    </w:p>
    <w:p w14:paraId="5FC7A2DA" w14:textId="35C4F7E5" w:rsidR="00BA6D50" w:rsidRDefault="00BA6D50" w:rsidP="002068C0">
      <w:r w:rsidRPr="00BA6D50">
        <w:t xml:space="preserve">Outcome 7 </w:t>
      </w:r>
    </w:p>
    <w:p w14:paraId="0204E368" w14:textId="77777777" w:rsidR="00BA6D50" w:rsidRDefault="00BA6D50" w:rsidP="002068C0">
      <w:r w:rsidRPr="00BA6D50">
        <w:t xml:space="preserve">Outcome 8 </w:t>
      </w:r>
    </w:p>
    <w:p w14:paraId="3652ADA2" w14:textId="77777777" w:rsidR="00BA6D50" w:rsidRDefault="00BA6D50" w:rsidP="002068C0">
      <w:r w:rsidRPr="00BA6D50">
        <w:t xml:space="preserve">Outcome 9 </w:t>
      </w:r>
    </w:p>
    <w:p w14:paraId="0DD44B18" w14:textId="1094C4E8" w:rsidR="00BA6D50" w:rsidRDefault="00BA6D50" w:rsidP="002068C0">
      <w:r w:rsidRPr="00BA6D50">
        <w:t xml:space="preserve">Outcome 10 </w:t>
      </w:r>
    </w:p>
    <w:p w14:paraId="0BB0547F" w14:textId="3125AFC1" w:rsidR="00BA6D50" w:rsidRDefault="00BA6D50" w:rsidP="002068C0">
      <w:r w:rsidRPr="00BA6D50">
        <w:t>Outcome 11</w:t>
      </w:r>
    </w:p>
    <w:p w14:paraId="28F301AE" w14:textId="06A63401" w:rsidR="00BA6D50" w:rsidRDefault="00BA6D50" w:rsidP="002068C0">
      <w:r w:rsidRPr="00BA6D50">
        <w:t xml:space="preserve">Outcome 12 </w:t>
      </w:r>
    </w:p>
    <w:p w14:paraId="0B9713E2" w14:textId="369FBBC3" w:rsidR="00BA6D50" w:rsidRDefault="00BA6D50" w:rsidP="002068C0">
      <w:r w:rsidRPr="00BA6D50">
        <w:t>Outcome 13</w:t>
      </w:r>
    </w:p>
    <w:p w14:paraId="61FFA2E6" w14:textId="3DE2889D" w:rsidR="00BA6D50" w:rsidRDefault="00BA6D50" w:rsidP="002068C0">
      <w:r w:rsidRPr="00BA6D50">
        <w:t xml:space="preserve">Outcome 14 </w:t>
      </w:r>
    </w:p>
    <w:p w14:paraId="41FF6194" w14:textId="7D4F305F" w:rsidR="00BA6D50" w:rsidRDefault="00BA6D50" w:rsidP="002068C0">
      <w:r w:rsidRPr="00BA6D50">
        <w:lastRenderedPageBreak/>
        <w:t xml:space="preserve">Outcome 15 </w:t>
      </w:r>
    </w:p>
    <w:p w14:paraId="2DE3ECF7" w14:textId="1C068A96" w:rsidR="00BA6D50" w:rsidRDefault="00BA6D50" w:rsidP="002068C0">
      <w:r w:rsidRPr="00BA6D50">
        <w:t>Outcome 16</w:t>
      </w:r>
    </w:p>
    <w:p w14:paraId="2E96975F" w14:textId="6D97AD4B" w:rsidR="002068C0" w:rsidRPr="007C35F3" w:rsidRDefault="00BA6D50" w:rsidP="002068C0">
      <w:r w:rsidRPr="00BA6D50">
        <w:t>Outcome 17</w:t>
      </w:r>
    </w:p>
    <w:p w14:paraId="6239EB5B" w14:textId="77777777" w:rsidR="002068C0" w:rsidRPr="00617C76" w:rsidRDefault="002068C0" w:rsidP="002068C0">
      <w:pPr>
        <w:pStyle w:val="Heading4"/>
      </w:pPr>
      <w:r w:rsidRPr="00617C76">
        <w:t>Partnership function</w:t>
      </w:r>
    </w:p>
    <w:p w14:paraId="24A4D8B8" w14:textId="77777777" w:rsidR="00DC06E0" w:rsidRDefault="00DC06E0" w:rsidP="002068C0">
      <w:r w:rsidRPr="00DC06E0">
        <w:t xml:space="preserve">Policy </w:t>
      </w:r>
    </w:p>
    <w:p w14:paraId="6306E5B6" w14:textId="6EE00ECE" w:rsidR="002068C0" w:rsidRPr="00617C76" w:rsidRDefault="00DC06E0" w:rsidP="002068C0">
      <w:r w:rsidRPr="00DC06E0">
        <w:t>Place</w:t>
      </w:r>
      <w:r w:rsidRPr="00DC06E0">
        <w:noBreakHyphen/>
        <w:t>based</w:t>
      </w:r>
    </w:p>
    <w:p w14:paraId="1AA7674A" w14:textId="77777777" w:rsidR="002068C0" w:rsidRPr="00617C76" w:rsidRDefault="002068C0" w:rsidP="002068C0">
      <w:pPr>
        <w:pStyle w:val="Heading4"/>
      </w:pPr>
      <w:r w:rsidRPr="00617C76">
        <w:t>Partnership timeframe</w:t>
      </w:r>
    </w:p>
    <w:p w14:paraId="23323224" w14:textId="0ABDE317" w:rsidR="002068C0" w:rsidRPr="00617C76" w:rsidRDefault="00CD765E" w:rsidP="002068C0">
      <w:r w:rsidRPr="00CD765E">
        <w:t>2015 to 2028</w:t>
      </w:r>
    </w:p>
    <w:p w14:paraId="57BA41A7" w14:textId="77777777" w:rsidR="002068C0" w:rsidRDefault="002068C0" w:rsidP="002068C0">
      <w:pPr>
        <w:pStyle w:val="Heading4"/>
      </w:pPr>
      <w:r w:rsidRPr="00617C76">
        <w:t>Actions taken to strengthen the partnership in 2025</w:t>
      </w:r>
    </w:p>
    <w:p w14:paraId="1C11B3F3" w14:textId="77777777" w:rsidR="001E18EF" w:rsidRDefault="001E18EF" w:rsidP="002068C0">
      <w:r w:rsidRPr="001E18EF">
        <w:t>The next 3 years’ funding to EC will provide an opportunity to practically enact best</w:t>
      </w:r>
      <w:r w:rsidRPr="001E18EF">
        <w:noBreakHyphen/>
        <w:t xml:space="preserve">practice principles of partnership within the broader reform context. </w:t>
      </w:r>
    </w:p>
    <w:p w14:paraId="72FEFC5F" w14:textId="77777777" w:rsidR="001E18EF" w:rsidRDefault="001E18EF" w:rsidP="002068C0">
      <w:r w:rsidRPr="001E18EF">
        <w:t xml:space="preserve">Regional leaders have prepared development agendas which articulate a strategic commitment to further the priorities specific to each region in line with the underpinning principle of subsidiarity. </w:t>
      </w:r>
    </w:p>
    <w:p w14:paraId="0B0CFF10" w14:textId="77777777" w:rsidR="001E18EF" w:rsidRDefault="001E18EF" w:rsidP="002068C0">
      <w:r w:rsidRPr="001E18EF">
        <w:t>For a strong and effective partnership, it is essential that both government and First Nations partners reflect on the partnership itself and, importantly, on what it will ultimately deliver on</w:t>
      </w:r>
      <w:r w:rsidRPr="001E18EF">
        <w:noBreakHyphen/>
        <w:t>the</w:t>
      </w:r>
      <w:r w:rsidRPr="001E18EF">
        <w:noBreakHyphen/>
        <w:t xml:space="preserve">ground for Aboriginal and Torres Strait Islander people over the next 3 years. </w:t>
      </w:r>
    </w:p>
    <w:p w14:paraId="1F7594D0" w14:textId="3B24BA54" w:rsidR="002068C0" w:rsidRPr="00D9276C" w:rsidRDefault="001E18EF" w:rsidP="002068C0">
      <w:r w:rsidRPr="001E18EF">
        <w:t>The process of refreshing local partnership agreements has strengthened the relationship between the parties and will support future progress against the shared priorities contained in the development agendas.</w:t>
      </w:r>
    </w:p>
    <w:p w14:paraId="7CDAADAD" w14:textId="77777777" w:rsidR="002068C0" w:rsidRPr="00617C76" w:rsidRDefault="002068C0" w:rsidP="002068C0">
      <w:pPr>
        <w:pStyle w:val="Heading4"/>
      </w:pPr>
      <w:r w:rsidRPr="00617C76">
        <w:t>Strong partnership indicators</w:t>
      </w:r>
    </w:p>
    <w:p w14:paraId="6C45B5F0" w14:textId="77777777" w:rsidR="002068C0" w:rsidRPr="00617C76" w:rsidRDefault="002068C0" w:rsidP="002068C0">
      <w:pPr>
        <w:pStyle w:val="Heading5"/>
      </w:pPr>
      <w:r w:rsidRPr="00617C76">
        <w:t>Clause 32A:</w:t>
      </w:r>
    </w:p>
    <w:p w14:paraId="4961AE33" w14:textId="4DD3BD67" w:rsidR="002068C0" w:rsidRDefault="00901C39" w:rsidP="00FB1851">
      <w:pPr>
        <w:pStyle w:val="ListParagraph"/>
        <w:numPr>
          <w:ilvl w:val="0"/>
          <w:numId w:val="195"/>
        </w:numPr>
      </w:pPr>
      <w:r w:rsidRPr="00901C39">
        <w:t>Met</w:t>
      </w:r>
    </w:p>
    <w:p w14:paraId="4364B7AA" w14:textId="5862AF2D" w:rsidR="002068C0" w:rsidRDefault="00901C39" w:rsidP="00FB1851">
      <w:pPr>
        <w:pStyle w:val="ListParagraph"/>
        <w:numPr>
          <w:ilvl w:val="0"/>
          <w:numId w:val="195"/>
        </w:numPr>
      </w:pPr>
      <w:r w:rsidRPr="00901C39">
        <w:t>Met</w:t>
      </w:r>
    </w:p>
    <w:p w14:paraId="09E6C622" w14:textId="278E62BF" w:rsidR="002068C0" w:rsidRDefault="00901C39" w:rsidP="00FB1851">
      <w:pPr>
        <w:pStyle w:val="ListParagraph"/>
        <w:numPr>
          <w:ilvl w:val="0"/>
          <w:numId w:val="195"/>
        </w:numPr>
      </w:pPr>
      <w:r w:rsidRPr="00901C39">
        <w:t>Met</w:t>
      </w:r>
    </w:p>
    <w:p w14:paraId="754BC3DD" w14:textId="77777777" w:rsidR="002068C0" w:rsidRPr="00617C76" w:rsidRDefault="002068C0" w:rsidP="002068C0">
      <w:pPr>
        <w:pStyle w:val="Heading5"/>
      </w:pPr>
      <w:r w:rsidRPr="00617C76">
        <w:t>Clause 32B:</w:t>
      </w:r>
    </w:p>
    <w:p w14:paraId="76A5FA5B" w14:textId="6E3584F5" w:rsidR="002068C0" w:rsidRDefault="00901C39" w:rsidP="00901C39">
      <w:pPr>
        <w:pStyle w:val="ListParagraph"/>
        <w:numPr>
          <w:ilvl w:val="0"/>
          <w:numId w:val="199"/>
        </w:numPr>
      </w:pPr>
      <w:r w:rsidRPr="00901C39">
        <w:t>Met</w:t>
      </w:r>
    </w:p>
    <w:p w14:paraId="588265AD" w14:textId="4761359F" w:rsidR="002068C0" w:rsidRDefault="00901C39" w:rsidP="00901C39">
      <w:pPr>
        <w:pStyle w:val="ListParagraph"/>
        <w:numPr>
          <w:ilvl w:val="0"/>
          <w:numId w:val="199"/>
        </w:numPr>
      </w:pPr>
      <w:r w:rsidRPr="00901C39">
        <w:t>Met</w:t>
      </w:r>
    </w:p>
    <w:p w14:paraId="1D8377FD" w14:textId="1096E4E5" w:rsidR="002068C0" w:rsidRDefault="00901C39" w:rsidP="00901C39">
      <w:pPr>
        <w:pStyle w:val="ListParagraph"/>
        <w:numPr>
          <w:ilvl w:val="0"/>
          <w:numId w:val="199"/>
        </w:numPr>
      </w:pPr>
      <w:r w:rsidRPr="00901C39">
        <w:t>Not met</w:t>
      </w:r>
    </w:p>
    <w:p w14:paraId="579EEC17" w14:textId="7E43FAEA" w:rsidR="002068C0" w:rsidRDefault="009D540F" w:rsidP="00901C39">
      <w:pPr>
        <w:pStyle w:val="ListParagraph"/>
        <w:numPr>
          <w:ilvl w:val="0"/>
          <w:numId w:val="199"/>
        </w:numPr>
      </w:pPr>
      <w:r w:rsidRPr="009D540F">
        <w:t>N/A</w:t>
      </w:r>
    </w:p>
    <w:p w14:paraId="06D41DA1" w14:textId="77777777" w:rsidR="002068C0" w:rsidRPr="00617C76" w:rsidRDefault="002068C0" w:rsidP="002068C0">
      <w:pPr>
        <w:pStyle w:val="Heading5"/>
      </w:pPr>
      <w:r w:rsidRPr="00617C76">
        <w:t>Clause 32C:</w:t>
      </w:r>
    </w:p>
    <w:p w14:paraId="128152DA" w14:textId="3B7C9274" w:rsidR="002068C0" w:rsidRDefault="00901C39" w:rsidP="00FB1851">
      <w:pPr>
        <w:pStyle w:val="ListParagraph"/>
        <w:numPr>
          <w:ilvl w:val="0"/>
          <w:numId w:val="197"/>
        </w:numPr>
      </w:pPr>
      <w:r w:rsidRPr="00901C39">
        <w:t>Met</w:t>
      </w:r>
    </w:p>
    <w:p w14:paraId="065432DD" w14:textId="144BC97D" w:rsidR="002068C0" w:rsidRDefault="00901C39" w:rsidP="00FB1851">
      <w:pPr>
        <w:pStyle w:val="ListParagraph"/>
        <w:numPr>
          <w:ilvl w:val="0"/>
          <w:numId w:val="197"/>
        </w:numPr>
      </w:pPr>
      <w:r w:rsidRPr="00901C39">
        <w:t>Met</w:t>
      </w:r>
    </w:p>
    <w:p w14:paraId="67300E91" w14:textId="264FC966" w:rsidR="002068C0" w:rsidRDefault="00901C39" w:rsidP="00FB1851">
      <w:pPr>
        <w:pStyle w:val="ListParagraph"/>
        <w:numPr>
          <w:ilvl w:val="0"/>
          <w:numId w:val="197"/>
        </w:numPr>
      </w:pPr>
      <w:r w:rsidRPr="00901C39">
        <w:t>Met</w:t>
      </w:r>
    </w:p>
    <w:p w14:paraId="39ABB90D" w14:textId="1548C5AC" w:rsidR="002068C0" w:rsidRDefault="00901C39" w:rsidP="00FB1851">
      <w:pPr>
        <w:pStyle w:val="ListParagraph"/>
        <w:numPr>
          <w:ilvl w:val="0"/>
          <w:numId w:val="197"/>
        </w:numPr>
      </w:pPr>
      <w:r w:rsidRPr="00901C39">
        <w:t>Met</w:t>
      </w:r>
    </w:p>
    <w:p w14:paraId="0BE7028A" w14:textId="320959FC" w:rsidR="002068C0" w:rsidRDefault="00901C39" w:rsidP="00FB1851">
      <w:pPr>
        <w:pStyle w:val="ListParagraph"/>
        <w:numPr>
          <w:ilvl w:val="0"/>
          <w:numId w:val="197"/>
        </w:numPr>
      </w:pPr>
      <w:r w:rsidRPr="00901C39">
        <w:t>Met</w:t>
      </w:r>
    </w:p>
    <w:p w14:paraId="3859214E" w14:textId="321B14D8" w:rsidR="002068C0" w:rsidRDefault="00901C39" w:rsidP="00FB1851">
      <w:pPr>
        <w:pStyle w:val="ListParagraph"/>
        <w:numPr>
          <w:ilvl w:val="0"/>
          <w:numId w:val="197"/>
        </w:numPr>
      </w:pPr>
      <w:r w:rsidRPr="00901C39">
        <w:t>Met</w:t>
      </w:r>
    </w:p>
    <w:p w14:paraId="4E5F7784" w14:textId="768BB7D4" w:rsidR="002068C0" w:rsidRDefault="00901C39" w:rsidP="00FB1851">
      <w:pPr>
        <w:pStyle w:val="ListParagraph"/>
        <w:numPr>
          <w:ilvl w:val="0"/>
          <w:numId w:val="197"/>
        </w:numPr>
      </w:pPr>
      <w:r w:rsidRPr="00901C39">
        <w:t>Met</w:t>
      </w:r>
    </w:p>
    <w:p w14:paraId="3F78D60D" w14:textId="77777777" w:rsidR="002068C0" w:rsidRPr="00617C76" w:rsidRDefault="002068C0" w:rsidP="002068C0">
      <w:pPr>
        <w:pStyle w:val="Heading5"/>
      </w:pPr>
      <w:r w:rsidRPr="00617C76">
        <w:t>Clause 33:</w:t>
      </w:r>
    </w:p>
    <w:p w14:paraId="19B8750F" w14:textId="1D20959E" w:rsidR="002068C0" w:rsidRDefault="00901C39" w:rsidP="002068C0">
      <w:r w:rsidRPr="00901C39">
        <w:t>Met</w:t>
      </w:r>
    </w:p>
    <w:p w14:paraId="546F8D1A" w14:textId="77777777" w:rsidR="002068C0" w:rsidRDefault="002068C0" w:rsidP="002068C0">
      <w:pPr>
        <w:pStyle w:val="Heading4"/>
      </w:pPr>
      <w:r w:rsidRPr="00617C76">
        <w:lastRenderedPageBreak/>
        <w:t>Achievements over 2025</w:t>
      </w:r>
    </w:p>
    <w:p w14:paraId="028C3C3E" w14:textId="77777777" w:rsidR="009D540F" w:rsidRDefault="009D540F" w:rsidP="009D540F">
      <w:pPr>
        <w:pStyle w:val="ListParagraph"/>
        <w:numPr>
          <w:ilvl w:val="0"/>
          <w:numId w:val="200"/>
        </w:numPr>
      </w:pPr>
      <w:r w:rsidRPr="009D540F">
        <w:t xml:space="preserve">A refreshed Local Partnership Agreement (2025 to 2028) was finalised. This Agreement formalised the EC partnership at the local level, setting strategic shared priorities, expectations and accountability mechanisms between NIAA and EC leaders in the West Kimberley region. </w:t>
      </w:r>
    </w:p>
    <w:p w14:paraId="03653449" w14:textId="77777777" w:rsidR="009D540F" w:rsidRDefault="009D540F" w:rsidP="009D540F">
      <w:pPr>
        <w:pStyle w:val="ListParagraph"/>
        <w:numPr>
          <w:ilvl w:val="0"/>
          <w:numId w:val="200"/>
        </w:numPr>
      </w:pPr>
      <w:r w:rsidRPr="009D540F">
        <w:t>Local Management Committees and processes were reviewed and refreshed to strengthen local governance structures.</w:t>
      </w:r>
    </w:p>
    <w:p w14:paraId="31099E02" w14:textId="77777777" w:rsidR="009D540F" w:rsidRDefault="009D540F" w:rsidP="009D540F">
      <w:pPr>
        <w:pStyle w:val="ListParagraph"/>
        <w:numPr>
          <w:ilvl w:val="0"/>
          <w:numId w:val="200"/>
        </w:numPr>
      </w:pPr>
      <w:r w:rsidRPr="009D540F">
        <w:t>Representation on the Kimberley Aboriginal Regional Body was maintained, ensuring alignment between West Kimberley’s Regional Development Agenda and broader Aboriginal</w:t>
      </w:r>
      <w:r w:rsidRPr="009D540F">
        <w:noBreakHyphen/>
        <w:t>led governance frameworks across the Kimberley.</w:t>
      </w:r>
    </w:p>
    <w:p w14:paraId="364EAA10" w14:textId="77777777" w:rsidR="009D540F" w:rsidRDefault="009D540F" w:rsidP="009D540F">
      <w:pPr>
        <w:pStyle w:val="ListParagraph"/>
        <w:numPr>
          <w:ilvl w:val="0"/>
          <w:numId w:val="200"/>
        </w:numPr>
      </w:pPr>
      <w:r w:rsidRPr="009D540F">
        <w:t>Launched the EC</w:t>
      </w:r>
      <w:r w:rsidRPr="009D540F">
        <w:noBreakHyphen/>
        <w:t>West Strategic Plan for 2024</w:t>
      </w:r>
      <w:r w:rsidRPr="009D540F">
        <w:noBreakHyphen/>
        <w:t xml:space="preserve">28 that sets out the vision, objectives, strategic goals and alliances of West Kimberley Futures. </w:t>
      </w:r>
    </w:p>
    <w:p w14:paraId="1B4AB4E1" w14:textId="77777777" w:rsidR="009D540F" w:rsidRDefault="009D540F" w:rsidP="009D540F">
      <w:pPr>
        <w:pStyle w:val="ListParagraph"/>
        <w:numPr>
          <w:ilvl w:val="0"/>
          <w:numId w:val="200"/>
        </w:numPr>
      </w:pPr>
      <w:r w:rsidRPr="009D540F">
        <w:t>Continued to strengthen community connections, awareness of EC and engagement with key service providers and other government and non</w:t>
      </w:r>
      <w:r w:rsidRPr="009D540F">
        <w:noBreakHyphen/>
        <w:t xml:space="preserve">government organisations. </w:t>
      </w:r>
    </w:p>
    <w:p w14:paraId="322AF643" w14:textId="77777777" w:rsidR="009D540F" w:rsidRDefault="009D540F" w:rsidP="009D540F">
      <w:pPr>
        <w:pStyle w:val="ListParagraph"/>
        <w:numPr>
          <w:ilvl w:val="0"/>
          <w:numId w:val="200"/>
        </w:numPr>
      </w:pPr>
      <w:r w:rsidRPr="009D540F">
        <w:t>Established Local Youth Advisory Councils in multiple locations across Western Kimberley region where young leaders express their priorities and lead meaningful change.</w:t>
      </w:r>
    </w:p>
    <w:p w14:paraId="5684F151" w14:textId="06C4422A" w:rsidR="002068C0" w:rsidRPr="003E2721" w:rsidRDefault="009D540F" w:rsidP="009D540F">
      <w:pPr>
        <w:pStyle w:val="ListParagraph"/>
        <w:numPr>
          <w:ilvl w:val="0"/>
          <w:numId w:val="200"/>
        </w:numPr>
      </w:pPr>
      <w:r w:rsidRPr="009D540F">
        <w:t>The Kimberley Leadership and Capacity Building Plan was co</w:t>
      </w:r>
      <w:r w:rsidRPr="009D540F">
        <w:noBreakHyphen/>
        <w:t>designed, highlighting the need for Aboriginal Community Controlled Organisations to deliver capacity building opportunities tailored to the unique needs of young people in the Kimberley.</w:t>
      </w:r>
    </w:p>
    <w:p w14:paraId="3EC0E0FB" w14:textId="77777777" w:rsidR="00B712F2" w:rsidRPr="003E2721" w:rsidRDefault="00B712F2" w:rsidP="00B712F2"/>
    <w:p w14:paraId="668C3AB7" w14:textId="77777777" w:rsidR="00D9276C" w:rsidRPr="003E2721" w:rsidRDefault="00D9276C" w:rsidP="00D9276C"/>
    <w:p w14:paraId="5282996A" w14:textId="77777777" w:rsidR="00D9276C" w:rsidRPr="003E2721" w:rsidRDefault="00D9276C" w:rsidP="00D9276C"/>
    <w:p w14:paraId="3552A76F" w14:textId="77777777" w:rsidR="00E8024A" w:rsidRPr="003E2721" w:rsidRDefault="00E8024A" w:rsidP="00912DAF"/>
    <w:sectPr w:rsidR="00E8024A" w:rsidRPr="003E2721" w:rsidSect="001601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A622" w14:textId="77777777" w:rsidR="005F6D7F" w:rsidRDefault="005F6D7F" w:rsidP="009249D0">
      <w:r>
        <w:separator/>
      </w:r>
    </w:p>
  </w:endnote>
  <w:endnote w:type="continuationSeparator" w:id="0">
    <w:p w14:paraId="4A8D2A31" w14:textId="77777777" w:rsidR="005F6D7F" w:rsidRDefault="005F6D7F" w:rsidP="0092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Kalam">
    <w:panose1 w:val="020000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6166" w14:textId="71C0953F" w:rsidR="005D6A65" w:rsidRDefault="005D6A65" w:rsidP="009249D0">
    <w:pPr>
      <w:pStyle w:val="Footer"/>
    </w:pPr>
    <w:r>
      <w:rPr>
        <w:noProof/>
      </w:rPr>
      <mc:AlternateContent>
        <mc:Choice Requires="wps">
          <w:drawing>
            <wp:anchor distT="0" distB="0" distL="0" distR="0" simplePos="0" relativeHeight="251658244" behindDoc="0" locked="0" layoutInCell="1" allowOverlap="1" wp14:anchorId="042A8009" wp14:editId="30B9B967">
              <wp:simplePos x="635" y="635"/>
              <wp:positionH relativeFrom="page">
                <wp:align>center</wp:align>
              </wp:positionH>
              <wp:positionV relativeFrom="page">
                <wp:align>bottom</wp:align>
              </wp:positionV>
              <wp:extent cx="686435" cy="393700"/>
              <wp:effectExtent l="0" t="0" r="18415" b="0"/>
              <wp:wrapNone/>
              <wp:docPr id="9254865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BCE611D" w14:textId="677074B1" w:rsidR="005D6A65" w:rsidRPr="005D6A65" w:rsidRDefault="005D6A65" w:rsidP="009249D0">
                          <w:pPr>
                            <w:rPr>
                              <w:noProof/>
                            </w:rPr>
                          </w:pPr>
                          <w:r w:rsidRPr="005D6A65">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A8009"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BCE611D" w14:textId="677074B1" w:rsidR="005D6A65" w:rsidRPr="005D6A65" w:rsidRDefault="005D6A65" w:rsidP="009249D0">
                    <w:pPr>
                      <w:rPr>
                        <w:noProof/>
                      </w:rPr>
                    </w:pPr>
                    <w:r w:rsidRPr="005D6A65">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0758" w14:textId="09FCE54C" w:rsidR="005D6A65" w:rsidRDefault="005D6A65" w:rsidP="009249D0">
    <w:pPr>
      <w:pStyle w:val="Footer"/>
    </w:pPr>
    <w:r>
      <w:rPr>
        <w:noProof/>
      </w:rPr>
      <mc:AlternateContent>
        <mc:Choice Requires="wps">
          <w:drawing>
            <wp:anchor distT="0" distB="0" distL="0" distR="0" simplePos="0" relativeHeight="251658245" behindDoc="0" locked="0" layoutInCell="1" allowOverlap="1" wp14:anchorId="45F537E7" wp14:editId="03A4FC9C">
              <wp:simplePos x="914400" y="10058400"/>
              <wp:positionH relativeFrom="page">
                <wp:align>center</wp:align>
              </wp:positionH>
              <wp:positionV relativeFrom="page">
                <wp:align>bottom</wp:align>
              </wp:positionV>
              <wp:extent cx="686435" cy="393700"/>
              <wp:effectExtent l="0" t="0" r="18415" b="0"/>
              <wp:wrapNone/>
              <wp:docPr id="1411237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E07284E" w14:textId="73A22AD3" w:rsidR="005D6A65" w:rsidRPr="005D6A65" w:rsidRDefault="005D6A65" w:rsidP="009249D0">
                          <w:pPr>
                            <w:rPr>
                              <w:noProof/>
                            </w:rPr>
                          </w:pPr>
                          <w:r w:rsidRPr="005D6A65">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537E7" id="_x0000_t202" coordsize="21600,21600" o:spt="202" path="m,l,21600r21600,l21600,xe">
              <v:stroke joinstyle="miter"/>
              <v:path gradientshapeok="t" o:connecttype="rect"/>
            </v:shapetype>
            <v:shape id="Text Box 6" o:spid="_x0000_s1029" type="#_x0000_t202" alt="OFFICIAL" style="position:absolute;margin-left:0;margin-top:0;width:54.05pt;height:3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7E07284E" w14:textId="73A22AD3" w:rsidR="005D6A65" w:rsidRPr="005D6A65" w:rsidRDefault="005D6A65" w:rsidP="009249D0">
                    <w:pPr>
                      <w:rPr>
                        <w:noProof/>
                      </w:rPr>
                    </w:pPr>
                    <w:r w:rsidRPr="005D6A65">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0AEC" w14:textId="7997F2EC" w:rsidR="005D6A65" w:rsidRDefault="005D6A65" w:rsidP="009249D0">
    <w:pPr>
      <w:pStyle w:val="Footer"/>
    </w:pPr>
    <w:r>
      <w:rPr>
        <w:noProof/>
      </w:rPr>
      <mc:AlternateContent>
        <mc:Choice Requires="wps">
          <w:drawing>
            <wp:anchor distT="0" distB="0" distL="0" distR="0" simplePos="0" relativeHeight="251658243" behindDoc="0" locked="0" layoutInCell="1" allowOverlap="1" wp14:anchorId="554F46BD" wp14:editId="1296EFA8">
              <wp:simplePos x="635" y="635"/>
              <wp:positionH relativeFrom="page">
                <wp:align>center</wp:align>
              </wp:positionH>
              <wp:positionV relativeFrom="page">
                <wp:align>bottom</wp:align>
              </wp:positionV>
              <wp:extent cx="686435" cy="393700"/>
              <wp:effectExtent l="0" t="0" r="18415" b="0"/>
              <wp:wrapNone/>
              <wp:docPr id="6543009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53E89EF" w14:textId="3B3E73EF" w:rsidR="005D6A65" w:rsidRPr="005D6A65" w:rsidRDefault="005D6A65" w:rsidP="009249D0">
                          <w:pPr>
                            <w:rPr>
                              <w:noProof/>
                            </w:rPr>
                          </w:pPr>
                          <w:r w:rsidRPr="005D6A65">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4F46BD" id="_x0000_t202" coordsize="21600,21600" o:spt="202" path="m,l,21600r21600,l21600,xe">
              <v:stroke joinstyle="miter"/>
              <v:path gradientshapeok="t" o:connecttype="rect"/>
            </v:shapetype>
            <v:shape id="Text Box 4" o:spid="_x0000_s1031"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353E89EF" w14:textId="3B3E73EF" w:rsidR="005D6A65" w:rsidRPr="005D6A65" w:rsidRDefault="005D6A65" w:rsidP="009249D0">
                    <w:pPr>
                      <w:rPr>
                        <w:noProof/>
                      </w:rPr>
                    </w:pPr>
                    <w:r w:rsidRPr="005D6A65">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CB2E" w14:textId="77777777" w:rsidR="005F6D7F" w:rsidRDefault="005F6D7F" w:rsidP="009249D0">
      <w:r>
        <w:separator/>
      </w:r>
    </w:p>
  </w:footnote>
  <w:footnote w:type="continuationSeparator" w:id="0">
    <w:p w14:paraId="6F2DAFFF" w14:textId="77777777" w:rsidR="005F6D7F" w:rsidRDefault="005F6D7F" w:rsidP="009249D0">
      <w:r>
        <w:continuationSeparator/>
      </w:r>
    </w:p>
  </w:footnote>
  <w:footnote w:id="1">
    <w:p w14:paraId="654D13AA" w14:textId="15DCA3E1" w:rsidR="00DA7713" w:rsidRDefault="00DA7713" w:rsidP="009249D0">
      <w:pPr>
        <w:pStyle w:val="FootnoteText"/>
      </w:pPr>
      <w:r>
        <w:rPr>
          <w:rStyle w:val="FootnoteReference"/>
        </w:rPr>
        <w:footnoteRef/>
      </w:r>
      <w:r>
        <w:t xml:space="preserve"> </w:t>
      </w:r>
      <w:r w:rsidR="00013B5D" w:rsidRPr="00013B5D">
        <w:t>This includes where parties have agreed to mark a clause as ‘N/A’ if determined as not applicable to the partnership arrangement, in line with provisions under the National Agreement.</w:t>
      </w:r>
    </w:p>
  </w:footnote>
  <w:footnote w:id="2">
    <w:p w14:paraId="47FCC028" w14:textId="7FA79E06" w:rsidR="00DB1A0A" w:rsidRDefault="00DB1A0A" w:rsidP="009249D0">
      <w:pPr>
        <w:pStyle w:val="FootnoteText"/>
      </w:pPr>
      <w:r>
        <w:rPr>
          <w:rStyle w:val="FootnoteReference"/>
        </w:rPr>
        <w:footnoteRef/>
      </w:r>
      <w:r>
        <w:t xml:space="preserve"> </w:t>
      </w:r>
      <w:r w:rsidR="004020B6" w:rsidRPr="004020B6">
        <w:t>References to ‘policy’, ‘place</w:t>
      </w:r>
      <w:r w:rsidR="004020B6" w:rsidRPr="004020B6">
        <w:noBreakHyphen/>
        <w:t>based’ or ‘other’ functions are determined by each partnership and are not formal descriptors.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6A21" w14:textId="1ECAAD24" w:rsidR="005D6A65" w:rsidRDefault="005D6A65" w:rsidP="009249D0">
    <w:pPr>
      <w:pStyle w:val="Header"/>
    </w:pPr>
    <w:r>
      <w:rPr>
        <w:noProof/>
      </w:rPr>
      <mc:AlternateContent>
        <mc:Choice Requires="wps">
          <w:drawing>
            <wp:anchor distT="0" distB="0" distL="0" distR="0" simplePos="0" relativeHeight="251658241" behindDoc="0" locked="0" layoutInCell="1" allowOverlap="1" wp14:anchorId="6060F021" wp14:editId="5179564A">
              <wp:simplePos x="635" y="635"/>
              <wp:positionH relativeFrom="page">
                <wp:align>center</wp:align>
              </wp:positionH>
              <wp:positionV relativeFrom="page">
                <wp:align>top</wp:align>
              </wp:positionV>
              <wp:extent cx="686435" cy="393700"/>
              <wp:effectExtent l="0" t="0" r="18415" b="6350"/>
              <wp:wrapNone/>
              <wp:docPr id="20125907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628EF85" w14:textId="1B79C09F" w:rsidR="005D6A65" w:rsidRPr="005D6A65" w:rsidRDefault="005D6A65" w:rsidP="009249D0">
                          <w:pPr>
                            <w:rPr>
                              <w:noProof/>
                            </w:rPr>
                          </w:pPr>
                          <w:r w:rsidRPr="005D6A65">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60F021"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7628EF85" w14:textId="1B79C09F" w:rsidR="005D6A65" w:rsidRPr="005D6A65" w:rsidRDefault="005D6A65" w:rsidP="009249D0">
                    <w:pPr>
                      <w:rPr>
                        <w:noProof/>
                      </w:rPr>
                    </w:pPr>
                    <w:r w:rsidRPr="005D6A65">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5289" w14:textId="384894DA" w:rsidR="005D6A65" w:rsidRDefault="005D6A65" w:rsidP="009249D0">
    <w:pPr>
      <w:pStyle w:val="Header"/>
    </w:pPr>
    <w:r>
      <w:rPr>
        <w:noProof/>
      </w:rPr>
      <mc:AlternateContent>
        <mc:Choice Requires="wps">
          <w:drawing>
            <wp:anchor distT="0" distB="0" distL="0" distR="0" simplePos="0" relativeHeight="251658242" behindDoc="0" locked="0" layoutInCell="1" allowOverlap="1" wp14:anchorId="538348F5" wp14:editId="60F47185">
              <wp:simplePos x="914400" y="453224"/>
              <wp:positionH relativeFrom="page">
                <wp:align>center</wp:align>
              </wp:positionH>
              <wp:positionV relativeFrom="page">
                <wp:align>top</wp:align>
              </wp:positionV>
              <wp:extent cx="686435" cy="393700"/>
              <wp:effectExtent l="0" t="0" r="18415" b="6350"/>
              <wp:wrapNone/>
              <wp:docPr id="16960705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3EB6093" w14:textId="17E4B6AE" w:rsidR="005D6A65" w:rsidRPr="005D6A65" w:rsidRDefault="005D6A65" w:rsidP="009249D0">
                          <w:pPr>
                            <w:rPr>
                              <w:noProof/>
                            </w:rPr>
                          </w:pPr>
                          <w:r w:rsidRPr="005D6A65">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348F5"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23EB6093" w14:textId="17E4B6AE" w:rsidR="005D6A65" w:rsidRPr="005D6A65" w:rsidRDefault="005D6A65" w:rsidP="009249D0">
                    <w:pPr>
                      <w:rPr>
                        <w:noProof/>
                      </w:rPr>
                    </w:pPr>
                    <w:r w:rsidRPr="005D6A65">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FE27" w14:textId="61A3A2A8" w:rsidR="005D6A65" w:rsidRDefault="005D6A65" w:rsidP="009249D0">
    <w:pPr>
      <w:pStyle w:val="Header"/>
    </w:pPr>
    <w:r>
      <w:rPr>
        <w:noProof/>
      </w:rPr>
      <mc:AlternateContent>
        <mc:Choice Requires="wps">
          <w:drawing>
            <wp:anchor distT="0" distB="0" distL="0" distR="0" simplePos="0" relativeHeight="251658240" behindDoc="0" locked="0" layoutInCell="1" allowOverlap="1" wp14:anchorId="5DA3F267" wp14:editId="32C42A7B">
              <wp:simplePos x="635" y="635"/>
              <wp:positionH relativeFrom="page">
                <wp:align>center</wp:align>
              </wp:positionH>
              <wp:positionV relativeFrom="page">
                <wp:align>top</wp:align>
              </wp:positionV>
              <wp:extent cx="686435" cy="393700"/>
              <wp:effectExtent l="0" t="0" r="18415" b="6350"/>
              <wp:wrapNone/>
              <wp:docPr id="4125822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19D277B" w14:textId="050059FA" w:rsidR="005D6A65" w:rsidRPr="005D6A65" w:rsidRDefault="005D6A65" w:rsidP="009249D0">
                          <w:pPr>
                            <w:rPr>
                              <w:noProof/>
                            </w:rPr>
                          </w:pPr>
                          <w:r w:rsidRPr="005D6A65">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A3F267"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019D277B" w14:textId="050059FA" w:rsidR="005D6A65" w:rsidRPr="005D6A65" w:rsidRDefault="005D6A65" w:rsidP="009249D0">
                    <w:pPr>
                      <w:rPr>
                        <w:noProof/>
                      </w:rPr>
                    </w:pPr>
                    <w:r w:rsidRPr="005D6A65">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2F6"/>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294FDD"/>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9D3E7C"/>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F552F1"/>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6073C4"/>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792588"/>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7B7C18"/>
    <w:multiLevelType w:val="hybridMultilevel"/>
    <w:tmpl w:val="EC0AD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1A12211"/>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790870"/>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4E0242"/>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FC1384"/>
    <w:multiLevelType w:val="hybridMultilevel"/>
    <w:tmpl w:val="B6FA2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9A3857"/>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EC7ABC"/>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7D31CE"/>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6CA2998"/>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75E5E6F"/>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7921B74"/>
    <w:multiLevelType w:val="hybridMultilevel"/>
    <w:tmpl w:val="C6B47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7AC0226"/>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7E17363"/>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83B71BF"/>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8705F6F"/>
    <w:multiLevelType w:val="hybridMultilevel"/>
    <w:tmpl w:val="013801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89332C0"/>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8F55E9E"/>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A2B42C6"/>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A3C5F88"/>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A700DA6"/>
    <w:multiLevelType w:val="hybridMultilevel"/>
    <w:tmpl w:val="A10499E8"/>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CB10829"/>
    <w:multiLevelType w:val="hybridMultilevel"/>
    <w:tmpl w:val="9AE6F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CB4774E"/>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D10427F"/>
    <w:multiLevelType w:val="hybridMultilevel"/>
    <w:tmpl w:val="A81C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E656C58"/>
    <w:multiLevelType w:val="hybridMultilevel"/>
    <w:tmpl w:val="701E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E6B57D5"/>
    <w:multiLevelType w:val="hybridMultilevel"/>
    <w:tmpl w:val="81144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EED5004"/>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09E40EE"/>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0AF4073"/>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0D72A31"/>
    <w:multiLevelType w:val="hybridMultilevel"/>
    <w:tmpl w:val="BFAC9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1BF7B14"/>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2D47FBF"/>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2DA5AE0"/>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43975E9"/>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47A4FA7"/>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5D23D0A"/>
    <w:multiLevelType w:val="hybridMultilevel"/>
    <w:tmpl w:val="E3F6F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5E77D3D"/>
    <w:multiLevelType w:val="hybridMultilevel"/>
    <w:tmpl w:val="BB44B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88C73CD"/>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8A92F73"/>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BA705C7"/>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BE3005E"/>
    <w:multiLevelType w:val="hybridMultilevel"/>
    <w:tmpl w:val="6DF0F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C726A20"/>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DB01383"/>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DD64828"/>
    <w:multiLevelType w:val="hybridMultilevel"/>
    <w:tmpl w:val="C29A4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1E880AF4"/>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F472A13"/>
    <w:multiLevelType w:val="hybridMultilevel"/>
    <w:tmpl w:val="A94AF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216504A"/>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2C107CF"/>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395439A"/>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4440A69"/>
    <w:multiLevelType w:val="hybridMultilevel"/>
    <w:tmpl w:val="43E07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4E80126"/>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54207B1"/>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58636D1"/>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5DC29DF"/>
    <w:multiLevelType w:val="hybridMultilevel"/>
    <w:tmpl w:val="38709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60C62EF"/>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6D03AA9"/>
    <w:multiLevelType w:val="hybridMultilevel"/>
    <w:tmpl w:val="63809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7755C2F"/>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7F51756"/>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7FA4FBD"/>
    <w:multiLevelType w:val="hybridMultilevel"/>
    <w:tmpl w:val="9A402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29583DF0"/>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9C65CDF"/>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A082EA6"/>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AA70191"/>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AF378A1"/>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C13175E"/>
    <w:multiLevelType w:val="hybridMultilevel"/>
    <w:tmpl w:val="2C5C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2D8C2218"/>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0B845FC"/>
    <w:multiLevelType w:val="hybridMultilevel"/>
    <w:tmpl w:val="A3AC776E"/>
    <w:lvl w:ilvl="0" w:tplc="280846C6">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16D5A79"/>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1913294"/>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2E23B26"/>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3A037CD"/>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4236264"/>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4D10038"/>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5757FBB"/>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6EF1F07"/>
    <w:multiLevelType w:val="hybridMultilevel"/>
    <w:tmpl w:val="076A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75D1B08"/>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7C964C3"/>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8D20DE5"/>
    <w:multiLevelType w:val="hybridMultilevel"/>
    <w:tmpl w:val="55089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3AB20B47"/>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B503F24"/>
    <w:multiLevelType w:val="hybridMultilevel"/>
    <w:tmpl w:val="18CEE4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BAC68BF"/>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C8E5F7E"/>
    <w:multiLevelType w:val="hybridMultilevel"/>
    <w:tmpl w:val="758AD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D0B0205"/>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DE706AF"/>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F27011A"/>
    <w:multiLevelType w:val="hybridMultilevel"/>
    <w:tmpl w:val="EDF68F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07F7DDE"/>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0802170"/>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1324E97"/>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153419C"/>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25028F5"/>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26C7B11"/>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2DC2A7E"/>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2FA2B23"/>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37B0902"/>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4CF6A0F"/>
    <w:multiLevelType w:val="hybridMultilevel"/>
    <w:tmpl w:val="34482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455767A4"/>
    <w:multiLevelType w:val="hybridMultilevel"/>
    <w:tmpl w:val="97B6C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45D54EDE"/>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5F221A8"/>
    <w:multiLevelType w:val="hybridMultilevel"/>
    <w:tmpl w:val="BCBE5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4627093C"/>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6556261"/>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6643033"/>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7164B3C"/>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75C4B30"/>
    <w:multiLevelType w:val="hybridMultilevel"/>
    <w:tmpl w:val="7BB2C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47A07979"/>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8EC3D0E"/>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9480132"/>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9661EDB"/>
    <w:multiLevelType w:val="hybridMultilevel"/>
    <w:tmpl w:val="DF1A7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49AA5446"/>
    <w:multiLevelType w:val="hybridMultilevel"/>
    <w:tmpl w:val="811EB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49E5231D"/>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9F16FF9"/>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A4D2A27"/>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AE5030C"/>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BB4764D"/>
    <w:multiLevelType w:val="hybridMultilevel"/>
    <w:tmpl w:val="9590532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4BC74B30"/>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CED5CB3"/>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F176A95"/>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F1C2E0B"/>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F2E5133"/>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0EC3F49"/>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25E1E68"/>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2DA4107"/>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2DD2743"/>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3065430"/>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4742AEF"/>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47B32B8"/>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5670EF2"/>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56A0CC8"/>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5DF1A66"/>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55E90895"/>
    <w:multiLevelType w:val="hybridMultilevel"/>
    <w:tmpl w:val="E73A2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56070FD2"/>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7DD09CD"/>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8E76EA3"/>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9456CB0"/>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97B0915"/>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A204450"/>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A6C2C33"/>
    <w:multiLevelType w:val="hybridMultilevel"/>
    <w:tmpl w:val="CA825F88"/>
    <w:lvl w:ilvl="0" w:tplc="7772DFCA">
      <w:start w:val="1"/>
      <w:numFmt w:val="decimal"/>
      <w:pStyle w:val="Heading3"/>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41" w15:restartNumberingAfterBreak="0">
    <w:nsid w:val="5AC342F4"/>
    <w:multiLevelType w:val="hybridMultilevel"/>
    <w:tmpl w:val="9A78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5AFA7226"/>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D2476DE"/>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DF004FB"/>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E231E42"/>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F946EC5"/>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1C50843"/>
    <w:multiLevelType w:val="hybridMultilevel"/>
    <w:tmpl w:val="8880FF5E"/>
    <w:lvl w:ilvl="0" w:tplc="58DA06EC">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1D91603"/>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20107EE"/>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25F2348"/>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2616FB4"/>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3073F57"/>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421171A"/>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47C3A7F"/>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4E3206D"/>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5FB0A67"/>
    <w:multiLevelType w:val="hybridMultilevel"/>
    <w:tmpl w:val="6BD2C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663C5ABF"/>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590C01"/>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7D5331E"/>
    <w:multiLevelType w:val="hybridMultilevel"/>
    <w:tmpl w:val="D0B2CBBE"/>
    <w:lvl w:ilvl="0" w:tplc="DDE408E6">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67EC1674"/>
    <w:multiLevelType w:val="hybridMultilevel"/>
    <w:tmpl w:val="3D729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6823487A"/>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8FD6D2A"/>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908327E"/>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B9A3230"/>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BEB7378"/>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C8B5E48"/>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D216AA8"/>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DA819FF"/>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E284A4C"/>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6E796C8B"/>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E921BEF"/>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6F3D34E8"/>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FB83A04"/>
    <w:multiLevelType w:val="hybridMultilevel"/>
    <w:tmpl w:val="F90E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70FF2D5B"/>
    <w:multiLevelType w:val="hybridMultilevel"/>
    <w:tmpl w:val="524A3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716A4152"/>
    <w:multiLevelType w:val="hybridMultilevel"/>
    <w:tmpl w:val="2B302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728A5C5E"/>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33F140A"/>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3A136BA"/>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3B24512"/>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41C2B99"/>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4390C4F"/>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743A1F6A"/>
    <w:multiLevelType w:val="hybridMultilevel"/>
    <w:tmpl w:val="ACD05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75132C8B"/>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754F1CEA"/>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75F32E64"/>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7C3566A"/>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78576BDE"/>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786D3B5E"/>
    <w:multiLevelType w:val="hybridMultilevel"/>
    <w:tmpl w:val="F258A1E4"/>
    <w:lvl w:ilvl="0" w:tplc="F3326C2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9" w15:restartNumberingAfterBreak="0">
    <w:nsid w:val="79546255"/>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79C0090E"/>
    <w:multiLevelType w:val="hybridMultilevel"/>
    <w:tmpl w:val="0FB88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7B3C10E9"/>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7B5670A8"/>
    <w:multiLevelType w:val="hybridMultilevel"/>
    <w:tmpl w:val="3B1852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7B872C8A"/>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BD873B2"/>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7C3B37EB"/>
    <w:multiLevelType w:val="hybridMultilevel"/>
    <w:tmpl w:val="A3AC776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D6855D1"/>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7DB30085"/>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7F385D69"/>
    <w:multiLevelType w:val="hybridMultilevel"/>
    <w:tmpl w:val="D0B2CBB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F496AF5"/>
    <w:multiLevelType w:val="hybridMultilevel"/>
    <w:tmpl w:val="8880FF5E"/>
    <w:lvl w:ilvl="0" w:tplc="FFFFFFFF">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5095526">
    <w:abstractNumId w:val="6"/>
  </w:num>
  <w:num w:numId="2" w16cid:durableId="1847861834">
    <w:abstractNumId w:val="79"/>
  </w:num>
  <w:num w:numId="3" w16cid:durableId="1193376147">
    <w:abstractNumId w:val="86"/>
  </w:num>
  <w:num w:numId="4" w16cid:durableId="1395591088">
    <w:abstractNumId w:val="69"/>
  </w:num>
  <w:num w:numId="5" w16cid:durableId="1567108340">
    <w:abstractNumId w:val="100"/>
  </w:num>
  <w:num w:numId="6" w16cid:durableId="710417200">
    <w:abstractNumId w:val="147"/>
  </w:num>
  <w:num w:numId="7" w16cid:durableId="244385473">
    <w:abstractNumId w:val="71"/>
  </w:num>
  <w:num w:numId="8" w16cid:durableId="947082232">
    <w:abstractNumId w:val="159"/>
  </w:num>
  <w:num w:numId="9" w16cid:durableId="1895194313">
    <w:abstractNumId w:val="140"/>
  </w:num>
  <w:num w:numId="10" w16cid:durableId="567964572">
    <w:abstractNumId w:val="157"/>
  </w:num>
  <w:num w:numId="11" w16cid:durableId="52775018">
    <w:abstractNumId w:val="177"/>
  </w:num>
  <w:num w:numId="12" w16cid:durableId="720985264">
    <w:abstractNumId w:val="150"/>
  </w:num>
  <w:num w:numId="13" w16cid:durableId="544408870">
    <w:abstractNumId w:val="82"/>
  </w:num>
  <w:num w:numId="14" w16cid:durableId="225997581">
    <w:abstractNumId w:val="16"/>
  </w:num>
  <w:num w:numId="15" w16cid:durableId="1753694133">
    <w:abstractNumId w:val="153"/>
  </w:num>
  <w:num w:numId="16" w16cid:durableId="948704933">
    <w:abstractNumId w:val="21"/>
  </w:num>
  <w:num w:numId="17" w16cid:durableId="1194733562">
    <w:abstractNumId w:val="166"/>
  </w:num>
  <w:num w:numId="18" w16cid:durableId="1795832516">
    <w:abstractNumId w:val="170"/>
  </w:num>
  <w:num w:numId="19" w16cid:durableId="1918784694">
    <w:abstractNumId w:val="8"/>
  </w:num>
  <w:num w:numId="20" w16cid:durableId="991640617">
    <w:abstractNumId w:val="9"/>
  </w:num>
  <w:num w:numId="21" w16cid:durableId="1342583701">
    <w:abstractNumId w:val="20"/>
  </w:num>
  <w:num w:numId="22" w16cid:durableId="1129126300">
    <w:abstractNumId w:val="146"/>
  </w:num>
  <w:num w:numId="23" w16cid:durableId="2131851962">
    <w:abstractNumId w:val="168"/>
  </w:num>
  <w:num w:numId="24" w16cid:durableId="279728797">
    <w:abstractNumId w:val="106"/>
  </w:num>
  <w:num w:numId="25" w16cid:durableId="1413315152">
    <w:abstractNumId w:val="60"/>
  </w:num>
  <w:num w:numId="26" w16cid:durableId="1491100333">
    <w:abstractNumId w:val="113"/>
  </w:num>
  <w:num w:numId="27" w16cid:durableId="1885557110">
    <w:abstractNumId w:val="4"/>
  </w:num>
  <w:num w:numId="28" w16cid:durableId="402995967">
    <w:abstractNumId w:val="130"/>
  </w:num>
  <w:num w:numId="29" w16cid:durableId="1100417060">
    <w:abstractNumId w:val="30"/>
  </w:num>
  <w:num w:numId="30" w16cid:durableId="433211515">
    <w:abstractNumId w:val="120"/>
  </w:num>
  <w:num w:numId="31" w16cid:durableId="897665481">
    <w:abstractNumId w:val="61"/>
  </w:num>
  <w:num w:numId="32" w16cid:durableId="243995156">
    <w:abstractNumId w:val="0"/>
  </w:num>
  <w:num w:numId="33" w16cid:durableId="337199621">
    <w:abstractNumId w:val="182"/>
  </w:num>
  <w:num w:numId="34" w16cid:durableId="190656520">
    <w:abstractNumId w:val="22"/>
  </w:num>
  <w:num w:numId="35" w16cid:durableId="1521048322">
    <w:abstractNumId w:val="81"/>
  </w:num>
  <w:num w:numId="36" w16cid:durableId="1907491308">
    <w:abstractNumId w:val="94"/>
  </w:num>
  <w:num w:numId="37" w16cid:durableId="1986349153">
    <w:abstractNumId w:val="174"/>
  </w:num>
  <w:num w:numId="38" w16cid:durableId="1170288993">
    <w:abstractNumId w:val="118"/>
  </w:num>
  <w:num w:numId="39" w16cid:durableId="1226186604">
    <w:abstractNumId w:val="59"/>
  </w:num>
  <w:num w:numId="40" w16cid:durableId="1480612477">
    <w:abstractNumId w:val="172"/>
  </w:num>
  <w:num w:numId="41" w16cid:durableId="1144280141">
    <w:abstractNumId w:val="112"/>
  </w:num>
  <w:num w:numId="42" w16cid:durableId="987906408">
    <w:abstractNumId w:val="173"/>
  </w:num>
  <w:num w:numId="43" w16cid:durableId="1927497132">
    <w:abstractNumId w:val="196"/>
  </w:num>
  <w:num w:numId="44" w16cid:durableId="729622184">
    <w:abstractNumId w:val="17"/>
  </w:num>
  <w:num w:numId="45" w16cid:durableId="1892694769">
    <w:abstractNumId w:val="35"/>
  </w:num>
  <w:num w:numId="46" w16cid:durableId="72318578">
    <w:abstractNumId w:val="58"/>
  </w:num>
  <w:num w:numId="47" w16cid:durableId="306863784">
    <w:abstractNumId w:val="138"/>
  </w:num>
  <w:num w:numId="48" w16cid:durableId="1206144188">
    <w:abstractNumId w:val="154"/>
  </w:num>
  <w:num w:numId="49" w16cid:durableId="1712681081">
    <w:abstractNumId w:val="14"/>
  </w:num>
  <w:num w:numId="50" w16cid:durableId="120655008">
    <w:abstractNumId w:val="188"/>
  </w:num>
  <w:num w:numId="51" w16cid:durableId="196891717">
    <w:abstractNumId w:val="19"/>
  </w:num>
  <w:num w:numId="52" w16cid:durableId="834298127">
    <w:abstractNumId w:val="55"/>
  </w:num>
  <w:num w:numId="53" w16cid:durableId="390692837">
    <w:abstractNumId w:val="119"/>
  </w:num>
  <w:num w:numId="54" w16cid:durableId="1963227895">
    <w:abstractNumId w:val="41"/>
  </w:num>
  <w:num w:numId="55" w16cid:durableId="124584073">
    <w:abstractNumId w:val="89"/>
  </w:num>
  <w:num w:numId="56" w16cid:durableId="1543832380">
    <w:abstractNumId w:val="137"/>
  </w:num>
  <w:num w:numId="57" w16cid:durableId="1256599774">
    <w:abstractNumId w:val="128"/>
  </w:num>
  <w:num w:numId="58" w16cid:durableId="819150576">
    <w:abstractNumId w:val="33"/>
  </w:num>
  <w:num w:numId="59" w16cid:durableId="900360207">
    <w:abstractNumId w:val="117"/>
  </w:num>
  <w:num w:numId="60" w16cid:durableId="1766413729">
    <w:abstractNumId w:val="84"/>
  </w:num>
  <w:num w:numId="61" w16cid:durableId="2071146678">
    <w:abstractNumId w:val="78"/>
  </w:num>
  <w:num w:numId="62" w16cid:durableId="153379492">
    <w:abstractNumId w:val="73"/>
  </w:num>
  <w:num w:numId="63" w16cid:durableId="1478499614">
    <w:abstractNumId w:val="96"/>
  </w:num>
  <w:num w:numId="64" w16cid:durableId="974329850">
    <w:abstractNumId w:val="92"/>
  </w:num>
  <w:num w:numId="65" w16cid:durableId="457375890">
    <w:abstractNumId w:val="37"/>
  </w:num>
  <w:num w:numId="66" w16cid:durableId="1432898689">
    <w:abstractNumId w:val="180"/>
  </w:num>
  <w:num w:numId="67" w16cid:durableId="991756579">
    <w:abstractNumId w:val="102"/>
  </w:num>
  <w:num w:numId="68" w16cid:durableId="702753345">
    <w:abstractNumId w:val="87"/>
  </w:num>
  <w:num w:numId="69" w16cid:durableId="323701898">
    <w:abstractNumId w:val="164"/>
  </w:num>
  <w:num w:numId="70" w16cid:durableId="607542871">
    <w:abstractNumId w:val="32"/>
  </w:num>
  <w:num w:numId="71" w16cid:durableId="1755131302">
    <w:abstractNumId w:val="10"/>
  </w:num>
  <w:num w:numId="72" w16cid:durableId="1412846664">
    <w:abstractNumId w:val="2"/>
  </w:num>
  <w:num w:numId="73" w16cid:durableId="1359115440">
    <w:abstractNumId w:val="93"/>
  </w:num>
  <w:num w:numId="74" w16cid:durableId="198206495">
    <w:abstractNumId w:val="39"/>
  </w:num>
  <w:num w:numId="75" w16cid:durableId="1565795286">
    <w:abstractNumId w:val="171"/>
  </w:num>
  <w:num w:numId="76" w16cid:durableId="1795439321">
    <w:abstractNumId w:val="114"/>
  </w:num>
  <w:num w:numId="77" w16cid:durableId="1255287151">
    <w:abstractNumId w:val="198"/>
  </w:num>
  <w:num w:numId="78" w16cid:durableId="1644891355">
    <w:abstractNumId w:val="143"/>
  </w:num>
  <w:num w:numId="79" w16cid:durableId="777143731">
    <w:abstractNumId w:val="27"/>
  </w:num>
  <w:num w:numId="80" w16cid:durableId="478302799">
    <w:abstractNumId w:val="68"/>
  </w:num>
  <w:num w:numId="81" w16cid:durableId="1809930028">
    <w:abstractNumId w:val="101"/>
  </w:num>
  <w:num w:numId="82" w16cid:durableId="501235942">
    <w:abstractNumId w:val="135"/>
  </w:num>
  <w:num w:numId="83" w16cid:durableId="1869444420">
    <w:abstractNumId w:val="184"/>
  </w:num>
  <w:num w:numId="84" w16cid:durableId="1993479655">
    <w:abstractNumId w:val="31"/>
  </w:num>
  <w:num w:numId="85" w16cid:durableId="1952087076">
    <w:abstractNumId w:val="145"/>
  </w:num>
  <w:num w:numId="86" w16cid:durableId="396561928">
    <w:abstractNumId w:val="65"/>
  </w:num>
  <w:num w:numId="87" w16cid:durableId="961233856">
    <w:abstractNumId w:val="133"/>
  </w:num>
  <w:num w:numId="88" w16cid:durableId="1409034517">
    <w:abstractNumId w:val="181"/>
  </w:num>
  <w:num w:numId="89" w16cid:durableId="1443575812">
    <w:abstractNumId w:val="74"/>
  </w:num>
  <w:num w:numId="90" w16cid:durableId="2078477160">
    <w:abstractNumId w:val="185"/>
  </w:num>
  <w:num w:numId="91" w16cid:durableId="1736736194">
    <w:abstractNumId w:val="76"/>
  </w:num>
  <w:num w:numId="92" w16cid:durableId="588973327">
    <w:abstractNumId w:val="162"/>
  </w:num>
  <w:num w:numId="93" w16cid:durableId="66852344">
    <w:abstractNumId w:val="77"/>
  </w:num>
  <w:num w:numId="94" w16cid:durableId="1788161085">
    <w:abstractNumId w:val="111"/>
  </w:num>
  <w:num w:numId="95" w16cid:durableId="673191231">
    <w:abstractNumId w:val="53"/>
  </w:num>
  <w:num w:numId="96" w16cid:durableId="873466863">
    <w:abstractNumId w:val="47"/>
  </w:num>
  <w:num w:numId="97" w16cid:durableId="810825320">
    <w:abstractNumId w:val="38"/>
  </w:num>
  <w:num w:numId="98" w16cid:durableId="1713378606">
    <w:abstractNumId w:val="108"/>
  </w:num>
  <w:num w:numId="99" w16cid:durableId="1188592875">
    <w:abstractNumId w:val="194"/>
  </w:num>
  <w:num w:numId="100" w16cid:durableId="343753840">
    <w:abstractNumId w:val="109"/>
  </w:num>
  <w:num w:numId="101" w16cid:durableId="1705790189">
    <w:abstractNumId w:val="48"/>
  </w:num>
  <w:num w:numId="102" w16cid:durableId="1527979975">
    <w:abstractNumId w:val="12"/>
  </w:num>
  <w:num w:numId="103" w16cid:durableId="237862550">
    <w:abstractNumId w:val="36"/>
  </w:num>
  <w:num w:numId="104" w16cid:durableId="1233079763">
    <w:abstractNumId w:val="122"/>
  </w:num>
  <w:num w:numId="105" w16cid:durableId="1617523492">
    <w:abstractNumId w:val="190"/>
  </w:num>
  <w:num w:numId="106" w16cid:durableId="1147891178">
    <w:abstractNumId w:val="42"/>
  </w:num>
  <w:num w:numId="107" w16cid:durableId="613175625">
    <w:abstractNumId w:val="97"/>
  </w:num>
  <w:num w:numId="108" w16cid:durableId="2033913555">
    <w:abstractNumId w:val="18"/>
  </w:num>
  <w:num w:numId="109" w16cid:durableId="1964000864">
    <w:abstractNumId w:val="26"/>
  </w:num>
  <w:num w:numId="110" w16cid:durableId="1946158110">
    <w:abstractNumId w:val="51"/>
  </w:num>
  <w:num w:numId="111" w16cid:durableId="937712840">
    <w:abstractNumId w:val="144"/>
  </w:num>
  <w:num w:numId="112" w16cid:durableId="463547015">
    <w:abstractNumId w:val="15"/>
  </w:num>
  <w:num w:numId="113" w16cid:durableId="24137844">
    <w:abstractNumId w:val="199"/>
  </w:num>
  <w:num w:numId="114" w16cid:durableId="451945707">
    <w:abstractNumId w:val="165"/>
  </w:num>
  <w:num w:numId="115" w16cid:durableId="661662929">
    <w:abstractNumId w:val="134"/>
  </w:num>
  <w:num w:numId="116" w16cid:durableId="2039548316">
    <w:abstractNumId w:val="127"/>
  </w:num>
  <w:num w:numId="117" w16cid:durableId="79454243">
    <w:abstractNumId w:val="1"/>
  </w:num>
  <w:num w:numId="118" w16cid:durableId="1727609025">
    <w:abstractNumId w:val="75"/>
  </w:num>
  <w:num w:numId="119" w16cid:durableId="531260904">
    <w:abstractNumId w:val="151"/>
  </w:num>
  <w:num w:numId="120" w16cid:durableId="585186171">
    <w:abstractNumId w:val="158"/>
  </w:num>
  <w:num w:numId="121" w16cid:durableId="120195388">
    <w:abstractNumId w:val="43"/>
  </w:num>
  <w:num w:numId="122" w16cid:durableId="1544750917">
    <w:abstractNumId w:val="149"/>
  </w:num>
  <w:num w:numId="123" w16cid:durableId="1610820665">
    <w:abstractNumId w:val="66"/>
  </w:num>
  <w:num w:numId="124" w16cid:durableId="27146272">
    <w:abstractNumId w:val="139"/>
  </w:num>
  <w:num w:numId="125" w16cid:durableId="11884876">
    <w:abstractNumId w:val="90"/>
  </w:num>
  <w:num w:numId="126" w16cid:durableId="2064870420">
    <w:abstractNumId w:val="186"/>
  </w:num>
  <w:num w:numId="127" w16cid:durableId="2134204179">
    <w:abstractNumId w:val="129"/>
  </w:num>
  <w:num w:numId="128" w16cid:durableId="1063215711">
    <w:abstractNumId w:val="45"/>
  </w:num>
  <w:num w:numId="129" w16cid:durableId="580872387">
    <w:abstractNumId w:val="70"/>
  </w:num>
  <w:num w:numId="130" w16cid:durableId="1062021188">
    <w:abstractNumId w:val="152"/>
  </w:num>
  <w:num w:numId="131" w16cid:durableId="55589841">
    <w:abstractNumId w:val="103"/>
  </w:num>
  <w:num w:numId="132" w16cid:durableId="2024016025">
    <w:abstractNumId w:val="28"/>
  </w:num>
  <w:num w:numId="133" w16cid:durableId="1690062998">
    <w:abstractNumId w:val="193"/>
  </w:num>
  <w:num w:numId="134" w16cid:durableId="1630698191">
    <w:abstractNumId w:val="44"/>
  </w:num>
  <w:num w:numId="135" w16cid:durableId="1860195110">
    <w:abstractNumId w:val="62"/>
  </w:num>
  <w:num w:numId="136" w16cid:durableId="2015301222">
    <w:abstractNumId w:val="23"/>
  </w:num>
  <w:num w:numId="137" w16cid:durableId="447548523">
    <w:abstractNumId w:val="63"/>
  </w:num>
  <w:num w:numId="138" w16cid:durableId="137652651">
    <w:abstractNumId w:val="34"/>
  </w:num>
  <w:num w:numId="139" w16cid:durableId="831264185">
    <w:abstractNumId w:val="3"/>
  </w:num>
  <w:num w:numId="140" w16cid:durableId="1757824813">
    <w:abstractNumId w:val="13"/>
  </w:num>
  <w:num w:numId="141" w16cid:durableId="81226328">
    <w:abstractNumId w:val="179"/>
  </w:num>
  <w:num w:numId="142" w16cid:durableId="791284881">
    <w:abstractNumId w:val="11"/>
  </w:num>
  <w:num w:numId="143" w16cid:durableId="235673205">
    <w:abstractNumId w:val="121"/>
  </w:num>
  <w:num w:numId="144" w16cid:durableId="1094086300">
    <w:abstractNumId w:val="98"/>
  </w:num>
  <w:num w:numId="145" w16cid:durableId="2013069749">
    <w:abstractNumId w:val="167"/>
  </w:num>
  <w:num w:numId="146" w16cid:durableId="1665234081">
    <w:abstractNumId w:val="187"/>
  </w:num>
  <w:num w:numId="147" w16cid:durableId="1807234896">
    <w:abstractNumId w:val="191"/>
  </w:num>
  <w:num w:numId="148" w16cid:durableId="1711343349">
    <w:abstractNumId w:val="195"/>
  </w:num>
  <w:num w:numId="149" w16cid:durableId="1786150697">
    <w:abstractNumId w:val="126"/>
  </w:num>
  <w:num w:numId="150" w16cid:durableId="358504647">
    <w:abstractNumId w:val="46"/>
  </w:num>
  <w:num w:numId="151" w16cid:durableId="1449927994">
    <w:abstractNumId w:val="105"/>
  </w:num>
  <w:num w:numId="152" w16cid:durableId="1886257647">
    <w:abstractNumId w:val="125"/>
  </w:num>
  <w:num w:numId="153" w16cid:durableId="16472773">
    <w:abstractNumId w:val="192"/>
  </w:num>
  <w:num w:numId="154" w16cid:durableId="734281098">
    <w:abstractNumId w:val="80"/>
  </w:num>
  <w:num w:numId="155" w16cid:durableId="748429993">
    <w:abstractNumId w:val="189"/>
  </w:num>
  <w:num w:numId="156" w16cid:durableId="1533609716">
    <w:abstractNumId w:val="83"/>
  </w:num>
  <w:num w:numId="157" w16cid:durableId="802389784">
    <w:abstractNumId w:val="7"/>
  </w:num>
  <w:num w:numId="158" w16cid:durableId="1835027476">
    <w:abstractNumId w:val="64"/>
  </w:num>
  <w:num w:numId="159" w16cid:durableId="440339350">
    <w:abstractNumId w:val="116"/>
  </w:num>
  <w:num w:numId="160" w16cid:durableId="1390373365">
    <w:abstractNumId w:val="56"/>
  </w:num>
  <w:num w:numId="161" w16cid:durableId="1783844533">
    <w:abstractNumId w:val="104"/>
  </w:num>
  <w:num w:numId="162" w16cid:durableId="2039617065">
    <w:abstractNumId w:val="131"/>
  </w:num>
  <w:num w:numId="163" w16cid:durableId="880283757">
    <w:abstractNumId w:val="160"/>
  </w:num>
  <w:num w:numId="164" w16cid:durableId="215552172">
    <w:abstractNumId w:val="91"/>
  </w:num>
  <w:num w:numId="165" w16cid:durableId="1056397524">
    <w:abstractNumId w:val="67"/>
  </w:num>
  <w:num w:numId="166" w16cid:durableId="1435243349">
    <w:abstractNumId w:val="49"/>
  </w:num>
  <w:num w:numId="167" w16cid:durableId="555969590">
    <w:abstractNumId w:val="54"/>
  </w:num>
  <w:num w:numId="168" w16cid:durableId="715661348">
    <w:abstractNumId w:val="124"/>
  </w:num>
  <w:num w:numId="169" w16cid:durableId="1742748714">
    <w:abstractNumId w:val="115"/>
  </w:num>
  <w:num w:numId="170" w16cid:durableId="821390043">
    <w:abstractNumId w:val="24"/>
  </w:num>
  <w:num w:numId="171" w16cid:durableId="1093665466">
    <w:abstractNumId w:val="99"/>
  </w:num>
  <w:num w:numId="172" w16cid:durableId="535461655">
    <w:abstractNumId w:val="72"/>
  </w:num>
  <w:num w:numId="173" w16cid:durableId="2090536340">
    <w:abstractNumId w:val="95"/>
  </w:num>
  <w:num w:numId="174" w16cid:durableId="37819451">
    <w:abstractNumId w:val="169"/>
  </w:num>
  <w:num w:numId="175" w16cid:durableId="1435244267">
    <w:abstractNumId w:val="141"/>
  </w:num>
  <w:num w:numId="176" w16cid:durableId="593709294">
    <w:abstractNumId w:val="197"/>
  </w:num>
  <w:num w:numId="177" w16cid:durableId="1781946433">
    <w:abstractNumId w:val="132"/>
  </w:num>
  <w:num w:numId="178" w16cid:durableId="228267909">
    <w:abstractNumId w:val="88"/>
  </w:num>
  <w:num w:numId="179" w16cid:durableId="1750346764">
    <w:abstractNumId w:val="29"/>
  </w:num>
  <w:num w:numId="180" w16cid:durableId="1103960134">
    <w:abstractNumId w:val="136"/>
  </w:num>
  <w:num w:numId="181" w16cid:durableId="464153789">
    <w:abstractNumId w:val="148"/>
  </w:num>
  <w:num w:numId="182" w16cid:durableId="989865867">
    <w:abstractNumId w:val="178"/>
  </w:num>
  <w:num w:numId="183" w16cid:durableId="1627007424">
    <w:abstractNumId w:val="156"/>
  </w:num>
  <w:num w:numId="184" w16cid:durableId="790782356">
    <w:abstractNumId w:val="57"/>
  </w:num>
  <w:num w:numId="185" w16cid:durableId="659046304">
    <w:abstractNumId w:val="85"/>
  </w:num>
  <w:num w:numId="186" w16cid:durableId="1244610488">
    <w:abstractNumId w:val="52"/>
  </w:num>
  <w:num w:numId="187" w16cid:durableId="327100507">
    <w:abstractNumId w:val="175"/>
  </w:num>
  <w:num w:numId="188" w16cid:durableId="241724414">
    <w:abstractNumId w:val="123"/>
  </w:num>
  <w:num w:numId="189" w16cid:durableId="973607109">
    <w:abstractNumId w:val="176"/>
  </w:num>
  <w:num w:numId="190" w16cid:durableId="1853566832">
    <w:abstractNumId w:val="142"/>
  </w:num>
  <w:num w:numId="191" w16cid:durableId="695547010">
    <w:abstractNumId w:val="50"/>
  </w:num>
  <w:num w:numId="192" w16cid:durableId="565650909">
    <w:abstractNumId w:val="161"/>
  </w:num>
  <w:num w:numId="193" w16cid:durableId="763914846">
    <w:abstractNumId w:val="155"/>
  </w:num>
  <w:num w:numId="194" w16cid:durableId="294484398">
    <w:abstractNumId w:val="5"/>
  </w:num>
  <w:num w:numId="195" w16cid:durableId="2055084328">
    <w:abstractNumId w:val="110"/>
  </w:num>
  <w:num w:numId="196" w16cid:durableId="2058427222">
    <w:abstractNumId w:val="183"/>
  </w:num>
  <w:num w:numId="197" w16cid:durableId="913198056">
    <w:abstractNumId w:val="163"/>
  </w:num>
  <w:num w:numId="198" w16cid:durableId="1368336380">
    <w:abstractNumId w:val="40"/>
  </w:num>
  <w:num w:numId="199" w16cid:durableId="1458335012">
    <w:abstractNumId w:val="25"/>
  </w:num>
  <w:num w:numId="200" w16cid:durableId="1132137437">
    <w:abstractNumId w:val="107"/>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65"/>
    <w:rsid w:val="00000D88"/>
    <w:rsid w:val="0000140E"/>
    <w:rsid w:val="00001849"/>
    <w:rsid w:val="000018A2"/>
    <w:rsid w:val="00001AA5"/>
    <w:rsid w:val="00001E45"/>
    <w:rsid w:val="0000252D"/>
    <w:rsid w:val="00002703"/>
    <w:rsid w:val="000035E8"/>
    <w:rsid w:val="00003FDC"/>
    <w:rsid w:val="0000435F"/>
    <w:rsid w:val="000046F0"/>
    <w:rsid w:val="000050CA"/>
    <w:rsid w:val="00005573"/>
    <w:rsid w:val="000057DF"/>
    <w:rsid w:val="00006532"/>
    <w:rsid w:val="00006A03"/>
    <w:rsid w:val="00007F9A"/>
    <w:rsid w:val="00010D72"/>
    <w:rsid w:val="00011B73"/>
    <w:rsid w:val="00011EA0"/>
    <w:rsid w:val="000124EC"/>
    <w:rsid w:val="000125B5"/>
    <w:rsid w:val="00013B5D"/>
    <w:rsid w:val="00013B91"/>
    <w:rsid w:val="000165F5"/>
    <w:rsid w:val="000168BA"/>
    <w:rsid w:val="00017906"/>
    <w:rsid w:val="00020239"/>
    <w:rsid w:val="00020A2E"/>
    <w:rsid w:val="00020D5B"/>
    <w:rsid w:val="000213C1"/>
    <w:rsid w:val="00023E48"/>
    <w:rsid w:val="0002401B"/>
    <w:rsid w:val="0002428B"/>
    <w:rsid w:val="0002492A"/>
    <w:rsid w:val="00024A5A"/>
    <w:rsid w:val="00024AD2"/>
    <w:rsid w:val="00024C66"/>
    <w:rsid w:val="0002576A"/>
    <w:rsid w:val="00025AE8"/>
    <w:rsid w:val="00026C46"/>
    <w:rsid w:val="00027BF5"/>
    <w:rsid w:val="000303BB"/>
    <w:rsid w:val="0003301A"/>
    <w:rsid w:val="00033503"/>
    <w:rsid w:val="00033FB2"/>
    <w:rsid w:val="0003448B"/>
    <w:rsid w:val="00035BD0"/>
    <w:rsid w:val="00036654"/>
    <w:rsid w:val="000366E9"/>
    <w:rsid w:val="00037031"/>
    <w:rsid w:val="00037DFD"/>
    <w:rsid w:val="00042194"/>
    <w:rsid w:val="00042808"/>
    <w:rsid w:val="00042870"/>
    <w:rsid w:val="0004294D"/>
    <w:rsid w:val="00042DD8"/>
    <w:rsid w:val="000432E8"/>
    <w:rsid w:val="00045EBF"/>
    <w:rsid w:val="00046EB1"/>
    <w:rsid w:val="00047711"/>
    <w:rsid w:val="00047974"/>
    <w:rsid w:val="00047A38"/>
    <w:rsid w:val="00050465"/>
    <w:rsid w:val="00050D21"/>
    <w:rsid w:val="000515DB"/>
    <w:rsid w:val="00051838"/>
    <w:rsid w:val="00051A77"/>
    <w:rsid w:val="00051B43"/>
    <w:rsid w:val="00052827"/>
    <w:rsid w:val="0005337E"/>
    <w:rsid w:val="00053824"/>
    <w:rsid w:val="00053F95"/>
    <w:rsid w:val="00055022"/>
    <w:rsid w:val="00055EBE"/>
    <w:rsid w:val="00056F6C"/>
    <w:rsid w:val="00057B2A"/>
    <w:rsid w:val="00060126"/>
    <w:rsid w:val="00060596"/>
    <w:rsid w:val="00061287"/>
    <w:rsid w:val="000623B4"/>
    <w:rsid w:val="00063087"/>
    <w:rsid w:val="0006335A"/>
    <w:rsid w:val="000648DF"/>
    <w:rsid w:val="00064D89"/>
    <w:rsid w:val="00065297"/>
    <w:rsid w:val="00066309"/>
    <w:rsid w:val="00066A22"/>
    <w:rsid w:val="00066A52"/>
    <w:rsid w:val="00067C4F"/>
    <w:rsid w:val="00067D03"/>
    <w:rsid w:val="0007067B"/>
    <w:rsid w:val="0007209C"/>
    <w:rsid w:val="000721A7"/>
    <w:rsid w:val="00072E0E"/>
    <w:rsid w:val="00072F21"/>
    <w:rsid w:val="000754B8"/>
    <w:rsid w:val="00075BD3"/>
    <w:rsid w:val="000769C8"/>
    <w:rsid w:val="00082041"/>
    <w:rsid w:val="000823F4"/>
    <w:rsid w:val="000825E9"/>
    <w:rsid w:val="0008319A"/>
    <w:rsid w:val="00083532"/>
    <w:rsid w:val="000852CC"/>
    <w:rsid w:val="00086891"/>
    <w:rsid w:val="00090B0A"/>
    <w:rsid w:val="000917DC"/>
    <w:rsid w:val="000918F5"/>
    <w:rsid w:val="000920DA"/>
    <w:rsid w:val="00092417"/>
    <w:rsid w:val="00092552"/>
    <w:rsid w:val="00093ED5"/>
    <w:rsid w:val="0009404C"/>
    <w:rsid w:val="00094427"/>
    <w:rsid w:val="00094B2D"/>
    <w:rsid w:val="00095F2A"/>
    <w:rsid w:val="000970D8"/>
    <w:rsid w:val="000975BC"/>
    <w:rsid w:val="000A10F4"/>
    <w:rsid w:val="000A1E58"/>
    <w:rsid w:val="000A36C0"/>
    <w:rsid w:val="000A3727"/>
    <w:rsid w:val="000A6508"/>
    <w:rsid w:val="000A6577"/>
    <w:rsid w:val="000A6975"/>
    <w:rsid w:val="000B0052"/>
    <w:rsid w:val="000B0EA0"/>
    <w:rsid w:val="000B1E81"/>
    <w:rsid w:val="000B2A0E"/>
    <w:rsid w:val="000B3C95"/>
    <w:rsid w:val="000B430A"/>
    <w:rsid w:val="000B51BB"/>
    <w:rsid w:val="000B57B2"/>
    <w:rsid w:val="000B5D84"/>
    <w:rsid w:val="000B67D4"/>
    <w:rsid w:val="000B746F"/>
    <w:rsid w:val="000B74ED"/>
    <w:rsid w:val="000B7B5B"/>
    <w:rsid w:val="000C0F4F"/>
    <w:rsid w:val="000C1168"/>
    <w:rsid w:val="000C2E0F"/>
    <w:rsid w:val="000C4599"/>
    <w:rsid w:val="000C6072"/>
    <w:rsid w:val="000C6604"/>
    <w:rsid w:val="000C7171"/>
    <w:rsid w:val="000D0282"/>
    <w:rsid w:val="000D10D2"/>
    <w:rsid w:val="000D1D13"/>
    <w:rsid w:val="000D21BB"/>
    <w:rsid w:val="000D221F"/>
    <w:rsid w:val="000D2743"/>
    <w:rsid w:val="000D40A3"/>
    <w:rsid w:val="000D438B"/>
    <w:rsid w:val="000D55BC"/>
    <w:rsid w:val="000D73E1"/>
    <w:rsid w:val="000D7786"/>
    <w:rsid w:val="000D7A9E"/>
    <w:rsid w:val="000D7C30"/>
    <w:rsid w:val="000E0E5C"/>
    <w:rsid w:val="000E133F"/>
    <w:rsid w:val="000E152D"/>
    <w:rsid w:val="000E1DF2"/>
    <w:rsid w:val="000E2370"/>
    <w:rsid w:val="000E2C9C"/>
    <w:rsid w:val="000E2F92"/>
    <w:rsid w:val="000E44FF"/>
    <w:rsid w:val="000E45A4"/>
    <w:rsid w:val="000E4705"/>
    <w:rsid w:val="000E4D69"/>
    <w:rsid w:val="000E5E84"/>
    <w:rsid w:val="000F125C"/>
    <w:rsid w:val="000F1348"/>
    <w:rsid w:val="000F22E8"/>
    <w:rsid w:val="000F29F4"/>
    <w:rsid w:val="000F325B"/>
    <w:rsid w:val="000F39F9"/>
    <w:rsid w:val="000F3AB0"/>
    <w:rsid w:val="000F3EEA"/>
    <w:rsid w:val="000F3FF1"/>
    <w:rsid w:val="000F48A6"/>
    <w:rsid w:val="000F49E7"/>
    <w:rsid w:val="000F4A25"/>
    <w:rsid w:val="000F51CF"/>
    <w:rsid w:val="000F568D"/>
    <w:rsid w:val="000F5D05"/>
    <w:rsid w:val="000F6614"/>
    <w:rsid w:val="000F679F"/>
    <w:rsid w:val="000F68AD"/>
    <w:rsid w:val="000F69D8"/>
    <w:rsid w:val="000F79A4"/>
    <w:rsid w:val="001017A9"/>
    <w:rsid w:val="00101D46"/>
    <w:rsid w:val="001025E1"/>
    <w:rsid w:val="00102B64"/>
    <w:rsid w:val="001033BB"/>
    <w:rsid w:val="0010498B"/>
    <w:rsid w:val="001055F3"/>
    <w:rsid w:val="00106500"/>
    <w:rsid w:val="00107410"/>
    <w:rsid w:val="00107605"/>
    <w:rsid w:val="001106D2"/>
    <w:rsid w:val="0011179C"/>
    <w:rsid w:val="00111CF5"/>
    <w:rsid w:val="00112684"/>
    <w:rsid w:val="00114178"/>
    <w:rsid w:val="0011457C"/>
    <w:rsid w:val="0011587B"/>
    <w:rsid w:val="00115C74"/>
    <w:rsid w:val="00115CE9"/>
    <w:rsid w:val="00115D8E"/>
    <w:rsid w:val="001160EA"/>
    <w:rsid w:val="0012055B"/>
    <w:rsid w:val="00120953"/>
    <w:rsid w:val="00122136"/>
    <w:rsid w:val="00122D3A"/>
    <w:rsid w:val="00122DAB"/>
    <w:rsid w:val="001239C9"/>
    <w:rsid w:val="001245F3"/>
    <w:rsid w:val="00124658"/>
    <w:rsid w:val="00124DC0"/>
    <w:rsid w:val="00125344"/>
    <w:rsid w:val="001253C8"/>
    <w:rsid w:val="00125B66"/>
    <w:rsid w:val="00126225"/>
    <w:rsid w:val="0012622C"/>
    <w:rsid w:val="00126BFB"/>
    <w:rsid w:val="00126E19"/>
    <w:rsid w:val="00126EFC"/>
    <w:rsid w:val="001301A8"/>
    <w:rsid w:val="001304F6"/>
    <w:rsid w:val="0013251E"/>
    <w:rsid w:val="00132BA7"/>
    <w:rsid w:val="00133309"/>
    <w:rsid w:val="00134407"/>
    <w:rsid w:val="001347B2"/>
    <w:rsid w:val="001358A3"/>
    <w:rsid w:val="00135BC5"/>
    <w:rsid w:val="001372F1"/>
    <w:rsid w:val="0013738E"/>
    <w:rsid w:val="00137E8C"/>
    <w:rsid w:val="0014058A"/>
    <w:rsid w:val="00140651"/>
    <w:rsid w:val="001410AC"/>
    <w:rsid w:val="0014157A"/>
    <w:rsid w:val="0014163C"/>
    <w:rsid w:val="00141F6D"/>
    <w:rsid w:val="00142273"/>
    <w:rsid w:val="00146B8C"/>
    <w:rsid w:val="0014712A"/>
    <w:rsid w:val="0015080D"/>
    <w:rsid w:val="00150BDF"/>
    <w:rsid w:val="0015123F"/>
    <w:rsid w:val="00151BAD"/>
    <w:rsid w:val="00151D88"/>
    <w:rsid w:val="00152035"/>
    <w:rsid w:val="00153685"/>
    <w:rsid w:val="00153A2A"/>
    <w:rsid w:val="00154179"/>
    <w:rsid w:val="0015446F"/>
    <w:rsid w:val="0015482B"/>
    <w:rsid w:val="00155D19"/>
    <w:rsid w:val="00156504"/>
    <w:rsid w:val="00157AFB"/>
    <w:rsid w:val="00160138"/>
    <w:rsid w:val="0016101E"/>
    <w:rsid w:val="00161739"/>
    <w:rsid w:val="00161CB3"/>
    <w:rsid w:val="00161CC3"/>
    <w:rsid w:val="00161CC6"/>
    <w:rsid w:val="00162F81"/>
    <w:rsid w:val="001636E3"/>
    <w:rsid w:val="00164571"/>
    <w:rsid w:val="001646E3"/>
    <w:rsid w:val="00164B40"/>
    <w:rsid w:val="0016528D"/>
    <w:rsid w:val="001658A5"/>
    <w:rsid w:val="00165CFD"/>
    <w:rsid w:val="0016607C"/>
    <w:rsid w:val="001668CB"/>
    <w:rsid w:val="00166E77"/>
    <w:rsid w:val="00167191"/>
    <w:rsid w:val="00167217"/>
    <w:rsid w:val="00170465"/>
    <w:rsid w:val="00173466"/>
    <w:rsid w:val="001743AC"/>
    <w:rsid w:val="00174704"/>
    <w:rsid w:val="00175318"/>
    <w:rsid w:val="00175893"/>
    <w:rsid w:val="00175F37"/>
    <w:rsid w:val="001766DA"/>
    <w:rsid w:val="00176716"/>
    <w:rsid w:val="00176970"/>
    <w:rsid w:val="001775B5"/>
    <w:rsid w:val="00177D95"/>
    <w:rsid w:val="0018153B"/>
    <w:rsid w:val="00181D1A"/>
    <w:rsid w:val="00182969"/>
    <w:rsid w:val="0018303F"/>
    <w:rsid w:val="00183AE1"/>
    <w:rsid w:val="00185429"/>
    <w:rsid w:val="001861FB"/>
    <w:rsid w:val="001865AA"/>
    <w:rsid w:val="001900BC"/>
    <w:rsid w:val="001901B2"/>
    <w:rsid w:val="001901E5"/>
    <w:rsid w:val="001903C5"/>
    <w:rsid w:val="001916C0"/>
    <w:rsid w:val="001916D1"/>
    <w:rsid w:val="00192BFF"/>
    <w:rsid w:val="001939FC"/>
    <w:rsid w:val="00194CED"/>
    <w:rsid w:val="00195397"/>
    <w:rsid w:val="00196282"/>
    <w:rsid w:val="001975C2"/>
    <w:rsid w:val="001A03B0"/>
    <w:rsid w:val="001A07D9"/>
    <w:rsid w:val="001A0D17"/>
    <w:rsid w:val="001A1037"/>
    <w:rsid w:val="001A122C"/>
    <w:rsid w:val="001A1E7B"/>
    <w:rsid w:val="001A29F4"/>
    <w:rsid w:val="001A6163"/>
    <w:rsid w:val="001A634F"/>
    <w:rsid w:val="001A68E9"/>
    <w:rsid w:val="001A6982"/>
    <w:rsid w:val="001A6D7B"/>
    <w:rsid w:val="001A6E7E"/>
    <w:rsid w:val="001A7018"/>
    <w:rsid w:val="001B09CE"/>
    <w:rsid w:val="001B10D3"/>
    <w:rsid w:val="001B11CA"/>
    <w:rsid w:val="001B1E3A"/>
    <w:rsid w:val="001B2518"/>
    <w:rsid w:val="001B2C49"/>
    <w:rsid w:val="001B2E80"/>
    <w:rsid w:val="001B322B"/>
    <w:rsid w:val="001B3459"/>
    <w:rsid w:val="001B5706"/>
    <w:rsid w:val="001B5ABD"/>
    <w:rsid w:val="001B627B"/>
    <w:rsid w:val="001B77CF"/>
    <w:rsid w:val="001C0476"/>
    <w:rsid w:val="001C062C"/>
    <w:rsid w:val="001C12F6"/>
    <w:rsid w:val="001C2C7F"/>
    <w:rsid w:val="001C2CF7"/>
    <w:rsid w:val="001C2D2F"/>
    <w:rsid w:val="001C3A04"/>
    <w:rsid w:val="001C45D1"/>
    <w:rsid w:val="001C5A54"/>
    <w:rsid w:val="001C78D8"/>
    <w:rsid w:val="001D00FC"/>
    <w:rsid w:val="001D0374"/>
    <w:rsid w:val="001D0A62"/>
    <w:rsid w:val="001D1B6E"/>
    <w:rsid w:val="001D1EF9"/>
    <w:rsid w:val="001D2482"/>
    <w:rsid w:val="001D2E14"/>
    <w:rsid w:val="001D3530"/>
    <w:rsid w:val="001D4028"/>
    <w:rsid w:val="001D40ED"/>
    <w:rsid w:val="001D581D"/>
    <w:rsid w:val="001D6B94"/>
    <w:rsid w:val="001D71D6"/>
    <w:rsid w:val="001D7220"/>
    <w:rsid w:val="001D7502"/>
    <w:rsid w:val="001E18EF"/>
    <w:rsid w:val="001E2197"/>
    <w:rsid w:val="001E2602"/>
    <w:rsid w:val="001E27AA"/>
    <w:rsid w:val="001E2897"/>
    <w:rsid w:val="001E2ACC"/>
    <w:rsid w:val="001E2CE9"/>
    <w:rsid w:val="001E2D52"/>
    <w:rsid w:val="001E33CB"/>
    <w:rsid w:val="001E33F7"/>
    <w:rsid w:val="001E43D8"/>
    <w:rsid w:val="001E5498"/>
    <w:rsid w:val="001E6B51"/>
    <w:rsid w:val="001E7090"/>
    <w:rsid w:val="001E7575"/>
    <w:rsid w:val="001F06F9"/>
    <w:rsid w:val="001F2758"/>
    <w:rsid w:val="001F3489"/>
    <w:rsid w:val="001F55B4"/>
    <w:rsid w:val="001F5FE3"/>
    <w:rsid w:val="001F6586"/>
    <w:rsid w:val="001F673B"/>
    <w:rsid w:val="00200455"/>
    <w:rsid w:val="00200B81"/>
    <w:rsid w:val="00203213"/>
    <w:rsid w:val="002033C1"/>
    <w:rsid w:val="0020364C"/>
    <w:rsid w:val="00203D3C"/>
    <w:rsid w:val="00204D0F"/>
    <w:rsid w:val="002057E4"/>
    <w:rsid w:val="00205E13"/>
    <w:rsid w:val="00205EFF"/>
    <w:rsid w:val="002068C0"/>
    <w:rsid w:val="00210902"/>
    <w:rsid w:val="002117D6"/>
    <w:rsid w:val="002123D6"/>
    <w:rsid w:val="00212564"/>
    <w:rsid w:val="00213674"/>
    <w:rsid w:val="00217A0F"/>
    <w:rsid w:val="00217F0E"/>
    <w:rsid w:val="002201E0"/>
    <w:rsid w:val="00220AD7"/>
    <w:rsid w:val="002225FD"/>
    <w:rsid w:val="00222712"/>
    <w:rsid w:val="00222E61"/>
    <w:rsid w:val="002232A3"/>
    <w:rsid w:val="002243E6"/>
    <w:rsid w:val="002245FE"/>
    <w:rsid w:val="00227256"/>
    <w:rsid w:val="002274F8"/>
    <w:rsid w:val="002279FC"/>
    <w:rsid w:val="00230579"/>
    <w:rsid w:val="0023095E"/>
    <w:rsid w:val="0023194C"/>
    <w:rsid w:val="00232363"/>
    <w:rsid w:val="00232C8C"/>
    <w:rsid w:val="002340D4"/>
    <w:rsid w:val="00235B82"/>
    <w:rsid w:val="0023666B"/>
    <w:rsid w:val="0023785E"/>
    <w:rsid w:val="0024009C"/>
    <w:rsid w:val="0024068C"/>
    <w:rsid w:val="00241E32"/>
    <w:rsid w:val="00242338"/>
    <w:rsid w:val="00243158"/>
    <w:rsid w:val="002443CC"/>
    <w:rsid w:val="0024649E"/>
    <w:rsid w:val="0024689C"/>
    <w:rsid w:val="0024709C"/>
    <w:rsid w:val="00247473"/>
    <w:rsid w:val="00250355"/>
    <w:rsid w:val="00250602"/>
    <w:rsid w:val="0025079E"/>
    <w:rsid w:val="002510F1"/>
    <w:rsid w:val="00252577"/>
    <w:rsid w:val="00253088"/>
    <w:rsid w:val="00255D2F"/>
    <w:rsid w:val="0025688D"/>
    <w:rsid w:val="00257960"/>
    <w:rsid w:val="00257DD1"/>
    <w:rsid w:val="00257E33"/>
    <w:rsid w:val="0026021E"/>
    <w:rsid w:val="0026195E"/>
    <w:rsid w:val="0026196A"/>
    <w:rsid w:val="002621F1"/>
    <w:rsid w:val="00262C82"/>
    <w:rsid w:val="00262F0F"/>
    <w:rsid w:val="00263C49"/>
    <w:rsid w:val="002641C5"/>
    <w:rsid w:val="00264449"/>
    <w:rsid w:val="00264E22"/>
    <w:rsid w:val="002650F1"/>
    <w:rsid w:val="00265106"/>
    <w:rsid w:val="00265884"/>
    <w:rsid w:val="00272272"/>
    <w:rsid w:val="002729F6"/>
    <w:rsid w:val="00273A8F"/>
    <w:rsid w:val="00274CC7"/>
    <w:rsid w:val="002779D1"/>
    <w:rsid w:val="00280A81"/>
    <w:rsid w:val="00282494"/>
    <w:rsid w:val="002832D3"/>
    <w:rsid w:val="00283B95"/>
    <w:rsid w:val="00284721"/>
    <w:rsid w:val="00285689"/>
    <w:rsid w:val="00285C5F"/>
    <w:rsid w:val="00287040"/>
    <w:rsid w:val="00287202"/>
    <w:rsid w:val="00287D1A"/>
    <w:rsid w:val="0029102A"/>
    <w:rsid w:val="00291062"/>
    <w:rsid w:val="00292A0F"/>
    <w:rsid w:val="00292D7A"/>
    <w:rsid w:val="00292E1E"/>
    <w:rsid w:val="00292ED1"/>
    <w:rsid w:val="0029441E"/>
    <w:rsid w:val="00295185"/>
    <w:rsid w:val="0029538A"/>
    <w:rsid w:val="002957C2"/>
    <w:rsid w:val="00295DA0"/>
    <w:rsid w:val="00296129"/>
    <w:rsid w:val="002962B0"/>
    <w:rsid w:val="002967F6"/>
    <w:rsid w:val="00296A42"/>
    <w:rsid w:val="00296DB4"/>
    <w:rsid w:val="0029733D"/>
    <w:rsid w:val="002973AF"/>
    <w:rsid w:val="002A0A11"/>
    <w:rsid w:val="002A0A26"/>
    <w:rsid w:val="002A0C30"/>
    <w:rsid w:val="002A151A"/>
    <w:rsid w:val="002A1597"/>
    <w:rsid w:val="002A2C7B"/>
    <w:rsid w:val="002A35E9"/>
    <w:rsid w:val="002A5040"/>
    <w:rsid w:val="002A675D"/>
    <w:rsid w:val="002B0FA5"/>
    <w:rsid w:val="002B16FB"/>
    <w:rsid w:val="002B203D"/>
    <w:rsid w:val="002B208F"/>
    <w:rsid w:val="002B5203"/>
    <w:rsid w:val="002B6C45"/>
    <w:rsid w:val="002B71DC"/>
    <w:rsid w:val="002B7615"/>
    <w:rsid w:val="002B7B1C"/>
    <w:rsid w:val="002B7B9F"/>
    <w:rsid w:val="002C0606"/>
    <w:rsid w:val="002C17D8"/>
    <w:rsid w:val="002C25D0"/>
    <w:rsid w:val="002C4B20"/>
    <w:rsid w:val="002C6782"/>
    <w:rsid w:val="002C6DC6"/>
    <w:rsid w:val="002C75A9"/>
    <w:rsid w:val="002C7F24"/>
    <w:rsid w:val="002C7F51"/>
    <w:rsid w:val="002D0B8A"/>
    <w:rsid w:val="002D112D"/>
    <w:rsid w:val="002D53FF"/>
    <w:rsid w:val="002D5417"/>
    <w:rsid w:val="002D5D42"/>
    <w:rsid w:val="002D6622"/>
    <w:rsid w:val="002D6D4F"/>
    <w:rsid w:val="002D7611"/>
    <w:rsid w:val="002D763C"/>
    <w:rsid w:val="002D79D1"/>
    <w:rsid w:val="002D7CA5"/>
    <w:rsid w:val="002E072C"/>
    <w:rsid w:val="002E168C"/>
    <w:rsid w:val="002E1CBA"/>
    <w:rsid w:val="002E256D"/>
    <w:rsid w:val="002E3180"/>
    <w:rsid w:val="002E36FA"/>
    <w:rsid w:val="002E41CB"/>
    <w:rsid w:val="002E4EB3"/>
    <w:rsid w:val="002E51E3"/>
    <w:rsid w:val="002E54F4"/>
    <w:rsid w:val="002E570E"/>
    <w:rsid w:val="002E5A95"/>
    <w:rsid w:val="002E5C83"/>
    <w:rsid w:val="002E5E06"/>
    <w:rsid w:val="002E6959"/>
    <w:rsid w:val="002E717D"/>
    <w:rsid w:val="002E7F41"/>
    <w:rsid w:val="002F02AF"/>
    <w:rsid w:val="002F0FF0"/>
    <w:rsid w:val="002F10DC"/>
    <w:rsid w:val="002F1F44"/>
    <w:rsid w:val="002F23DD"/>
    <w:rsid w:val="002F2B22"/>
    <w:rsid w:val="002F2E48"/>
    <w:rsid w:val="002F3D64"/>
    <w:rsid w:val="002F4BFE"/>
    <w:rsid w:val="002F519C"/>
    <w:rsid w:val="002F6726"/>
    <w:rsid w:val="002F6C6E"/>
    <w:rsid w:val="002F74C5"/>
    <w:rsid w:val="002F765F"/>
    <w:rsid w:val="002F7C95"/>
    <w:rsid w:val="003005D6"/>
    <w:rsid w:val="00300DD2"/>
    <w:rsid w:val="00301CC5"/>
    <w:rsid w:val="00303331"/>
    <w:rsid w:val="00303F8D"/>
    <w:rsid w:val="00303F8F"/>
    <w:rsid w:val="0030413A"/>
    <w:rsid w:val="003043B4"/>
    <w:rsid w:val="003045D6"/>
    <w:rsid w:val="00304ECD"/>
    <w:rsid w:val="0030621B"/>
    <w:rsid w:val="00306537"/>
    <w:rsid w:val="00306E06"/>
    <w:rsid w:val="003073CF"/>
    <w:rsid w:val="003079FD"/>
    <w:rsid w:val="00307EFB"/>
    <w:rsid w:val="003109D5"/>
    <w:rsid w:val="00311C15"/>
    <w:rsid w:val="00312273"/>
    <w:rsid w:val="00312E7A"/>
    <w:rsid w:val="00313A1A"/>
    <w:rsid w:val="00313BA0"/>
    <w:rsid w:val="00313E7B"/>
    <w:rsid w:val="00314988"/>
    <w:rsid w:val="00314BA9"/>
    <w:rsid w:val="00315438"/>
    <w:rsid w:val="003179AF"/>
    <w:rsid w:val="00320475"/>
    <w:rsid w:val="00320944"/>
    <w:rsid w:val="00320C39"/>
    <w:rsid w:val="00321D4C"/>
    <w:rsid w:val="0032337A"/>
    <w:rsid w:val="003249A4"/>
    <w:rsid w:val="00324EA6"/>
    <w:rsid w:val="0032604A"/>
    <w:rsid w:val="00326463"/>
    <w:rsid w:val="00326E31"/>
    <w:rsid w:val="00331408"/>
    <w:rsid w:val="00331E64"/>
    <w:rsid w:val="00331EE3"/>
    <w:rsid w:val="00332EBC"/>
    <w:rsid w:val="00333C48"/>
    <w:rsid w:val="00334AA7"/>
    <w:rsid w:val="00335355"/>
    <w:rsid w:val="00337FBB"/>
    <w:rsid w:val="00341C8B"/>
    <w:rsid w:val="00343429"/>
    <w:rsid w:val="003445A6"/>
    <w:rsid w:val="0034596E"/>
    <w:rsid w:val="003459D1"/>
    <w:rsid w:val="003460F3"/>
    <w:rsid w:val="003507E6"/>
    <w:rsid w:val="00350EF9"/>
    <w:rsid w:val="00350FEB"/>
    <w:rsid w:val="003512E6"/>
    <w:rsid w:val="00352C0F"/>
    <w:rsid w:val="003537C0"/>
    <w:rsid w:val="00353809"/>
    <w:rsid w:val="0035451E"/>
    <w:rsid w:val="003545A4"/>
    <w:rsid w:val="00354F3E"/>
    <w:rsid w:val="003563FE"/>
    <w:rsid w:val="003603F3"/>
    <w:rsid w:val="00360840"/>
    <w:rsid w:val="00360905"/>
    <w:rsid w:val="0036322A"/>
    <w:rsid w:val="00364097"/>
    <w:rsid w:val="00364F2F"/>
    <w:rsid w:val="003658C7"/>
    <w:rsid w:val="00366315"/>
    <w:rsid w:val="00366982"/>
    <w:rsid w:val="003676FF"/>
    <w:rsid w:val="00367C6D"/>
    <w:rsid w:val="00367D96"/>
    <w:rsid w:val="0037018B"/>
    <w:rsid w:val="00370938"/>
    <w:rsid w:val="00371850"/>
    <w:rsid w:val="00372AF0"/>
    <w:rsid w:val="00373458"/>
    <w:rsid w:val="003735A7"/>
    <w:rsid w:val="0037471F"/>
    <w:rsid w:val="0037577D"/>
    <w:rsid w:val="003770A8"/>
    <w:rsid w:val="00377A48"/>
    <w:rsid w:val="00377CB9"/>
    <w:rsid w:val="00381153"/>
    <w:rsid w:val="0038170A"/>
    <w:rsid w:val="0038278F"/>
    <w:rsid w:val="00384F54"/>
    <w:rsid w:val="003854B5"/>
    <w:rsid w:val="00386971"/>
    <w:rsid w:val="00386AEC"/>
    <w:rsid w:val="00386B72"/>
    <w:rsid w:val="003872B4"/>
    <w:rsid w:val="0038736D"/>
    <w:rsid w:val="0039132F"/>
    <w:rsid w:val="0039295E"/>
    <w:rsid w:val="003929DC"/>
    <w:rsid w:val="00393E9C"/>
    <w:rsid w:val="00396074"/>
    <w:rsid w:val="003977F9"/>
    <w:rsid w:val="00397904"/>
    <w:rsid w:val="00397B1C"/>
    <w:rsid w:val="003A08D5"/>
    <w:rsid w:val="003A11C3"/>
    <w:rsid w:val="003A180E"/>
    <w:rsid w:val="003A4143"/>
    <w:rsid w:val="003A4DF9"/>
    <w:rsid w:val="003A5CD6"/>
    <w:rsid w:val="003A623E"/>
    <w:rsid w:val="003A6E1D"/>
    <w:rsid w:val="003A7A3A"/>
    <w:rsid w:val="003B0656"/>
    <w:rsid w:val="003B080F"/>
    <w:rsid w:val="003B0E84"/>
    <w:rsid w:val="003B178A"/>
    <w:rsid w:val="003B23A5"/>
    <w:rsid w:val="003B3BEE"/>
    <w:rsid w:val="003B423F"/>
    <w:rsid w:val="003B4DFD"/>
    <w:rsid w:val="003B4FB0"/>
    <w:rsid w:val="003B518F"/>
    <w:rsid w:val="003B57C9"/>
    <w:rsid w:val="003B598E"/>
    <w:rsid w:val="003B5FA6"/>
    <w:rsid w:val="003B639E"/>
    <w:rsid w:val="003B694B"/>
    <w:rsid w:val="003B7D81"/>
    <w:rsid w:val="003C0638"/>
    <w:rsid w:val="003C06DF"/>
    <w:rsid w:val="003C0B9F"/>
    <w:rsid w:val="003C1447"/>
    <w:rsid w:val="003C156C"/>
    <w:rsid w:val="003C5236"/>
    <w:rsid w:val="003C79C0"/>
    <w:rsid w:val="003C7E08"/>
    <w:rsid w:val="003D0426"/>
    <w:rsid w:val="003D095B"/>
    <w:rsid w:val="003D2E1D"/>
    <w:rsid w:val="003D3382"/>
    <w:rsid w:val="003D35F4"/>
    <w:rsid w:val="003D3A55"/>
    <w:rsid w:val="003D3B93"/>
    <w:rsid w:val="003D3BAE"/>
    <w:rsid w:val="003D3E49"/>
    <w:rsid w:val="003D474F"/>
    <w:rsid w:val="003D51C4"/>
    <w:rsid w:val="003D5410"/>
    <w:rsid w:val="003D5BB1"/>
    <w:rsid w:val="003D65B3"/>
    <w:rsid w:val="003D6BE5"/>
    <w:rsid w:val="003E02B8"/>
    <w:rsid w:val="003E0635"/>
    <w:rsid w:val="003E07E8"/>
    <w:rsid w:val="003E2266"/>
    <w:rsid w:val="003E2721"/>
    <w:rsid w:val="003E2968"/>
    <w:rsid w:val="003E3C26"/>
    <w:rsid w:val="003E3F87"/>
    <w:rsid w:val="003E555C"/>
    <w:rsid w:val="003E561B"/>
    <w:rsid w:val="003E5E06"/>
    <w:rsid w:val="003E62AB"/>
    <w:rsid w:val="003E630A"/>
    <w:rsid w:val="003E64D6"/>
    <w:rsid w:val="003E6EF8"/>
    <w:rsid w:val="003F4495"/>
    <w:rsid w:val="004006E7"/>
    <w:rsid w:val="00400DFC"/>
    <w:rsid w:val="00400F85"/>
    <w:rsid w:val="00401082"/>
    <w:rsid w:val="004020B6"/>
    <w:rsid w:val="004021A7"/>
    <w:rsid w:val="0040262B"/>
    <w:rsid w:val="004033C2"/>
    <w:rsid w:val="0040345C"/>
    <w:rsid w:val="004049B7"/>
    <w:rsid w:val="004049BE"/>
    <w:rsid w:val="00405011"/>
    <w:rsid w:val="00405597"/>
    <w:rsid w:val="00405988"/>
    <w:rsid w:val="00405A98"/>
    <w:rsid w:val="004068F1"/>
    <w:rsid w:val="00407192"/>
    <w:rsid w:val="004078F1"/>
    <w:rsid w:val="004100AF"/>
    <w:rsid w:val="004101BD"/>
    <w:rsid w:val="00410BA7"/>
    <w:rsid w:val="0041184E"/>
    <w:rsid w:val="00412757"/>
    <w:rsid w:val="00412765"/>
    <w:rsid w:val="00412CE4"/>
    <w:rsid w:val="00414922"/>
    <w:rsid w:val="00415642"/>
    <w:rsid w:val="0041682F"/>
    <w:rsid w:val="00417EBA"/>
    <w:rsid w:val="0042135D"/>
    <w:rsid w:val="00421BD5"/>
    <w:rsid w:val="00421EB6"/>
    <w:rsid w:val="00422891"/>
    <w:rsid w:val="00423C4C"/>
    <w:rsid w:val="004256DD"/>
    <w:rsid w:val="00425C86"/>
    <w:rsid w:val="00427ED1"/>
    <w:rsid w:val="0043020A"/>
    <w:rsid w:val="00432B60"/>
    <w:rsid w:val="00432C26"/>
    <w:rsid w:val="00433362"/>
    <w:rsid w:val="00433E91"/>
    <w:rsid w:val="0043487A"/>
    <w:rsid w:val="00434896"/>
    <w:rsid w:val="00434FCA"/>
    <w:rsid w:val="00435345"/>
    <w:rsid w:val="00436EC8"/>
    <w:rsid w:val="00436F5F"/>
    <w:rsid w:val="00441C62"/>
    <w:rsid w:val="0044207A"/>
    <w:rsid w:val="00443225"/>
    <w:rsid w:val="004444E8"/>
    <w:rsid w:val="0044525A"/>
    <w:rsid w:val="004454E0"/>
    <w:rsid w:val="00446FE5"/>
    <w:rsid w:val="00450499"/>
    <w:rsid w:val="00451B0E"/>
    <w:rsid w:val="00451F37"/>
    <w:rsid w:val="00453B22"/>
    <w:rsid w:val="0045439A"/>
    <w:rsid w:val="00454A04"/>
    <w:rsid w:val="00456AA3"/>
    <w:rsid w:val="00456B06"/>
    <w:rsid w:val="00456E1B"/>
    <w:rsid w:val="00456FBC"/>
    <w:rsid w:val="00457313"/>
    <w:rsid w:val="00457B90"/>
    <w:rsid w:val="00457E98"/>
    <w:rsid w:val="00462AA0"/>
    <w:rsid w:val="004638AA"/>
    <w:rsid w:val="00463FEC"/>
    <w:rsid w:val="00464757"/>
    <w:rsid w:val="004648A2"/>
    <w:rsid w:val="00465965"/>
    <w:rsid w:val="00465AB3"/>
    <w:rsid w:val="00465BA8"/>
    <w:rsid w:val="004663EA"/>
    <w:rsid w:val="00466B56"/>
    <w:rsid w:val="00467499"/>
    <w:rsid w:val="00467E58"/>
    <w:rsid w:val="004707CD"/>
    <w:rsid w:val="0047088A"/>
    <w:rsid w:val="0047095F"/>
    <w:rsid w:val="00470A4C"/>
    <w:rsid w:val="00471447"/>
    <w:rsid w:val="00471D2B"/>
    <w:rsid w:val="00471E40"/>
    <w:rsid w:val="00472335"/>
    <w:rsid w:val="00472768"/>
    <w:rsid w:val="00473D66"/>
    <w:rsid w:val="004742F3"/>
    <w:rsid w:val="0047473C"/>
    <w:rsid w:val="00474E1F"/>
    <w:rsid w:val="00475230"/>
    <w:rsid w:val="00476121"/>
    <w:rsid w:val="00476CAB"/>
    <w:rsid w:val="0047775F"/>
    <w:rsid w:val="00477E9C"/>
    <w:rsid w:val="00480AB3"/>
    <w:rsid w:val="00481FE9"/>
    <w:rsid w:val="0048234F"/>
    <w:rsid w:val="004826FF"/>
    <w:rsid w:val="00483D0A"/>
    <w:rsid w:val="00484155"/>
    <w:rsid w:val="004850BE"/>
    <w:rsid w:val="00485B82"/>
    <w:rsid w:val="004877C4"/>
    <w:rsid w:val="004879BC"/>
    <w:rsid w:val="004900AD"/>
    <w:rsid w:val="0049292A"/>
    <w:rsid w:val="00493BA9"/>
    <w:rsid w:val="00493D4F"/>
    <w:rsid w:val="00494A1A"/>
    <w:rsid w:val="004954AF"/>
    <w:rsid w:val="00495A93"/>
    <w:rsid w:val="00497326"/>
    <w:rsid w:val="004A0E70"/>
    <w:rsid w:val="004A1184"/>
    <w:rsid w:val="004A2865"/>
    <w:rsid w:val="004A54BF"/>
    <w:rsid w:val="004A5960"/>
    <w:rsid w:val="004A644E"/>
    <w:rsid w:val="004A65A3"/>
    <w:rsid w:val="004B1AA6"/>
    <w:rsid w:val="004B1E69"/>
    <w:rsid w:val="004B2180"/>
    <w:rsid w:val="004B2572"/>
    <w:rsid w:val="004B32C3"/>
    <w:rsid w:val="004B43B9"/>
    <w:rsid w:val="004B46A6"/>
    <w:rsid w:val="004B4D0D"/>
    <w:rsid w:val="004B58BA"/>
    <w:rsid w:val="004B6A97"/>
    <w:rsid w:val="004B6C05"/>
    <w:rsid w:val="004B73B8"/>
    <w:rsid w:val="004B7D13"/>
    <w:rsid w:val="004C0FFA"/>
    <w:rsid w:val="004C34DB"/>
    <w:rsid w:val="004C3909"/>
    <w:rsid w:val="004C434A"/>
    <w:rsid w:val="004C5E82"/>
    <w:rsid w:val="004C5EA7"/>
    <w:rsid w:val="004C604B"/>
    <w:rsid w:val="004C7493"/>
    <w:rsid w:val="004C7E77"/>
    <w:rsid w:val="004D01C5"/>
    <w:rsid w:val="004D065D"/>
    <w:rsid w:val="004D0843"/>
    <w:rsid w:val="004D15D3"/>
    <w:rsid w:val="004D22AC"/>
    <w:rsid w:val="004D399A"/>
    <w:rsid w:val="004D4084"/>
    <w:rsid w:val="004D4909"/>
    <w:rsid w:val="004D497C"/>
    <w:rsid w:val="004D56E7"/>
    <w:rsid w:val="004D5F87"/>
    <w:rsid w:val="004D6A74"/>
    <w:rsid w:val="004D777B"/>
    <w:rsid w:val="004D7F52"/>
    <w:rsid w:val="004E1267"/>
    <w:rsid w:val="004E2AA3"/>
    <w:rsid w:val="004E2E8B"/>
    <w:rsid w:val="004E3A54"/>
    <w:rsid w:val="004E3C92"/>
    <w:rsid w:val="004E429F"/>
    <w:rsid w:val="004E5246"/>
    <w:rsid w:val="004E6207"/>
    <w:rsid w:val="004E66B1"/>
    <w:rsid w:val="004E67F6"/>
    <w:rsid w:val="004F10A1"/>
    <w:rsid w:val="004F2123"/>
    <w:rsid w:val="004F2652"/>
    <w:rsid w:val="004F298C"/>
    <w:rsid w:val="004F2F46"/>
    <w:rsid w:val="004F4752"/>
    <w:rsid w:val="004F5B7C"/>
    <w:rsid w:val="004F6974"/>
    <w:rsid w:val="00501678"/>
    <w:rsid w:val="00501F7A"/>
    <w:rsid w:val="005058E7"/>
    <w:rsid w:val="00505F5F"/>
    <w:rsid w:val="005072D4"/>
    <w:rsid w:val="00510447"/>
    <w:rsid w:val="00510D1F"/>
    <w:rsid w:val="005112EA"/>
    <w:rsid w:val="00511823"/>
    <w:rsid w:val="005118BE"/>
    <w:rsid w:val="0051265E"/>
    <w:rsid w:val="005127C1"/>
    <w:rsid w:val="00513501"/>
    <w:rsid w:val="00513573"/>
    <w:rsid w:val="00514947"/>
    <w:rsid w:val="00514A51"/>
    <w:rsid w:val="00514E0D"/>
    <w:rsid w:val="00515405"/>
    <w:rsid w:val="0051579F"/>
    <w:rsid w:val="005165E5"/>
    <w:rsid w:val="00516BB8"/>
    <w:rsid w:val="00517020"/>
    <w:rsid w:val="00520F00"/>
    <w:rsid w:val="0052296E"/>
    <w:rsid w:val="005229F5"/>
    <w:rsid w:val="00523C89"/>
    <w:rsid w:val="005241DB"/>
    <w:rsid w:val="00524320"/>
    <w:rsid w:val="005246A8"/>
    <w:rsid w:val="00524EB7"/>
    <w:rsid w:val="005258F8"/>
    <w:rsid w:val="00526C32"/>
    <w:rsid w:val="00527E94"/>
    <w:rsid w:val="00530102"/>
    <w:rsid w:val="00530425"/>
    <w:rsid w:val="00532EEA"/>
    <w:rsid w:val="005337F0"/>
    <w:rsid w:val="00533DAE"/>
    <w:rsid w:val="00534C66"/>
    <w:rsid w:val="0053533C"/>
    <w:rsid w:val="00535832"/>
    <w:rsid w:val="0053721C"/>
    <w:rsid w:val="00537380"/>
    <w:rsid w:val="005400E1"/>
    <w:rsid w:val="00540382"/>
    <w:rsid w:val="00540A0A"/>
    <w:rsid w:val="0054171F"/>
    <w:rsid w:val="005425CF"/>
    <w:rsid w:val="00543FE2"/>
    <w:rsid w:val="0054582A"/>
    <w:rsid w:val="00545B4E"/>
    <w:rsid w:val="00551574"/>
    <w:rsid w:val="00552794"/>
    <w:rsid w:val="00553E67"/>
    <w:rsid w:val="00554D1A"/>
    <w:rsid w:val="00557157"/>
    <w:rsid w:val="00560E80"/>
    <w:rsid w:val="005627A2"/>
    <w:rsid w:val="00562C42"/>
    <w:rsid w:val="00562CBB"/>
    <w:rsid w:val="00563188"/>
    <w:rsid w:val="005632CC"/>
    <w:rsid w:val="00563680"/>
    <w:rsid w:val="00563959"/>
    <w:rsid w:val="00564677"/>
    <w:rsid w:val="005657C5"/>
    <w:rsid w:val="00566B80"/>
    <w:rsid w:val="00566F6A"/>
    <w:rsid w:val="005676DF"/>
    <w:rsid w:val="00567FDC"/>
    <w:rsid w:val="005704E8"/>
    <w:rsid w:val="00570ECB"/>
    <w:rsid w:val="005710BA"/>
    <w:rsid w:val="0057125A"/>
    <w:rsid w:val="0057189B"/>
    <w:rsid w:val="00571E18"/>
    <w:rsid w:val="00572C67"/>
    <w:rsid w:val="0057382E"/>
    <w:rsid w:val="00574D18"/>
    <w:rsid w:val="0057501B"/>
    <w:rsid w:val="0057576A"/>
    <w:rsid w:val="00576977"/>
    <w:rsid w:val="00576D5D"/>
    <w:rsid w:val="00576DE4"/>
    <w:rsid w:val="00580314"/>
    <w:rsid w:val="00581925"/>
    <w:rsid w:val="00582990"/>
    <w:rsid w:val="00582E9A"/>
    <w:rsid w:val="005831C5"/>
    <w:rsid w:val="005835FC"/>
    <w:rsid w:val="0058441E"/>
    <w:rsid w:val="0059055E"/>
    <w:rsid w:val="00590BA3"/>
    <w:rsid w:val="0059143C"/>
    <w:rsid w:val="005919CE"/>
    <w:rsid w:val="00592DED"/>
    <w:rsid w:val="00593045"/>
    <w:rsid w:val="00593EB2"/>
    <w:rsid w:val="00595369"/>
    <w:rsid w:val="00596300"/>
    <w:rsid w:val="0059661C"/>
    <w:rsid w:val="005968C5"/>
    <w:rsid w:val="005A005C"/>
    <w:rsid w:val="005A072B"/>
    <w:rsid w:val="005A1F51"/>
    <w:rsid w:val="005A30EE"/>
    <w:rsid w:val="005A31BF"/>
    <w:rsid w:val="005A4ADB"/>
    <w:rsid w:val="005A5826"/>
    <w:rsid w:val="005A5D02"/>
    <w:rsid w:val="005A746F"/>
    <w:rsid w:val="005A74E2"/>
    <w:rsid w:val="005A76B9"/>
    <w:rsid w:val="005A7ACA"/>
    <w:rsid w:val="005B0413"/>
    <w:rsid w:val="005B0786"/>
    <w:rsid w:val="005B0941"/>
    <w:rsid w:val="005B0C21"/>
    <w:rsid w:val="005B1091"/>
    <w:rsid w:val="005B156F"/>
    <w:rsid w:val="005B16E0"/>
    <w:rsid w:val="005B1BD4"/>
    <w:rsid w:val="005B3783"/>
    <w:rsid w:val="005B482B"/>
    <w:rsid w:val="005B48A0"/>
    <w:rsid w:val="005B5CD0"/>
    <w:rsid w:val="005B5ECF"/>
    <w:rsid w:val="005B63A2"/>
    <w:rsid w:val="005B63ED"/>
    <w:rsid w:val="005B6A5F"/>
    <w:rsid w:val="005B7A0A"/>
    <w:rsid w:val="005B7C57"/>
    <w:rsid w:val="005C04F3"/>
    <w:rsid w:val="005C2603"/>
    <w:rsid w:val="005C2783"/>
    <w:rsid w:val="005C3037"/>
    <w:rsid w:val="005C3FFA"/>
    <w:rsid w:val="005C4CA4"/>
    <w:rsid w:val="005C5A63"/>
    <w:rsid w:val="005C5DF9"/>
    <w:rsid w:val="005C666C"/>
    <w:rsid w:val="005C6F17"/>
    <w:rsid w:val="005C6F4C"/>
    <w:rsid w:val="005C7916"/>
    <w:rsid w:val="005D0216"/>
    <w:rsid w:val="005D0349"/>
    <w:rsid w:val="005D38BA"/>
    <w:rsid w:val="005D48E9"/>
    <w:rsid w:val="005D53E1"/>
    <w:rsid w:val="005D6481"/>
    <w:rsid w:val="005D6A65"/>
    <w:rsid w:val="005D70AE"/>
    <w:rsid w:val="005E006B"/>
    <w:rsid w:val="005E07C0"/>
    <w:rsid w:val="005E13F9"/>
    <w:rsid w:val="005E2766"/>
    <w:rsid w:val="005E280D"/>
    <w:rsid w:val="005E385C"/>
    <w:rsid w:val="005E3AB7"/>
    <w:rsid w:val="005E444C"/>
    <w:rsid w:val="005E46FB"/>
    <w:rsid w:val="005E5C03"/>
    <w:rsid w:val="005E5FA7"/>
    <w:rsid w:val="005E60A4"/>
    <w:rsid w:val="005E60C8"/>
    <w:rsid w:val="005E6889"/>
    <w:rsid w:val="005F047E"/>
    <w:rsid w:val="005F0525"/>
    <w:rsid w:val="005F1722"/>
    <w:rsid w:val="005F1E01"/>
    <w:rsid w:val="005F22C2"/>
    <w:rsid w:val="005F28CE"/>
    <w:rsid w:val="005F2D81"/>
    <w:rsid w:val="005F3238"/>
    <w:rsid w:val="005F364B"/>
    <w:rsid w:val="005F36CD"/>
    <w:rsid w:val="005F3B49"/>
    <w:rsid w:val="005F3B4C"/>
    <w:rsid w:val="005F66BF"/>
    <w:rsid w:val="005F6D7F"/>
    <w:rsid w:val="005F7633"/>
    <w:rsid w:val="005F7F03"/>
    <w:rsid w:val="006006E0"/>
    <w:rsid w:val="006011AE"/>
    <w:rsid w:val="006017E8"/>
    <w:rsid w:val="00601A75"/>
    <w:rsid w:val="0060228D"/>
    <w:rsid w:val="00602854"/>
    <w:rsid w:val="00602A12"/>
    <w:rsid w:val="006032AA"/>
    <w:rsid w:val="00603EB6"/>
    <w:rsid w:val="00604F05"/>
    <w:rsid w:val="00604F6E"/>
    <w:rsid w:val="0060504E"/>
    <w:rsid w:val="006057B9"/>
    <w:rsid w:val="0060646C"/>
    <w:rsid w:val="0060687F"/>
    <w:rsid w:val="00606F1E"/>
    <w:rsid w:val="0060781F"/>
    <w:rsid w:val="006102F6"/>
    <w:rsid w:val="0061106B"/>
    <w:rsid w:val="006112AF"/>
    <w:rsid w:val="006114BB"/>
    <w:rsid w:val="00611E85"/>
    <w:rsid w:val="00612540"/>
    <w:rsid w:val="0061343D"/>
    <w:rsid w:val="00613AC0"/>
    <w:rsid w:val="0061429C"/>
    <w:rsid w:val="00615953"/>
    <w:rsid w:val="00617BB5"/>
    <w:rsid w:val="00617C76"/>
    <w:rsid w:val="006208BD"/>
    <w:rsid w:val="00620F35"/>
    <w:rsid w:val="0062136F"/>
    <w:rsid w:val="00621586"/>
    <w:rsid w:val="00621AAB"/>
    <w:rsid w:val="00621B05"/>
    <w:rsid w:val="0062271A"/>
    <w:rsid w:val="006240D0"/>
    <w:rsid w:val="0062479C"/>
    <w:rsid w:val="00624B88"/>
    <w:rsid w:val="006256D9"/>
    <w:rsid w:val="00625D5A"/>
    <w:rsid w:val="00626345"/>
    <w:rsid w:val="00630ABC"/>
    <w:rsid w:val="006311E9"/>
    <w:rsid w:val="006318BA"/>
    <w:rsid w:val="00632729"/>
    <w:rsid w:val="00633339"/>
    <w:rsid w:val="006335D0"/>
    <w:rsid w:val="006342C9"/>
    <w:rsid w:val="006371B1"/>
    <w:rsid w:val="006406D7"/>
    <w:rsid w:val="006420D2"/>
    <w:rsid w:val="00643159"/>
    <w:rsid w:val="0064344D"/>
    <w:rsid w:val="00643769"/>
    <w:rsid w:val="00644C4F"/>
    <w:rsid w:val="00644D8F"/>
    <w:rsid w:val="006450B8"/>
    <w:rsid w:val="00645893"/>
    <w:rsid w:val="00645929"/>
    <w:rsid w:val="00645CA2"/>
    <w:rsid w:val="006462A2"/>
    <w:rsid w:val="006468C0"/>
    <w:rsid w:val="00646CBE"/>
    <w:rsid w:val="00651670"/>
    <w:rsid w:val="00651B80"/>
    <w:rsid w:val="00651C5C"/>
    <w:rsid w:val="00651C6F"/>
    <w:rsid w:val="00651CC4"/>
    <w:rsid w:val="00654325"/>
    <w:rsid w:val="006543D2"/>
    <w:rsid w:val="00655D84"/>
    <w:rsid w:val="00656434"/>
    <w:rsid w:val="0065688A"/>
    <w:rsid w:val="00656B00"/>
    <w:rsid w:val="00656EB7"/>
    <w:rsid w:val="00656F68"/>
    <w:rsid w:val="006572BA"/>
    <w:rsid w:val="00657E72"/>
    <w:rsid w:val="0066033A"/>
    <w:rsid w:val="0066039A"/>
    <w:rsid w:val="006608D3"/>
    <w:rsid w:val="00661755"/>
    <w:rsid w:val="00661A83"/>
    <w:rsid w:val="006633E8"/>
    <w:rsid w:val="006634AB"/>
    <w:rsid w:val="0066393F"/>
    <w:rsid w:val="00664724"/>
    <w:rsid w:val="00664E66"/>
    <w:rsid w:val="00665376"/>
    <w:rsid w:val="006663B1"/>
    <w:rsid w:val="006667D7"/>
    <w:rsid w:val="00666D24"/>
    <w:rsid w:val="006670E0"/>
    <w:rsid w:val="0067122F"/>
    <w:rsid w:val="00671617"/>
    <w:rsid w:val="00671D89"/>
    <w:rsid w:val="00672E11"/>
    <w:rsid w:val="006738B5"/>
    <w:rsid w:val="00673F41"/>
    <w:rsid w:val="00675433"/>
    <w:rsid w:val="00675597"/>
    <w:rsid w:val="006760C7"/>
    <w:rsid w:val="00676C10"/>
    <w:rsid w:val="0068063F"/>
    <w:rsid w:val="00680D6F"/>
    <w:rsid w:val="00683180"/>
    <w:rsid w:val="00684C13"/>
    <w:rsid w:val="0068622E"/>
    <w:rsid w:val="00686365"/>
    <w:rsid w:val="00687CD9"/>
    <w:rsid w:val="00687F95"/>
    <w:rsid w:val="00690FB6"/>
    <w:rsid w:val="0069206A"/>
    <w:rsid w:val="00692458"/>
    <w:rsid w:val="00692A98"/>
    <w:rsid w:val="0069429C"/>
    <w:rsid w:val="00694412"/>
    <w:rsid w:val="006969BC"/>
    <w:rsid w:val="006975F0"/>
    <w:rsid w:val="00697708"/>
    <w:rsid w:val="006A03C6"/>
    <w:rsid w:val="006A1897"/>
    <w:rsid w:val="006A19B2"/>
    <w:rsid w:val="006A1BF5"/>
    <w:rsid w:val="006A1DDB"/>
    <w:rsid w:val="006A298E"/>
    <w:rsid w:val="006A2AE6"/>
    <w:rsid w:val="006A42E4"/>
    <w:rsid w:val="006A44BB"/>
    <w:rsid w:val="006A4608"/>
    <w:rsid w:val="006A489E"/>
    <w:rsid w:val="006A56BF"/>
    <w:rsid w:val="006A5B41"/>
    <w:rsid w:val="006A68F5"/>
    <w:rsid w:val="006A75E6"/>
    <w:rsid w:val="006B0BF5"/>
    <w:rsid w:val="006B0E35"/>
    <w:rsid w:val="006B1143"/>
    <w:rsid w:val="006B1809"/>
    <w:rsid w:val="006B1B3E"/>
    <w:rsid w:val="006B1CBA"/>
    <w:rsid w:val="006B2794"/>
    <w:rsid w:val="006B3D0F"/>
    <w:rsid w:val="006B6041"/>
    <w:rsid w:val="006B6F09"/>
    <w:rsid w:val="006B761D"/>
    <w:rsid w:val="006B77CA"/>
    <w:rsid w:val="006B7878"/>
    <w:rsid w:val="006C0F22"/>
    <w:rsid w:val="006C0F9D"/>
    <w:rsid w:val="006C1955"/>
    <w:rsid w:val="006C1AC9"/>
    <w:rsid w:val="006C3163"/>
    <w:rsid w:val="006C7D78"/>
    <w:rsid w:val="006D0BBF"/>
    <w:rsid w:val="006D0DBA"/>
    <w:rsid w:val="006D12D0"/>
    <w:rsid w:val="006D14A4"/>
    <w:rsid w:val="006D28CA"/>
    <w:rsid w:val="006D2BDA"/>
    <w:rsid w:val="006D3263"/>
    <w:rsid w:val="006D32AE"/>
    <w:rsid w:val="006D336D"/>
    <w:rsid w:val="006D3830"/>
    <w:rsid w:val="006D5D6F"/>
    <w:rsid w:val="006D65F2"/>
    <w:rsid w:val="006D6718"/>
    <w:rsid w:val="006D6BA4"/>
    <w:rsid w:val="006E0004"/>
    <w:rsid w:val="006E0448"/>
    <w:rsid w:val="006E10B8"/>
    <w:rsid w:val="006E1761"/>
    <w:rsid w:val="006E17D1"/>
    <w:rsid w:val="006E19EB"/>
    <w:rsid w:val="006E46AE"/>
    <w:rsid w:val="006E46ED"/>
    <w:rsid w:val="006E48C3"/>
    <w:rsid w:val="006E4AC3"/>
    <w:rsid w:val="006E4F0F"/>
    <w:rsid w:val="006E59EB"/>
    <w:rsid w:val="006E5C1E"/>
    <w:rsid w:val="006E5E8F"/>
    <w:rsid w:val="006E6E72"/>
    <w:rsid w:val="006E741C"/>
    <w:rsid w:val="006F0993"/>
    <w:rsid w:val="006F10B0"/>
    <w:rsid w:val="006F1861"/>
    <w:rsid w:val="006F19C1"/>
    <w:rsid w:val="006F1F51"/>
    <w:rsid w:val="006F29B8"/>
    <w:rsid w:val="006F2F23"/>
    <w:rsid w:val="006F2FE6"/>
    <w:rsid w:val="006F359F"/>
    <w:rsid w:val="006F3A73"/>
    <w:rsid w:val="006F3DD0"/>
    <w:rsid w:val="006F3F2A"/>
    <w:rsid w:val="006F5495"/>
    <w:rsid w:val="006F6CF8"/>
    <w:rsid w:val="006F7369"/>
    <w:rsid w:val="007007AA"/>
    <w:rsid w:val="00700EAE"/>
    <w:rsid w:val="007011CA"/>
    <w:rsid w:val="007015BE"/>
    <w:rsid w:val="00701849"/>
    <w:rsid w:val="00702983"/>
    <w:rsid w:val="00703F6B"/>
    <w:rsid w:val="00704575"/>
    <w:rsid w:val="00704CCB"/>
    <w:rsid w:val="00704DEE"/>
    <w:rsid w:val="0070520B"/>
    <w:rsid w:val="00705423"/>
    <w:rsid w:val="007056D2"/>
    <w:rsid w:val="00705BCE"/>
    <w:rsid w:val="00707DDB"/>
    <w:rsid w:val="00707F5B"/>
    <w:rsid w:val="00710057"/>
    <w:rsid w:val="00710870"/>
    <w:rsid w:val="00711412"/>
    <w:rsid w:val="00711673"/>
    <w:rsid w:val="00711780"/>
    <w:rsid w:val="007138C4"/>
    <w:rsid w:val="00713B79"/>
    <w:rsid w:val="007155DB"/>
    <w:rsid w:val="007158DD"/>
    <w:rsid w:val="00715A3B"/>
    <w:rsid w:val="00716587"/>
    <w:rsid w:val="0071692C"/>
    <w:rsid w:val="007179B7"/>
    <w:rsid w:val="0072101B"/>
    <w:rsid w:val="00721A50"/>
    <w:rsid w:val="00722225"/>
    <w:rsid w:val="00723019"/>
    <w:rsid w:val="0072358D"/>
    <w:rsid w:val="007244C0"/>
    <w:rsid w:val="0072472D"/>
    <w:rsid w:val="00726766"/>
    <w:rsid w:val="007267C2"/>
    <w:rsid w:val="00726E57"/>
    <w:rsid w:val="007270E9"/>
    <w:rsid w:val="007278BE"/>
    <w:rsid w:val="0073003F"/>
    <w:rsid w:val="00730FB0"/>
    <w:rsid w:val="0073252F"/>
    <w:rsid w:val="007337E0"/>
    <w:rsid w:val="0073475B"/>
    <w:rsid w:val="007353F6"/>
    <w:rsid w:val="00735B7D"/>
    <w:rsid w:val="007366CA"/>
    <w:rsid w:val="00736BCF"/>
    <w:rsid w:val="00736D1C"/>
    <w:rsid w:val="00737E52"/>
    <w:rsid w:val="00740807"/>
    <w:rsid w:val="0074080D"/>
    <w:rsid w:val="00741142"/>
    <w:rsid w:val="00741D66"/>
    <w:rsid w:val="00741E82"/>
    <w:rsid w:val="007420C6"/>
    <w:rsid w:val="00742213"/>
    <w:rsid w:val="007429BE"/>
    <w:rsid w:val="0074315B"/>
    <w:rsid w:val="0074477A"/>
    <w:rsid w:val="007454D9"/>
    <w:rsid w:val="00745D11"/>
    <w:rsid w:val="00745FDA"/>
    <w:rsid w:val="007466A7"/>
    <w:rsid w:val="00746D92"/>
    <w:rsid w:val="007472B1"/>
    <w:rsid w:val="00747FDF"/>
    <w:rsid w:val="0075086E"/>
    <w:rsid w:val="00750F7D"/>
    <w:rsid w:val="00751654"/>
    <w:rsid w:val="00753515"/>
    <w:rsid w:val="00754C5E"/>
    <w:rsid w:val="00755484"/>
    <w:rsid w:val="0075548B"/>
    <w:rsid w:val="00755842"/>
    <w:rsid w:val="00756D92"/>
    <w:rsid w:val="00757FAA"/>
    <w:rsid w:val="00760656"/>
    <w:rsid w:val="00760978"/>
    <w:rsid w:val="00760DE1"/>
    <w:rsid w:val="0076226A"/>
    <w:rsid w:val="00762349"/>
    <w:rsid w:val="007626A3"/>
    <w:rsid w:val="00764180"/>
    <w:rsid w:val="007739D2"/>
    <w:rsid w:val="00774223"/>
    <w:rsid w:val="0077473D"/>
    <w:rsid w:val="00774CCF"/>
    <w:rsid w:val="00775355"/>
    <w:rsid w:val="007754AF"/>
    <w:rsid w:val="00775BBE"/>
    <w:rsid w:val="00776077"/>
    <w:rsid w:val="0077641A"/>
    <w:rsid w:val="00777489"/>
    <w:rsid w:val="007803BF"/>
    <w:rsid w:val="00780769"/>
    <w:rsid w:val="00781197"/>
    <w:rsid w:val="00782DBD"/>
    <w:rsid w:val="00782FDF"/>
    <w:rsid w:val="00783CDA"/>
    <w:rsid w:val="00785253"/>
    <w:rsid w:val="007863F8"/>
    <w:rsid w:val="0078688B"/>
    <w:rsid w:val="00787D25"/>
    <w:rsid w:val="007905E5"/>
    <w:rsid w:val="007918D5"/>
    <w:rsid w:val="007924A5"/>
    <w:rsid w:val="00792821"/>
    <w:rsid w:val="00793ADC"/>
    <w:rsid w:val="00793B94"/>
    <w:rsid w:val="0079438F"/>
    <w:rsid w:val="0079475B"/>
    <w:rsid w:val="00794979"/>
    <w:rsid w:val="007978B6"/>
    <w:rsid w:val="00797BE6"/>
    <w:rsid w:val="007A096C"/>
    <w:rsid w:val="007A1162"/>
    <w:rsid w:val="007A1CE2"/>
    <w:rsid w:val="007A1CE3"/>
    <w:rsid w:val="007A2263"/>
    <w:rsid w:val="007A22BC"/>
    <w:rsid w:val="007A2DBE"/>
    <w:rsid w:val="007A334D"/>
    <w:rsid w:val="007A352A"/>
    <w:rsid w:val="007A38AE"/>
    <w:rsid w:val="007A4E4A"/>
    <w:rsid w:val="007A4FF6"/>
    <w:rsid w:val="007A632D"/>
    <w:rsid w:val="007A6FB3"/>
    <w:rsid w:val="007A7ED5"/>
    <w:rsid w:val="007B0512"/>
    <w:rsid w:val="007B0EB2"/>
    <w:rsid w:val="007B1220"/>
    <w:rsid w:val="007B12F7"/>
    <w:rsid w:val="007B1D24"/>
    <w:rsid w:val="007B21F2"/>
    <w:rsid w:val="007B27D3"/>
    <w:rsid w:val="007B2BB5"/>
    <w:rsid w:val="007B3D49"/>
    <w:rsid w:val="007B41F3"/>
    <w:rsid w:val="007B42D5"/>
    <w:rsid w:val="007B4AB4"/>
    <w:rsid w:val="007B4BAD"/>
    <w:rsid w:val="007B7503"/>
    <w:rsid w:val="007B7C62"/>
    <w:rsid w:val="007B7DC3"/>
    <w:rsid w:val="007C056F"/>
    <w:rsid w:val="007C1102"/>
    <w:rsid w:val="007C1424"/>
    <w:rsid w:val="007C1B54"/>
    <w:rsid w:val="007C1EFA"/>
    <w:rsid w:val="007C257F"/>
    <w:rsid w:val="007C27C7"/>
    <w:rsid w:val="007C2E7C"/>
    <w:rsid w:val="007C35F3"/>
    <w:rsid w:val="007C379F"/>
    <w:rsid w:val="007C430E"/>
    <w:rsid w:val="007C5C6E"/>
    <w:rsid w:val="007C6B0E"/>
    <w:rsid w:val="007C72B2"/>
    <w:rsid w:val="007D0B5A"/>
    <w:rsid w:val="007D0D6F"/>
    <w:rsid w:val="007D1ECA"/>
    <w:rsid w:val="007D2191"/>
    <w:rsid w:val="007D2AB0"/>
    <w:rsid w:val="007D3270"/>
    <w:rsid w:val="007D3BA3"/>
    <w:rsid w:val="007D3F42"/>
    <w:rsid w:val="007D41C9"/>
    <w:rsid w:val="007D4813"/>
    <w:rsid w:val="007D6A68"/>
    <w:rsid w:val="007D7940"/>
    <w:rsid w:val="007D7D31"/>
    <w:rsid w:val="007E0F01"/>
    <w:rsid w:val="007E1AFF"/>
    <w:rsid w:val="007E575C"/>
    <w:rsid w:val="007E59C8"/>
    <w:rsid w:val="007E5DA8"/>
    <w:rsid w:val="007E7778"/>
    <w:rsid w:val="007F12A2"/>
    <w:rsid w:val="007F262D"/>
    <w:rsid w:val="007F2CFF"/>
    <w:rsid w:val="007F3A48"/>
    <w:rsid w:val="007F406C"/>
    <w:rsid w:val="007F4201"/>
    <w:rsid w:val="007F4AF8"/>
    <w:rsid w:val="007F4D64"/>
    <w:rsid w:val="007F4DED"/>
    <w:rsid w:val="007F5809"/>
    <w:rsid w:val="007F5A93"/>
    <w:rsid w:val="007F5BA5"/>
    <w:rsid w:val="007F6603"/>
    <w:rsid w:val="007F6607"/>
    <w:rsid w:val="007F7100"/>
    <w:rsid w:val="007F7D78"/>
    <w:rsid w:val="00801537"/>
    <w:rsid w:val="00801777"/>
    <w:rsid w:val="00801F8B"/>
    <w:rsid w:val="00803018"/>
    <w:rsid w:val="00803AD4"/>
    <w:rsid w:val="008043F3"/>
    <w:rsid w:val="00804562"/>
    <w:rsid w:val="008048AD"/>
    <w:rsid w:val="008063C1"/>
    <w:rsid w:val="00806BF9"/>
    <w:rsid w:val="00806EEC"/>
    <w:rsid w:val="008070DB"/>
    <w:rsid w:val="0081191D"/>
    <w:rsid w:val="00811DDD"/>
    <w:rsid w:val="0081270C"/>
    <w:rsid w:val="008144B3"/>
    <w:rsid w:val="00815658"/>
    <w:rsid w:val="0081568C"/>
    <w:rsid w:val="00815ACC"/>
    <w:rsid w:val="00816A23"/>
    <w:rsid w:val="0082096D"/>
    <w:rsid w:val="00820CDA"/>
    <w:rsid w:val="00821E71"/>
    <w:rsid w:val="008220AF"/>
    <w:rsid w:val="00822FDF"/>
    <w:rsid w:val="0082445A"/>
    <w:rsid w:val="008250FD"/>
    <w:rsid w:val="00825B98"/>
    <w:rsid w:val="008266AB"/>
    <w:rsid w:val="00826E5C"/>
    <w:rsid w:val="00831D9B"/>
    <w:rsid w:val="0083262F"/>
    <w:rsid w:val="00832C49"/>
    <w:rsid w:val="008342FA"/>
    <w:rsid w:val="00835115"/>
    <w:rsid w:val="00835EE5"/>
    <w:rsid w:val="00836086"/>
    <w:rsid w:val="00836DF1"/>
    <w:rsid w:val="0083722C"/>
    <w:rsid w:val="008372C7"/>
    <w:rsid w:val="00837360"/>
    <w:rsid w:val="00837AA6"/>
    <w:rsid w:val="0084130D"/>
    <w:rsid w:val="00841488"/>
    <w:rsid w:val="008419CB"/>
    <w:rsid w:val="00843A28"/>
    <w:rsid w:val="00844160"/>
    <w:rsid w:val="008444FC"/>
    <w:rsid w:val="0084452C"/>
    <w:rsid w:val="00844EA2"/>
    <w:rsid w:val="00845089"/>
    <w:rsid w:val="0084581D"/>
    <w:rsid w:val="008471CB"/>
    <w:rsid w:val="00847336"/>
    <w:rsid w:val="00851726"/>
    <w:rsid w:val="0085252C"/>
    <w:rsid w:val="008539A5"/>
    <w:rsid w:val="00853EDF"/>
    <w:rsid w:val="0085463A"/>
    <w:rsid w:val="00854995"/>
    <w:rsid w:val="00857D46"/>
    <w:rsid w:val="00857D81"/>
    <w:rsid w:val="0086024C"/>
    <w:rsid w:val="00860BFF"/>
    <w:rsid w:val="00860C60"/>
    <w:rsid w:val="00861DC3"/>
    <w:rsid w:val="00863139"/>
    <w:rsid w:val="00863D1A"/>
    <w:rsid w:val="00864001"/>
    <w:rsid w:val="008646B4"/>
    <w:rsid w:val="00865899"/>
    <w:rsid w:val="00867B6C"/>
    <w:rsid w:val="00867B90"/>
    <w:rsid w:val="00870B8C"/>
    <w:rsid w:val="0087158D"/>
    <w:rsid w:val="00872327"/>
    <w:rsid w:val="008734CA"/>
    <w:rsid w:val="00874B7B"/>
    <w:rsid w:val="008750A2"/>
    <w:rsid w:val="008756F4"/>
    <w:rsid w:val="00876390"/>
    <w:rsid w:val="008801A8"/>
    <w:rsid w:val="0088317B"/>
    <w:rsid w:val="008834E7"/>
    <w:rsid w:val="0088441A"/>
    <w:rsid w:val="00884E1D"/>
    <w:rsid w:val="0088508C"/>
    <w:rsid w:val="00885FEC"/>
    <w:rsid w:val="00886056"/>
    <w:rsid w:val="00886109"/>
    <w:rsid w:val="00887693"/>
    <w:rsid w:val="00887D6F"/>
    <w:rsid w:val="008907BD"/>
    <w:rsid w:val="0089192C"/>
    <w:rsid w:val="00891D46"/>
    <w:rsid w:val="008921EA"/>
    <w:rsid w:val="00892EAD"/>
    <w:rsid w:val="0089307D"/>
    <w:rsid w:val="00894E05"/>
    <w:rsid w:val="00896ECD"/>
    <w:rsid w:val="008A01C0"/>
    <w:rsid w:val="008A1325"/>
    <w:rsid w:val="008A1394"/>
    <w:rsid w:val="008A27E6"/>
    <w:rsid w:val="008A2E13"/>
    <w:rsid w:val="008A431E"/>
    <w:rsid w:val="008A62EB"/>
    <w:rsid w:val="008A6850"/>
    <w:rsid w:val="008A688D"/>
    <w:rsid w:val="008A6B98"/>
    <w:rsid w:val="008B08DF"/>
    <w:rsid w:val="008B0B5A"/>
    <w:rsid w:val="008B1257"/>
    <w:rsid w:val="008B27E4"/>
    <w:rsid w:val="008B38DD"/>
    <w:rsid w:val="008B3CAE"/>
    <w:rsid w:val="008B4502"/>
    <w:rsid w:val="008B4696"/>
    <w:rsid w:val="008B62E0"/>
    <w:rsid w:val="008B745A"/>
    <w:rsid w:val="008C36A8"/>
    <w:rsid w:val="008C3867"/>
    <w:rsid w:val="008C3A27"/>
    <w:rsid w:val="008C3CA7"/>
    <w:rsid w:val="008C57B8"/>
    <w:rsid w:val="008C5A02"/>
    <w:rsid w:val="008C604C"/>
    <w:rsid w:val="008C60FD"/>
    <w:rsid w:val="008C6662"/>
    <w:rsid w:val="008C67C8"/>
    <w:rsid w:val="008C76DF"/>
    <w:rsid w:val="008C793E"/>
    <w:rsid w:val="008D0982"/>
    <w:rsid w:val="008D0D01"/>
    <w:rsid w:val="008D1823"/>
    <w:rsid w:val="008D1CAD"/>
    <w:rsid w:val="008D2CE1"/>
    <w:rsid w:val="008D40A9"/>
    <w:rsid w:val="008D5381"/>
    <w:rsid w:val="008D57B1"/>
    <w:rsid w:val="008D585A"/>
    <w:rsid w:val="008D5B81"/>
    <w:rsid w:val="008D6977"/>
    <w:rsid w:val="008D6F70"/>
    <w:rsid w:val="008D7B0A"/>
    <w:rsid w:val="008D7F48"/>
    <w:rsid w:val="008E0649"/>
    <w:rsid w:val="008E158B"/>
    <w:rsid w:val="008E1818"/>
    <w:rsid w:val="008E2285"/>
    <w:rsid w:val="008E2860"/>
    <w:rsid w:val="008E3E67"/>
    <w:rsid w:val="008E5377"/>
    <w:rsid w:val="008E5728"/>
    <w:rsid w:val="008E58CF"/>
    <w:rsid w:val="008E5DCE"/>
    <w:rsid w:val="008E656F"/>
    <w:rsid w:val="008E679E"/>
    <w:rsid w:val="008E7120"/>
    <w:rsid w:val="008F0EFE"/>
    <w:rsid w:val="008F10A3"/>
    <w:rsid w:val="008F3470"/>
    <w:rsid w:val="008F40BF"/>
    <w:rsid w:val="008F40F8"/>
    <w:rsid w:val="008F45C0"/>
    <w:rsid w:val="008F5968"/>
    <w:rsid w:val="008F6403"/>
    <w:rsid w:val="008F718C"/>
    <w:rsid w:val="00900EFD"/>
    <w:rsid w:val="00901147"/>
    <w:rsid w:val="00901297"/>
    <w:rsid w:val="00901327"/>
    <w:rsid w:val="00901C39"/>
    <w:rsid w:val="009021AE"/>
    <w:rsid w:val="009041F2"/>
    <w:rsid w:val="0090517E"/>
    <w:rsid w:val="009068C1"/>
    <w:rsid w:val="009072AD"/>
    <w:rsid w:val="00911350"/>
    <w:rsid w:val="00912472"/>
    <w:rsid w:val="00912DAF"/>
    <w:rsid w:val="00913152"/>
    <w:rsid w:val="00913E9D"/>
    <w:rsid w:val="00914317"/>
    <w:rsid w:val="009149B3"/>
    <w:rsid w:val="009159B3"/>
    <w:rsid w:val="009163F9"/>
    <w:rsid w:val="009174E8"/>
    <w:rsid w:val="009176DF"/>
    <w:rsid w:val="009202CC"/>
    <w:rsid w:val="009212C4"/>
    <w:rsid w:val="00921726"/>
    <w:rsid w:val="009217FD"/>
    <w:rsid w:val="009227AC"/>
    <w:rsid w:val="009227E6"/>
    <w:rsid w:val="009228B7"/>
    <w:rsid w:val="00922AEF"/>
    <w:rsid w:val="00923A00"/>
    <w:rsid w:val="00923D75"/>
    <w:rsid w:val="009249D0"/>
    <w:rsid w:val="00925435"/>
    <w:rsid w:val="00927EE5"/>
    <w:rsid w:val="00930A7A"/>
    <w:rsid w:val="00930CDC"/>
    <w:rsid w:val="00930DBC"/>
    <w:rsid w:val="009311F2"/>
    <w:rsid w:val="00931A72"/>
    <w:rsid w:val="00932D83"/>
    <w:rsid w:val="009364CF"/>
    <w:rsid w:val="009373F1"/>
    <w:rsid w:val="009405DB"/>
    <w:rsid w:val="00941EFA"/>
    <w:rsid w:val="00942417"/>
    <w:rsid w:val="0094275E"/>
    <w:rsid w:val="00943245"/>
    <w:rsid w:val="00944167"/>
    <w:rsid w:val="0094441D"/>
    <w:rsid w:val="00945A09"/>
    <w:rsid w:val="009461CD"/>
    <w:rsid w:val="0094690C"/>
    <w:rsid w:val="009472EB"/>
    <w:rsid w:val="00947BD7"/>
    <w:rsid w:val="00947E44"/>
    <w:rsid w:val="0095034E"/>
    <w:rsid w:val="00950655"/>
    <w:rsid w:val="00951391"/>
    <w:rsid w:val="00951C55"/>
    <w:rsid w:val="00951F99"/>
    <w:rsid w:val="00952714"/>
    <w:rsid w:val="00955356"/>
    <w:rsid w:val="0095778D"/>
    <w:rsid w:val="00960FD4"/>
    <w:rsid w:val="009612AC"/>
    <w:rsid w:val="00961345"/>
    <w:rsid w:val="00961E55"/>
    <w:rsid w:val="009622AC"/>
    <w:rsid w:val="00962DCA"/>
    <w:rsid w:val="00964307"/>
    <w:rsid w:val="0096525A"/>
    <w:rsid w:val="00965A71"/>
    <w:rsid w:val="00965B50"/>
    <w:rsid w:val="00967263"/>
    <w:rsid w:val="009705E2"/>
    <w:rsid w:val="00971103"/>
    <w:rsid w:val="0097135B"/>
    <w:rsid w:val="00971776"/>
    <w:rsid w:val="00972E66"/>
    <w:rsid w:val="0097401A"/>
    <w:rsid w:val="009749F6"/>
    <w:rsid w:val="00974C4F"/>
    <w:rsid w:val="00975BBE"/>
    <w:rsid w:val="00976B36"/>
    <w:rsid w:val="00976ED4"/>
    <w:rsid w:val="00977CF2"/>
    <w:rsid w:val="00977F34"/>
    <w:rsid w:val="00980AF0"/>
    <w:rsid w:val="0098106C"/>
    <w:rsid w:val="00981C91"/>
    <w:rsid w:val="0098210B"/>
    <w:rsid w:val="00984CC2"/>
    <w:rsid w:val="00984E52"/>
    <w:rsid w:val="00986792"/>
    <w:rsid w:val="00986ED3"/>
    <w:rsid w:val="00987B73"/>
    <w:rsid w:val="00990AF9"/>
    <w:rsid w:val="00991BB2"/>
    <w:rsid w:val="00992568"/>
    <w:rsid w:val="0099274F"/>
    <w:rsid w:val="0099346F"/>
    <w:rsid w:val="00993FC9"/>
    <w:rsid w:val="0099446A"/>
    <w:rsid w:val="00994CD3"/>
    <w:rsid w:val="00997A38"/>
    <w:rsid w:val="00997CE8"/>
    <w:rsid w:val="009A11DE"/>
    <w:rsid w:val="009A1755"/>
    <w:rsid w:val="009A1B19"/>
    <w:rsid w:val="009A1CD6"/>
    <w:rsid w:val="009A1D94"/>
    <w:rsid w:val="009A2164"/>
    <w:rsid w:val="009A29BE"/>
    <w:rsid w:val="009A39FA"/>
    <w:rsid w:val="009A3BC4"/>
    <w:rsid w:val="009A3E02"/>
    <w:rsid w:val="009A465A"/>
    <w:rsid w:val="009A4CF6"/>
    <w:rsid w:val="009A4F9B"/>
    <w:rsid w:val="009A5E7D"/>
    <w:rsid w:val="009A61B7"/>
    <w:rsid w:val="009A6469"/>
    <w:rsid w:val="009A75F0"/>
    <w:rsid w:val="009B1281"/>
    <w:rsid w:val="009B1EF0"/>
    <w:rsid w:val="009B2042"/>
    <w:rsid w:val="009B26DA"/>
    <w:rsid w:val="009B30B4"/>
    <w:rsid w:val="009B3833"/>
    <w:rsid w:val="009B3F3B"/>
    <w:rsid w:val="009B47D2"/>
    <w:rsid w:val="009B5206"/>
    <w:rsid w:val="009B5940"/>
    <w:rsid w:val="009B64CA"/>
    <w:rsid w:val="009B69E5"/>
    <w:rsid w:val="009B7094"/>
    <w:rsid w:val="009B7486"/>
    <w:rsid w:val="009B7847"/>
    <w:rsid w:val="009C01FF"/>
    <w:rsid w:val="009C0FDB"/>
    <w:rsid w:val="009C16E4"/>
    <w:rsid w:val="009C298C"/>
    <w:rsid w:val="009C2FB3"/>
    <w:rsid w:val="009C3462"/>
    <w:rsid w:val="009C3B8B"/>
    <w:rsid w:val="009C4365"/>
    <w:rsid w:val="009C458F"/>
    <w:rsid w:val="009C59EE"/>
    <w:rsid w:val="009C6A92"/>
    <w:rsid w:val="009C7386"/>
    <w:rsid w:val="009D0043"/>
    <w:rsid w:val="009D0233"/>
    <w:rsid w:val="009D059C"/>
    <w:rsid w:val="009D256F"/>
    <w:rsid w:val="009D379E"/>
    <w:rsid w:val="009D37B5"/>
    <w:rsid w:val="009D3B97"/>
    <w:rsid w:val="009D414D"/>
    <w:rsid w:val="009D4D49"/>
    <w:rsid w:val="009D540F"/>
    <w:rsid w:val="009D5AE3"/>
    <w:rsid w:val="009D627D"/>
    <w:rsid w:val="009E1063"/>
    <w:rsid w:val="009E13B0"/>
    <w:rsid w:val="009E1680"/>
    <w:rsid w:val="009E2215"/>
    <w:rsid w:val="009E2580"/>
    <w:rsid w:val="009E2668"/>
    <w:rsid w:val="009E32E1"/>
    <w:rsid w:val="009E4DFE"/>
    <w:rsid w:val="009E5016"/>
    <w:rsid w:val="009E51DD"/>
    <w:rsid w:val="009E54E8"/>
    <w:rsid w:val="009E583B"/>
    <w:rsid w:val="009E5E3A"/>
    <w:rsid w:val="009E604F"/>
    <w:rsid w:val="009F0201"/>
    <w:rsid w:val="009F0646"/>
    <w:rsid w:val="009F0FC8"/>
    <w:rsid w:val="009F228A"/>
    <w:rsid w:val="009F2383"/>
    <w:rsid w:val="009F384E"/>
    <w:rsid w:val="009F4586"/>
    <w:rsid w:val="009F4958"/>
    <w:rsid w:val="009F4E46"/>
    <w:rsid w:val="009F55FA"/>
    <w:rsid w:val="009F636D"/>
    <w:rsid w:val="009F68E3"/>
    <w:rsid w:val="009F71F8"/>
    <w:rsid w:val="009F7E43"/>
    <w:rsid w:val="00A001F1"/>
    <w:rsid w:val="00A00BFF"/>
    <w:rsid w:val="00A00E26"/>
    <w:rsid w:val="00A01D4D"/>
    <w:rsid w:val="00A0248A"/>
    <w:rsid w:val="00A02866"/>
    <w:rsid w:val="00A04DCE"/>
    <w:rsid w:val="00A0505F"/>
    <w:rsid w:val="00A05186"/>
    <w:rsid w:val="00A0627C"/>
    <w:rsid w:val="00A0717B"/>
    <w:rsid w:val="00A10A32"/>
    <w:rsid w:val="00A10BF9"/>
    <w:rsid w:val="00A1118B"/>
    <w:rsid w:val="00A11A84"/>
    <w:rsid w:val="00A129A9"/>
    <w:rsid w:val="00A1489B"/>
    <w:rsid w:val="00A1498D"/>
    <w:rsid w:val="00A153F8"/>
    <w:rsid w:val="00A16885"/>
    <w:rsid w:val="00A172A7"/>
    <w:rsid w:val="00A17781"/>
    <w:rsid w:val="00A20684"/>
    <w:rsid w:val="00A219F3"/>
    <w:rsid w:val="00A2271E"/>
    <w:rsid w:val="00A22A08"/>
    <w:rsid w:val="00A22F65"/>
    <w:rsid w:val="00A23557"/>
    <w:rsid w:val="00A23751"/>
    <w:rsid w:val="00A248C0"/>
    <w:rsid w:val="00A25458"/>
    <w:rsid w:val="00A25930"/>
    <w:rsid w:val="00A2616E"/>
    <w:rsid w:val="00A302A7"/>
    <w:rsid w:val="00A30711"/>
    <w:rsid w:val="00A30D42"/>
    <w:rsid w:val="00A30DFE"/>
    <w:rsid w:val="00A31A9F"/>
    <w:rsid w:val="00A3246B"/>
    <w:rsid w:val="00A336C8"/>
    <w:rsid w:val="00A35865"/>
    <w:rsid w:val="00A36F15"/>
    <w:rsid w:val="00A37274"/>
    <w:rsid w:val="00A40D8D"/>
    <w:rsid w:val="00A41105"/>
    <w:rsid w:val="00A41951"/>
    <w:rsid w:val="00A420C7"/>
    <w:rsid w:val="00A4268C"/>
    <w:rsid w:val="00A42E5A"/>
    <w:rsid w:val="00A44257"/>
    <w:rsid w:val="00A44710"/>
    <w:rsid w:val="00A44B16"/>
    <w:rsid w:val="00A45417"/>
    <w:rsid w:val="00A456D4"/>
    <w:rsid w:val="00A503B7"/>
    <w:rsid w:val="00A50508"/>
    <w:rsid w:val="00A509CF"/>
    <w:rsid w:val="00A51C63"/>
    <w:rsid w:val="00A540F0"/>
    <w:rsid w:val="00A550CA"/>
    <w:rsid w:val="00A552B1"/>
    <w:rsid w:val="00A559F2"/>
    <w:rsid w:val="00A55C68"/>
    <w:rsid w:val="00A57507"/>
    <w:rsid w:val="00A57972"/>
    <w:rsid w:val="00A57FD1"/>
    <w:rsid w:val="00A60BF1"/>
    <w:rsid w:val="00A60EDC"/>
    <w:rsid w:val="00A61FB6"/>
    <w:rsid w:val="00A6227E"/>
    <w:rsid w:val="00A65814"/>
    <w:rsid w:val="00A67D14"/>
    <w:rsid w:val="00A70007"/>
    <w:rsid w:val="00A70111"/>
    <w:rsid w:val="00A70679"/>
    <w:rsid w:val="00A71A44"/>
    <w:rsid w:val="00A7262B"/>
    <w:rsid w:val="00A72BE8"/>
    <w:rsid w:val="00A73A2D"/>
    <w:rsid w:val="00A752BE"/>
    <w:rsid w:val="00A75D15"/>
    <w:rsid w:val="00A75DFE"/>
    <w:rsid w:val="00A7686B"/>
    <w:rsid w:val="00A770F4"/>
    <w:rsid w:val="00A80222"/>
    <w:rsid w:val="00A806C9"/>
    <w:rsid w:val="00A809D6"/>
    <w:rsid w:val="00A80A4E"/>
    <w:rsid w:val="00A82238"/>
    <w:rsid w:val="00A82483"/>
    <w:rsid w:val="00A82F57"/>
    <w:rsid w:val="00A83284"/>
    <w:rsid w:val="00A83B96"/>
    <w:rsid w:val="00A83F00"/>
    <w:rsid w:val="00A87BA3"/>
    <w:rsid w:val="00A9084B"/>
    <w:rsid w:val="00A90A83"/>
    <w:rsid w:val="00A914D2"/>
    <w:rsid w:val="00A91F3C"/>
    <w:rsid w:val="00A92925"/>
    <w:rsid w:val="00A92A71"/>
    <w:rsid w:val="00A93364"/>
    <w:rsid w:val="00A95305"/>
    <w:rsid w:val="00A95CB5"/>
    <w:rsid w:val="00A963D6"/>
    <w:rsid w:val="00A96AC3"/>
    <w:rsid w:val="00A9728D"/>
    <w:rsid w:val="00AA05A5"/>
    <w:rsid w:val="00AA10F0"/>
    <w:rsid w:val="00AA1321"/>
    <w:rsid w:val="00AA159C"/>
    <w:rsid w:val="00AA1726"/>
    <w:rsid w:val="00AA2245"/>
    <w:rsid w:val="00AA25A8"/>
    <w:rsid w:val="00AA301B"/>
    <w:rsid w:val="00AA3325"/>
    <w:rsid w:val="00AA3F7F"/>
    <w:rsid w:val="00AA43D1"/>
    <w:rsid w:val="00AA485B"/>
    <w:rsid w:val="00AA5341"/>
    <w:rsid w:val="00AA5422"/>
    <w:rsid w:val="00AA658F"/>
    <w:rsid w:val="00AA7A95"/>
    <w:rsid w:val="00AB0223"/>
    <w:rsid w:val="00AB03F5"/>
    <w:rsid w:val="00AB30EB"/>
    <w:rsid w:val="00AB42D2"/>
    <w:rsid w:val="00AB5964"/>
    <w:rsid w:val="00AB5BCE"/>
    <w:rsid w:val="00AB6288"/>
    <w:rsid w:val="00AB6645"/>
    <w:rsid w:val="00AC029E"/>
    <w:rsid w:val="00AC060E"/>
    <w:rsid w:val="00AC0B1D"/>
    <w:rsid w:val="00AC0F93"/>
    <w:rsid w:val="00AC2456"/>
    <w:rsid w:val="00AC276A"/>
    <w:rsid w:val="00AC2B3C"/>
    <w:rsid w:val="00AC41C5"/>
    <w:rsid w:val="00AC4B79"/>
    <w:rsid w:val="00AC4F2B"/>
    <w:rsid w:val="00AC5AE3"/>
    <w:rsid w:val="00AC5B4A"/>
    <w:rsid w:val="00AC6DA0"/>
    <w:rsid w:val="00AC795F"/>
    <w:rsid w:val="00AD029C"/>
    <w:rsid w:val="00AD050D"/>
    <w:rsid w:val="00AD0C3F"/>
    <w:rsid w:val="00AD10FC"/>
    <w:rsid w:val="00AD14CF"/>
    <w:rsid w:val="00AD4C8A"/>
    <w:rsid w:val="00AD5276"/>
    <w:rsid w:val="00AD7DA4"/>
    <w:rsid w:val="00AD7EDE"/>
    <w:rsid w:val="00AE09CD"/>
    <w:rsid w:val="00AE1CEE"/>
    <w:rsid w:val="00AE2865"/>
    <w:rsid w:val="00AE2E80"/>
    <w:rsid w:val="00AE33AD"/>
    <w:rsid w:val="00AE3C42"/>
    <w:rsid w:val="00AE6D20"/>
    <w:rsid w:val="00AF056A"/>
    <w:rsid w:val="00AF0635"/>
    <w:rsid w:val="00AF1601"/>
    <w:rsid w:val="00AF207E"/>
    <w:rsid w:val="00AF2239"/>
    <w:rsid w:val="00AF3091"/>
    <w:rsid w:val="00AF3A5B"/>
    <w:rsid w:val="00AF466A"/>
    <w:rsid w:val="00AF482B"/>
    <w:rsid w:val="00AF5572"/>
    <w:rsid w:val="00AF5E73"/>
    <w:rsid w:val="00AF6754"/>
    <w:rsid w:val="00AF676D"/>
    <w:rsid w:val="00AF6E56"/>
    <w:rsid w:val="00AF7A88"/>
    <w:rsid w:val="00B00B64"/>
    <w:rsid w:val="00B01328"/>
    <w:rsid w:val="00B013B7"/>
    <w:rsid w:val="00B02992"/>
    <w:rsid w:val="00B029BB"/>
    <w:rsid w:val="00B02C8D"/>
    <w:rsid w:val="00B037C8"/>
    <w:rsid w:val="00B0427C"/>
    <w:rsid w:val="00B04A04"/>
    <w:rsid w:val="00B05539"/>
    <w:rsid w:val="00B05C43"/>
    <w:rsid w:val="00B06FE3"/>
    <w:rsid w:val="00B0757C"/>
    <w:rsid w:val="00B07F9D"/>
    <w:rsid w:val="00B11347"/>
    <w:rsid w:val="00B11F5B"/>
    <w:rsid w:val="00B1210C"/>
    <w:rsid w:val="00B12762"/>
    <w:rsid w:val="00B1493D"/>
    <w:rsid w:val="00B14B55"/>
    <w:rsid w:val="00B14EE6"/>
    <w:rsid w:val="00B1522F"/>
    <w:rsid w:val="00B15266"/>
    <w:rsid w:val="00B17054"/>
    <w:rsid w:val="00B17273"/>
    <w:rsid w:val="00B17904"/>
    <w:rsid w:val="00B17BF9"/>
    <w:rsid w:val="00B17C35"/>
    <w:rsid w:val="00B20139"/>
    <w:rsid w:val="00B21423"/>
    <w:rsid w:val="00B21EFD"/>
    <w:rsid w:val="00B2234F"/>
    <w:rsid w:val="00B2456E"/>
    <w:rsid w:val="00B25313"/>
    <w:rsid w:val="00B255C1"/>
    <w:rsid w:val="00B258DA"/>
    <w:rsid w:val="00B25D07"/>
    <w:rsid w:val="00B25DC6"/>
    <w:rsid w:val="00B27ADE"/>
    <w:rsid w:val="00B31178"/>
    <w:rsid w:val="00B31C88"/>
    <w:rsid w:val="00B322D1"/>
    <w:rsid w:val="00B32E39"/>
    <w:rsid w:val="00B3499E"/>
    <w:rsid w:val="00B3515A"/>
    <w:rsid w:val="00B35A7C"/>
    <w:rsid w:val="00B35B0F"/>
    <w:rsid w:val="00B367E4"/>
    <w:rsid w:val="00B36CF6"/>
    <w:rsid w:val="00B3746B"/>
    <w:rsid w:val="00B379EE"/>
    <w:rsid w:val="00B40061"/>
    <w:rsid w:val="00B40A31"/>
    <w:rsid w:val="00B40B52"/>
    <w:rsid w:val="00B4231C"/>
    <w:rsid w:val="00B42580"/>
    <w:rsid w:val="00B431A9"/>
    <w:rsid w:val="00B4399E"/>
    <w:rsid w:val="00B4443F"/>
    <w:rsid w:val="00B453F6"/>
    <w:rsid w:val="00B45404"/>
    <w:rsid w:val="00B46BA6"/>
    <w:rsid w:val="00B4746C"/>
    <w:rsid w:val="00B50876"/>
    <w:rsid w:val="00B50950"/>
    <w:rsid w:val="00B50DCA"/>
    <w:rsid w:val="00B51D0F"/>
    <w:rsid w:val="00B51FEE"/>
    <w:rsid w:val="00B53724"/>
    <w:rsid w:val="00B55038"/>
    <w:rsid w:val="00B55282"/>
    <w:rsid w:val="00B556C6"/>
    <w:rsid w:val="00B56806"/>
    <w:rsid w:val="00B61240"/>
    <w:rsid w:val="00B61B20"/>
    <w:rsid w:val="00B61D43"/>
    <w:rsid w:val="00B62EC9"/>
    <w:rsid w:val="00B656CE"/>
    <w:rsid w:val="00B66214"/>
    <w:rsid w:val="00B66D57"/>
    <w:rsid w:val="00B67B2A"/>
    <w:rsid w:val="00B71020"/>
    <w:rsid w:val="00B712F2"/>
    <w:rsid w:val="00B719AD"/>
    <w:rsid w:val="00B72679"/>
    <w:rsid w:val="00B726F3"/>
    <w:rsid w:val="00B72F8A"/>
    <w:rsid w:val="00B73086"/>
    <w:rsid w:val="00B73B18"/>
    <w:rsid w:val="00B755D1"/>
    <w:rsid w:val="00B8027C"/>
    <w:rsid w:val="00B8089C"/>
    <w:rsid w:val="00B80C95"/>
    <w:rsid w:val="00B81E1E"/>
    <w:rsid w:val="00B8307A"/>
    <w:rsid w:val="00B833F4"/>
    <w:rsid w:val="00B838D1"/>
    <w:rsid w:val="00B83938"/>
    <w:rsid w:val="00B83AC4"/>
    <w:rsid w:val="00B851AD"/>
    <w:rsid w:val="00B85764"/>
    <w:rsid w:val="00B85ADF"/>
    <w:rsid w:val="00B85B4B"/>
    <w:rsid w:val="00B86742"/>
    <w:rsid w:val="00B86DD7"/>
    <w:rsid w:val="00B877EB"/>
    <w:rsid w:val="00B87ECF"/>
    <w:rsid w:val="00B87F83"/>
    <w:rsid w:val="00B91152"/>
    <w:rsid w:val="00B92DD4"/>
    <w:rsid w:val="00B93E05"/>
    <w:rsid w:val="00B944E2"/>
    <w:rsid w:val="00B94D81"/>
    <w:rsid w:val="00B9585B"/>
    <w:rsid w:val="00B959C9"/>
    <w:rsid w:val="00B9695D"/>
    <w:rsid w:val="00B96B82"/>
    <w:rsid w:val="00B96E3B"/>
    <w:rsid w:val="00B97476"/>
    <w:rsid w:val="00B97B5E"/>
    <w:rsid w:val="00BA06BF"/>
    <w:rsid w:val="00BA0AAD"/>
    <w:rsid w:val="00BA17D6"/>
    <w:rsid w:val="00BA2F04"/>
    <w:rsid w:val="00BA3A2F"/>
    <w:rsid w:val="00BA4108"/>
    <w:rsid w:val="00BA45E3"/>
    <w:rsid w:val="00BA5215"/>
    <w:rsid w:val="00BA5638"/>
    <w:rsid w:val="00BA63D3"/>
    <w:rsid w:val="00BA6D50"/>
    <w:rsid w:val="00BA72F6"/>
    <w:rsid w:val="00BB0051"/>
    <w:rsid w:val="00BB22EE"/>
    <w:rsid w:val="00BB3376"/>
    <w:rsid w:val="00BB5042"/>
    <w:rsid w:val="00BB55F4"/>
    <w:rsid w:val="00BB5610"/>
    <w:rsid w:val="00BB579D"/>
    <w:rsid w:val="00BB5E09"/>
    <w:rsid w:val="00BB61BD"/>
    <w:rsid w:val="00BB6697"/>
    <w:rsid w:val="00BB6F90"/>
    <w:rsid w:val="00BC02AC"/>
    <w:rsid w:val="00BC0C95"/>
    <w:rsid w:val="00BC0FE8"/>
    <w:rsid w:val="00BC347C"/>
    <w:rsid w:val="00BC5073"/>
    <w:rsid w:val="00BC7265"/>
    <w:rsid w:val="00BD414A"/>
    <w:rsid w:val="00BD4949"/>
    <w:rsid w:val="00BD4C82"/>
    <w:rsid w:val="00BD5FFE"/>
    <w:rsid w:val="00BD6D29"/>
    <w:rsid w:val="00BE014C"/>
    <w:rsid w:val="00BE0865"/>
    <w:rsid w:val="00BE2D5B"/>
    <w:rsid w:val="00BE32E8"/>
    <w:rsid w:val="00BE3493"/>
    <w:rsid w:val="00BE3985"/>
    <w:rsid w:val="00BE39E5"/>
    <w:rsid w:val="00BE490C"/>
    <w:rsid w:val="00BE54AA"/>
    <w:rsid w:val="00BE54B2"/>
    <w:rsid w:val="00BE5A09"/>
    <w:rsid w:val="00BF06C6"/>
    <w:rsid w:val="00BF07B1"/>
    <w:rsid w:val="00BF1566"/>
    <w:rsid w:val="00BF23FA"/>
    <w:rsid w:val="00BF4290"/>
    <w:rsid w:val="00BF4952"/>
    <w:rsid w:val="00BF63A6"/>
    <w:rsid w:val="00BF7482"/>
    <w:rsid w:val="00C00A07"/>
    <w:rsid w:val="00C014CE"/>
    <w:rsid w:val="00C018FB"/>
    <w:rsid w:val="00C01B43"/>
    <w:rsid w:val="00C0216D"/>
    <w:rsid w:val="00C0255E"/>
    <w:rsid w:val="00C0332B"/>
    <w:rsid w:val="00C03374"/>
    <w:rsid w:val="00C03A60"/>
    <w:rsid w:val="00C03C2F"/>
    <w:rsid w:val="00C05B0F"/>
    <w:rsid w:val="00C06758"/>
    <w:rsid w:val="00C0773D"/>
    <w:rsid w:val="00C07C0D"/>
    <w:rsid w:val="00C1011D"/>
    <w:rsid w:val="00C101AB"/>
    <w:rsid w:val="00C1032F"/>
    <w:rsid w:val="00C109F1"/>
    <w:rsid w:val="00C11170"/>
    <w:rsid w:val="00C1276C"/>
    <w:rsid w:val="00C13BEF"/>
    <w:rsid w:val="00C16398"/>
    <w:rsid w:val="00C168E1"/>
    <w:rsid w:val="00C17347"/>
    <w:rsid w:val="00C200F3"/>
    <w:rsid w:val="00C206F1"/>
    <w:rsid w:val="00C20A56"/>
    <w:rsid w:val="00C21C49"/>
    <w:rsid w:val="00C2307F"/>
    <w:rsid w:val="00C23A47"/>
    <w:rsid w:val="00C26206"/>
    <w:rsid w:val="00C3049A"/>
    <w:rsid w:val="00C30D0D"/>
    <w:rsid w:val="00C31270"/>
    <w:rsid w:val="00C31A95"/>
    <w:rsid w:val="00C328ED"/>
    <w:rsid w:val="00C32CE0"/>
    <w:rsid w:val="00C3423F"/>
    <w:rsid w:val="00C343DB"/>
    <w:rsid w:val="00C34C5C"/>
    <w:rsid w:val="00C35639"/>
    <w:rsid w:val="00C36019"/>
    <w:rsid w:val="00C374F4"/>
    <w:rsid w:val="00C40658"/>
    <w:rsid w:val="00C424E3"/>
    <w:rsid w:val="00C42A7E"/>
    <w:rsid w:val="00C43373"/>
    <w:rsid w:val="00C43C28"/>
    <w:rsid w:val="00C43DC8"/>
    <w:rsid w:val="00C44A62"/>
    <w:rsid w:val="00C44DB8"/>
    <w:rsid w:val="00C462AE"/>
    <w:rsid w:val="00C46AC6"/>
    <w:rsid w:val="00C47F21"/>
    <w:rsid w:val="00C512FB"/>
    <w:rsid w:val="00C5307A"/>
    <w:rsid w:val="00C54057"/>
    <w:rsid w:val="00C542C1"/>
    <w:rsid w:val="00C548DC"/>
    <w:rsid w:val="00C54EE3"/>
    <w:rsid w:val="00C5523E"/>
    <w:rsid w:val="00C55D0C"/>
    <w:rsid w:val="00C56048"/>
    <w:rsid w:val="00C56630"/>
    <w:rsid w:val="00C57FBA"/>
    <w:rsid w:val="00C604B6"/>
    <w:rsid w:val="00C616D8"/>
    <w:rsid w:val="00C61A2E"/>
    <w:rsid w:val="00C61D96"/>
    <w:rsid w:val="00C62D0F"/>
    <w:rsid w:val="00C62EA4"/>
    <w:rsid w:val="00C633F3"/>
    <w:rsid w:val="00C63B2C"/>
    <w:rsid w:val="00C64638"/>
    <w:rsid w:val="00C646CC"/>
    <w:rsid w:val="00C64771"/>
    <w:rsid w:val="00C65783"/>
    <w:rsid w:val="00C660AE"/>
    <w:rsid w:val="00C6669A"/>
    <w:rsid w:val="00C70901"/>
    <w:rsid w:val="00C70D5D"/>
    <w:rsid w:val="00C71127"/>
    <w:rsid w:val="00C711F4"/>
    <w:rsid w:val="00C7134B"/>
    <w:rsid w:val="00C72004"/>
    <w:rsid w:val="00C721A9"/>
    <w:rsid w:val="00C72330"/>
    <w:rsid w:val="00C72ADF"/>
    <w:rsid w:val="00C7360A"/>
    <w:rsid w:val="00C737F2"/>
    <w:rsid w:val="00C73F4F"/>
    <w:rsid w:val="00C74302"/>
    <w:rsid w:val="00C74A53"/>
    <w:rsid w:val="00C74BB1"/>
    <w:rsid w:val="00C74BE7"/>
    <w:rsid w:val="00C752DF"/>
    <w:rsid w:val="00C756BA"/>
    <w:rsid w:val="00C806C2"/>
    <w:rsid w:val="00C83111"/>
    <w:rsid w:val="00C83716"/>
    <w:rsid w:val="00C83CBF"/>
    <w:rsid w:val="00C83D42"/>
    <w:rsid w:val="00C84039"/>
    <w:rsid w:val="00C8442B"/>
    <w:rsid w:val="00C875A9"/>
    <w:rsid w:val="00C87D32"/>
    <w:rsid w:val="00C90930"/>
    <w:rsid w:val="00C91B14"/>
    <w:rsid w:val="00C91D13"/>
    <w:rsid w:val="00C93865"/>
    <w:rsid w:val="00C95295"/>
    <w:rsid w:val="00C96537"/>
    <w:rsid w:val="00C97051"/>
    <w:rsid w:val="00C97269"/>
    <w:rsid w:val="00C97A7A"/>
    <w:rsid w:val="00C97BF9"/>
    <w:rsid w:val="00CA2273"/>
    <w:rsid w:val="00CA242C"/>
    <w:rsid w:val="00CA2BE7"/>
    <w:rsid w:val="00CA3D8D"/>
    <w:rsid w:val="00CA4070"/>
    <w:rsid w:val="00CA4206"/>
    <w:rsid w:val="00CA4ACA"/>
    <w:rsid w:val="00CA67CD"/>
    <w:rsid w:val="00CA6B8A"/>
    <w:rsid w:val="00CB2E0F"/>
    <w:rsid w:val="00CB3F92"/>
    <w:rsid w:val="00CB4FFA"/>
    <w:rsid w:val="00CB666A"/>
    <w:rsid w:val="00CB68B9"/>
    <w:rsid w:val="00CB6960"/>
    <w:rsid w:val="00CB7136"/>
    <w:rsid w:val="00CC1FD4"/>
    <w:rsid w:val="00CC265D"/>
    <w:rsid w:val="00CC29DE"/>
    <w:rsid w:val="00CC38E0"/>
    <w:rsid w:val="00CC411E"/>
    <w:rsid w:val="00CC4AA2"/>
    <w:rsid w:val="00CC4DFC"/>
    <w:rsid w:val="00CC6BE7"/>
    <w:rsid w:val="00CC700C"/>
    <w:rsid w:val="00CC71AD"/>
    <w:rsid w:val="00CC72D3"/>
    <w:rsid w:val="00CD19CA"/>
    <w:rsid w:val="00CD2315"/>
    <w:rsid w:val="00CD2A6F"/>
    <w:rsid w:val="00CD3620"/>
    <w:rsid w:val="00CD3C64"/>
    <w:rsid w:val="00CD440D"/>
    <w:rsid w:val="00CD5229"/>
    <w:rsid w:val="00CD6376"/>
    <w:rsid w:val="00CD6ACB"/>
    <w:rsid w:val="00CD765E"/>
    <w:rsid w:val="00CD7D8F"/>
    <w:rsid w:val="00CE1A25"/>
    <w:rsid w:val="00CE4227"/>
    <w:rsid w:val="00CE458C"/>
    <w:rsid w:val="00CE64C7"/>
    <w:rsid w:val="00CE6BD7"/>
    <w:rsid w:val="00CE7257"/>
    <w:rsid w:val="00CF0473"/>
    <w:rsid w:val="00CF1776"/>
    <w:rsid w:val="00CF2022"/>
    <w:rsid w:val="00CF2272"/>
    <w:rsid w:val="00CF34DA"/>
    <w:rsid w:val="00CF6A31"/>
    <w:rsid w:val="00CF763F"/>
    <w:rsid w:val="00CF7FB8"/>
    <w:rsid w:val="00D00060"/>
    <w:rsid w:val="00D01248"/>
    <w:rsid w:val="00D01E49"/>
    <w:rsid w:val="00D021C9"/>
    <w:rsid w:val="00D02461"/>
    <w:rsid w:val="00D0368D"/>
    <w:rsid w:val="00D04048"/>
    <w:rsid w:val="00D052C6"/>
    <w:rsid w:val="00D0547E"/>
    <w:rsid w:val="00D06AAF"/>
    <w:rsid w:val="00D0735D"/>
    <w:rsid w:val="00D102BA"/>
    <w:rsid w:val="00D108ED"/>
    <w:rsid w:val="00D10B0D"/>
    <w:rsid w:val="00D118D6"/>
    <w:rsid w:val="00D11B20"/>
    <w:rsid w:val="00D12C5E"/>
    <w:rsid w:val="00D12CE6"/>
    <w:rsid w:val="00D1453A"/>
    <w:rsid w:val="00D20AD2"/>
    <w:rsid w:val="00D2129E"/>
    <w:rsid w:val="00D22D4B"/>
    <w:rsid w:val="00D231CF"/>
    <w:rsid w:val="00D25A98"/>
    <w:rsid w:val="00D25E32"/>
    <w:rsid w:val="00D27A7E"/>
    <w:rsid w:val="00D30A57"/>
    <w:rsid w:val="00D34D62"/>
    <w:rsid w:val="00D3502F"/>
    <w:rsid w:val="00D3590E"/>
    <w:rsid w:val="00D361DE"/>
    <w:rsid w:val="00D3699F"/>
    <w:rsid w:val="00D37165"/>
    <w:rsid w:val="00D373FC"/>
    <w:rsid w:val="00D40F7B"/>
    <w:rsid w:val="00D40FC0"/>
    <w:rsid w:val="00D41F18"/>
    <w:rsid w:val="00D422D8"/>
    <w:rsid w:val="00D426C0"/>
    <w:rsid w:val="00D4287E"/>
    <w:rsid w:val="00D42A26"/>
    <w:rsid w:val="00D42A2E"/>
    <w:rsid w:val="00D42EB0"/>
    <w:rsid w:val="00D4333D"/>
    <w:rsid w:val="00D433A0"/>
    <w:rsid w:val="00D44C0E"/>
    <w:rsid w:val="00D45D04"/>
    <w:rsid w:val="00D45E1E"/>
    <w:rsid w:val="00D461DB"/>
    <w:rsid w:val="00D46D3B"/>
    <w:rsid w:val="00D479F8"/>
    <w:rsid w:val="00D5203C"/>
    <w:rsid w:val="00D52F0D"/>
    <w:rsid w:val="00D54992"/>
    <w:rsid w:val="00D55597"/>
    <w:rsid w:val="00D57084"/>
    <w:rsid w:val="00D57EC2"/>
    <w:rsid w:val="00D60E48"/>
    <w:rsid w:val="00D60FCF"/>
    <w:rsid w:val="00D61E9B"/>
    <w:rsid w:val="00D62E0E"/>
    <w:rsid w:val="00D632E6"/>
    <w:rsid w:val="00D63771"/>
    <w:rsid w:val="00D64474"/>
    <w:rsid w:val="00D64BDC"/>
    <w:rsid w:val="00D64E2F"/>
    <w:rsid w:val="00D663EF"/>
    <w:rsid w:val="00D66A19"/>
    <w:rsid w:val="00D67DB4"/>
    <w:rsid w:val="00D71385"/>
    <w:rsid w:val="00D71ED9"/>
    <w:rsid w:val="00D71F92"/>
    <w:rsid w:val="00D73883"/>
    <w:rsid w:val="00D73C81"/>
    <w:rsid w:val="00D7584A"/>
    <w:rsid w:val="00D75DB9"/>
    <w:rsid w:val="00D81947"/>
    <w:rsid w:val="00D81AEA"/>
    <w:rsid w:val="00D81F2F"/>
    <w:rsid w:val="00D83A13"/>
    <w:rsid w:val="00D84581"/>
    <w:rsid w:val="00D846F4"/>
    <w:rsid w:val="00D854F6"/>
    <w:rsid w:val="00D855B2"/>
    <w:rsid w:val="00D856DA"/>
    <w:rsid w:val="00D85EF4"/>
    <w:rsid w:val="00D904F8"/>
    <w:rsid w:val="00D91252"/>
    <w:rsid w:val="00D91C1A"/>
    <w:rsid w:val="00D91F4C"/>
    <w:rsid w:val="00D92733"/>
    <w:rsid w:val="00D9276C"/>
    <w:rsid w:val="00D93653"/>
    <w:rsid w:val="00D9375B"/>
    <w:rsid w:val="00D93946"/>
    <w:rsid w:val="00D9464C"/>
    <w:rsid w:val="00D95647"/>
    <w:rsid w:val="00D95F93"/>
    <w:rsid w:val="00D96859"/>
    <w:rsid w:val="00D96C3C"/>
    <w:rsid w:val="00DA09E5"/>
    <w:rsid w:val="00DA19B2"/>
    <w:rsid w:val="00DA20D3"/>
    <w:rsid w:val="00DA365E"/>
    <w:rsid w:val="00DA4E1F"/>
    <w:rsid w:val="00DA55E8"/>
    <w:rsid w:val="00DA6CF6"/>
    <w:rsid w:val="00DA7713"/>
    <w:rsid w:val="00DB0006"/>
    <w:rsid w:val="00DB12E5"/>
    <w:rsid w:val="00DB13A4"/>
    <w:rsid w:val="00DB1A0A"/>
    <w:rsid w:val="00DB1B79"/>
    <w:rsid w:val="00DB237E"/>
    <w:rsid w:val="00DB2395"/>
    <w:rsid w:val="00DB2720"/>
    <w:rsid w:val="00DB2F6B"/>
    <w:rsid w:val="00DB3D54"/>
    <w:rsid w:val="00DB4321"/>
    <w:rsid w:val="00DB53F6"/>
    <w:rsid w:val="00DB6601"/>
    <w:rsid w:val="00DB6A68"/>
    <w:rsid w:val="00DB704A"/>
    <w:rsid w:val="00DB7688"/>
    <w:rsid w:val="00DC06E0"/>
    <w:rsid w:val="00DC08F9"/>
    <w:rsid w:val="00DC0B7F"/>
    <w:rsid w:val="00DC158F"/>
    <w:rsid w:val="00DC3113"/>
    <w:rsid w:val="00DC37DA"/>
    <w:rsid w:val="00DC3F1E"/>
    <w:rsid w:val="00DC45A5"/>
    <w:rsid w:val="00DC57AF"/>
    <w:rsid w:val="00DC6A3B"/>
    <w:rsid w:val="00DC6A42"/>
    <w:rsid w:val="00DC7A0B"/>
    <w:rsid w:val="00DD0856"/>
    <w:rsid w:val="00DD1888"/>
    <w:rsid w:val="00DD1D70"/>
    <w:rsid w:val="00DD2FBD"/>
    <w:rsid w:val="00DD34AB"/>
    <w:rsid w:val="00DD3A7F"/>
    <w:rsid w:val="00DD44A5"/>
    <w:rsid w:val="00DD52EB"/>
    <w:rsid w:val="00DD55FF"/>
    <w:rsid w:val="00DD7BF7"/>
    <w:rsid w:val="00DE0C25"/>
    <w:rsid w:val="00DE16EE"/>
    <w:rsid w:val="00DE39D4"/>
    <w:rsid w:val="00DE3E40"/>
    <w:rsid w:val="00DE4254"/>
    <w:rsid w:val="00DE5CD0"/>
    <w:rsid w:val="00DE5ED8"/>
    <w:rsid w:val="00DE6FE3"/>
    <w:rsid w:val="00DE6FEB"/>
    <w:rsid w:val="00DE7149"/>
    <w:rsid w:val="00DE71A0"/>
    <w:rsid w:val="00DE7666"/>
    <w:rsid w:val="00DF1A03"/>
    <w:rsid w:val="00DF1B4A"/>
    <w:rsid w:val="00DF20B2"/>
    <w:rsid w:val="00DF2568"/>
    <w:rsid w:val="00DF2DD4"/>
    <w:rsid w:val="00DF2FB0"/>
    <w:rsid w:val="00DF2FEC"/>
    <w:rsid w:val="00DF3AA2"/>
    <w:rsid w:val="00DF4E5D"/>
    <w:rsid w:val="00DF6278"/>
    <w:rsid w:val="00DF6668"/>
    <w:rsid w:val="00DF68EC"/>
    <w:rsid w:val="00DF6A38"/>
    <w:rsid w:val="00DF6CD7"/>
    <w:rsid w:val="00DF7701"/>
    <w:rsid w:val="00DF7A7E"/>
    <w:rsid w:val="00DF7B33"/>
    <w:rsid w:val="00DF7B6C"/>
    <w:rsid w:val="00DF7DA6"/>
    <w:rsid w:val="00E00353"/>
    <w:rsid w:val="00E0087F"/>
    <w:rsid w:val="00E00D11"/>
    <w:rsid w:val="00E01DCF"/>
    <w:rsid w:val="00E029EE"/>
    <w:rsid w:val="00E0347C"/>
    <w:rsid w:val="00E037F3"/>
    <w:rsid w:val="00E03E82"/>
    <w:rsid w:val="00E03EA3"/>
    <w:rsid w:val="00E04DB6"/>
    <w:rsid w:val="00E05DA1"/>
    <w:rsid w:val="00E0601B"/>
    <w:rsid w:val="00E0660A"/>
    <w:rsid w:val="00E10138"/>
    <w:rsid w:val="00E11876"/>
    <w:rsid w:val="00E12133"/>
    <w:rsid w:val="00E126FB"/>
    <w:rsid w:val="00E12723"/>
    <w:rsid w:val="00E12C06"/>
    <w:rsid w:val="00E1426A"/>
    <w:rsid w:val="00E1444A"/>
    <w:rsid w:val="00E1461F"/>
    <w:rsid w:val="00E15AB4"/>
    <w:rsid w:val="00E15D0A"/>
    <w:rsid w:val="00E15D10"/>
    <w:rsid w:val="00E15F59"/>
    <w:rsid w:val="00E15F6E"/>
    <w:rsid w:val="00E17BEC"/>
    <w:rsid w:val="00E215D9"/>
    <w:rsid w:val="00E225FE"/>
    <w:rsid w:val="00E237E6"/>
    <w:rsid w:val="00E23A26"/>
    <w:rsid w:val="00E2612D"/>
    <w:rsid w:val="00E27261"/>
    <w:rsid w:val="00E30139"/>
    <w:rsid w:val="00E302EE"/>
    <w:rsid w:val="00E3043D"/>
    <w:rsid w:val="00E31013"/>
    <w:rsid w:val="00E33B95"/>
    <w:rsid w:val="00E342A5"/>
    <w:rsid w:val="00E3674A"/>
    <w:rsid w:val="00E36CFA"/>
    <w:rsid w:val="00E36ED7"/>
    <w:rsid w:val="00E40FD8"/>
    <w:rsid w:val="00E413DA"/>
    <w:rsid w:val="00E41505"/>
    <w:rsid w:val="00E41D5E"/>
    <w:rsid w:val="00E42892"/>
    <w:rsid w:val="00E42A38"/>
    <w:rsid w:val="00E42FD1"/>
    <w:rsid w:val="00E43494"/>
    <w:rsid w:val="00E438AB"/>
    <w:rsid w:val="00E44BA9"/>
    <w:rsid w:val="00E44EAE"/>
    <w:rsid w:val="00E44F1F"/>
    <w:rsid w:val="00E46097"/>
    <w:rsid w:val="00E46AF2"/>
    <w:rsid w:val="00E4799D"/>
    <w:rsid w:val="00E50A3D"/>
    <w:rsid w:val="00E50B21"/>
    <w:rsid w:val="00E50D81"/>
    <w:rsid w:val="00E50E43"/>
    <w:rsid w:val="00E511A0"/>
    <w:rsid w:val="00E51286"/>
    <w:rsid w:val="00E5184C"/>
    <w:rsid w:val="00E51FB0"/>
    <w:rsid w:val="00E52E3C"/>
    <w:rsid w:val="00E53122"/>
    <w:rsid w:val="00E53CA7"/>
    <w:rsid w:val="00E53D7B"/>
    <w:rsid w:val="00E53EAB"/>
    <w:rsid w:val="00E54805"/>
    <w:rsid w:val="00E555C2"/>
    <w:rsid w:val="00E55929"/>
    <w:rsid w:val="00E56054"/>
    <w:rsid w:val="00E5772D"/>
    <w:rsid w:val="00E57C6D"/>
    <w:rsid w:val="00E601BD"/>
    <w:rsid w:val="00E6184D"/>
    <w:rsid w:val="00E61B2D"/>
    <w:rsid w:val="00E621C5"/>
    <w:rsid w:val="00E62276"/>
    <w:rsid w:val="00E64449"/>
    <w:rsid w:val="00E64DBD"/>
    <w:rsid w:val="00E65438"/>
    <w:rsid w:val="00E6576D"/>
    <w:rsid w:val="00E66782"/>
    <w:rsid w:val="00E67714"/>
    <w:rsid w:val="00E677AC"/>
    <w:rsid w:val="00E701CE"/>
    <w:rsid w:val="00E7064C"/>
    <w:rsid w:val="00E708E5"/>
    <w:rsid w:val="00E72C11"/>
    <w:rsid w:val="00E73493"/>
    <w:rsid w:val="00E73D63"/>
    <w:rsid w:val="00E7407C"/>
    <w:rsid w:val="00E74174"/>
    <w:rsid w:val="00E74B7E"/>
    <w:rsid w:val="00E75BC2"/>
    <w:rsid w:val="00E763D3"/>
    <w:rsid w:val="00E765F4"/>
    <w:rsid w:val="00E76E35"/>
    <w:rsid w:val="00E8024A"/>
    <w:rsid w:val="00E80C76"/>
    <w:rsid w:val="00E811B3"/>
    <w:rsid w:val="00E81BF4"/>
    <w:rsid w:val="00E82AAA"/>
    <w:rsid w:val="00E82CB4"/>
    <w:rsid w:val="00E830C2"/>
    <w:rsid w:val="00E83565"/>
    <w:rsid w:val="00E836F4"/>
    <w:rsid w:val="00E83788"/>
    <w:rsid w:val="00E83ABB"/>
    <w:rsid w:val="00E83FFE"/>
    <w:rsid w:val="00E8475B"/>
    <w:rsid w:val="00E84F60"/>
    <w:rsid w:val="00E86025"/>
    <w:rsid w:val="00E86981"/>
    <w:rsid w:val="00E877C9"/>
    <w:rsid w:val="00E87D32"/>
    <w:rsid w:val="00E90EA0"/>
    <w:rsid w:val="00E9171E"/>
    <w:rsid w:val="00E918E0"/>
    <w:rsid w:val="00E9236B"/>
    <w:rsid w:val="00E948D5"/>
    <w:rsid w:val="00E951B7"/>
    <w:rsid w:val="00EA02C7"/>
    <w:rsid w:val="00EA0CF5"/>
    <w:rsid w:val="00EA0F1A"/>
    <w:rsid w:val="00EA125A"/>
    <w:rsid w:val="00EA21F1"/>
    <w:rsid w:val="00EA2711"/>
    <w:rsid w:val="00EA2781"/>
    <w:rsid w:val="00EA40DD"/>
    <w:rsid w:val="00EA4154"/>
    <w:rsid w:val="00EA560A"/>
    <w:rsid w:val="00EA56AB"/>
    <w:rsid w:val="00EA611B"/>
    <w:rsid w:val="00EA6206"/>
    <w:rsid w:val="00EA65C6"/>
    <w:rsid w:val="00EA747E"/>
    <w:rsid w:val="00EB128F"/>
    <w:rsid w:val="00EB3138"/>
    <w:rsid w:val="00EB36D7"/>
    <w:rsid w:val="00EB3C4D"/>
    <w:rsid w:val="00EB3DFE"/>
    <w:rsid w:val="00EB4092"/>
    <w:rsid w:val="00EB42A1"/>
    <w:rsid w:val="00EB4BCF"/>
    <w:rsid w:val="00EB593D"/>
    <w:rsid w:val="00EB6321"/>
    <w:rsid w:val="00EB77A0"/>
    <w:rsid w:val="00EC3E36"/>
    <w:rsid w:val="00EC4579"/>
    <w:rsid w:val="00EC4B73"/>
    <w:rsid w:val="00EC4E70"/>
    <w:rsid w:val="00EC5B8B"/>
    <w:rsid w:val="00EC62B8"/>
    <w:rsid w:val="00ED03DE"/>
    <w:rsid w:val="00ED0A85"/>
    <w:rsid w:val="00ED39EC"/>
    <w:rsid w:val="00ED431A"/>
    <w:rsid w:val="00ED6BE4"/>
    <w:rsid w:val="00ED7AED"/>
    <w:rsid w:val="00EE0231"/>
    <w:rsid w:val="00EE1003"/>
    <w:rsid w:val="00EE2143"/>
    <w:rsid w:val="00EE271D"/>
    <w:rsid w:val="00EE2D92"/>
    <w:rsid w:val="00EE4414"/>
    <w:rsid w:val="00EE461C"/>
    <w:rsid w:val="00EE4CCF"/>
    <w:rsid w:val="00EE5F13"/>
    <w:rsid w:val="00EE7A4C"/>
    <w:rsid w:val="00EE7F4C"/>
    <w:rsid w:val="00EE7FD3"/>
    <w:rsid w:val="00EF015E"/>
    <w:rsid w:val="00EF0366"/>
    <w:rsid w:val="00EF0BC4"/>
    <w:rsid w:val="00EF1C16"/>
    <w:rsid w:val="00EF3143"/>
    <w:rsid w:val="00EF3D6E"/>
    <w:rsid w:val="00EF5960"/>
    <w:rsid w:val="00EF6F7B"/>
    <w:rsid w:val="00EF7C34"/>
    <w:rsid w:val="00F0190F"/>
    <w:rsid w:val="00F01C3E"/>
    <w:rsid w:val="00F01F78"/>
    <w:rsid w:val="00F02219"/>
    <w:rsid w:val="00F02904"/>
    <w:rsid w:val="00F02E5D"/>
    <w:rsid w:val="00F0346E"/>
    <w:rsid w:val="00F03A91"/>
    <w:rsid w:val="00F04A14"/>
    <w:rsid w:val="00F050E3"/>
    <w:rsid w:val="00F05220"/>
    <w:rsid w:val="00F054F7"/>
    <w:rsid w:val="00F05C07"/>
    <w:rsid w:val="00F05EEC"/>
    <w:rsid w:val="00F0692A"/>
    <w:rsid w:val="00F06A09"/>
    <w:rsid w:val="00F06ED3"/>
    <w:rsid w:val="00F06FF3"/>
    <w:rsid w:val="00F11699"/>
    <w:rsid w:val="00F11FC3"/>
    <w:rsid w:val="00F122BC"/>
    <w:rsid w:val="00F12E4B"/>
    <w:rsid w:val="00F1381A"/>
    <w:rsid w:val="00F13C4B"/>
    <w:rsid w:val="00F14624"/>
    <w:rsid w:val="00F14646"/>
    <w:rsid w:val="00F15243"/>
    <w:rsid w:val="00F16D19"/>
    <w:rsid w:val="00F172FA"/>
    <w:rsid w:val="00F20026"/>
    <w:rsid w:val="00F2064B"/>
    <w:rsid w:val="00F215FE"/>
    <w:rsid w:val="00F2161B"/>
    <w:rsid w:val="00F22262"/>
    <w:rsid w:val="00F2320D"/>
    <w:rsid w:val="00F24382"/>
    <w:rsid w:val="00F245C9"/>
    <w:rsid w:val="00F24BC4"/>
    <w:rsid w:val="00F25C93"/>
    <w:rsid w:val="00F26A74"/>
    <w:rsid w:val="00F27508"/>
    <w:rsid w:val="00F27608"/>
    <w:rsid w:val="00F27B12"/>
    <w:rsid w:val="00F27DBF"/>
    <w:rsid w:val="00F30367"/>
    <w:rsid w:val="00F30D1C"/>
    <w:rsid w:val="00F314F3"/>
    <w:rsid w:val="00F323CF"/>
    <w:rsid w:val="00F328CA"/>
    <w:rsid w:val="00F33426"/>
    <w:rsid w:val="00F34728"/>
    <w:rsid w:val="00F348BD"/>
    <w:rsid w:val="00F34B34"/>
    <w:rsid w:val="00F350AE"/>
    <w:rsid w:val="00F3604E"/>
    <w:rsid w:val="00F36201"/>
    <w:rsid w:val="00F36F74"/>
    <w:rsid w:val="00F37855"/>
    <w:rsid w:val="00F37B79"/>
    <w:rsid w:val="00F40EAF"/>
    <w:rsid w:val="00F42AB1"/>
    <w:rsid w:val="00F43250"/>
    <w:rsid w:val="00F435EE"/>
    <w:rsid w:val="00F446BB"/>
    <w:rsid w:val="00F449CB"/>
    <w:rsid w:val="00F45838"/>
    <w:rsid w:val="00F45DF0"/>
    <w:rsid w:val="00F45E71"/>
    <w:rsid w:val="00F47D4C"/>
    <w:rsid w:val="00F5054C"/>
    <w:rsid w:val="00F50F71"/>
    <w:rsid w:val="00F5148C"/>
    <w:rsid w:val="00F52BD2"/>
    <w:rsid w:val="00F52E09"/>
    <w:rsid w:val="00F53917"/>
    <w:rsid w:val="00F54817"/>
    <w:rsid w:val="00F551A6"/>
    <w:rsid w:val="00F56328"/>
    <w:rsid w:val="00F565D7"/>
    <w:rsid w:val="00F575F9"/>
    <w:rsid w:val="00F576A9"/>
    <w:rsid w:val="00F60C47"/>
    <w:rsid w:val="00F61230"/>
    <w:rsid w:val="00F615B8"/>
    <w:rsid w:val="00F61B36"/>
    <w:rsid w:val="00F623E1"/>
    <w:rsid w:val="00F63507"/>
    <w:rsid w:val="00F64496"/>
    <w:rsid w:val="00F65F23"/>
    <w:rsid w:val="00F70F76"/>
    <w:rsid w:val="00F72808"/>
    <w:rsid w:val="00F730EC"/>
    <w:rsid w:val="00F73B7D"/>
    <w:rsid w:val="00F7449F"/>
    <w:rsid w:val="00F74905"/>
    <w:rsid w:val="00F75144"/>
    <w:rsid w:val="00F7574E"/>
    <w:rsid w:val="00F75A5C"/>
    <w:rsid w:val="00F75C89"/>
    <w:rsid w:val="00F7703B"/>
    <w:rsid w:val="00F77136"/>
    <w:rsid w:val="00F807EA"/>
    <w:rsid w:val="00F8083C"/>
    <w:rsid w:val="00F818DD"/>
    <w:rsid w:val="00F81CAD"/>
    <w:rsid w:val="00F83D97"/>
    <w:rsid w:val="00F84B88"/>
    <w:rsid w:val="00F86A0F"/>
    <w:rsid w:val="00F86F65"/>
    <w:rsid w:val="00F87232"/>
    <w:rsid w:val="00F8736B"/>
    <w:rsid w:val="00F87406"/>
    <w:rsid w:val="00F87CF6"/>
    <w:rsid w:val="00F900A3"/>
    <w:rsid w:val="00F90163"/>
    <w:rsid w:val="00F906DF"/>
    <w:rsid w:val="00F90E82"/>
    <w:rsid w:val="00F910B0"/>
    <w:rsid w:val="00F91F36"/>
    <w:rsid w:val="00F92448"/>
    <w:rsid w:val="00F93D53"/>
    <w:rsid w:val="00F94330"/>
    <w:rsid w:val="00F94F47"/>
    <w:rsid w:val="00F95A80"/>
    <w:rsid w:val="00FA0076"/>
    <w:rsid w:val="00FA1172"/>
    <w:rsid w:val="00FA31F3"/>
    <w:rsid w:val="00FA44CE"/>
    <w:rsid w:val="00FA5878"/>
    <w:rsid w:val="00FA6C6F"/>
    <w:rsid w:val="00FA6EAC"/>
    <w:rsid w:val="00FA763D"/>
    <w:rsid w:val="00FA7A8E"/>
    <w:rsid w:val="00FA7D06"/>
    <w:rsid w:val="00FB0053"/>
    <w:rsid w:val="00FB038F"/>
    <w:rsid w:val="00FB0AAA"/>
    <w:rsid w:val="00FB0D2B"/>
    <w:rsid w:val="00FB14F2"/>
    <w:rsid w:val="00FB1851"/>
    <w:rsid w:val="00FB1C0F"/>
    <w:rsid w:val="00FB325C"/>
    <w:rsid w:val="00FB4778"/>
    <w:rsid w:val="00FB783A"/>
    <w:rsid w:val="00FC064C"/>
    <w:rsid w:val="00FC09E5"/>
    <w:rsid w:val="00FC1B85"/>
    <w:rsid w:val="00FC40E1"/>
    <w:rsid w:val="00FC425F"/>
    <w:rsid w:val="00FC6194"/>
    <w:rsid w:val="00FC6646"/>
    <w:rsid w:val="00FC66D8"/>
    <w:rsid w:val="00FC6E47"/>
    <w:rsid w:val="00FC740B"/>
    <w:rsid w:val="00FC78DB"/>
    <w:rsid w:val="00FC7A8D"/>
    <w:rsid w:val="00FD149F"/>
    <w:rsid w:val="00FD2175"/>
    <w:rsid w:val="00FD2B00"/>
    <w:rsid w:val="00FD35FB"/>
    <w:rsid w:val="00FD388E"/>
    <w:rsid w:val="00FD38D2"/>
    <w:rsid w:val="00FD392D"/>
    <w:rsid w:val="00FD39AF"/>
    <w:rsid w:val="00FD3A57"/>
    <w:rsid w:val="00FD4214"/>
    <w:rsid w:val="00FD44BC"/>
    <w:rsid w:val="00FD58A7"/>
    <w:rsid w:val="00FD78F0"/>
    <w:rsid w:val="00FE15C2"/>
    <w:rsid w:val="00FE192B"/>
    <w:rsid w:val="00FE1E61"/>
    <w:rsid w:val="00FE27C3"/>
    <w:rsid w:val="00FE33CD"/>
    <w:rsid w:val="00FE679C"/>
    <w:rsid w:val="00FE693D"/>
    <w:rsid w:val="00FE6CF8"/>
    <w:rsid w:val="00FE7500"/>
    <w:rsid w:val="00FE78FF"/>
    <w:rsid w:val="00FE7A2B"/>
    <w:rsid w:val="00FF0178"/>
    <w:rsid w:val="00FF0E7A"/>
    <w:rsid w:val="00FF1311"/>
    <w:rsid w:val="00FF1AD7"/>
    <w:rsid w:val="00FF2836"/>
    <w:rsid w:val="00FF2FE4"/>
    <w:rsid w:val="00FF39F9"/>
    <w:rsid w:val="00FF3FA2"/>
    <w:rsid w:val="00FF3FA8"/>
    <w:rsid w:val="00FF49ED"/>
    <w:rsid w:val="00FF4E1D"/>
    <w:rsid w:val="00FF4E30"/>
    <w:rsid w:val="00FF53FD"/>
    <w:rsid w:val="00FF6184"/>
    <w:rsid w:val="00FF61D5"/>
    <w:rsid w:val="00FF6A52"/>
    <w:rsid w:val="082DA92C"/>
    <w:rsid w:val="126D8727"/>
    <w:rsid w:val="14CFCF88"/>
    <w:rsid w:val="17AF7C83"/>
    <w:rsid w:val="19DE20E8"/>
    <w:rsid w:val="1BF5DA3B"/>
    <w:rsid w:val="1CB9D601"/>
    <w:rsid w:val="218CAAC8"/>
    <w:rsid w:val="234C216E"/>
    <w:rsid w:val="2B00A0CD"/>
    <w:rsid w:val="2C3A1A9E"/>
    <w:rsid w:val="2C5F46D6"/>
    <w:rsid w:val="38BC5230"/>
    <w:rsid w:val="425FC0BD"/>
    <w:rsid w:val="44EDDD12"/>
    <w:rsid w:val="5F096849"/>
    <w:rsid w:val="5F772E5A"/>
    <w:rsid w:val="68A74777"/>
    <w:rsid w:val="710635C9"/>
    <w:rsid w:val="72C59C0E"/>
    <w:rsid w:val="73A42A24"/>
    <w:rsid w:val="7CDED6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5B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FA5"/>
    <w:rPr>
      <w:sz w:val="22"/>
      <w:szCs w:val="22"/>
    </w:rPr>
  </w:style>
  <w:style w:type="paragraph" w:styleId="Heading1">
    <w:name w:val="heading 1"/>
    <w:basedOn w:val="Normal"/>
    <w:next w:val="Normal"/>
    <w:link w:val="Heading1Char"/>
    <w:uiPriority w:val="9"/>
    <w:qFormat/>
    <w:rsid w:val="000F5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6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3FB2"/>
    <w:pPr>
      <w:keepNext/>
      <w:keepLines/>
      <w:numPr>
        <w:numId w:val="9"/>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3FB2"/>
    <w:pPr>
      <w:keepNext/>
      <w:keepLines/>
      <w:spacing w:before="80" w:after="40"/>
      <w:outlineLvl w:val="3"/>
    </w:pPr>
    <w:rPr>
      <w:rFonts w:eastAsiaTheme="majorEastAsia" w:cstheme="majorBidi"/>
      <w:b/>
      <w:bCs/>
      <w:color w:val="0F4761" w:themeColor="accent1" w:themeShade="BF"/>
    </w:rPr>
  </w:style>
  <w:style w:type="paragraph" w:styleId="Heading5">
    <w:name w:val="heading 5"/>
    <w:basedOn w:val="Normal"/>
    <w:next w:val="Normal"/>
    <w:link w:val="Heading5Char"/>
    <w:uiPriority w:val="9"/>
    <w:unhideWhenUsed/>
    <w:qFormat/>
    <w:rsid w:val="005D6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D6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Bodywide">
    <w:name w:val="PA Body wide"/>
    <w:basedOn w:val="BodyText"/>
    <w:link w:val="PABodywideChar"/>
    <w:qFormat/>
    <w:rsid w:val="000F5D05"/>
    <w:pPr>
      <w:widowControl w:val="0"/>
      <w:autoSpaceDE w:val="0"/>
      <w:autoSpaceDN w:val="0"/>
      <w:spacing w:before="173" w:after="240" w:line="314" w:lineRule="auto"/>
      <w:ind w:right="95"/>
      <w:jc w:val="both"/>
    </w:pPr>
    <w:rPr>
      <w:rFonts w:ascii="Century Gothic" w:eastAsia="Century Gothic" w:hAnsi="Century Gothic" w:cs="Century Gothic"/>
      <w:color w:val="1B2A38"/>
      <w:kern w:val="0"/>
      <w:sz w:val="18"/>
      <w:szCs w:val="18"/>
      <w14:ligatures w14:val="none"/>
    </w:rPr>
  </w:style>
  <w:style w:type="character" w:customStyle="1" w:styleId="PABodywideChar">
    <w:name w:val="PA Body wide Char"/>
    <w:basedOn w:val="BodyTextChar"/>
    <w:link w:val="PABodywide"/>
    <w:rsid w:val="000F5D05"/>
    <w:rPr>
      <w:rFonts w:ascii="Century Gothic" w:eastAsia="Century Gothic" w:hAnsi="Century Gothic" w:cs="Century Gothic"/>
      <w:color w:val="1B2A38"/>
      <w:kern w:val="0"/>
      <w:sz w:val="18"/>
      <w:szCs w:val="18"/>
      <w14:ligatures w14:val="none"/>
    </w:rPr>
  </w:style>
  <w:style w:type="paragraph" w:styleId="BodyText">
    <w:name w:val="Body Text"/>
    <w:basedOn w:val="Normal"/>
    <w:link w:val="BodyTextChar"/>
    <w:uiPriority w:val="99"/>
    <w:semiHidden/>
    <w:unhideWhenUsed/>
    <w:rsid w:val="000F5D05"/>
    <w:pPr>
      <w:spacing w:after="120"/>
    </w:pPr>
  </w:style>
  <w:style w:type="character" w:customStyle="1" w:styleId="BodyTextChar">
    <w:name w:val="Body Text Char"/>
    <w:basedOn w:val="DefaultParagraphFont"/>
    <w:link w:val="BodyText"/>
    <w:uiPriority w:val="99"/>
    <w:semiHidden/>
    <w:rsid w:val="000F5D05"/>
  </w:style>
  <w:style w:type="paragraph" w:customStyle="1" w:styleId="PAHeading">
    <w:name w:val="PA Heading"/>
    <w:basedOn w:val="Heading1"/>
    <w:link w:val="PAHeadingChar"/>
    <w:qFormat/>
    <w:rsid w:val="000F5D05"/>
    <w:pPr>
      <w:widowControl w:val="0"/>
      <w:autoSpaceDE w:val="0"/>
      <w:autoSpaceDN w:val="0"/>
      <w:spacing w:line="240" w:lineRule="auto"/>
    </w:pPr>
    <w:rPr>
      <w:rFonts w:ascii="Kalam" w:hAnsi="Kalam" w:cs="Kalam"/>
      <w:b/>
      <w:bCs/>
      <w:color w:val="E97132" w:themeColor="accent2"/>
      <w:kern w:val="0"/>
      <w:sz w:val="28"/>
      <w:szCs w:val="28"/>
      <w14:ligatures w14:val="none"/>
    </w:rPr>
  </w:style>
  <w:style w:type="character" w:customStyle="1" w:styleId="PAHeadingChar">
    <w:name w:val="PA Heading Char"/>
    <w:basedOn w:val="Heading1Char"/>
    <w:link w:val="PAHeading"/>
    <w:rsid w:val="000F5D05"/>
    <w:rPr>
      <w:rFonts w:ascii="Kalam" w:eastAsiaTheme="majorEastAsia" w:hAnsi="Kalam" w:cs="Kalam"/>
      <w:b/>
      <w:bCs/>
      <w:color w:val="E97132" w:themeColor="accent2"/>
      <w:kern w:val="0"/>
      <w:sz w:val="28"/>
      <w:szCs w:val="28"/>
      <w14:ligatures w14:val="none"/>
    </w:rPr>
  </w:style>
  <w:style w:type="character" w:customStyle="1" w:styleId="Heading1Char">
    <w:name w:val="Heading 1 Char"/>
    <w:basedOn w:val="DefaultParagraphFont"/>
    <w:link w:val="Heading1"/>
    <w:uiPriority w:val="9"/>
    <w:rsid w:val="000F5D05"/>
    <w:rPr>
      <w:rFonts w:asciiTheme="majorHAnsi" w:eastAsiaTheme="majorEastAsia" w:hAnsiTheme="majorHAnsi" w:cstheme="majorBidi"/>
      <w:color w:val="0F4761" w:themeColor="accent1" w:themeShade="BF"/>
      <w:sz w:val="40"/>
      <w:szCs w:val="40"/>
    </w:rPr>
  </w:style>
  <w:style w:type="paragraph" w:customStyle="1" w:styleId="PASubheading">
    <w:name w:val="PA Subheading"/>
    <w:basedOn w:val="PABodywide"/>
    <w:link w:val="PASubheadingChar"/>
    <w:qFormat/>
    <w:rsid w:val="000F5D05"/>
    <w:rPr>
      <w:rFonts w:ascii="Kalam" w:hAnsi="Kalam" w:cs="Kalam"/>
      <w:b/>
      <w:bCs/>
      <w:color w:val="4EA72E" w:themeColor="accent6"/>
    </w:rPr>
  </w:style>
  <w:style w:type="character" w:customStyle="1" w:styleId="PASubheadingChar">
    <w:name w:val="PA Subheading Char"/>
    <w:basedOn w:val="PABodywideChar"/>
    <w:link w:val="PASubheading"/>
    <w:rsid w:val="000F5D05"/>
    <w:rPr>
      <w:rFonts w:ascii="Kalam" w:eastAsia="Century Gothic" w:hAnsi="Kalam" w:cs="Kalam"/>
      <w:b/>
      <w:bCs/>
      <w:color w:val="4EA72E" w:themeColor="accent6"/>
      <w:kern w:val="0"/>
      <w:sz w:val="18"/>
      <w:szCs w:val="18"/>
      <w14:ligatures w14:val="none"/>
    </w:rPr>
  </w:style>
  <w:style w:type="character" w:customStyle="1" w:styleId="Heading2Char">
    <w:name w:val="Heading 2 Char"/>
    <w:basedOn w:val="DefaultParagraphFont"/>
    <w:link w:val="Heading2"/>
    <w:uiPriority w:val="9"/>
    <w:rsid w:val="005D6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3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3FB2"/>
    <w:rPr>
      <w:rFonts w:eastAsiaTheme="majorEastAsia" w:cstheme="majorBidi"/>
      <w:b/>
      <w:bCs/>
      <w:color w:val="0F4761" w:themeColor="accent1" w:themeShade="BF"/>
    </w:rPr>
  </w:style>
  <w:style w:type="character" w:customStyle="1" w:styleId="Heading5Char">
    <w:name w:val="Heading 5 Char"/>
    <w:basedOn w:val="DefaultParagraphFont"/>
    <w:link w:val="Heading5"/>
    <w:uiPriority w:val="9"/>
    <w:rsid w:val="005D6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D6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A65"/>
    <w:rPr>
      <w:rFonts w:eastAsiaTheme="majorEastAsia" w:cstheme="majorBidi"/>
      <w:color w:val="272727" w:themeColor="text1" w:themeTint="D8"/>
    </w:rPr>
  </w:style>
  <w:style w:type="paragraph" w:styleId="Title">
    <w:name w:val="Title"/>
    <w:basedOn w:val="Normal"/>
    <w:next w:val="Normal"/>
    <w:link w:val="TitleChar"/>
    <w:uiPriority w:val="10"/>
    <w:qFormat/>
    <w:rsid w:val="005D6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A65"/>
    <w:pPr>
      <w:spacing w:before="160"/>
      <w:jc w:val="center"/>
    </w:pPr>
    <w:rPr>
      <w:i/>
      <w:iCs/>
      <w:color w:val="404040" w:themeColor="text1" w:themeTint="BF"/>
    </w:rPr>
  </w:style>
  <w:style w:type="character" w:customStyle="1" w:styleId="QuoteChar">
    <w:name w:val="Quote Char"/>
    <w:basedOn w:val="DefaultParagraphFont"/>
    <w:link w:val="Quote"/>
    <w:uiPriority w:val="29"/>
    <w:rsid w:val="005D6A65"/>
    <w:rPr>
      <w:i/>
      <w:iCs/>
      <w:color w:val="404040" w:themeColor="text1" w:themeTint="BF"/>
    </w:rPr>
  </w:style>
  <w:style w:type="paragraph" w:styleId="ListParagraph">
    <w:name w:val="List Paragraph"/>
    <w:basedOn w:val="Normal"/>
    <w:uiPriority w:val="34"/>
    <w:qFormat/>
    <w:rsid w:val="005D6A65"/>
    <w:pPr>
      <w:ind w:left="720"/>
      <w:contextualSpacing/>
    </w:pPr>
  </w:style>
  <w:style w:type="character" w:styleId="IntenseEmphasis">
    <w:name w:val="Intense Emphasis"/>
    <w:basedOn w:val="DefaultParagraphFont"/>
    <w:uiPriority w:val="21"/>
    <w:qFormat/>
    <w:rsid w:val="005D6A65"/>
    <w:rPr>
      <w:i/>
      <w:iCs/>
      <w:color w:val="0F4761" w:themeColor="accent1" w:themeShade="BF"/>
    </w:rPr>
  </w:style>
  <w:style w:type="paragraph" w:styleId="IntenseQuote">
    <w:name w:val="Intense Quote"/>
    <w:basedOn w:val="Normal"/>
    <w:next w:val="Normal"/>
    <w:link w:val="IntenseQuoteChar"/>
    <w:uiPriority w:val="30"/>
    <w:qFormat/>
    <w:rsid w:val="005D6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A65"/>
    <w:rPr>
      <w:i/>
      <w:iCs/>
      <w:color w:val="0F4761" w:themeColor="accent1" w:themeShade="BF"/>
    </w:rPr>
  </w:style>
  <w:style w:type="character" w:styleId="IntenseReference">
    <w:name w:val="Intense Reference"/>
    <w:basedOn w:val="DefaultParagraphFont"/>
    <w:uiPriority w:val="32"/>
    <w:qFormat/>
    <w:rsid w:val="005D6A65"/>
    <w:rPr>
      <w:b/>
      <w:bCs/>
      <w:smallCaps/>
      <w:color w:val="0F4761" w:themeColor="accent1" w:themeShade="BF"/>
      <w:spacing w:val="5"/>
    </w:rPr>
  </w:style>
  <w:style w:type="paragraph" w:styleId="Header">
    <w:name w:val="header"/>
    <w:basedOn w:val="Normal"/>
    <w:link w:val="HeaderChar"/>
    <w:uiPriority w:val="99"/>
    <w:unhideWhenUsed/>
    <w:rsid w:val="005D6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A65"/>
  </w:style>
  <w:style w:type="paragraph" w:styleId="Footer">
    <w:name w:val="footer"/>
    <w:basedOn w:val="Normal"/>
    <w:link w:val="FooterChar"/>
    <w:uiPriority w:val="99"/>
    <w:unhideWhenUsed/>
    <w:rsid w:val="005D6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A65"/>
  </w:style>
  <w:style w:type="paragraph" w:styleId="TOCHeading">
    <w:name w:val="TOC Heading"/>
    <w:basedOn w:val="Heading1"/>
    <w:next w:val="Normal"/>
    <w:uiPriority w:val="39"/>
    <w:unhideWhenUsed/>
    <w:qFormat/>
    <w:rsid w:val="00A70111"/>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A70111"/>
    <w:pPr>
      <w:spacing w:after="100"/>
    </w:pPr>
  </w:style>
  <w:style w:type="character" w:styleId="Hyperlink">
    <w:name w:val="Hyperlink"/>
    <w:basedOn w:val="DefaultParagraphFont"/>
    <w:uiPriority w:val="99"/>
    <w:unhideWhenUsed/>
    <w:rsid w:val="00A70111"/>
    <w:rPr>
      <w:color w:val="467886" w:themeColor="hyperlink"/>
      <w:u w:val="single"/>
    </w:rPr>
  </w:style>
  <w:style w:type="paragraph" w:styleId="FootnoteText">
    <w:name w:val="footnote text"/>
    <w:basedOn w:val="Normal"/>
    <w:link w:val="FootnoteTextChar"/>
    <w:uiPriority w:val="99"/>
    <w:unhideWhenUsed/>
    <w:rsid w:val="00DA7713"/>
    <w:pPr>
      <w:spacing w:after="0" w:line="240" w:lineRule="auto"/>
    </w:pPr>
    <w:rPr>
      <w:sz w:val="20"/>
      <w:szCs w:val="20"/>
    </w:rPr>
  </w:style>
  <w:style w:type="character" w:customStyle="1" w:styleId="FootnoteTextChar">
    <w:name w:val="Footnote Text Char"/>
    <w:basedOn w:val="DefaultParagraphFont"/>
    <w:link w:val="FootnoteText"/>
    <w:uiPriority w:val="99"/>
    <w:rsid w:val="00DA7713"/>
    <w:rPr>
      <w:sz w:val="20"/>
      <w:szCs w:val="20"/>
    </w:rPr>
  </w:style>
  <w:style w:type="character" w:styleId="FootnoteReference">
    <w:name w:val="footnote reference"/>
    <w:basedOn w:val="DefaultParagraphFont"/>
    <w:uiPriority w:val="99"/>
    <w:semiHidden/>
    <w:unhideWhenUsed/>
    <w:rsid w:val="00DA7713"/>
    <w:rPr>
      <w:vertAlign w:val="superscript"/>
    </w:rPr>
  </w:style>
  <w:style w:type="character" w:styleId="UnresolvedMention">
    <w:name w:val="Unresolved Mention"/>
    <w:basedOn w:val="DefaultParagraphFont"/>
    <w:uiPriority w:val="99"/>
    <w:semiHidden/>
    <w:unhideWhenUsed/>
    <w:rsid w:val="001D0374"/>
    <w:rPr>
      <w:color w:val="605E5C"/>
      <w:shd w:val="clear" w:color="auto" w:fill="E1DFDD"/>
    </w:rPr>
  </w:style>
  <w:style w:type="paragraph" w:styleId="TOC2">
    <w:name w:val="toc 2"/>
    <w:basedOn w:val="Normal"/>
    <w:next w:val="Normal"/>
    <w:autoRedefine/>
    <w:uiPriority w:val="39"/>
    <w:unhideWhenUsed/>
    <w:rsid w:val="00295185"/>
    <w:pPr>
      <w:spacing w:after="100"/>
      <w:ind w:left="240"/>
    </w:pPr>
  </w:style>
  <w:style w:type="paragraph" w:customStyle="1" w:styleId="TableParagraph">
    <w:name w:val="Table Paragraph"/>
    <w:basedOn w:val="Normal"/>
    <w:uiPriority w:val="1"/>
    <w:qFormat/>
    <w:rsid w:val="000E5E84"/>
    <w:pPr>
      <w:widowControl w:val="0"/>
      <w:autoSpaceDE w:val="0"/>
      <w:autoSpaceDN w:val="0"/>
      <w:spacing w:after="0" w:line="240" w:lineRule="auto"/>
    </w:pPr>
    <w:rPr>
      <w:rFonts w:ascii="Tahoma" w:eastAsia="Tahoma" w:hAnsi="Tahoma" w:cs="Tahoma"/>
      <w:kern w:val="0"/>
      <w:lang w:val="en-US"/>
      <w14:ligatures w14:val="none"/>
    </w:rPr>
  </w:style>
  <w:style w:type="character" w:styleId="CommentReference">
    <w:name w:val="annotation reference"/>
    <w:basedOn w:val="DefaultParagraphFont"/>
    <w:uiPriority w:val="99"/>
    <w:semiHidden/>
    <w:unhideWhenUsed/>
    <w:rsid w:val="008D6977"/>
    <w:rPr>
      <w:sz w:val="16"/>
      <w:szCs w:val="16"/>
    </w:rPr>
  </w:style>
  <w:style w:type="paragraph" w:styleId="CommentText">
    <w:name w:val="annotation text"/>
    <w:basedOn w:val="Normal"/>
    <w:link w:val="CommentTextChar"/>
    <w:uiPriority w:val="99"/>
    <w:unhideWhenUsed/>
    <w:rsid w:val="008D6977"/>
    <w:pPr>
      <w:spacing w:line="240" w:lineRule="auto"/>
    </w:pPr>
    <w:rPr>
      <w:sz w:val="20"/>
      <w:szCs w:val="20"/>
    </w:rPr>
  </w:style>
  <w:style w:type="character" w:customStyle="1" w:styleId="CommentTextChar">
    <w:name w:val="Comment Text Char"/>
    <w:basedOn w:val="DefaultParagraphFont"/>
    <w:link w:val="CommentText"/>
    <w:uiPriority w:val="99"/>
    <w:rsid w:val="008D6977"/>
    <w:rPr>
      <w:sz w:val="20"/>
      <w:szCs w:val="20"/>
    </w:rPr>
  </w:style>
  <w:style w:type="paragraph" w:styleId="CommentSubject">
    <w:name w:val="annotation subject"/>
    <w:basedOn w:val="CommentText"/>
    <w:next w:val="CommentText"/>
    <w:link w:val="CommentSubjectChar"/>
    <w:uiPriority w:val="99"/>
    <w:semiHidden/>
    <w:unhideWhenUsed/>
    <w:rsid w:val="008D6977"/>
    <w:rPr>
      <w:b/>
      <w:bCs/>
    </w:rPr>
  </w:style>
  <w:style w:type="character" w:customStyle="1" w:styleId="CommentSubjectChar">
    <w:name w:val="Comment Subject Char"/>
    <w:basedOn w:val="CommentTextChar"/>
    <w:link w:val="CommentSubject"/>
    <w:uiPriority w:val="99"/>
    <w:semiHidden/>
    <w:rsid w:val="008D6977"/>
    <w:rPr>
      <w:b/>
      <w:bCs/>
      <w:sz w:val="20"/>
      <w:szCs w:val="20"/>
    </w:rPr>
  </w:style>
  <w:style w:type="paragraph" w:styleId="TOC3">
    <w:name w:val="toc 3"/>
    <w:basedOn w:val="Normal"/>
    <w:next w:val="Normal"/>
    <w:autoRedefine/>
    <w:uiPriority w:val="39"/>
    <w:unhideWhenUsed/>
    <w:rsid w:val="00D4333D"/>
    <w:pPr>
      <w:spacing w:after="100"/>
      <w:ind w:left="440"/>
    </w:pPr>
  </w:style>
  <w:style w:type="paragraph" w:styleId="Revision">
    <w:name w:val="Revision"/>
    <w:hidden/>
    <w:uiPriority w:val="99"/>
    <w:semiHidden/>
    <w:rsid w:val="00532EEA"/>
    <w:pPr>
      <w:spacing w:after="0" w:line="240" w:lineRule="auto"/>
    </w:pPr>
    <w:rPr>
      <w:sz w:val="22"/>
      <w:szCs w:val="22"/>
    </w:rPr>
  </w:style>
  <w:style w:type="character" w:styleId="Mention">
    <w:name w:val="Mention"/>
    <w:basedOn w:val="DefaultParagraphFont"/>
    <w:uiPriority w:val="99"/>
    <w:unhideWhenUsed/>
    <w:rsid w:val="005657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osingthegap.gov.au/national-agreement/national-agreement-closing-the-gap/6-priority-reform-areas/one"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health.gov.au/committees-and-groups/rheumatic-fever-strategy-joint-advisory-committee"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losingthegap.gov.au/national-agreement/national-agreement-closing-the-gap/6-priority-reform-areas/o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losingthegap.gov.au/national-agreement/national-agreement-closing-the-gap/6-priority-reform-areas/on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36A7B-D71A-4575-A57C-706120B24543}">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26634</Words>
  <Characters>160608</Characters>
  <Application>Microsoft Office Word</Application>
  <DocSecurity>0</DocSecurity>
  <Lines>4588</Lines>
  <Paragraphs>3821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2026-03-30T02:57:00Z</dcterms:created>
  <dcterms:modified xsi:type="dcterms:W3CDTF">2026-03-30T02:57:00Z</dcterms:modified>
</cp:coreProperties>
</file>