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rPr>
        <w:id w:val="-298152183"/>
        <w:docPartObj>
          <w:docPartGallery w:val="Cover Pages"/>
          <w:docPartUnique/>
        </w:docPartObj>
      </w:sdtPr>
      <w:sdtEndPr>
        <w:rPr>
          <w:noProof/>
        </w:rPr>
      </w:sdtEndPr>
      <w:sdtContent>
        <w:p w14:paraId="5A7F4B64" w14:textId="77777777" w:rsidR="00821DCD" w:rsidRPr="00A82FD7" w:rsidRDefault="00E90FE6" w:rsidP="004616FF">
          <w:pPr>
            <w:pStyle w:val="BodyText"/>
            <w:rPr>
              <w:rFonts w:asciiTheme="majorHAnsi" w:hAnsiTheme="majorHAnsi"/>
            </w:rPr>
          </w:pPr>
          <w:r w:rsidRPr="00E90FE6">
            <w:rPr>
              <w:rFonts w:asciiTheme="majorHAnsi" w:hAnsiTheme="majorHAnsi"/>
              <w:noProof/>
              <w:lang w:eastAsia="en-AU"/>
            </w:rPr>
            <w:drawing>
              <wp:inline distT="0" distB="0" distL="0" distR="0" wp14:anchorId="02B3DF73" wp14:editId="33D7764E">
                <wp:extent cx="6479540" cy="9167599"/>
                <wp:effectExtent l="0" t="0" r="0" b="0"/>
                <wp:docPr id="1" name="Picture 1" descr="Indigenous Procurement Policy - Indigenous participation in high value Government contracts ($7.5million or more). Guide 1 - Procuring officials and contract managers. National Indigenous Australians Agency. Employment and Economic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digenous Procurement Policy - Indigenous participation in high value Government contracts ($7.5million or more). Guide 1 - Procuring officials and contract managers. National Indigenous Australians Agency. Employment and Economic Developmen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9167599"/>
                        </a:xfrm>
                        <a:prstGeom prst="rect">
                          <a:avLst/>
                        </a:prstGeom>
                        <a:noFill/>
                        <a:ln>
                          <a:noFill/>
                        </a:ln>
                      </pic:spPr>
                    </pic:pic>
                  </a:graphicData>
                </a:graphic>
              </wp:inline>
            </w:drawing>
          </w:r>
          <w:r w:rsidR="00821DCD" w:rsidRPr="00A82FD7">
            <w:rPr>
              <w:rFonts w:asciiTheme="majorHAnsi" w:hAnsiTheme="majorHAnsi"/>
              <w:noProof/>
              <w:lang w:eastAsia="en-AU"/>
            </w:rPr>
            <mc:AlternateContent>
              <mc:Choice Requires="wps">
                <w:drawing>
                  <wp:anchor distT="0" distB="0" distL="114300" distR="114300" simplePos="0" relativeHeight="251658241" behindDoc="0" locked="1" layoutInCell="1" allowOverlap="1" wp14:anchorId="33616CE0" wp14:editId="3B9A8B6B">
                    <wp:simplePos x="0" y="0"/>
                    <wp:positionH relativeFrom="page">
                      <wp:align>right</wp:align>
                    </wp:positionH>
                    <wp:positionV relativeFrom="page">
                      <wp:align>top</wp:align>
                    </wp:positionV>
                    <wp:extent cx="108000" cy="10710000"/>
                    <wp:effectExtent l="0" t="0" r="6350" b="0"/>
                    <wp:wrapNone/>
                    <wp:docPr id="15" name="Rectangle 15"/>
                    <wp:cNvGraphicFramePr/>
                    <a:graphic xmlns:a="http://schemas.openxmlformats.org/drawingml/2006/main">
                      <a:graphicData uri="http://schemas.microsoft.com/office/word/2010/wordprocessingShape">
                        <wps:wsp>
                          <wps:cNvSpPr/>
                          <wps:spPr>
                            <a:xfrm>
                              <a:off x="0" y="0"/>
                              <a:ext cx="108000" cy="1071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1234ADF5">
                  <v:rect id="Rectangle 15" style="position:absolute;margin-left:-42.7pt;margin-top:0;width:8.5pt;height:843.3pt;z-index:25165824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1pt" w14:anchorId="2C6BF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">
                    <w10:wrap anchorx="page" anchory="page"/>
                    <w10:anchorlock/>
                  </v:rect>
                </w:pict>
              </mc:Fallback>
            </mc:AlternateContent>
          </w:r>
          <w:r w:rsidR="00821DCD" w:rsidRPr="00A82FD7">
            <w:rPr>
              <w:rFonts w:asciiTheme="majorHAnsi" w:hAnsiTheme="majorHAnsi"/>
              <w:noProof/>
              <w:lang w:eastAsia="en-AU"/>
            </w:rPr>
            <mc:AlternateContent>
              <mc:Choice Requires="wps">
                <w:drawing>
                  <wp:anchor distT="45720" distB="45720" distL="114300" distR="114300" simplePos="0" relativeHeight="251658240" behindDoc="1" locked="1" layoutInCell="1" allowOverlap="1" wp14:anchorId="32E34AA2" wp14:editId="54B2FC9F">
                    <wp:simplePos x="0" y="0"/>
                    <wp:positionH relativeFrom="page">
                      <wp:align>left</wp:align>
                    </wp:positionH>
                    <wp:positionV relativeFrom="page">
                      <wp:align>top</wp:align>
                    </wp:positionV>
                    <wp:extent cx="7559675" cy="722630"/>
                    <wp:effectExtent l="0" t="0" r="3175"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22671"/>
                            </a:xfrm>
                            <a:prstGeom prst="rect">
                              <a:avLst/>
                            </a:prstGeom>
                            <a:solidFill>
                              <a:schemeClr val="bg1"/>
                            </a:solidFill>
                            <a:ln w="9525">
                              <a:noFill/>
                              <a:miter lim="800000"/>
                              <a:headEnd/>
                              <a:tailEnd/>
                            </a:ln>
                          </wps:spPr>
                          <wps:txbx>
                            <w:txbxContent>
                              <w:p w14:paraId="33A7BE18" w14:textId="77777777" w:rsidR="00B037F4" w:rsidRPr="009B4379" w:rsidRDefault="00000000" w:rsidP="009B4379">
                                <w:pPr>
                                  <w:pStyle w:val="ProtectiveMarking"/>
                                </w:pPr>
                                <w:sdt>
                                  <w:sdtPr>
                                    <w:alias w:val="Classification"/>
                                    <w:tag w:val="Classification"/>
                                    <w:id w:val="-1304535262"/>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Content>
                                    <w:r w:rsidR="00B037F4">
                                      <w:t xml:space="preserve">     </w:t>
                                    </w:r>
                                  </w:sdtContent>
                                </w:sdt>
                              </w:p>
                            </w:txbxContent>
                          </wps:txbx>
                          <wps:bodyPr rot="0" vert="horz" wrap="square" lIns="0" tIns="360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34AA2" id="_x0000_t202" coordsize="21600,21600" o:spt="202" path="m,l,21600r21600,l21600,xe">
                    <v:stroke joinstyle="miter"/>
                    <v:path gradientshapeok="t" o:connecttype="rect"/>
                  </v:shapetype>
                  <v:shape id="Text Box 2" o:spid="_x0000_s1026" type="#_x0000_t202" style="position:absolute;margin-left:0;margin-top:0;width:595.25pt;height:56.9pt;z-index:-2516582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" fillcolor="white [3212]" stroked="f">
                    <v:textbox inset="0,10mm,0,0">
                      <w:txbxContent>
                        <w:p w14:paraId="33A7BE18" w14:textId="77777777" w:rsidR="00B037F4" w:rsidRPr="009B4379" w:rsidRDefault="00000000" w:rsidP="009B4379">
                          <w:pPr>
                            <w:pStyle w:val="ProtectiveMarking"/>
                          </w:pPr>
                          <w:sdt>
                            <w:sdtPr>
                              <w:alias w:val="Classification"/>
                              <w:tag w:val="Classification"/>
                              <w:id w:val="-1304535262"/>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Content>
                              <w:r w:rsidR="00B037F4">
                                <w:t xml:space="preserve">     </w:t>
                              </w:r>
                            </w:sdtContent>
                          </w:sdt>
                        </w:p>
                      </w:txbxContent>
                    </v:textbox>
                    <w10:wrap anchorx="page" anchory="page"/>
                    <w10:anchorlock/>
                  </v:shape>
                </w:pict>
              </mc:Fallback>
            </mc:AlternateContent>
          </w:r>
          <w:r w:rsidR="00821DCD" w:rsidRPr="00A82FD7">
            <w:rPr>
              <w:rFonts w:asciiTheme="majorHAnsi" w:hAnsiTheme="majorHAnsi"/>
              <w:noProof/>
              <w:lang w:eastAsia="en-AU"/>
            </w:rPr>
            <mc:AlternateContent>
              <mc:Choice Requires="wps">
                <w:drawing>
                  <wp:anchor distT="45720" distB="45720" distL="114300" distR="114300" simplePos="0" relativeHeight="251658242" behindDoc="1" locked="1" layoutInCell="1" allowOverlap="1" wp14:anchorId="71923C72" wp14:editId="1225D5B5">
                    <wp:simplePos x="0" y="0"/>
                    <wp:positionH relativeFrom="page">
                      <wp:posOffset>0</wp:posOffset>
                    </wp:positionH>
                    <wp:positionV relativeFrom="page">
                      <wp:posOffset>9963785</wp:posOffset>
                    </wp:positionV>
                    <wp:extent cx="7557135" cy="719455"/>
                    <wp:effectExtent l="0" t="0" r="5715" b="44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719455"/>
                            </a:xfrm>
                            <a:prstGeom prst="rect">
                              <a:avLst/>
                            </a:prstGeom>
                            <a:solidFill>
                              <a:sysClr val="window" lastClr="FFFFFF"/>
                            </a:solidFill>
                            <a:ln w="9525">
                              <a:noFill/>
                              <a:miter lim="800000"/>
                              <a:headEnd/>
                              <a:tailEnd/>
                            </a:ln>
                          </wps:spPr>
                          <wps:txbx>
                            <w:txbxContent>
                              <w:p w14:paraId="04F9E60E" w14:textId="77777777" w:rsidR="00B037F4" w:rsidRPr="00543FDE" w:rsidRDefault="00000000" w:rsidP="004616FF">
                                <w:pPr>
                                  <w:pStyle w:val="ProtectiveMarking"/>
                                </w:pPr>
                                <w:sdt>
                                  <w:sdtPr>
                                    <w:alias w:val="Classification"/>
                                    <w:tag w:val="Classification"/>
                                    <w:id w:val="1298957447"/>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Content>
                                    <w:r w:rsidR="00B037F4">
                                      <w:t xml:space="preserve">     </w:t>
                                    </w:r>
                                  </w:sdtContent>
                                </w:sdt>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923C72" id="_x0000_s1027" type="#_x0000_t202" style="position:absolute;margin-left:0;margin-top:784.55pt;width:595.05pt;height:56.65pt;z-index:-25165823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" fillcolor="window" stroked="f">
                    <v:textbox inset="0,0,0,0">
                      <w:txbxContent>
                        <w:p w14:paraId="04F9E60E" w14:textId="77777777" w:rsidR="00B037F4" w:rsidRPr="00543FDE" w:rsidRDefault="00000000" w:rsidP="004616FF">
                          <w:pPr>
                            <w:pStyle w:val="ProtectiveMarking"/>
                          </w:pPr>
                          <w:sdt>
                            <w:sdtPr>
                              <w:alias w:val="Classification"/>
                              <w:tag w:val="Classification"/>
                              <w:id w:val="1298957447"/>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Content>
                              <w:r w:rsidR="00B037F4">
                                <w:t xml:space="preserve">     </w:t>
                              </w:r>
                            </w:sdtContent>
                          </w:sdt>
                        </w:p>
                      </w:txbxContent>
                    </v:textbox>
                    <w10:wrap anchorx="page" anchory="page"/>
                    <w10:anchorlock/>
                  </v:shape>
                </w:pict>
              </mc:Fallback>
            </mc:AlternateContent>
          </w:r>
        </w:p>
        <w:p w14:paraId="607C2846" w14:textId="77777777" w:rsidR="00E90FE6" w:rsidRDefault="00000000" w:rsidP="00AF49E5">
          <w:pPr>
            <w:pStyle w:val="BodyText"/>
            <w:rPr>
              <w:rFonts w:asciiTheme="majorHAnsi" w:hAnsiTheme="majorHAnsi"/>
              <w:caps/>
            </w:rPr>
          </w:pPr>
        </w:p>
      </w:sdtContent>
    </w:sdt>
    <w:p w14:paraId="1621E351" w14:textId="77777777" w:rsidR="00852EA4" w:rsidRDefault="00852EA4" w:rsidP="00852EA4">
      <w:pPr>
        <w:pStyle w:val="Title"/>
        <w:rPr>
          <w:color w:val="25303B" w:themeColor="accent1"/>
          <w:lang w:val="en-US"/>
        </w:rPr>
      </w:pPr>
      <w:bookmarkStart w:id="0" w:name="_Toc223528521"/>
      <w:bookmarkStart w:id="1" w:name="_Toc43970016"/>
      <w:bookmarkStart w:id="2" w:name="_Toc43991956"/>
      <w:bookmarkStart w:id="3" w:name="_Toc40356273"/>
      <w:bookmarkStart w:id="4" w:name="_Toc40359727"/>
      <w:bookmarkStart w:id="5" w:name="_Toc40779363"/>
      <w:r>
        <w:rPr>
          <w:color w:val="25303B" w:themeColor="accent1"/>
          <w:lang w:val="en-US"/>
        </w:rPr>
        <w:t>Indigenous Procurement Policy</w:t>
      </w:r>
      <w:bookmarkEnd w:id="0"/>
    </w:p>
    <w:p w14:paraId="2D1A64C2" w14:textId="77777777" w:rsidR="00852EA4" w:rsidRDefault="00852EA4" w:rsidP="00852EA4">
      <w:pPr>
        <w:pStyle w:val="Subtitle"/>
        <w:rPr>
          <w:color w:val="25303B" w:themeColor="accent1"/>
          <w:lang w:val="en-US"/>
        </w:rPr>
      </w:pPr>
      <w:r>
        <w:rPr>
          <w:color w:val="25303B" w:themeColor="accent1"/>
          <w:lang w:val="en-US"/>
        </w:rPr>
        <w:t>Indigenous participation in high value Government contracts ($7.5million or more)</w:t>
      </w:r>
    </w:p>
    <w:p w14:paraId="2F3C6AE6" w14:textId="67C9AD43" w:rsidR="00852EA4" w:rsidRPr="005F0FA0" w:rsidRDefault="00852EA4" w:rsidP="0028339A">
      <w:pPr>
        <w:pStyle w:val="Guide"/>
        <w:rPr>
          <w:color w:val="004A46" w:themeColor="accent3" w:themeShade="80"/>
        </w:rPr>
      </w:pPr>
      <w:r>
        <w:t xml:space="preserve">Guide </w:t>
      </w:r>
      <w:r w:rsidR="00716929">
        <w:t xml:space="preserve">for </w:t>
      </w:r>
      <w:r w:rsidRPr="005F0FA0">
        <w:rPr>
          <w:color w:val="004A46" w:themeColor="accent3" w:themeShade="80"/>
        </w:rPr>
        <w:t>Procuring officials and contract managers</w:t>
      </w:r>
    </w:p>
    <w:p w14:paraId="3BDDC6F5" w14:textId="77777777" w:rsidR="00677139" w:rsidRPr="005F0FA0" w:rsidRDefault="00852EA4" w:rsidP="00852EA4">
      <w:pPr>
        <w:pStyle w:val="Heading3"/>
        <w:rPr>
          <w:color w:val="6E3A00" w:themeColor="accent4" w:themeShade="80"/>
        </w:rPr>
      </w:pPr>
      <w:bookmarkStart w:id="6" w:name="_Toc223528522"/>
      <w:bookmarkEnd w:id="1"/>
      <w:bookmarkEnd w:id="2"/>
      <w:r w:rsidRPr="005F0FA0">
        <w:rPr>
          <w:color w:val="6E3A00" w:themeColor="accent4" w:themeShade="80"/>
        </w:rPr>
        <w:t>Document history</w:t>
      </w:r>
      <w:bookmarkEnd w:id="6"/>
      <w:r w:rsidRPr="005F0FA0">
        <w:rPr>
          <w:color w:val="6E3A00" w:themeColor="accent4" w:themeShade="80"/>
        </w:rPr>
        <w:t xml:space="preserve"> </w:t>
      </w:r>
    </w:p>
    <w:tbl>
      <w:tblPr>
        <w:tblStyle w:val="TableGrid"/>
        <w:tblpPr w:leftFromText="180" w:rightFromText="180" w:vertAnchor="text" w:horzAnchor="margin" w:tblpY="138"/>
        <w:tblW w:w="0" w:type="auto"/>
        <w:tblLook w:val="04A0" w:firstRow="1" w:lastRow="0" w:firstColumn="1" w:lastColumn="0" w:noHBand="0" w:noVBand="1"/>
      </w:tblPr>
      <w:tblGrid>
        <w:gridCol w:w="2920"/>
        <w:gridCol w:w="3196"/>
        <w:gridCol w:w="3292"/>
      </w:tblGrid>
      <w:tr w:rsidR="00852EA4" w:rsidRPr="00A82FD7" w14:paraId="124D730B" w14:textId="77777777" w:rsidTr="00852EA4">
        <w:tc>
          <w:tcPr>
            <w:tcW w:w="2920" w:type="dxa"/>
          </w:tcPr>
          <w:p w14:paraId="462670D5" w14:textId="77777777" w:rsidR="00852EA4" w:rsidRPr="00A82FD7" w:rsidRDefault="00852EA4" w:rsidP="00852EA4">
            <w:pPr>
              <w:pStyle w:val="BodyText"/>
              <w:rPr>
                <w:rFonts w:asciiTheme="majorHAnsi" w:hAnsiTheme="majorHAnsi"/>
                <w:b/>
              </w:rPr>
            </w:pPr>
            <w:r w:rsidRPr="00A82FD7">
              <w:rPr>
                <w:rFonts w:asciiTheme="majorHAnsi" w:hAnsiTheme="majorHAnsi"/>
                <w:b/>
              </w:rPr>
              <w:t xml:space="preserve">Version </w:t>
            </w:r>
          </w:p>
        </w:tc>
        <w:tc>
          <w:tcPr>
            <w:tcW w:w="3196" w:type="dxa"/>
          </w:tcPr>
          <w:p w14:paraId="4BC36E53" w14:textId="77777777" w:rsidR="00852EA4" w:rsidRPr="00A82FD7" w:rsidRDefault="00852EA4" w:rsidP="00852EA4">
            <w:pPr>
              <w:pStyle w:val="BodyText"/>
              <w:rPr>
                <w:rFonts w:asciiTheme="majorHAnsi" w:hAnsiTheme="majorHAnsi"/>
                <w:b/>
              </w:rPr>
            </w:pPr>
            <w:r w:rsidRPr="00A82FD7">
              <w:rPr>
                <w:rFonts w:asciiTheme="majorHAnsi" w:hAnsiTheme="majorHAnsi"/>
                <w:b/>
              </w:rPr>
              <w:t>Date approved</w:t>
            </w:r>
          </w:p>
          <w:p w14:paraId="236C42EA" w14:textId="77777777" w:rsidR="00852EA4" w:rsidRPr="00A82FD7" w:rsidRDefault="00852EA4" w:rsidP="00852EA4">
            <w:pPr>
              <w:pStyle w:val="BodyText"/>
              <w:rPr>
                <w:rFonts w:asciiTheme="majorHAnsi" w:hAnsiTheme="majorHAnsi"/>
                <w:b/>
              </w:rPr>
            </w:pPr>
          </w:p>
        </w:tc>
        <w:tc>
          <w:tcPr>
            <w:tcW w:w="3292" w:type="dxa"/>
          </w:tcPr>
          <w:p w14:paraId="0B4FDFE8" w14:textId="77777777" w:rsidR="00852EA4" w:rsidRPr="00A82FD7" w:rsidRDefault="00852EA4" w:rsidP="00852EA4">
            <w:pPr>
              <w:pStyle w:val="BodyText"/>
              <w:rPr>
                <w:rFonts w:asciiTheme="majorHAnsi" w:hAnsiTheme="majorHAnsi"/>
                <w:b/>
              </w:rPr>
            </w:pPr>
            <w:r w:rsidRPr="00A82FD7">
              <w:rPr>
                <w:rFonts w:asciiTheme="majorHAnsi" w:hAnsiTheme="majorHAnsi"/>
                <w:b/>
              </w:rPr>
              <w:t>Approver</w:t>
            </w:r>
          </w:p>
        </w:tc>
      </w:tr>
      <w:tr w:rsidR="00852EA4" w:rsidRPr="00A82FD7" w14:paraId="45F4273E" w14:textId="77777777" w:rsidTr="00852EA4">
        <w:tc>
          <w:tcPr>
            <w:tcW w:w="2920" w:type="dxa"/>
          </w:tcPr>
          <w:p w14:paraId="40432378" w14:textId="77777777" w:rsidR="00852EA4" w:rsidRPr="00A82FD7" w:rsidRDefault="00852EA4" w:rsidP="00852EA4">
            <w:pPr>
              <w:pStyle w:val="BodyText"/>
              <w:rPr>
                <w:rFonts w:asciiTheme="majorHAnsi" w:hAnsiTheme="majorHAnsi"/>
              </w:rPr>
            </w:pPr>
            <w:r w:rsidRPr="00A82FD7">
              <w:rPr>
                <w:rFonts w:asciiTheme="majorHAnsi" w:hAnsiTheme="majorHAnsi"/>
              </w:rPr>
              <w:t>Version 1</w:t>
            </w:r>
          </w:p>
        </w:tc>
        <w:tc>
          <w:tcPr>
            <w:tcW w:w="3196" w:type="dxa"/>
          </w:tcPr>
          <w:p w14:paraId="6AB48E74" w14:textId="77777777" w:rsidR="00852EA4" w:rsidRPr="00A82FD7" w:rsidRDefault="00852EA4" w:rsidP="00852EA4">
            <w:pPr>
              <w:pStyle w:val="BodyText"/>
              <w:rPr>
                <w:rFonts w:asciiTheme="majorHAnsi" w:hAnsiTheme="majorHAnsi"/>
              </w:rPr>
            </w:pPr>
            <w:r>
              <w:rPr>
                <w:rFonts w:asciiTheme="majorHAnsi" w:hAnsiTheme="majorHAnsi"/>
              </w:rPr>
              <w:t xml:space="preserve">26 </w:t>
            </w:r>
            <w:r w:rsidRPr="00A82FD7">
              <w:rPr>
                <w:rFonts w:asciiTheme="majorHAnsi" w:hAnsiTheme="majorHAnsi"/>
              </w:rPr>
              <w:t>June 2020</w:t>
            </w:r>
          </w:p>
        </w:tc>
        <w:tc>
          <w:tcPr>
            <w:tcW w:w="3292" w:type="dxa"/>
          </w:tcPr>
          <w:p w14:paraId="2BC9EC81" w14:textId="77777777" w:rsidR="00852EA4" w:rsidRPr="00A82FD7" w:rsidRDefault="00852EA4" w:rsidP="00852EA4">
            <w:pPr>
              <w:pStyle w:val="BodyText"/>
              <w:rPr>
                <w:rFonts w:asciiTheme="majorHAnsi" w:hAnsiTheme="majorHAnsi"/>
              </w:rPr>
            </w:pPr>
            <w:r w:rsidRPr="00A82FD7">
              <w:rPr>
                <w:rFonts w:asciiTheme="majorHAnsi" w:hAnsiTheme="majorHAnsi"/>
              </w:rPr>
              <w:t xml:space="preserve">Neil Williams, Branch Manager Economic and Business Policy </w:t>
            </w:r>
          </w:p>
          <w:p w14:paraId="7C82EE12" w14:textId="77777777" w:rsidR="00852EA4" w:rsidRPr="00A82FD7" w:rsidRDefault="00852EA4" w:rsidP="00852EA4">
            <w:pPr>
              <w:pStyle w:val="BodyText"/>
              <w:rPr>
                <w:rFonts w:asciiTheme="majorHAnsi" w:hAnsiTheme="majorHAnsi"/>
              </w:rPr>
            </w:pPr>
          </w:p>
        </w:tc>
      </w:tr>
      <w:tr w:rsidR="00A509C9" w:rsidRPr="00A82FD7" w14:paraId="270AECD6" w14:textId="77777777" w:rsidTr="00852EA4">
        <w:tc>
          <w:tcPr>
            <w:tcW w:w="2920" w:type="dxa"/>
          </w:tcPr>
          <w:p w14:paraId="4AE4F02D" w14:textId="07AC1135" w:rsidR="00A509C9" w:rsidRPr="00A82FD7" w:rsidRDefault="00A509C9" w:rsidP="00852EA4">
            <w:pPr>
              <w:pStyle w:val="BodyText"/>
              <w:rPr>
                <w:rFonts w:asciiTheme="majorHAnsi" w:hAnsiTheme="majorHAnsi"/>
              </w:rPr>
            </w:pPr>
            <w:r>
              <w:rPr>
                <w:rFonts w:asciiTheme="majorHAnsi" w:hAnsiTheme="majorHAnsi"/>
              </w:rPr>
              <w:t>Version 2</w:t>
            </w:r>
          </w:p>
        </w:tc>
        <w:tc>
          <w:tcPr>
            <w:tcW w:w="3196" w:type="dxa"/>
          </w:tcPr>
          <w:p w14:paraId="4BDED872" w14:textId="3F08C8A5" w:rsidR="00A509C9" w:rsidRDefault="0028339A" w:rsidP="00852EA4">
            <w:pPr>
              <w:pStyle w:val="BodyText"/>
              <w:rPr>
                <w:rFonts w:asciiTheme="majorHAnsi" w:hAnsiTheme="majorHAnsi"/>
              </w:rPr>
            </w:pPr>
            <w:r>
              <w:rPr>
                <w:rFonts w:asciiTheme="majorHAnsi" w:hAnsiTheme="majorHAnsi"/>
              </w:rPr>
              <w:t>14</w:t>
            </w:r>
            <w:r w:rsidR="0060515D">
              <w:rPr>
                <w:rFonts w:asciiTheme="majorHAnsi" w:hAnsiTheme="majorHAnsi"/>
              </w:rPr>
              <w:t xml:space="preserve"> April 2026</w:t>
            </w:r>
          </w:p>
        </w:tc>
        <w:tc>
          <w:tcPr>
            <w:tcW w:w="3292" w:type="dxa"/>
          </w:tcPr>
          <w:p w14:paraId="5DFE5743" w14:textId="77777777" w:rsidR="00A509C9" w:rsidRDefault="00F14A73" w:rsidP="00852EA4">
            <w:pPr>
              <w:pStyle w:val="BodyText"/>
              <w:rPr>
                <w:rFonts w:asciiTheme="majorHAnsi" w:hAnsiTheme="majorHAnsi"/>
              </w:rPr>
            </w:pPr>
            <w:r>
              <w:rPr>
                <w:rFonts w:asciiTheme="majorHAnsi" w:hAnsiTheme="majorHAnsi"/>
              </w:rPr>
              <w:t xml:space="preserve">Shane Dexter, Branch Manager </w:t>
            </w:r>
          </w:p>
          <w:p w14:paraId="3F226F0C" w14:textId="3AC35543" w:rsidR="00F14A73" w:rsidRPr="00A82FD7" w:rsidRDefault="000643C9" w:rsidP="00852EA4">
            <w:pPr>
              <w:pStyle w:val="BodyText"/>
              <w:rPr>
                <w:rFonts w:asciiTheme="majorHAnsi" w:hAnsiTheme="majorHAnsi"/>
              </w:rPr>
            </w:pPr>
            <w:r>
              <w:rPr>
                <w:rFonts w:asciiTheme="majorHAnsi" w:hAnsiTheme="majorHAnsi"/>
              </w:rPr>
              <w:t xml:space="preserve">Business and </w:t>
            </w:r>
            <w:r w:rsidR="00F14A73">
              <w:rPr>
                <w:rFonts w:asciiTheme="majorHAnsi" w:hAnsiTheme="majorHAnsi"/>
              </w:rPr>
              <w:t xml:space="preserve">Economic Policy </w:t>
            </w:r>
          </w:p>
        </w:tc>
      </w:tr>
    </w:tbl>
    <w:p w14:paraId="4292555B" w14:textId="77777777" w:rsidR="00677139" w:rsidRDefault="00677139">
      <w:r>
        <w:br w:type="page"/>
      </w:r>
    </w:p>
    <w:p w14:paraId="02E16A1D" w14:textId="77777777" w:rsidR="00FE09D3" w:rsidRPr="00A82FD7" w:rsidRDefault="008A444A" w:rsidP="00FE09D3">
      <w:pPr>
        <w:pStyle w:val="Title"/>
      </w:pPr>
      <w:bookmarkStart w:id="7" w:name="_Toc43970017"/>
      <w:bookmarkStart w:id="8" w:name="_Toc43991957"/>
      <w:bookmarkStart w:id="9" w:name="_Toc223528523"/>
      <w:r w:rsidRPr="00A82FD7">
        <w:lastRenderedPageBreak/>
        <w:t>Indigenous P</w:t>
      </w:r>
      <w:r w:rsidR="00B71B62" w:rsidRPr="00A82FD7">
        <w:t>rocurement Policy</w:t>
      </w:r>
      <w:bookmarkEnd w:id="3"/>
      <w:bookmarkEnd w:id="4"/>
      <w:bookmarkEnd w:id="5"/>
      <w:bookmarkEnd w:id="7"/>
      <w:bookmarkEnd w:id="8"/>
      <w:bookmarkEnd w:id="9"/>
    </w:p>
    <w:p w14:paraId="1CB09D26" w14:textId="77777777" w:rsidR="00FE09D3" w:rsidRPr="005F0FA0" w:rsidRDefault="008A444A" w:rsidP="00B71B62">
      <w:pPr>
        <w:pStyle w:val="Heading3"/>
        <w:rPr>
          <w:color w:val="6E3A00" w:themeColor="accent4" w:themeShade="80"/>
        </w:rPr>
      </w:pPr>
      <w:bookmarkStart w:id="10" w:name="_Toc40356274"/>
      <w:bookmarkStart w:id="11" w:name="_Toc40359728"/>
      <w:bookmarkStart w:id="12" w:name="_Toc40779364"/>
      <w:bookmarkStart w:id="13" w:name="_Toc43970018"/>
      <w:bookmarkStart w:id="14" w:name="_Toc43991958"/>
      <w:bookmarkStart w:id="15" w:name="_Toc223528524"/>
      <w:r w:rsidRPr="005F0FA0">
        <w:rPr>
          <w:color w:val="6E3A00" w:themeColor="accent4" w:themeShade="80"/>
        </w:rPr>
        <w:t xml:space="preserve">A guide for </w:t>
      </w:r>
      <w:bookmarkEnd w:id="10"/>
      <w:bookmarkEnd w:id="11"/>
      <w:bookmarkEnd w:id="12"/>
      <w:r w:rsidR="00C10B0A" w:rsidRPr="005F0FA0">
        <w:rPr>
          <w:color w:val="6E3A00" w:themeColor="accent4" w:themeShade="80"/>
        </w:rPr>
        <w:t>p</w:t>
      </w:r>
      <w:r w:rsidR="00A372B9" w:rsidRPr="005F0FA0">
        <w:rPr>
          <w:color w:val="6E3A00" w:themeColor="accent4" w:themeShade="80"/>
        </w:rPr>
        <w:t xml:space="preserve">rocuring </w:t>
      </w:r>
      <w:r w:rsidR="00C10B0A" w:rsidRPr="005F0FA0">
        <w:rPr>
          <w:color w:val="6E3A00" w:themeColor="accent4" w:themeShade="80"/>
        </w:rPr>
        <w:t>o</w:t>
      </w:r>
      <w:r w:rsidR="00A372B9" w:rsidRPr="005F0FA0">
        <w:rPr>
          <w:color w:val="6E3A00" w:themeColor="accent4" w:themeShade="80"/>
        </w:rPr>
        <w:t xml:space="preserve">fficials and </w:t>
      </w:r>
      <w:r w:rsidR="00C10B0A" w:rsidRPr="005F0FA0">
        <w:rPr>
          <w:color w:val="6E3A00" w:themeColor="accent4" w:themeShade="80"/>
        </w:rPr>
        <w:t>c</w:t>
      </w:r>
      <w:r w:rsidR="00A372B9" w:rsidRPr="005F0FA0">
        <w:rPr>
          <w:color w:val="6E3A00" w:themeColor="accent4" w:themeShade="80"/>
        </w:rPr>
        <w:t xml:space="preserve">ontract </w:t>
      </w:r>
      <w:r w:rsidR="00C10B0A" w:rsidRPr="005F0FA0">
        <w:rPr>
          <w:color w:val="6E3A00" w:themeColor="accent4" w:themeShade="80"/>
        </w:rPr>
        <w:t>m</w:t>
      </w:r>
      <w:r w:rsidR="00A372B9" w:rsidRPr="005F0FA0">
        <w:rPr>
          <w:color w:val="6E3A00" w:themeColor="accent4" w:themeShade="80"/>
        </w:rPr>
        <w:t>anagers</w:t>
      </w:r>
      <w:bookmarkEnd w:id="13"/>
      <w:bookmarkEnd w:id="14"/>
      <w:bookmarkEnd w:id="15"/>
    </w:p>
    <w:p w14:paraId="3E8980A4" w14:textId="77777777" w:rsidR="006F79D6" w:rsidRPr="00A82FD7" w:rsidRDefault="006F79D6" w:rsidP="006F79D6">
      <w:pPr>
        <w:rPr>
          <w:rFonts w:asciiTheme="majorHAnsi" w:hAnsiTheme="majorHAnsi"/>
        </w:rPr>
      </w:pPr>
    </w:p>
    <w:p w14:paraId="3C18E926" w14:textId="77777777" w:rsidR="006F79D6" w:rsidRPr="005F0FA0" w:rsidRDefault="006F79D6" w:rsidP="006F79D6">
      <w:pPr>
        <w:pStyle w:val="EmphasisPanelHeading"/>
        <w:rPr>
          <w:color w:val="7B5200" w:themeColor="accent5" w:themeShade="80"/>
        </w:rPr>
      </w:pPr>
      <w:r w:rsidRPr="005F0FA0">
        <w:rPr>
          <w:color w:val="7B5200" w:themeColor="accent5" w:themeShade="80"/>
        </w:rPr>
        <w:t>This guide</w:t>
      </w:r>
    </w:p>
    <w:p w14:paraId="22B51AEB" w14:textId="77777777" w:rsidR="006F79D6" w:rsidRPr="00A82FD7" w:rsidRDefault="006F79D6" w:rsidP="006F79D6">
      <w:pPr>
        <w:pStyle w:val="EmphasisPanelBody"/>
        <w:rPr>
          <w:rFonts w:asciiTheme="majorHAnsi" w:hAnsiTheme="majorHAnsi"/>
        </w:rPr>
      </w:pPr>
      <w:r w:rsidRPr="00A82FD7">
        <w:rPr>
          <w:rFonts w:asciiTheme="majorHAnsi" w:hAnsiTheme="majorHAnsi"/>
        </w:rPr>
        <w:t>This guide aims to help</w:t>
      </w:r>
      <w:r w:rsidR="00B959CE" w:rsidRPr="00A82FD7">
        <w:rPr>
          <w:rFonts w:asciiTheme="majorHAnsi" w:hAnsiTheme="majorHAnsi"/>
        </w:rPr>
        <w:t xml:space="preserve"> Commonwealth</w:t>
      </w:r>
      <w:r w:rsidRPr="00A82FD7">
        <w:rPr>
          <w:rFonts w:asciiTheme="majorHAnsi" w:hAnsiTheme="majorHAnsi"/>
        </w:rPr>
        <w:t xml:space="preserve"> </w:t>
      </w:r>
      <w:r w:rsidR="00B959CE" w:rsidRPr="00A82FD7">
        <w:rPr>
          <w:rFonts w:asciiTheme="majorHAnsi" w:hAnsiTheme="majorHAnsi"/>
        </w:rPr>
        <w:t>procurement</w:t>
      </w:r>
      <w:r w:rsidR="00A372B9" w:rsidRPr="00A82FD7">
        <w:rPr>
          <w:rFonts w:asciiTheme="majorHAnsi" w:hAnsiTheme="majorHAnsi"/>
        </w:rPr>
        <w:t xml:space="preserve"> officials and contract managers</w:t>
      </w:r>
      <w:r w:rsidR="009E1352" w:rsidRPr="00A82FD7">
        <w:rPr>
          <w:rFonts w:asciiTheme="majorHAnsi" w:hAnsiTheme="majorHAnsi"/>
        </w:rPr>
        <w:t xml:space="preserve"> </w:t>
      </w:r>
      <w:r w:rsidR="000935D8" w:rsidRPr="00A82FD7">
        <w:rPr>
          <w:rFonts w:asciiTheme="majorHAnsi" w:hAnsiTheme="majorHAnsi" w:cs="Arial"/>
        </w:rPr>
        <w:t xml:space="preserve">conduct </w:t>
      </w:r>
      <w:r w:rsidRPr="00A82FD7">
        <w:rPr>
          <w:rFonts w:asciiTheme="majorHAnsi" w:hAnsiTheme="majorHAnsi" w:cs="Arial"/>
        </w:rPr>
        <w:t xml:space="preserve">procurement activities </w:t>
      </w:r>
      <w:r w:rsidR="00B959CE" w:rsidRPr="00A82FD7">
        <w:rPr>
          <w:rFonts w:asciiTheme="majorHAnsi" w:hAnsiTheme="majorHAnsi" w:cs="Arial"/>
        </w:rPr>
        <w:t>that are subject to mandatory minimum requirements (MMR) under the Indigenous Procurement Policy (IPP)</w:t>
      </w:r>
      <w:r w:rsidR="008F5F39" w:rsidRPr="00A82FD7">
        <w:rPr>
          <w:rFonts w:asciiTheme="majorHAnsi" w:hAnsiTheme="majorHAnsi" w:cs="Arial"/>
        </w:rPr>
        <w:t>.</w:t>
      </w:r>
      <w:r w:rsidR="0078442D" w:rsidRPr="00A82FD7">
        <w:rPr>
          <w:rFonts w:asciiTheme="majorHAnsi" w:hAnsiTheme="majorHAnsi"/>
        </w:rPr>
        <w:t xml:space="preserve"> </w:t>
      </w:r>
    </w:p>
    <w:p w14:paraId="18D6611F" w14:textId="77777777" w:rsidR="003425B2" w:rsidRPr="00A82FD7" w:rsidRDefault="009E1352" w:rsidP="00A6585D">
      <w:pPr>
        <w:pStyle w:val="EmphasisPanelBody"/>
        <w:rPr>
          <w:rFonts w:asciiTheme="majorHAnsi" w:hAnsiTheme="majorHAnsi"/>
        </w:rPr>
      </w:pPr>
      <w:r w:rsidRPr="00A82FD7">
        <w:rPr>
          <w:rFonts w:asciiTheme="majorHAnsi" w:hAnsiTheme="majorHAnsi"/>
        </w:rPr>
        <w:t xml:space="preserve">This is </w:t>
      </w:r>
      <w:r w:rsidR="00B959CE" w:rsidRPr="00A82FD7">
        <w:rPr>
          <w:rFonts w:asciiTheme="majorHAnsi" w:hAnsiTheme="majorHAnsi"/>
        </w:rPr>
        <w:t>one</w:t>
      </w:r>
      <w:r w:rsidR="00AD208E" w:rsidRPr="00A82FD7">
        <w:rPr>
          <w:rFonts w:asciiTheme="majorHAnsi" w:hAnsiTheme="majorHAnsi"/>
        </w:rPr>
        <w:t xml:space="preserve"> </w:t>
      </w:r>
      <w:r w:rsidR="00ED63AD" w:rsidRPr="00A82FD7">
        <w:rPr>
          <w:rFonts w:asciiTheme="majorHAnsi" w:hAnsiTheme="majorHAnsi"/>
        </w:rPr>
        <w:t xml:space="preserve">of several guidance </w:t>
      </w:r>
      <w:r w:rsidR="000935D8" w:rsidRPr="00A82FD7">
        <w:rPr>
          <w:rFonts w:asciiTheme="majorHAnsi" w:hAnsiTheme="majorHAnsi"/>
        </w:rPr>
        <w:t xml:space="preserve">documents </w:t>
      </w:r>
      <w:r w:rsidRPr="00A82FD7">
        <w:rPr>
          <w:rFonts w:asciiTheme="majorHAnsi" w:hAnsiTheme="majorHAnsi"/>
        </w:rPr>
        <w:t xml:space="preserve">designed </w:t>
      </w:r>
      <w:r w:rsidR="000935D8" w:rsidRPr="00A82FD7">
        <w:rPr>
          <w:rFonts w:asciiTheme="majorHAnsi" w:hAnsiTheme="majorHAnsi"/>
        </w:rPr>
        <w:t xml:space="preserve">to support the </w:t>
      </w:r>
      <w:r w:rsidRPr="00A82FD7">
        <w:rPr>
          <w:rFonts w:asciiTheme="majorHAnsi" w:hAnsiTheme="majorHAnsi"/>
        </w:rPr>
        <w:t xml:space="preserve">application </w:t>
      </w:r>
      <w:r w:rsidR="00B60EBD" w:rsidRPr="00A82FD7">
        <w:rPr>
          <w:rFonts w:asciiTheme="majorHAnsi" w:hAnsiTheme="majorHAnsi"/>
        </w:rPr>
        <w:t xml:space="preserve">of the </w:t>
      </w:r>
      <w:r w:rsidR="00B7565E">
        <w:rPr>
          <w:rFonts w:asciiTheme="majorHAnsi" w:hAnsiTheme="majorHAnsi"/>
        </w:rPr>
        <w:t xml:space="preserve">MMR </w:t>
      </w:r>
      <w:r w:rsidR="00B60EBD" w:rsidRPr="00A82FD7">
        <w:rPr>
          <w:rFonts w:asciiTheme="majorHAnsi" w:hAnsiTheme="majorHAnsi"/>
        </w:rPr>
        <w:t xml:space="preserve">to </w:t>
      </w:r>
      <w:r w:rsidR="00B959CE" w:rsidRPr="00A82FD7">
        <w:rPr>
          <w:rFonts w:asciiTheme="majorHAnsi" w:hAnsiTheme="majorHAnsi"/>
        </w:rPr>
        <w:t>high value contracts at each stage</w:t>
      </w:r>
      <w:r w:rsidR="003425B2" w:rsidRPr="00A82FD7">
        <w:rPr>
          <w:rFonts w:asciiTheme="majorHAnsi" w:hAnsiTheme="majorHAnsi"/>
        </w:rPr>
        <w:t xml:space="preserve"> of the procurement </w:t>
      </w:r>
      <w:proofErr w:type="gramStart"/>
      <w:r w:rsidR="003425B2" w:rsidRPr="00A82FD7">
        <w:rPr>
          <w:rFonts w:asciiTheme="majorHAnsi" w:hAnsiTheme="majorHAnsi"/>
        </w:rPr>
        <w:t>life-</w:t>
      </w:r>
      <w:r w:rsidR="003F60B9" w:rsidRPr="00A82FD7">
        <w:rPr>
          <w:rFonts w:asciiTheme="majorHAnsi" w:hAnsiTheme="majorHAnsi"/>
        </w:rPr>
        <w:t>cycle</w:t>
      </w:r>
      <w:proofErr w:type="gramEnd"/>
      <w:r w:rsidR="000935D8" w:rsidRPr="00A82FD7">
        <w:rPr>
          <w:rFonts w:asciiTheme="majorHAnsi" w:hAnsiTheme="majorHAnsi"/>
        </w:rPr>
        <w:t>.</w:t>
      </w:r>
      <w:r w:rsidR="00B704CB" w:rsidRPr="00A82FD7">
        <w:rPr>
          <w:rFonts w:asciiTheme="majorHAnsi" w:hAnsiTheme="majorHAnsi"/>
        </w:rPr>
        <w:t xml:space="preserve"> </w:t>
      </w:r>
    </w:p>
    <w:p w14:paraId="73589B21" w14:textId="77777777" w:rsidR="00A6585D" w:rsidRPr="00A82FD7" w:rsidRDefault="00B704CB" w:rsidP="00A6585D">
      <w:pPr>
        <w:pStyle w:val="EmphasisPanelBody"/>
        <w:rPr>
          <w:rFonts w:asciiTheme="majorHAnsi" w:hAnsiTheme="majorHAnsi"/>
        </w:rPr>
      </w:pPr>
      <w:r w:rsidRPr="00A82FD7">
        <w:rPr>
          <w:rFonts w:asciiTheme="majorHAnsi" w:hAnsiTheme="majorHAnsi"/>
        </w:rPr>
        <w:t>These documents should be read in conjunction with the IPP’s overarching policy document – the Indigenous Procurement Policy</w:t>
      </w:r>
      <w:r w:rsidR="00A1688E" w:rsidRPr="00A82FD7">
        <w:rPr>
          <w:rFonts w:asciiTheme="majorHAnsi" w:hAnsiTheme="majorHAnsi"/>
        </w:rPr>
        <w:t>.</w:t>
      </w:r>
    </w:p>
    <w:p w14:paraId="29443C06" w14:textId="77777777" w:rsidR="00A6585D" w:rsidRPr="00A82FD7" w:rsidRDefault="000935D8" w:rsidP="00A6585D">
      <w:pPr>
        <w:pStyle w:val="EmphasisPanelBody"/>
        <w:rPr>
          <w:rFonts w:asciiTheme="majorHAnsi" w:hAnsiTheme="majorHAnsi"/>
        </w:rPr>
      </w:pPr>
      <w:r w:rsidRPr="00A82FD7">
        <w:rPr>
          <w:rFonts w:asciiTheme="majorHAnsi" w:hAnsiTheme="majorHAnsi"/>
        </w:rPr>
        <w:t>Further i</w:t>
      </w:r>
      <w:r w:rsidR="009E1352" w:rsidRPr="00A82FD7">
        <w:rPr>
          <w:rFonts w:asciiTheme="majorHAnsi" w:hAnsiTheme="majorHAnsi"/>
        </w:rPr>
        <w:t>nformatio</w:t>
      </w:r>
      <w:r w:rsidR="004223A0" w:rsidRPr="00A82FD7">
        <w:rPr>
          <w:rFonts w:asciiTheme="majorHAnsi" w:hAnsiTheme="majorHAnsi"/>
        </w:rPr>
        <w:t>n</w:t>
      </w:r>
      <w:r w:rsidR="00B704CB" w:rsidRPr="00A82FD7">
        <w:rPr>
          <w:rFonts w:asciiTheme="majorHAnsi" w:hAnsiTheme="majorHAnsi"/>
        </w:rPr>
        <w:t xml:space="preserve"> </w:t>
      </w:r>
      <w:r w:rsidR="009E1352" w:rsidRPr="00A82FD7">
        <w:rPr>
          <w:rFonts w:asciiTheme="majorHAnsi" w:hAnsiTheme="majorHAnsi"/>
        </w:rPr>
        <w:t xml:space="preserve">is </w:t>
      </w:r>
      <w:r w:rsidR="00A6585D" w:rsidRPr="00A82FD7">
        <w:rPr>
          <w:rFonts w:asciiTheme="majorHAnsi" w:hAnsiTheme="majorHAnsi"/>
        </w:rPr>
        <w:t xml:space="preserve">available </w:t>
      </w:r>
      <w:r w:rsidRPr="00A82FD7">
        <w:rPr>
          <w:rFonts w:asciiTheme="majorHAnsi" w:hAnsiTheme="majorHAnsi"/>
        </w:rPr>
        <w:t>o</w:t>
      </w:r>
      <w:r w:rsidR="00F64BA3" w:rsidRPr="00A82FD7">
        <w:rPr>
          <w:rFonts w:asciiTheme="majorHAnsi" w:hAnsiTheme="majorHAnsi"/>
        </w:rPr>
        <w:t>n</w:t>
      </w:r>
      <w:r w:rsidR="00A6585D" w:rsidRPr="00A82FD7">
        <w:rPr>
          <w:rFonts w:asciiTheme="majorHAnsi" w:hAnsiTheme="majorHAnsi"/>
        </w:rPr>
        <w:t xml:space="preserve"> the </w:t>
      </w:r>
      <w:hyperlink r:id="rId10" w:history="1">
        <w:r w:rsidR="00A6585D" w:rsidRPr="005F0FA0">
          <w:rPr>
            <w:rStyle w:val="Hyperlink"/>
            <w:rFonts w:asciiTheme="majorHAnsi" w:hAnsiTheme="majorHAnsi"/>
            <w:color w:val="015E8A" w:themeColor="text2" w:themeTint="E6"/>
          </w:rPr>
          <w:t>NIAA website</w:t>
        </w:r>
      </w:hyperlink>
    </w:p>
    <w:p w14:paraId="39BF6F8C" w14:textId="77777777" w:rsidR="00B03BA9" w:rsidRPr="005F0FA0" w:rsidRDefault="00B704CB" w:rsidP="00B03BA9">
      <w:pPr>
        <w:pStyle w:val="Heading3"/>
        <w:rPr>
          <w:color w:val="6E3A00" w:themeColor="accent4" w:themeShade="80"/>
        </w:rPr>
      </w:pPr>
      <w:bookmarkStart w:id="16" w:name="_Toc40356275"/>
      <w:bookmarkStart w:id="17" w:name="_Toc40359729"/>
      <w:bookmarkStart w:id="18" w:name="_Toc40779365"/>
      <w:bookmarkStart w:id="19" w:name="_Toc43970019"/>
      <w:bookmarkStart w:id="20" w:name="_Toc43991959"/>
      <w:bookmarkStart w:id="21" w:name="_Toc223528525"/>
      <w:r w:rsidRPr="005F0FA0">
        <w:rPr>
          <w:color w:val="6E3A00" w:themeColor="accent4" w:themeShade="80"/>
        </w:rPr>
        <w:t>IPP Policy Framework</w:t>
      </w:r>
      <w:bookmarkEnd w:id="16"/>
      <w:bookmarkEnd w:id="17"/>
      <w:bookmarkEnd w:id="18"/>
      <w:bookmarkEnd w:id="19"/>
      <w:bookmarkEnd w:id="20"/>
      <w:bookmarkEnd w:id="21"/>
    </w:p>
    <w:p w14:paraId="00271EA3" w14:textId="77777777" w:rsidR="003F60B9" w:rsidRPr="00A82FD7" w:rsidRDefault="003F60B9" w:rsidP="00D440EA">
      <w:pPr>
        <w:pStyle w:val="BodyText"/>
        <w:rPr>
          <w:rFonts w:asciiTheme="majorHAnsi" w:hAnsiTheme="majorHAnsi"/>
        </w:rPr>
      </w:pPr>
      <w:r w:rsidRPr="00A82FD7">
        <w:rPr>
          <w:rFonts w:asciiTheme="majorHAnsi" w:hAnsiTheme="majorHAnsi"/>
          <w:noProof/>
          <w:lang w:eastAsia="en-AU"/>
        </w:rPr>
        <mc:AlternateContent>
          <mc:Choice Requires="wps">
            <w:drawing>
              <wp:anchor distT="0" distB="0" distL="114300" distR="114300" simplePos="0" relativeHeight="251658243" behindDoc="0" locked="0" layoutInCell="1" allowOverlap="1" wp14:anchorId="508430A2" wp14:editId="7A4A934F">
                <wp:simplePos x="0" y="0"/>
                <wp:positionH relativeFrom="column">
                  <wp:posOffset>78740</wp:posOffset>
                </wp:positionH>
                <wp:positionV relativeFrom="paragraph">
                  <wp:posOffset>96520</wp:posOffset>
                </wp:positionV>
                <wp:extent cx="5819775" cy="52387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5819775"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3BD59A" w14:textId="77777777" w:rsidR="00B037F4" w:rsidRPr="00D440EA" w:rsidRDefault="00B037F4" w:rsidP="00D440EA">
                            <w:pPr>
                              <w:jc w:val="center"/>
                              <w:rPr>
                                <w:color w:val="FFFFFF" w:themeColor="background1"/>
                                <w:sz w:val="36"/>
                                <w:szCs w:val="36"/>
                              </w:rPr>
                            </w:pPr>
                            <w:r w:rsidRPr="00D440EA">
                              <w:rPr>
                                <w:color w:val="FFFFFF" w:themeColor="background1"/>
                                <w:sz w:val="36"/>
                                <w:szCs w:val="36"/>
                              </w:rPr>
                              <w:t xml:space="preserve">Indigenous Procurement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8430A2" id="Rounded Rectangle 7" o:spid="_x0000_s1028" style="position:absolute;margin-left:6.2pt;margin-top:7.6pt;width:458.25pt;height:41.25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" fillcolor="#25303b [3204]" strokecolor="#12171d [1604]" strokeweight="1pt">
                <v:stroke joinstyle="miter"/>
                <v:textbox>
                  <w:txbxContent>
                    <w:p w14:paraId="203BD59A" w14:textId="77777777" w:rsidR="00B037F4" w:rsidRPr="00D440EA" w:rsidRDefault="00B037F4" w:rsidP="00D440EA">
                      <w:pPr>
                        <w:jc w:val="center"/>
                        <w:rPr>
                          <w:color w:val="FFFFFF" w:themeColor="background1"/>
                          <w:sz w:val="36"/>
                          <w:szCs w:val="36"/>
                        </w:rPr>
                      </w:pPr>
                      <w:r w:rsidRPr="00D440EA">
                        <w:rPr>
                          <w:color w:val="FFFFFF" w:themeColor="background1"/>
                          <w:sz w:val="36"/>
                          <w:szCs w:val="36"/>
                        </w:rPr>
                        <w:t xml:space="preserve">Indigenous Procurement Policy </w:t>
                      </w:r>
                    </w:p>
                  </w:txbxContent>
                </v:textbox>
              </v:roundrect>
            </w:pict>
          </mc:Fallback>
        </mc:AlternateContent>
      </w:r>
    </w:p>
    <w:p w14:paraId="77CEFF58" w14:textId="77777777" w:rsidR="003F60B9" w:rsidRPr="00A82FD7" w:rsidRDefault="003F60B9" w:rsidP="00D440EA">
      <w:pPr>
        <w:pStyle w:val="BodyText"/>
        <w:rPr>
          <w:rFonts w:asciiTheme="majorHAnsi" w:hAnsiTheme="majorHAnsi"/>
        </w:rPr>
      </w:pPr>
    </w:p>
    <w:p w14:paraId="5B26D2A6" w14:textId="77777777" w:rsidR="003F60B9" w:rsidRPr="00A82FD7" w:rsidRDefault="003F60B9" w:rsidP="00D440EA">
      <w:pPr>
        <w:pStyle w:val="BodyText"/>
        <w:rPr>
          <w:rFonts w:asciiTheme="majorHAnsi" w:hAnsiTheme="majorHAnsi"/>
        </w:rPr>
      </w:pPr>
    </w:p>
    <w:p w14:paraId="7B6BFFF2" w14:textId="77777777" w:rsidR="00A6585D" w:rsidRPr="00A82FD7" w:rsidRDefault="003F60B9" w:rsidP="00D440EA">
      <w:pPr>
        <w:pStyle w:val="BodyText"/>
        <w:rPr>
          <w:rFonts w:asciiTheme="majorHAnsi" w:hAnsiTheme="majorHAnsi" w:cs="Arial"/>
        </w:rPr>
      </w:pPr>
      <w:r w:rsidRPr="00A82FD7">
        <w:rPr>
          <w:rFonts w:asciiTheme="majorHAnsi" w:hAnsiTheme="majorHAnsi"/>
          <w:noProof/>
          <w:lang w:eastAsia="en-AU"/>
        </w:rPr>
        <w:drawing>
          <wp:inline distT="0" distB="0" distL="0" distR="0" wp14:anchorId="1A024373" wp14:editId="6090AD87">
            <wp:extent cx="5486400" cy="3200400"/>
            <wp:effectExtent l="0" t="0" r="0" b="0"/>
            <wp:docPr id="6" name="Diagram 6" descr="IPP Policy Framework - Indigenous Procurement Policy. Guide for Procuring officials and contract managers - Guide for Potential Suppliers - Guide to use the IPP Reporting Solution.&#10;&#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946D85A" w14:textId="77777777" w:rsidR="005B43E4" w:rsidRPr="00A82FD7" w:rsidRDefault="005B43E4">
      <w:pPr>
        <w:rPr>
          <w:rFonts w:asciiTheme="majorHAnsi" w:hAnsiTheme="majorHAnsi" w:cs="Arial"/>
        </w:rPr>
      </w:pPr>
    </w:p>
    <w:p w14:paraId="2DE6F533" w14:textId="77777777" w:rsidR="005B43E4" w:rsidRPr="00A82FD7" w:rsidRDefault="005B43E4" w:rsidP="005B43E4">
      <w:pPr>
        <w:pStyle w:val="Heading2"/>
      </w:pPr>
      <w:bookmarkStart w:id="22" w:name="_Toc40356276"/>
      <w:bookmarkStart w:id="23" w:name="_Toc40359730"/>
      <w:bookmarkStart w:id="24" w:name="_Toc40779366"/>
      <w:bookmarkStart w:id="25" w:name="_Toc43970020"/>
      <w:bookmarkStart w:id="26" w:name="_Toc43991960"/>
      <w:bookmarkStart w:id="27" w:name="_Toc223528526"/>
      <w:r w:rsidRPr="00A82FD7">
        <w:lastRenderedPageBreak/>
        <w:t>Table of contents</w:t>
      </w:r>
      <w:bookmarkEnd w:id="22"/>
      <w:bookmarkEnd w:id="23"/>
      <w:bookmarkEnd w:id="24"/>
      <w:bookmarkEnd w:id="25"/>
      <w:bookmarkEnd w:id="26"/>
      <w:bookmarkEnd w:id="27"/>
    </w:p>
    <w:sdt>
      <w:sdtPr>
        <w:rPr>
          <w:rFonts w:asciiTheme="majorHAnsi" w:hAnsiTheme="majorHAnsi"/>
        </w:rPr>
        <w:id w:val="1873111714"/>
        <w:docPartObj>
          <w:docPartGallery w:val="Table of Contents"/>
          <w:docPartUnique/>
        </w:docPartObj>
      </w:sdtPr>
      <w:sdtEndPr>
        <w:rPr>
          <w:b/>
          <w:bCs/>
          <w:noProof/>
        </w:rPr>
      </w:sdtEndPr>
      <w:sdtContent>
        <w:p w14:paraId="302A7150" w14:textId="3FA1652D" w:rsidR="00C15C1E" w:rsidRDefault="005B43E4">
          <w:pPr>
            <w:pStyle w:val="TOC1"/>
            <w:rPr>
              <w:rFonts w:eastAsiaTheme="minorEastAsia"/>
              <w:noProof/>
              <w:color w:val="auto"/>
              <w:kern w:val="2"/>
              <w:sz w:val="24"/>
              <w:szCs w:val="24"/>
              <w:lang w:eastAsia="en-AU"/>
              <w14:ligatures w14:val="standardContextual"/>
            </w:rPr>
          </w:pPr>
          <w:r w:rsidRPr="00D45C29">
            <w:rPr>
              <w:rFonts w:asciiTheme="majorHAnsi" w:hAnsiTheme="majorHAnsi"/>
              <w:sz w:val="18"/>
              <w:szCs w:val="18"/>
            </w:rPr>
            <w:fldChar w:fldCharType="begin"/>
          </w:r>
          <w:r w:rsidRPr="00D45C29">
            <w:rPr>
              <w:rFonts w:asciiTheme="majorHAnsi" w:hAnsiTheme="majorHAnsi"/>
              <w:sz w:val="18"/>
              <w:szCs w:val="18"/>
            </w:rPr>
            <w:instrText xml:space="preserve"> TOC \o "1-3" \h \z \u </w:instrText>
          </w:r>
          <w:r w:rsidRPr="00D45C29">
            <w:rPr>
              <w:rFonts w:asciiTheme="majorHAnsi" w:hAnsiTheme="majorHAnsi"/>
              <w:sz w:val="18"/>
              <w:szCs w:val="18"/>
            </w:rPr>
            <w:fldChar w:fldCharType="separate"/>
          </w:r>
          <w:hyperlink w:anchor="_Toc223528521" w:history="1">
            <w:r w:rsidR="00C15C1E" w:rsidRPr="005F0FA0">
              <w:rPr>
                <w:rStyle w:val="Hyperlink"/>
                <w:noProof/>
                <w:color w:val="auto"/>
                <w:lang w:val="en-US"/>
              </w:rPr>
              <w:t>Indigenous Procurement Policy</w:t>
            </w:r>
            <w:r w:rsidR="00C15C1E">
              <w:rPr>
                <w:noProof/>
                <w:webHidden/>
              </w:rPr>
              <w:tab/>
            </w:r>
            <w:r w:rsidR="00C15C1E">
              <w:rPr>
                <w:noProof/>
                <w:webHidden/>
              </w:rPr>
              <w:fldChar w:fldCharType="begin"/>
            </w:r>
            <w:r w:rsidR="00C15C1E">
              <w:rPr>
                <w:noProof/>
                <w:webHidden/>
              </w:rPr>
              <w:instrText xml:space="preserve"> PAGEREF _Toc223528521 \h </w:instrText>
            </w:r>
            <w:r w:rsidR="00C15C1E">
              <w:rPr>
                <w:noProof/>
                <w:webHidden/>
              </w:rPr>
            </w:r>
            <w:r w:rsidR="00C15C1E">
              <w:rPr>
                <w:noProof/>
                <w:webHidden/>
              </w:rPr>
              <w:fldChar w:fldCharType="separate"/>
            </w:r>
            <w:r w:rsidR="00F93243">
              <w:rPr>
                <w:noProof/>
                <w:webHidden/>
              </w:rPr>
              <w:t>2</w:t>
            </w:r>
            <w:r w:rsidR="00C15C1E">
              <w:rPr>
                <w:noProof/>
                <w:webHidden/>
              </w:rPr>
              <w:fldChar w:fldCharType="end"/>
            </w:r>
          </w:hyperlink>
        </w:p>
        <w:p w14:paraId="6749D3B7" w14:textId="7F3B12E6" w:rsidR="00C15C1E" w:rsidRDefault="00C15C1E">
          <w:pPr>
            <w:pStyle w:val="TOC3"/>
            <w:rPr>
              <w:rFonts w:eastAsiaTheme="minorEastAsia"/>
              <w:noProof/>
              <w:color w:val="auto"/>
              <w:kern w:val="2"/>
              <w:sz w:val="24"/>
              <w:szCs w:val="24"/>
              <w:lang w:eastAsia="en-AU"/>
              <w14:ligatures w14:val="standardContextual"/>
            </w:rPr>
          </w:pPr>
          <w:hyperlink w:anchor="_Toc223528522" w:history="1">
            <w:r w:rsidRPr="005F0FA0">
              <w:rPr>
                <w:rStyle w:val="Hyperlink"/>
                <w:noProof/>
                <w:color w:val="auto"/>
              </w:rPr>
              <w:t>Document history</w:t>
            </w:r>
            <w:r>
              <w:rPr>
                <w:noProof/>
                <w:webHidden/>
              </w:rPr>
              <w:tab/>
            </w:r>
            <w:r>
              <w:rPr>
                <w:noProof/>
                <w:webHidden/>
              </w:rPr>
              <w:fldChar w:fldCharType="begin"/>
            </w:r>
            <w:r>
              <w:rPr>
                <w:noProof/>
                <w:webHidden/>
              </w:rPr>
              <w:instrText xml:space="preserve"> PAGEREF _Toc223528522 \h </w:instrText>
            </w:r>
            <w:r>
              <w:rPr>
                <w:noProof/>
                <w:webHidden/>
              </w:rPr>
            </w:r>
            <w:r>
              <w:rPr>
                <w:noProof/>
                <w:webHidden/>
              </w:rPr>
              <w:fldChar w:fldCharType="separate"/>
            </w:r>
            <w:r w:rsidR="00F93243">
              <w:rPr>
                <w:noProof/>
                <w:webHidden/>
              </w:rPr>
              <w:t>2</w:t>
            </w:r>
            <w:r>
              <w:rPr>
                <w:noProof/>
                <w:webHidden/>
              </w:rPr>
              <w:fldChar w:fldCharType="end"/>
            </w:r>
          </w:hyperlink>
        </w:p>
        <w:p w14:paraId="164C0287" w14:textId="73FF34B2" w:rsidR="00C15C1E" w:rsidRDefault="00C15C1E">
          <w:pPr>
            <w:pStyle w:val="TOC1"/>
            <w:rPr>
              <w:rFonts w:eastAsiaTheme="minorEastAsia"/>
              <w:noProof/>
              <w:color w:val="auto"/>
              <w:kern w:val="2"/>
              <w:sz w:val="24"/>
              <w:szCs w:val="24"/>
              <w:lang w:eastAsia="en-AU"/>
              <w14:ligatures w14:val="standardContextual"/>
            </w:rPr>
          </w:pPr>
          <w:hyperlink w:anchor="_Toc223528523" w:history="1">
            <w:r w:rsidRPr="005F0FA0">
              <w:rPr>
                <w:rStyle w:val="Hyperlink"/>
                <w:noProof/>
                <w:color w:val="auto"/>
              </w:rPr>
              <w:t>Indigenous Procurement Policy</w:t>
            </w:r>
            <w:r>
              <w:rPr>
                <w:noProof/>
                <w:webHidden/>
              </w:rPr>
              <w:tab/>
            </w:r>
            <w:r>
              <w:rPr>
                <w:noProof/>
                <w:webHidden/>
              </w:rPr>
              <w:fldChar w:fldCharType="begin"/>
            </w:r>
            <w:r>
              <w:rPr>
                <w:noProof/>
                <w:webHidden/>
              </w:rPr>
              <w:instrText xml:space="preserve"> PAGEREF _Toc223528523 \h </w:instrText>
            </w:r>
            <w:r>
              <w:rPr>
                <w:noProof/>
                <w:webHidden/>
              </w:rPr>
            </w:r>
            <w:r>
              <w:rPr>
                <w:noProof/>
                <w:webHidden/>
              </w:rPr>
              <w:fldChar w:fldCharType="separate"/>
            </w:r>
            <w:r w:rsidR="00F93243">
              <w:rPr>
                <w:noProof/>
                <w:webHidden/>
              </w:rPr>
              <w:t>3</w:t>
            </w:r>
            <w:r>
              <w:rPr>
                <w:noProof/>
                <w:webHidden/>
              </w:rPr>
              <w:fldChar w:fldCharType="end"/>
            </w:r>
          </w:hyperlink>
        </w:p>
        <w:p w14:paraId="7D09AFDC" w14:textId="1D1306B0" w:rsidR="00C15C1E" w:rsidRDefault="00C15C1E">
          <w:pPr>
            <w:pStyle w:val="TOC3"/>
            <w:rPr>
              <w:rFonts w:eastAsiaTheme="minorEastAsia"/>
              <w:noProof/>
              <w:color w:val="auto"/>
              <w:kern w:val="2"/>
              <w:sz w:val="24"/>
              <w:szCs w:val="24"/>
              <w:lang w:eastAsia="en-AU"/>
              <w14:ligatures w14:val="standardContextual"/>
            </w:rPr>
          </w:pPr>
          <w:hyperlink w:anchor="_Toc223528524" w:history="1">
            <w:r w:rsidRPr="005F0FA0">
              <w:rPr>
                <w:rStyle w:val="Hyperlink"/>
                <w:noProof/>
                <w:color w:val="auto"/>
              </w:rPr>
              <w:t>A guide for procuring officials and contract managers</w:t>
            </w:r>
            <w:r>
              <w:rPr>
                <w:noProof/>
                <w:webHidden/>
              </w:rPr>
              <w:tab/>
            </w:r>
            <w:r>
              <w:rPr>
                <w:noProof/>
                <w:webHidden/>
              </w:rPr>
              <w:fldChar w:fldCharType="begin"/>
            </w:r>
            <w:r>
              <w:rPr>
                <w:noProof/>
                <w:webHidden/>
              </w:rPr>
              <w:instrText xml:space="preserve"> PAGEREF _Toc223528524 \h </w:instrText>
            </w:r>
            <w:r>
              <w:rPr>
                <w:noProof/>
                <w:webHidden/>
              </w:rPr>
            </w:r>
            <w:r>
              <w:rPr>
                <w:noProof/>
                <w:webHidden/>
              </w:rPr>
              <w:fldChar w:fldCharType="separate"/>
            </w:r>
            <w:r w:rsidR="00F93243">
              <w:rPr>
                <w:noProof/>
                <w:webHidden/>
              </w:rPr>
              <w:t>3</w:t>
            </w:r>
            <w:r>
              <w:rPr>
                <w:noProof/>
                <w:webHidden/>
              </w:rPr>
              <w:fldChar w:fldCharType="end"/>
            </w:r>
          </w:hyperlink>
        </w:p>
        <w:p w14:paraId="77AC7B50" w14:textId="5FA79FF1" w:rsidR="00C15C1E" w:rsidRDefault="00C15C1E">
          <w:pPr>
            <w:pStyle w:val="TOC3"/>
            <w:rPr>
              <w:rFonts w:eastAsiaTheme="minorEastAsia"/>
              <w:noProof/>
              <w:color w:val="auto"/>
              <w:kern w:val="2"/>
              <w:sz w:val="24"/>
              <w:szCs w:val="24"/>
              <w:lang w:eastAsia="en-AU"/>
              <w14:ligatures w14:val="standardContextual"/>
            </w:rPr>
          </w:pPr>
          <w:hyperlink w:anchor="_Toc223528525" w:history="1">
            <w:r w:rsidRPr="005F0FA0">
              <w:rPr>
                <w:rStyle w:val="Hyperlink"/>
                <w:noProof/>
                <w:color w:val="auto"/>
              </w:rPr>
              <w:t>IPP Policy Framework</w:t>
            </w:r>
            <w:r>
              <w:rPr>
                <w:noProof/>
                <w:webHidden/>
              </w:rPr>
              <w:tab/>
            </w:r>
            <w:r>
              <w:rPr>
                <w:noProof/>
                <w:webHidden/>
              </w:rPr>
              <w:fldChar w:fldCharType="begin"/>
            </w:r>
            <w:r>
              <w:rPr>
                <w:noProof/>
                <w:webHidden/>
              </w:rPr>
              <w:instrText xml:space="preserve"> PAGEREF _Toc223528525 \h </w:instrText>
            </w:r>
            <w:r>
              <w:rPr>
                <w:noProof/>
                <w:webHidden/>
              </w:rPr>
            </w:r>
            <w:r>
              <w:rPr>
                <w:noProof/>
                <w:webHidden/>
              </w:rPr>
              <w:fldChar w:fldCharType="separate"/>
            </w:r>
            <w:r w:rsidR="00F93243">
              <w:rPr>
                <w:noProof/>
                <w:webHidden/>
              </w:rPr>
              <w:t>3</w:t>
            </w:r>
            <w:r>
              <w:rPr>
                <w:noProof/>
                <w:webHidden/>
              </w:rPr>
              <w:fldChar w:fldCharType="end"/>
            </w:r>
          </w:hyperlink>
        </w:p>
        <w:p w14:paraId="2F039796" w14:textId="0A7075DC" w:rsidR="00C15C1E" w:rsidRDefault="00C15C1E">
          <w:pPr>
            <w:pStyle w:val="TOC2"/>
            <w:rPr>
              <w:rFonts w:eastAsiaTheme="minorEastAsia"/>
              <w:noProof/>
              <w:color w:val="auto"/>
              <w:kern w:val="2"/>
              <w:sz w:val="24"/>
              <w:szCs w:val="24"/>
              <w:lang w:eastAsia="en-AU"/>
              <w14:ligatures w14:val="standardContextual"/>
            </w:rPr>
          </w:pPr>
          <w:hyperlink w:anchor="_Toc223528526" w:history="1">
            <w:r w:rsidRPr="005F0FA0">
              <w:rPr>
                <w:rStyle w:val="Hyperlink"/>
                <w:noProof/>
                <w:color w:val="auto"/>
              </w:rPr>
              <w:t>Table of contents</w:t>
            </w:r>
            <w:r>
              <w:rPr>
                <w:noProof/>
                <w:webHidden/>
              </w:rPr>
              <w:tab/>
            </w:r>
            <w:r>
              <w:rPr>
                <w:noProof/>
                <w:webHidden/>
              </w:rPr>
              <w:fldChar w:fldCharType="begin"/>
            </w:r>
            <w:r>
              <w:rPr>
                <w:noProof/>
                <w:webHidden/>
              </w:rPr>
              <w:instrText xml:space="preserve"> PAGEREF _Toc223528526 \h </w:instrText>
            </w:r>
            <w:r>
              <w:rPr>
                <w:noProof/>
                <w:webHidden/>
              </w:rPr>
            </w:r>
            <w:r>
              <w:rPr>
                <w:noProof/>
                <w:webHidden/>
              </w:rPr>
              <w:fldChar w:fldCharType="separate"/>
            </w:r>
            <w:r w:rsidR="00F93243">
              <w:rPr>
                <w:noProof/>
                <w:webHidden/>
              </w:rPr>
              <w:t>4</w:t>
            </w:r>
            <w:r>
              <w:rPr>
                <w:noProof/>
                <w:webHidden/>
              </w:rPr>
              <w:fldChar w:fldCharType="end"/>
            </w:r>
          </w:hyperlink>
        </w:p>
        <w:p w14:paraId="37DB2225" w14:textId="059BA127" w:rsidR="00C15C1E" w:rsidRDefault="00C15C1E">
          <w:pPr>
            <w:pStyle w:val="TOC2"/>
            <w:rPr>
              <w:rFonts w:eastAsiaTheme="minorEastAsia"/>
              <w:noProof/>
              <w:color w:val="auto"/>
              <w:kern w:val="2"/>
              <w:sz w:val="24"/>
              <w:szCs w:val="24"/>
              <w:lang w:eastAsia="en-AU"/>
              <w14:ligatures w14:val="standardContextual"/>
            </w:rPr>
          </w:pPr>
          <w:hyperlink w:anchor="_Toc223528527" w:history="1">
            <w:r w:rsidRPr="005F0FA0">
              <w:rPr>
                <w:rStyle w:val="Hyperlink"/>
                <w:noProof/>
                <w:color w:val="auto"/>
              </w:rPr>
              <w:t>Glossary</w:t>
            </w:r>
            <w:r>
              <w:rPr>
                <w:noProof/>
                <w:webHidden/>
              </w:rPr>
              <w:tab/>
            </w:r>
            <w:r>
              <w:rPr>
                <w:noProof/>
                <w:webHidden/>
              </w:rPr>
              <w:fldChar w:fldCharType="begin"/>
            </w:r>
            <w:r>
              <w:rPr>
                <w:noProof/>
                <w:webHidden/>
              </w:rPr>
              <w:instrText xml:space="preserve"> PAGEREF _Toc223528527 \h </w:instrText>
            </w:r>
            <w:r>
              <w:rPr>
                <w:noProof/>
                <w:webHidden/>
              </w:rPr>
            </w:r>
            <w:r>
              <w:rPr>
                <w:noProof/>
                <w:webHidden/>
              </w:rPr>
              <w:fldChar w:fldCharType="separate"/>
            </w:r>
            <w:r w:rsidR="00F93243">
              <w:rPr>
                <w:noProof/>
                <w:webHidden/>
              </w:rPr>
              <w:t>5</w:t>
            </w:r>
            <w:r>
              <w:rPr>
                <w:noProof/>
                <w:webHidden/>
              </w:rPr>
              <w:fldChar w:fldCharType="end"/>
            </w:r>
          </w:hyperlink>
        </w:p>
        <w:p w14:paraId="6CB9B84F" w14:textId="2CCC60B4" w:rsidR="00C15C1E" w:rsidRDefault="00C15C1E">
          <w:pPr>
            <w:pStyle w:val="TOC2"/>
            <w:tabs>
              <w:tab w:val="left" w:pos="720"/>
            </w:tabs>
            <w:rPr>
              <w:rFonts w:eastAsiaTheme="minorEastAsia"/>
              <w:noProof/>
              <w:color w:val="auto"/>
              <w:kern w:val="2"/>
              <w:sz w:val="24"/>
              <w:szCs w:val="24"/>
              <w:lang w:eastAsia="en-AU"/>
              <w14:ligatures w14:val="standardContextual"/>
            </w:rPr>
          </w:pPr>
          <w:hyperlink w:anchor="_Toc223528528" w:history="1">
            <w:r w:rsidRPr="005F0FA0">
              <w:rPr>
                <w:rStyle w:val="Hyperlink"/>
                <w:noProof/>
                <w:color w:val="auto"/>
              </w:rPr>
              <w:t>1.0</w:t>
            </w:r>
            <w:r>
              <w:rPr>
                <w:rFonts w:eastAsiaTheme="minorEastAsia"/>
                <w:noProof/>
                <w:color w:val="auto"/>
                <w:kern w:val="2"/>
                <w:sz w:val="24"/>
                <w:szCs w:val="24"/>
                <w:lang w:eastAsia="en-AU"/>
                <w14:ligatures w14:val="standardContextual"/>
              </w:rPr>
              <w:tab/>
            </w:r>
            <w:r w:rsidRPr="005F0FA0">
              <w:rPr>
                <w:rStyle w:val="Hyperlink"/>
                <w:noProof/>
                <w:color w:val="auto"/>
              </w:rPr>
              <w:t>The Indigenous Procurement Policy (IPP)</w:t>
            </w:r>
            <w:r>
              <w:rPr>
                <w:noProof/>
                <w:webHidden/>
              </w:rPr>
              <w:tab/>
            </w:r>
            <w:r>
              <w:rPr>
                <w:noProof/>
                <w:webHidden/>
              </w:rPr>
              <w:fldChar w:fldCharType="begin"/>
            </w:r>
            <w:r>
              <w:rPr>
                <w:noProof/>
                <w:webHidden/>
              </w:rPr>
              <w:instrText xml:space="preserve"> PAGEREF _Toc223528528 \h </w:instrText>
            </w:r>
            <w:r>
              <w:rPr>
                <w:noProof/>
                <w:webHidden/>
              </w:rPr>
            </w:r>
            <w:r>
              <w:rPr>
                <w:noProof/>
                <w:webHidden/>
              </w:rPr>
              <w:fldChar w:fldCharType="separate"/>
            </w:r>
            <w:r w:rsidR="00F93243">
              <w:rPr>
                <w:noProof/>
                <w:webHidden/>
              </w:rPr>
              <w:t>7</w:t>
            </w:r>
            <w:r>
              <w:rPr>
                <w:noProof/>
                <w:webHidden/>
              </w:rPr>
              <w:fldChar w:fldCharType="end"/>
            </w:r>
          </w:hyperlink>
        </w:p>
        <w:p w14:paraId="2BE0AADB" w14:textId="7BD5F905" w:rsidR="00C15C1E" w:rsidRDefault="00C15C1E">
          <w:pPr>
            <w:pStyle w:val="TOC2"/>
            <w:rPr>
              <w:rFonts w:eastAsiaTheme="minorEastAsia"/>
              <w:noProof/>
              <w:color w:val="auto"/>
              <w:kern w:val="2"/>
              <w:sz w:val="24"/>
              <w:szCs w:val="24"/>
              <w:lang w:eastAsia="en-AU"/>
              <w14:ligatures w14:val="standardContextual"/>
            </w:rPr>
          </w:pPr>
          <w:hyperlink w:anchor="_Toc223528529" w:history="1">
            <w:r w:rsidRPr="005F0FA0">
              <w:rPr>
                <w:rStyle w:val="Hyperlink"/>
                <w:noProof/>
                <w:color w:val="auto"/>
              </w:rPr>
              <w:t>2.0 Mandatory minimum requirements (MMR) for Indigenous participation</w:t>
            </w:r>
            <w:r>
              <w:rPr>
                <w:noProof/>
                <w:webHidden/>
              </w:rPr>
              <w:tab/>
            </w:r>
            <w:r>
              <w:rPr>
                <w:noProof/>
                <w:webHidden/>
              </w:rPr>
              <w:fldChar w:fldCharType="begin"/>
            </w:r>
            <w:r>
              <w:rPr>
                <w:noProof/>
                <w:webHidden/>
              </w:rPr>
              <w:instrText xml:space="preserve"> PAGEREF _Toc223528529 \h </w:instrText>
            </w:r>
            <w:r>
              <w:rPr>
                <w:noProof/>
                <w:webHidden/>
              </w:rPr>
            </w:r>
            <w:r>
              <w:rPr>
                <w:noProof/>
                <w:webHidden/>
              </w:rPr>
              <w:fldChar w:fldCharType="separate"/>
            </w:r>
            <w:r w:rsidR="00F93243">
              <w:rPr>
                <w:noProof/>
                <w:webHidden/>
              </w:rPr>
              <w:t>7</w:t>
            </w:r>
            <w:r>
              <w:rPr>
                <w:noProof/>
                <w:webHidden/>
              </w:rPr>
              <w:fldChar w:fldCharType="end"/>
            </w:r>
          </w:hyperlink>
        </w:p>
        <w:p w14:paraId="65076CA5" w14:textId="7A4A1022" w:rsidR="00C15C1E" w:rsidRDefault="00C15C1E">
          <w:pPr>
            <w:pStyle w:val="TOC3"/>
            <w:rPr>
              <w:rFonts w:eastAsiaTheme="minorEastAsia"/>
              <w:noProof/>
              <w:color w:val="auto"/>
              <w:kern w:val="2"/>
              <w:sz w:val="24"/>
              <w:szCs w:val="24"/>
              <w:lang w:eastAsia="en-AU"/>
              <w14:ligatures w14:val="standardContextual"/>
            </w:rPr>
          </w:pPr>
          <w:hyperlink w:anchor="_Toc223528530" w:history="1">
            <w:r w:rsidRPr="005F0FA0">
              <w:rPr>
                <w:rStyle w:val="Hyperlink"/>
                <w:noProof/>
                <w:color w:val="auto"/>
              </w:rPr>
              <w:t>2.1 Determining whether MMR apply to a procurement</w:t>
            </w:r>
            <w:r>
              <w:rPr>
                <w:noProof/>
                <w:webHidden/>
              </w:rPr>
              <w:tab/>
            </w:r>
            <w:r>
              <w:rPr>
                <w:noProof/>
                <w:webHidden/>
              </w:rPr>
              <w:fldChar w:fldCharType="begin"/>
            </w:r>
            <w:r>
              <w:rPr>
                <w:noProof/>
                <w:webHidden/>
              </w:rPr>
              <w:instrText xml:space="preserve"> PAGEREF _Toc223528530 \h </w:instrText>
            </w:r>
            <w:r>
              <w:rPr>
                <w:noProof/>
                <w:webHidden/>
              </w:rPr>
            </w:r>
            <w:r>
              <w:rPr>
                <w:noProof/>
                <w:webHidden/>
              </w:rPr>
              <w:fldChar w:fldCharType="separate"/>
            </w:r>
            <w:r w:rsidR="00F93243">
              <w:rPr>
                <w:noProof/>
                <w:webHidden/>
              </w:rPr>
              <w:t>8</w:t>
            </w:r>
            <w:r>
              <w:rPr>
                <w:noProof/>
                <w:webHidden/>
              </w:rPr>
              <w:fldChar w:fldCharType="end"/>
            </w:r>
          </w:hyperlink>
        </w:p>
        <w:p w14:paraId="68DFF505" w14:textId="65D4C210" w:rsidR="00C15C1E" w:rsidRDefault="00C15C1E">
          <w:pPr>
            <w:pStyle w:val="TOC3"/>
            <w:rPr>
              <w:rFonts w:eastAsiaTheme="minorEastAsia"/>
              <w:noProof/>
              <w:color w:val="auto"/>
              <w:kern w:val="2"/>
              <w:sz w:val="24"/>
              <w:szCs w:val="24"/>
              <w:lang w:eastAsia="en-AU"/>
              <w14:ligatures w14:val="standardContextual"/>
            </w:rPr>
          </w:pPr>
          <w:hyperlink w:anchor="_Toc223528531" w:history="1">
            <w:r w:rsidRPr="005F0FA0">
              <w:rPr>
                <w:rStyle w:val="Hyperlink"/>
                <w:noProof/>
                <w:color w:val="auto"/>
                <w:lang w:eastAsia="en-AU"/>
              </w:rPr>
              <w:t>2.2 Requirement to estimate the value of a procurement</w:t>
            </w:r>
            <w:r>
              <w:rPr>
                <w:noProof/>
                <w:webHidden/>
              </w:rPr>
              <w:tab/>
            </w:r>
            <w:r>
              <w:rPr>
                <w:noProof/>
                <w:webHidden/>
              </w:rPr>
              <w:fldChar w:fldCharType="begin"/>
            </w:r>
            <w:r>
              <w:rPr>
                <w:noProof/>
                <w:webHidden/>
              </w:rPr>
              <w:instrText xml:space="preserve"> PAGEREF _Toc223528531 \h </w:instrText>
            </w:r>
            <w:r>
              <w:rPr>
                <w:noProof/>
                <w:webHidden/>
              </w:rPr>
            </w:r>
            <w:r>
              <w:rPr>
                <w:noProof/>
                <w:webHidden/>
              </w:rPr>
              <w:fldChar w:fldCharType="separate"/>
            </w:r>
            <w:r w:rsidR="00F93243">
              <w:rPr>
                <w:noProof/>
                <w:webHidden/>
              </w:rPr>
              <w:t>8</w:t>
            </w:r>
            <w:r>
              <w:rPr>
                <w:noProof/>
                <w:webHidden/>
              </w:rPr>
              <w:fldChar w:fldCharType="end"/>
            </w:r>
          </w:hyperlink>
        </w:p>
        <w:p w14:paraId="72C79D0D" w14:textId="08A0EB85" w:rsidR="00C15C1E" w:rsidRDefault="00C15C1E">
          <w:pPr>
            <w:pStyle w:val="TOC2"/>
            <w:rPr>
              <w:rFonts w:eastAsiaTheme="minorEastAsia"/>
              <w:noProof/>
              <w:color w:val="auto"/>
              <w:kern w:val="2"/>
              <w:sz w:val="24"/>
              <w:szCs w:val="24"/>
              <w:lang w:eastAsia="en-AU"/>
              <w14:ligatures w14:val="standardContextual"/>
            </w:rPr>
          </w:pPr>
          <w:hyperlink w:anchor="_Toc223528532" w:history="1">
            <w:r w:rsidRPr="005F0FA0">
              <w:rPr>
                <w:rStyle w:val="Hyperlink"/>
                <w:noProof/>
                <w:color w:val="auto"/>
              </w:rPr>
              <w:t>3.0 MMR targets</w:t>
            </w:r>
            <w:r>
              <w:rPr>
                <w:noProof/>
                <w:webHidden/>
              </w:rPr>
              <w:tab/>
            </w:r>
            <w:r>
              <w:rPr>
                <w:noProof/>
                <w:webHidden/>
              </w:rPr>
              <w:fldChar w:fldCharType="begin"/>
            </w:r>
            <w:r>
              <w:rPr>
                <w:noProof/>
                <w:webHidden/>
              </w:rPr>
              <w:instrText xml:space="preserve"> PAGEREF _Toc223528532 \h </w:instrText>
            </w:r>
            <w:r>
              <w:rPr>
                <w:noProof/>
                <w:webHidden/>
              </w:rPr>
            </w:r>
            <w:r>
              <w:rPr>
                <w:noProof/>
                <w:webHidden/>
              </w:rPr>
              <w:fldChar w:fldCharType="separate"/>
            </w:r>
            <w:r w:rsidR="00F93243">
              <w:rPr>
                <w:noProof/>
                <w:webHidden/>
              </w:rPr>
              <w:t>13</w:t>
            </w:r>
            <w:r>
              <w:rPr>
                <w:noProof/>
                <w:webHidden/>
              </w:rPr>
              <w:fldChar w:fldCharType="end"/>
            </w:r>
          </w:hyperlink>
        </w:p>
        <w:p w14:paraId="6EE0EC90" w14:textId="40589E00" w:rsidR="00C15C1E" w:rsidRDefault="00C15C1E">
          <w:pPr>
            <w:pStyle w:val="TOC3"/>
            <w:rPr>
              <w:rFonts w:eastAsiaTheme="minorEastAsia"/>
              <w:noProof/>
              <w:color w:val="auto"/>
              <w:kern w:val="2"/>
              <w:sz w:val="24"/>
              <w:szCs w:val="24"/>
              <w:lang w:eastAsia="en-AU"/>
              <w14:ligatures w14:val="standardContextual"/>
            </w:rPr>
          </w:pPr>
          <w:hyperlink w:anchor="_Toc223528533" w:history="1">
            <w:r w:rsidRPr="005F0FA0">
              <w:rPr>
                <w:rStyle w:val="Hyperlink"/>
                <w:noProof/>
                <w:color w:val="auto"/>
              </w:rPr>
              <w:t xml:space="preserve">3.1 Minimum targets for </w:t>
            </w:r>
            <w:r w:rsidRPr="005F0FA0">
              <w:rPr>
                <w:rStyle w:val="Hyperlink"/>
                <w:b/>
                <w:noProof/>
                <w:color w:val="auto"/>
              </w:rPr>
              <w:t>remote procurements</w:t>
            </w:r>
            <w:r>
              <w:rPr>
                <w:noProof/>
                <w:webHidden/>
              </w:rPr>
              <w:tab/>
            </w:r>
            <w:r>
              <w:rPr>
                <w:noProof/>
                <w:webHidden/>
              </w:rPr>
              <w:fldChar w:fldCharType="begin"/>
            </w:r>
            <w:r>
              <w:rPr>
                <w:noProof/>
                <w:webHidden/>
              </w:rPr>
              <w:instrText xml:space="preserve"> PAGEREF _Toc223528533 \h </w:instrText>
            </w:r>
            <w:r>
              <w:rPr>
                <w:noProof/>
                <w:webHidden/>
              </w:rPr>
            </w:r>
            <w:r>
              <w:rPr>
                <w:noProof/>
                <w:webHidden/>
              </w:rPr>
              <w:fldChar w:fldCharType="separate"/>
            </w:r>
            <w:r w:rsidR="00F93243">
              <w:rPr>
                <w:noProof/>
                <w:webHidden/>
              </w:rPr>
              <w:t>14</w:t>
            </w:r>
            <w:r>
              <w:rPr>
                <w:noProof/>
                <w:webHidden/>
              </w:rPr>
              <w:fldChar w:fldCharType="end"/>
            </w:r>
          </w:hyperlink>
        </w:p>
        <w:p w14:paraId="45E03F6E" w14:textId="58F969D2" w:rsidR="00C15C1E" w:rsidRDefault="00C15C1E">
          <w:pPr>
            <w:pStyle w:val="TOC3"/>
            <w:rPr>
              <w:rFonts w:eastAsiaTheme="minorEastAsia"/>
              <w:noProof/>
              <w:color w:val="auto"/>
              <w:kern w:val="2"/>
              <w:sz w:val="24"/>
              <w:szCs w:val="24"/>
              <w:lang w:eastAsia="en-AU"/>
              <w14:ligatures w14:val="standardContextual"/>
            </w:rPr>
          </w:pPr>
          <w:hyperlink w:anchor="_Toc223528534" w:history="1">
            <w:r w:rsidRPr="005F0FA0">
              <w:rPr>
                <w:rStyle w:val="Hyperlink"/>
                <w:noProof/>
                <w:color w:val="auto"/>
              </w:rPr>
              <w:t xml:space="preserve">3.2 Minimum targets for </w:t>
            </w:r>
            <w:r w:rsidRPr="005F0FA0">
              <w:rPr>
                <w:rStyle w:val="Hyperlink"/>
                <w:b/>
                <w:noProof/>
                <w:color w:val="auto"/>
              </w:rPr>
              <w:t>non-remote procurements</w:t>
            </w:r>
            <w:r>
              <w:rPr>
                <w:noProof/>
                <w:webHidden/>
              </w:rPr>
              <w:tab/>
            </w:r>
            <w:r>
              <w:rPr>
                <w:noProof/>
                <w:webHidden/>
              </w:rPr>
              <w:fldChar w:fldCharType="begin"/>
            </w:r>
            <w:r>
              <w:rPr>
                <w:noProof/>
                <w:webHidden/>
              </w:rPr>
              <w:instrText xml:space="preserve"> PAGEREF _Toc223528534 \h </w:instrText>
            </w:r>
            <w:r>
              <w:rPr>
                <w:noProof/>
                <w:webHidden/>
              </w:rPr>
            </w:r>
            <w:r>
              <w:rPr>
                <w:noProof/>
                <w:webHidden/>
              </w:rPr>
              <w:fldChar w:fldCharType="separate"/>
            </w:r>
            <w:r w:rsidR="00F93243">
              <w:rPr>
                <w:noProof/>
                <w:webHidden/>
              </w:rPr>
              <w:t>15</w:t>
            </w:r>
            <w:r>
              <w:rPr>
                <w:noProof/>
                <w:webHidden/>
              </w:rPr>
              <w:fldChar w:fldCharType="end"/>
            </w:r>
          </w:hyperlink>
        </w:p>
        <w:p w14:paraId="46EE4730" w14:textId="2DE00399" w:rsidR="00C15C1E" w:rsidRDefault="00C15C1E">
          <w:pPr>
            <w:pStyle w:val="TOC3"/>
            <w:rPr>
              <w:rFonts w:eastAsiaTheme="minorEastAsia"/>
              <w:noProof/>
              <w:color w:val="auto"/>
              <w:kern w:val="2"/>
              <w:sz w:val="24"/>
              <w:szCs w:val="24"/>
              <w:lang w:eastAsia="en-AU"/>
              <w14:ligatures w14:val="standardContextual"/>
            </w:rPr>
          </w:pPr>
          <w:hyperlink w:anchor="_Toc223528535" w:history="1">
            <w:r w:rsidRPr="005F0FA0">
              <w:rPr>
                <w:rStyle w:val="Hyperlink"/>
                <w:noProof/>
                <w:color w:val="auto"/>
              </w:rPr>
              <w:t>3.3 Counting employment and supply-use against targets</w:t>
            </w:r>
            <w:r>
              <w:rPr>
                <w:noProof/>
                <w:webHidden/>
              </w:rPr>
              <w:tab/>
            </w:r>
            <w:r>
              <w:rPr>
                <w:noProof/>
                <w:webHidden/>
              </w:rPr>
              <w:fldChar w:fldCharType="begin"/>
            </w:r>
            <w:r>
              <w:rPr>
                <w:noProof/>
                <w:webHidden/>
              </w:rPr>
              <w:instrText xml:space="preserve"> PAGEREF _Toc223528535 \h </w:instrText>
            </w:r>
            <w:r>
              <w:rPr>
                <w:noProof/>
                <w:webHidden/>
              </w:rPr>
            </w:r>
            <w:r>
              <w:rPr>
                <w:noProof/>
                <w:webHidden/>
              </w:rPr>
              <w:fldChar w:fldCharType="separate"/>
            </w:r>
            <w:r w:rsidR="00F93243">
              <w:rPr>
                <w:noProof/>
                <w:webHidden/>
              </w:rPr>
              <w:t>15</w:t>
            </w:r>
            <w:r>
              <w:rPr>
                <w:noProof/>
                <w:webHidden/>
              </w:rPr>
              <w:fldChar w:fldCharType="end"/>
            </w:r>
          </w:hyperlink>
        </w:p>
        <w:p w14:paraId="3E2DC950" w14:textId="14234303" w:rsidR="00C15C1E" w:rsidRDefault="00C15C1E">
          <w:pPr>
            <w:pStyle w:val="TOC2"/>
            <w:rPr>
              <w:rFonts w:eastAsiaTheme="minorEastAsia"/>
              <w:noProof/>
              <w:color w:val="auto"/>
              <w:kern w:val="2"/>
              <w:sz w:val="24"/>
              <w:szCs w:val="24"/>
              <w:lang w:eastAsia="en-AU"/>
              <w14:ligatures w14:val="standardContextual"/>
            </w:rPr>
          </w:pPr>
          <w:hyperlink w:anchor="_Toc223528536" w:history="1">
            <w:r w:rsidRPr="005F0FA0">
              <w:rPr>
                <w:rStyle w:val="Hyperlink"/>
                <w:noProof/>
                <w:color w:val="auto"/>
              </w:rPr>
              <w:t>4.0 Procurement documentation</w:t>
            </w:r>
            <w:r>
              <w:rPr>
                <w:noProof/>
                <w:webHidden/>
              </w:rPr>
              <w:tab/>
            </w:r>
            <w:r>
              <w:rPr>
                <w:noProof/>
                <w:webHidden/>
              </w:rPr>
              <w:fldChar w:fldCharType="begin"/>
            </w:r>
            <w:r>
              <w:rPr>
                <w:noProof/>
                <w:webHidden/>
              </w:rPr>
              <w:instrText xml:space="preserve"> PAGEREF _Toc223528536 \h </w:instrText>
            </w:r>
            <w:r>
              <w:rPr>
                <w:noProof/>
                <w:webHidden/>
              </w:rPr>
            </w:r>
            <w:r>
              <w:rPr>
                <w:noProof/>
                <w:webHidden/>
              </w:rPr>
              <w:fldChar w:fldCharType="separate"/>
            </w:r>
            <w:r w:rsidR="00F93243">
              <w:rPr>
                <w:noProof/>
                <w:webHidden/>
              </w:rPr>
              <w:t>17</w:t>
            </w:r>
            <w:r>
              <w:rPr>
                <w:noProof/>
                <w:webHidden/>
              </w:rPr>
              <w:fldChar w:fldCharType="end"/>
            </w:r>
          </w:hyperlink>
        </w:p>
        <w:p w14:paraId="7D90E9D6" w14:textId="5574E8DE" w:rsidR="00C15C1E" w:rsidRDefault="00C15C1E">
          <w:pPr>
            <w:pStyle w:val="TOC3"/>
            <w:rPr>
              <w:rFonts w:eastAsiaTheme="minorEastAsia"/>
              <w:noProof/>
              <w:color w:val="auto"/>
              <w:kern w:val="2"/>
              <w:sz w:val="24"/>
              <w:szCs w:val="24"/>
              <w:lang w:eastAsia="en-AU"/>
              <w14:ligatures w14:val="standardContextual"/>
            </w:rPr>
          </w:pPr>
          <w:hyperlink w:anchor="_Toc223528537" w:history="1">
            <w:r w:rsidRPr="005F0FA0">
              <w:rPr>
                <w:rStyle w:val="Hyperlink"/>
                <w:noProof/>
                <w:color w:val="auto"/>
              </w:rPr>
              <w:t>4.1 Model Clauses</w:t>
            </w:r>
            <w:r>
              <w:rPr>
                <w:noProof/>
                <w:webHidden/>
              </w:rPr>
              <w:tab/>
            </w:r>
            <w:r>
              <w:rPr>
                <w:noProof/>
                <w:webHidden/>
              </w:rPr>
              <w:fldChar w:fldCharType="begin"/>
            </w:r>
            <w:r>
              <w:rPr>
                <w:noProof/>
                <w:webHidden/>
              </w:rPr>
              <w:instrText xml:space="preserve"> PAGEREF _Toc223528537 \h </w:instrText>
            </w:r>
            <w:r>
              <w:rPr>
                <w:noProof/>
                <w:webHidden/>
              </w:rPr>
            </w:r>
            <w:r>
              <w:rPr>
                <w:noProof/>
                <w:webHidden/>
              </w:rPr>
              <w:fldChar w:fldCharType="separate"/>
            </w:r>
            <w:r w:rsidR="00F93243">
              <w:rPr>
                <w:noProof/>
                <w:webHidden/>
              </w:rPr>
              <w:t>17</w:t>
            </w:r>
            <w:r>
              <w:rPr>
                <w:noProof/>
                <w:webHidden/>
              </w:rPr>
              <w:fldChar w:fldCharType="end"/>
            </w:r>
          </w:hyperlink>
        </w:p>
        <w:p w14:paraId="3B67A689" w14:textId="0F645C28" w:rsidR="00C15C1E" w:rsidRDefault="00C15C1E">
          <w:pPr>
            <w:pStyle w:val="TOC3"/>
            <w:rPr>
              <w:rFonts w:eastAsiaTheme="minorEastAsia"/>
              <w:noProof/>
              <w:color w:val="auto"/>
              <w:kern w:val="2"/>
              <w:sz w:val="24"/>
              <w:szCs w:val="24"/>
              <w:lang w:eastAsia="en-AU"/>
              <w14:ligatures w14:val="standardContextual"/>
            </w:rPr>
          </w:pPr>
          <w:hyperlink w:anchor="_Toc223528538" w:history="1">
            <w:r w:rsidRPr="005F0FA0">
              <w:rPr>
                <w:rStyle w:val="Hyperlink"/>
                <w:noProof/>
                <w:color w:val="auto"/>
              </w:rPr>
              <w:t>4.2 Indigenous Participation Plan</w:t>
            </w:r>
            <w:r>
              <w:rPr>
                <w:noProof/>
                <w:webHidden/>
              </w:rPr>
              <w:tab/>
            </w:r>
            <w:r>
              <w:rPr>
                <w:noProof/>
                <w:webHidden/>
              </w:rPr>
              <w:fldChar w:fldCharType="begin"/>
            </w:r>
            <w:r>
              <w:rPr>
                <w:noProof/>
                <w:webHidden/>
              </w:rPr>
              <w:instrText xml:space="preserve"> PAGEREF _Toc223528538 \h </w:instrText>
            </w:r>
            <w:r>
              <w:rPr>
                <w:noProof/>
                <w:webHidden/>
              </w:rPr>
            </w:r>
            <w:r>
              <w:rPr>
                <w:noProof/>
                <w:webHidden/>
              </w:rPr>
              <w:fldChar w:fldCharType="separate"/>
            </w:r>
            <w:r w:rsidR="00F93243">
              <w:rPr>
                <w:noProof/>
                <w:webHidden/>
              </w:rPr>
              <w:t>17</w:t>
            </w:r>
            <w:r>
              <w:rPr>
                <w:noProof/>
                <w:webHidden/>
              </w:rPr>
              <w:fldChar w:fldCharType="end"/>
            </w:r>
          </w:hyperlink>
        </w:p>
        <w:p w14:paraId="126CAFE9" w14:textId="6C798540" w:rsidR="00C15C1E" w:rsidRDefault="00C15C1E">
          <w:pPr>
            <w:pStyle w:val="TOC3"/>
            <w:rPr>
              <w:rFonts w:eastAsiaTheme="minorEastAsia"/>
              <w:noProof/>
              <w:color w:val="auto"/>
              <w:kern w:val="2"/>
              <w:sz w:val="24"/>
              <w:szCs w:val="24"/>
              <w:lang w:eastAsia="en-AU"/>
              <w14:ligatures w14:val="standardContextual"/>
            </w:rPr>
          </w:pPr>
          <w:hyperlink w:anchor="_Toc223528539" w:history="1">
            <w:r w:rsidRPr="005F0FA0">
              <w:rPr>
                <w:rStyle w:val="Hyperlink"/>
                <w:noProof/>
                <w:color w:val="auto"/>
              </w:rPr>
              <w:t>4.3 Tender submission documents</w:t>
            </w:r>
            <w:r>
              <w:rPr>
                <w:noProof/>
                <w:webHidden/>
              </w:rPr>
              <w:tab/>
            </w:r>
            <w:r>
              <w:rPr>
                <w:noProof/>
                <w:webHidden/>
              </w:rPr>
              <w:fldChar w:fldCharType="begin"/>
            </w:r>
            <w:r>
              <w:rPr>
                <w:noProof/>
                <w:webHidden/>
              </w:rPr>
              <w:instrText xml:space="preserve"> PAGEREF _Toc223528539 \h </w:instrText>
            </w:r>
            <w:r>
              <w:rPr>
                <w:noProof/>
                <w:webHidden/>
              </w:rPr>
            </w:r>
            <w:r>
              <w:rPr>
                <w:noProof/>
                <w:webHidden/>
              </w:rPr>
              <w:fldChar w:fldCharType="separate"/>
            </w:r>
            <w:r w:rsidR="00F93243">
              <w:rPr>
                <w:noProof/>
                <w:webHidden/>
              </w:rPr>
              <w:t>19</w:t>
            </w:r>
            <w:r>
              <w:rPr>
                <w:noProof/>
                <w:webHidden/>
              </w:rPr>
              <w:fldChar w:fldCharType="end"/>
            </w:r>
          </w:hyperlink>
        </w:p>
        <w:p w14:paraId="6EA544D3" w14:textId="63D91A39" w:rsidR="00C15C1E" w:rsidRDefault="00C15C1E">
          <w:pPr>
            <w:pStyle w:val="TOC3"/>
            <w:tabs>
              <w:tab w:val="left" w:pos="960"/>
            </w:tabs>
            <w:rPr>
              <w:rFonts w:eastAsiaTheme="minorEastAsia"/>
              <w:noProof/>
              <w:color w:val="auto"/>
              <w:kern w:val="2"/>
              <w:sz w:val="24"/>
              <w:szCs w:val="24"/>
              <w:lang w:eastAsia="en-AU"/>
              <w14:ligatures w14:val="standardContextual"/>
            </w:rPr>
          </w:pPr>
          <w:hyperlink w:anchor="_Toc223528540" w:history="1">
            <w:r w:rsidRPr="005F0FA0">
              <w:rPr>
                <w:rStyle w:val="Hyperlink"/>
                <w:noProof/>
                <w:color w:val="auto"/>
              </w:rPr>
              <w:t>4.4</w:t>
            </w:r>
            <w:r>
              <w:rPr>
                <w:rFonts w:eastAsiaTheme="minorEastAsia"/>
                <w:noProof/>
                <w:color w:val="auto"/>
                <w:kern w:val="2"/>
                <w:sz w:val="24"/>
                <w:szCs w:val="24"/>
                <w:lang w:eastAsia="en-AU"/>
                <w14:ligatures w14:val="standardContextual"/>
              </w:rPr>
              <w:tab/>
            </w:r>
            <w:r w:rsidRPr="005F0FA0">
              <w:rPr>
                <w:rStyle w:val="Hyperlink"/>
                <w:noProof/>
                <w:color w:val="auto"/>
              </w:rPr>
              <w:t>Approaches to market for contracts of varying value</w:t>
            </w:r>
            <w:r>
              <w:rPr>
                <w:noProof/>
                <w:webHidden/>
              </w:rPr>
              <w:tab/>
            </w:r>
            <w:r>
              <w:rPr>
                <w:noProof/>
                <w:webHidden/>
              </w:rPr>
              <w:fldChar w:fldCharType="begin"/>
            </w:r>
            <w:r>
              <w:rPr>
                <w:noProof/>
                <w:webHidden/>
              </w:rPr>
              <w:instrText xml:space="preserve"> PAGEREF _Toc223528540 \h </w:instrText>
            </w:r>
            <w:r>
              <w:rPr>
                <w:noProof/>
                <w:webHidden/>
              </w:rPr>
            </w:r>
            <w:r>
              <w:rPr>
                <w:noProof/>
                <w:webHidden/>
              </w:rPr>
              <w:fldChar w:fldCharType="separate"/>
            </w:r>
            <w:r w:rsidR="00F93243">
              <w:rPr>
                <w:noProof/>
                <w:webHidden/>
              </w:rPr>
              <w:t>19</w:t>
            </w:r>
            <w:r>
              <w:rPr>
                <w:noProof/>
                <w:webHidden/>
              </w:rPr>
              <w:fldChar w:fldCharType="end"/>
            </w:r>
          </w:hyperlink>
        </w:p>
        <w:p w14:paraId="554E41EB" w14:textId="522BC0A6" w:rsidR="00C15C1E" w:rsidRDefault="00C15C1E">
          <w:pPr>
            <w:pStyle w:val="TOC2"/>
            <w:rPr>
              <w:rFonts w:eastAsiaTheme="minorEastAsia"/>
              <w:noProof/>
              <w:color w:val="auto"/>
              <w:kern w:val="2"/>
              <w:sz w:val="24"/>
              <w:szCs w:val="24"/>
              <w:lang w:eastAsia="en-AU"/>
              <w14:ligatures w14:val="standardContextual"/>
            </w:rPr>
          </w:pPr>
          <w:hyperlink w:anchor="_Toc223528541" w:history="1">
            <w:r w:rsidRPr="005F0FA0">
              <w:rPr>
                <w:rStyle w:val="Hyperlink"/>
                <w:noProof/>
                <w:color w:val="auto"/>
              </w:rPr>
              <w:t>5.0 Evaluating tender responses to the MMR</w:t>
            </w:r>
            <w:r>
              <w:rPr>
                <w:noProof/>
                <w:webHidden/>
              </w:rPr>
              <w:tab/>
            </w:r>
            <w:r>
              <w:rPr>
                <w:noProof/>
                <w:webHidden/>
              </w:rPr>
              <w:fldChar w:fldCharType="begin"/>
            </w:r>
            <w:r>
              <w:rPr>
                <w:noProof/>
                <w:webHidden/>
              </w:rPr>
              <w:instrText xml:space="preserve"> PAGEREF _Toc223528541 \h </w:instrText>
            </w:r>
            <w:r>
              <w:rPr>
                <w:noProof/>
                <w:webHidden/>
              </w:rPr>
            </w:r>
            <w:r>
              <w:rPr>
                <w:noProof/>
                <w:webHidden/>
              </w:rPr>
              <w:fldChar w:fldCharType="separate"/>
            </w:r>
            <w:r w:rsidR="00F93243">
              <w:rPr>
                <w:noProof/>
                <w:webHidden/>
              </w:rPr>
              <w:t>21</w:t>
            </w:r>
            <w:r>
              <w:rPr>
                <w:noProof/>
                <w:webHidden/>
              </w:rPr>
              <w:fldChar w:fldCharType="end"/>
            </w:r>
          </w:hyperlink>
        </w:p>
        <w:p w14:paraId="3643CA89" w14:textId="18171D00" w:rsidR="00C15C1E" w:rsidRDefault="00C15C1E">
          <w:pPr>
            <w:pStyle w:val="TOC3"/>
            <w:rPr>
              <w:rFonts w:eastAsiaTheme="minorEastAsia"/>
              <w:noProof/>
              <w:color w:val="auto"/>
              <w:kern w:val="2"/>
              <w:sz w:val="24"/>
              <w:szCs w:val="24"/>
              <w:lang w:eastAsia="en-AU"/>
              <w14:ligatures w14:val="standardContextual"/>
            </w:rPr>
          </w:pPr>
          <w:hyperlink w:anchor="_Toc223528542" w:history="1">
            <w:r w:rsidRPr="005F0FA0">
              <w:rPr>
                <w:rStyle w:val="Hyperlink"/>
                <w:noProof/>
                <w:color w:val="auto"/>
              </w:rPr>
              <w:t>5.1 Assessing a significant outcome in remote Australia.</w:t>
            </w:r>
            <w:r>
              <w:rPr>
                <w:noProof/>
                <w:webHidden/>
              </w:rPr>
              <w:tab/>
            </w:r>
            <w:r>
              <w:rPr>
                <w:noProof/>
                <w:webHidden/>
              </w:rPr>
              <w:fldChar w:fldCharType="begin"/>
            </w:r>
            <w:r>
              <w:rPr>
                <w:noProof/>
                <w:webHidden/>
              </w:rPr>
              <w:instrText xml:space="preserve"> PAGEREF _Toc223528542 \h </w:instrText>
            </w:r>
            <w:r>
              <w:rPr>
                <w:noProof/>
                <w:webHidden/>
              </w:rPr>
            </w:r>
            <w:r>
              <w:rPr>
                <w:noProof/>
                <w:webHidden/>
              </w:rPr>
              <w:fldChar w:fldCharType="separate"/>
            </w:r>
            <w:r w:rsidR="00F93243">
              <w:rPr>
                <w:noProof/>
                <w:webHidden/>
              </w:rPr>
              <w:t>21</w:t>
            </w:r>
            <w:r>
              <w:rPr>
                <w:noProof/>
                <w:webHidden/>
              </w:rPr>
              <w:fldChar w:fldCharType="end"/>
            </w:r>
          </w:hyperlink>
        </w:p>
        <w:p w14:paraId="61BDAE67" w14:textId="12AC8B0E" w:rsidR="00C15C1E" w:rsidRDefault="00C15C1E">
          <w:pPr>
            <w:pStyle w:val="TOC3"/>
            <w:rPr>
              <w:rFonts w:eastAsiaTheme="minorEastAsia"/>
              <w:noProof/>
              <w:color w:val="auto"/>
              <w:kern w:val="2"/>
              <w:sz w:val="24"/>
              <w:szCs w:val="24"/>
              <w:lang w:eastAsia="en-AU"/>
              <w14:ligatures w14:val="standardContextual"/>
            </w:rPr>
          </w:pPr>
          <w:hyperlink w:anchor="_Toc223528543" w:history="1">
            <w:r w:rsidRPr="005F0FA0">
              <w:rPr>
                <w:rStyle w:val="Hyperlink"/>
                <w:noProof/>
                <w:color w:val="auto"/>
              </w:rPr>
              <w:t>5.2 Assessing an Indigenous Participation Plan</w:t>
            </w:r>
            <w:r>
              <w:rPr>
                <w:noProof/>
                <w:webHidden/>
              </w:rPr>
              <w:tab/>
            </w:r>
            <w:r>
              <w:rPr>
                <w:noProof/>
                <w:webHidden/>
              </w:rPr>
              <w:fldChar w:fldCharType="begin"/>
            </w:r>
            <w:r>
              <w:rPr>
                <w:noProof/>
                <w:webHidden/>
              </w:rPr>
              <w:instrText xml:space="preserve"> PAGEREF _Toc223528543 \h </w:instrText>
            </w:r>
            <w:r>
              <w:rPr>
                <w:noProof/>
                <w:webHidden/>
              </w:rPr>
            </w:r>
            <w:r>
              <w:rPr>
                <w:noProof/>
                <w:webHidden/>
              </w:rPr>
              <w:fldChar w:fldCharType="separate"/>
            </w:r>
            <w:r w:rsidR="00F93243">
              <w:rPr>
                <w:noProof/>
                <w:webHidden/>
              </w:rPr>
              <w:t>21</w:t>
            </w:r>
            <w:r>
              <w:rPr>
                <w:noProof/>
                <w:webHidden/>
              </w:rPr>
              <w:fldChar w:fldCharType="end"/>
            </w:r>
          </w:hyperlink>
        </w:p>
        <w:p w14:paraId="44D88DF1" w14:textId="5477B2DC" w:rsidR="00C15C1E" w:rsidRDefault="00C15C1E">
          <w:pPr>
            <w:pStyle w:val="TOC3"/>
            <w:rPr>
              <w:rFonts w:eastAsiaTheme="minorEastAsia"/>
              <w:noProof/>
              <w:color w:val="auto"/>
              <w:kern w:val="2"/>
              <w:sz w:val="24"/>
              <w:szCs w:val="24"/>
              <w:lang w:eastAsia="en-AU"/>
              <w14:ligatures w14:val="standardContextual"/>
            </w:rPr>
          </w:pPr>
          <w:hyperlink w:anchor="_Toc223528544" w:history="1">
            <w:r w:rsidRPr="005F0FA0">
              <w:rPr>
                <w:rStyle w:val="Hyperlink"/>
                <w:noProof/>
                <w:color w:val="auto"/>
              </w:rPr>
              <w:t>5.3 Assessing current rates of Indigenous participation</w:t>
            </w:r>
            <w:r>
              <w:rPr>
                <w:noProof/>
                <w:webHidden/>
              </w:rPr>
              <w:tab/>
            </w:r>
            <w:r>
              <w:rPr>
                <w:noProof/>
                <w:webHidden/>
              </w:rPr>
              <w:fldChar w:fldCharType="begin"/>
            </w:r>
            <w:r>
              <w:rPr>
                <w:noProof/>
                <w:webHidden/>
              </w:rPr>
              <w:instrText xml:space="preserve"> PAGEREF _Toc223528544 \h </w:instrText>
            </w:r>
            <w:r>
              <w:rPr>
                <w:noProof/>
                <w:webHidden/>
              </w:rPr>
            </w:r>
            <w:r>
              <w:rPr>
                <w:noProof/>
                <w:webHidden/>
              </w:rPr>
              <w:fldChar w:fldCharType="separate"/>
            </w:r>
            <w:r w:rsidR="00F93243">
              <w:rPr>
                <w:noProof/>
                <w:webHidden/>
              </w:rPr>
              <w:t>22</w:t>
            </w:r>
            <w:r>
              <w:rPr>
                <w:noProof/>
                <w:webHidden/>
              </w:rPr>
              <w:fldChar w:fldCharType="end"/>
            </w:r>
          </w:hyperlink>
        </w:p>
        <w:p w14:paraId="42CA3F4D" w14:textId="4ABF6A26" w:rsidR="00C15C1E" w:rsidRDefault="00C15C1E">
          <w:pPr>
            <w:pStyle w:val="TOC3"/>
            <w:rPr>
              <w:rFonts w:eastAsiaTheme="minorEastAsia"/>
              <w:noProof/>
              <w:color w:val="auto"/>
              <w:kern w:val="2"/>
              <w:sz w:val="24"/>
              <w:szCs w:val="24"/>
              <w:lang w:eastAsia="en-AU"/>
              <w14:ligatures w14:val="standardContextual"/>
            </w:rPr>
          </w:pPr>
          <w:hyperlink w:anchor="_Toc223528545" w:history="1">
            <w:r w:rsidRPr="005F0FA0">
              <w:rPr>
                <w:rStyle w:val="Hyperlink"/>
                <w:noProof/>
                <w:color w:val="auto"/>
              </w:rPr>
              <w:t>5.4 Assessing past performance information</w:t>
            </w:r>
            <w:r>
              <w:rPr>
                <w:noProof/>
                <w:webHidden/>
              </w:rPr>
              <w:tab/>
            </w:r>
            <w:r>
              <w:rPr>
                <w:noProof/>
                <w:webHidden/>
              </w:rPr>
              <w:fldChar w:fldCharType="begin"/>
            </w:r>
            <w:r>
              <w:rPr>
                <w:noProof/>
                <w:webHidden/>
              </w:rPr>
              <w:instrText xml:space="preserve"> PAGEREF _Toc223528545 \h </w:instrText>
            </w:r>
            <w:r>
              <w:rPr>
                <w:noProof/>
                <w:webHidden/>
              </w:rPr>
            </w:r>
            <w:r>
              <w:rPr>
                <w:noProof/>
                <w:webHidden/>
              </w:rPr>
              <w:fldChar w:fldCharType="separate"/>
            </w:r>
            <w:r w:rsidR="00F93243">
              <w:rPr>
                <w:noProof/>
                <w:webHidden/>
              </w:rPr>
              <w:t>22</w:t>
            </w:r>
            <w:r>
              <w:rPr>
                <w:noProof/>
                <w:webHidden/>
              </w:rPr>
              <w:fldChar w:fldCharType="end"/>
            </w:r>
          </w:hyperlink>
        </w:p>
        <w:p w14:paraId="63EB4443" w14:textId="2C1B5205" w:rsidR="00C15C1E" w:rsidRDefault="00C15C1E">
          <w:pPr>
            <w:pStyle w:val="TOC2"/>
            <w:rPr>
              <w:rFonts w:eastAsiaTheme="minorEastAsia"/>
              <w:noProof/>
              <w:color w:val="auto"/>
              <w:kern w:val="2"/>
              <w:sz w:val="24"/>
              <w:szCs w:val="24"/>
              <w:lang w:eastAsia="en-AU"/>
              <w14:ligatures w14:val="standardContextual"/>
            </w:rPr>
          </w:pPr>
          <w:hyperlink w:anchor="_Toc223528546" w:history="1">
            <w:r w:rsidRPr="005F0FA0">
              <w:rPr>
                <w:rStyle w:val="Hyperlink"/>
                <w:noProof/>
                <w:color w:val="auto"/>
              </w:rPr>
              <w:t>6.0 Panel and other arrangements</w:t>
            </w:r>
            <w:r>
              <w:rPr>
                <w:noProof/>
                <w:webHidden/>
              </w:rPr>
              <w:tab/>
            </w:r>
            <w:r>
              <w:rPr>
                <w:noProof/>
                <w:webHidden/>
              </w:rPr>
              <w:fldChar w:fldCharType="begin"/>
            </w:r>
            <w:r>
              <w:rPr>
                <w:noProof/>
                <w:webHidden/>
              </w:rPr>
              <w:instrText xml:space="preserve"> PAGEREF _Toc223528546 \h </w:instrText>
            </w:r>
            <w:r>
              <w:rPr>
                <w:noProof/>
                <w:webHidden/>
              </w:rPr>
            </w:r>
            <w:r>
              <w:rPr>
                <w:noProof/>
                <w:webHidden/>
              </w:rPr>
              <w:fldChar w:fldCharType="separate"/>
            </w:r>
            <w:r w:rsidR="00F93243">
              <w:rPr>
                <w:noProof/>
                <w:webHidden/>
              </w:rPr>
              <w:t>23</w:t>
            </w:r>
            <w:r>
              <w:rPr>
                <w:noProof/>
                <w:webHidden/>
              </w:rPr>
              <w:fldChar w:fldCharType="end"/>
            </w:r>
          </w:hyperlink>
        </w:p>
        <w:p w14:paraId="53A6AFA1" w14:textId="0F7213E0" w:rsidR="00C15C1E" w:rsidRDefault="00C15C1E">
          <w:pPr>
            <w:pStyle w:val="TOC3"/>
            <w:rPr>
              <w:rFonts w:eastAsiaTheme="minorEastAsia"/>
              <w:noProof/>
              <w:color w:val="auto"/>
              <w:kern w:val="2"/>
              <w:sz w:val="24"/>
              <w:szCs w:val="24"/>
              <w:lang w:eastAsia="en-AU"/>
              <w14:ligatures w14:val="standardContextual"/>
            </w:rPr>
          </w:pPr>
          <w:hyperlink w:anchor="_Toc223528547" w:history="1">
            <w:r w:rsidRPr="005F0FA0">
              <w:rPr>
                <w:rStyle w:val="Hyperlink"/>
                <w:noProof/>
                <w:color w:val="auto"/>
              </w:rPr>
              <w:t>6.1 Applying the MMR when establishing a new panel or cooperative arrangement that will award official orders of $7.5 million or more.</w:t>
            </w:r>
            <w:r>
              <w:rPr>
                <w:noProof/>
                <w:webHidden/>
              </w:rPr>
              <w:tab/>
            </w:r>
            <w:r>
              <w:rPr>
                <w:noProof/>
                <w:webHidden/>
              </w:rPr>
              <w:fldChar w:fldCharType="begin"/>
            </w:r>
            <w:r>
              <w:rPr>
                <w:noProof/>
                <w:webHidden/>
              </w:rPr>
              <w:instrText xml:space="preserve"> PAGEREF _Toc223528547 \h </w:instrText>
            </w:r>
            <w:r>
              <w:rPr>
                <w:noProof/>
                <w:webHidden/>
              </w:rPr>
            </w:r>
            <w:r>
              <w:rPr>
                <w:noProof/>
                <w:webHidden/>
              </w:rPr>
              <w:fldChar w:fldCharType="separate"/>
            </w:r>
            <w:r w:rsidR="00F93243">
              <w:rPr>
                <w:noProof/>
                <w:webHidden/>
              </w:rPr>
              <w:t>23</w:t>
            </w:r>
            <w:r>
              <w:rPr>
                <w:noProof/>
                <w:webHidden/>
              </w:rPr>
              <w:fldChar w:fldCharType="end"/>
            </w:r>
          </w:hyperlink>
        </w:p>
        <w:p w14:paraId="3CACA5E8" w14:textId="477DA541" w:rsidR="00C15C1E" w:rsidRDefault="00C15C1E">
          <w:pPr>
            <w:pStyle w:val="TOC3"/>
            <w:rPr>
              <w:rFonts w:eastAsiaTheme="minorEastAsia"/>
              <w:noProof/>
              <w:color w:val="auto"/>
              <w:kern w:val="2"/>
              <w:sz w:val="24"/>
              <w:szCs w:val="24"/>
              <w:lang w:eastAsia="en-AU"/>
              <w14:ligatures w14:val="standardContextual"/>
            </w:rPr>
          </w:pPr>
          <w:hyperlink w:anchor="_Toc223528548" w:history="1">
            <w:r w:rsidRPr="005F0FA0">
              <w:rPr>
                <w:rStyle w:val="Hyperlink"/>
                <w:noProof/>
                <w:color w:val="auto"/>
              </w:rPr>
              <w:t>6.2 Applying MMR to official orders</w:t>
            </w:r>
            <w:r>
              <w:rPr>
                <w:noProof/>
                <w:webHidden/>
              </w:rPr>
              <w:tab/>
            </w:r>
            <w:r>
              <w:rPr>
                <w:noProof/>
                <w:webHidden/>
              </w:rPr>
              <w:fldChar w:fldCharType="begin"/>
            </w:r>
            <w:r>
              <w:rPr>
                <w:noProof/>
                <w:webHidden/>
              </w:rPr>
              <w:instrText xml:space="preserve"> PAGEREF _Toc223528548 \h </w:instrText>
            </w:r>
            <w:r>
              <w:rPr>
                <w:noProof/>
                <w:webHidden/>
              </w:rPr>
            </w:r>
            <w:r>
              <w:rPr>
                <w:noProof/>
                <w:webHidden/>
              </w:rPr>
              <w:fldChar w:fldCharType="separate"/>
            </w:r>
            <w:r w:rsidR="00F93243">
              <w:rPr>
                <w:noProof/>
                <w:webHidden/>
              </w:rPr>
              <w:t>23</w:t>
            </w:r>
            <w:r>
              <w:rPr>
                <w:noProof/>
                <w:webHidden/>
              </w:rPr>
              <w:fldChar w:fldCharType="end"/>
            </w:r>
          </w:hyperlink>
        </w:p>
        <w:p w14:paraId="466576C5" w14:textId="161A01D5" w:rsidR="00C15C1E" w:rsidRDefault="00C15C1E">
          <w:pPr>
            <w:pStyle w:val="TOC2"/>
            <w:rPr>
              <w:rFonts w:eastAsiaTheme="minorEastAsia"/>
              <w:noProof/>
              <w:color w:val="auto"/>
              <w:kern w:val="2"/>
              <w:sz w:val="24"/>
              <w:szCs w:val="24"/>
              <w:lang w:eastAsia="en-AU"/>
              <w14:ligatures w14:val="standardContextual"/>
            </w:rPr>
          </w:pPr>
          <w:hyperlink w:anchor="_Toc223528549" w:history="1">
            <w:r w:rsidRPr="005F0FA0">
              <w:rPr>
                <w:rStyle w:val="Hyperlink"/>
                <w:noProof/>
                <w:color w:val="auto"/>
              </w:rPr>
              <w:t>7.0 Contracting</w:t>
            </w:r>
            <w:r>
              <w:rPr>
                <w:noProof/>
                <w:webHidden/>
              </w:rPr>
              <w:tab/>
            </w:r>
            <w:r>
              <w:rPr>
                <w:noProof/>
                <w:webHidden/>
              </w:rPr>
              <w:fldChar w:fldCharType="begin"/>
            </w:r>
            <w:r>
              <w:rPr>
                <w:noProof/>
                <w:webHidden/>
              </w:rPr>
              <w:instrText xml:space="preserve"> PAGEREF _Toc223528549 \h </w:instrText>
            </w:r>
            <w:r>
              <w:rPr>
                <w:noProof/>
                <w:webHidden/>
              </w:rPr>
            </w:r>
            <w:r>
              <w:rPr>
                <w:noProof/>
                <w:webHidden/>
              </w:rPr>
              <w:fldChar w:fldCharType="separate"/>
            </w:r>
            <w:r w:rsidR="00F93243">
              <w:rPr>
                <w:noProof/>
                <w:webHidden/>
              </w:rPr>
              <w:t>23</w:t>
            </w:r>
            <w:r>
              <w:rPr>
                <w:noProof/>
                <w:webHidden/>
              </w:rPr>
              <w:fldChar w:fldCharType="end"/>
            </w:r>
          </w:hyperlink>
        </w:p>
        <w:p w14:paraId="3D8A33F7" w14:textId="7C63E540" w:rsidR="00C15C1E" w:rsidRDefault="00C15C1E">
          <w:pPr>
            <w:pStyle w:val="TOC2"/>
            <w:rPr>
              <w:rFonts w:eastAsiaTheme="minorEastAsia"/>
              <w:noProof/>
              <w:color w:val="auto"/>
              <w:kern w:val="2"/>
              <w:sz w:val="24"/>
              <w:szCs w:val="24"/>
              <w:lang w:eastAsia="en-AU"/>
              <w14:ligatures w14:val="standardContextual"/>
            </w:rPr>
          </w:pPr>
          <w:hyperlink w:anchor="_Toc223528550" w:history="1">
            <w:r w:rsidRPr="005F0FA0">
              <w:rPr>
                <w:rStyle w:val="Hyperlink"/>
                <w:noProof/>
                <w:color w:val="auto"/>
              </w:rPr>
              <w:t>8.0 Publishing the contract</w:t>
            </w:r>
            <w:r>
              <w:rPr>
                <w:noProof/>
                <w:webHidden/>
              </w:rPr>
              <w:tab/>
            </w:r>
            <w:r>
              <w:rPr>
                <w:noProof/>
                <w:webHidden/>
              </w:rPr>
              <w:fldChar w:fldCharType="begin"/>
            </w:r>
            <w:r>
              <w:rPr>
                <w:noProof/>
                <w:webHidden/>
              </w:rPr>
              <w:instrText xml:space="preserve"> PAGEREF _Toc223528550 \h </w:instrText>
            </w:r>
            <w:r>
              <w:rPr>
                <w:noProof/>
                <w:webHidden/>
              </w:rPr>
            </w:r>
            <w:r>
              <w:rPr>
                <w:noProof/>
                <w:webHidden/>
              </w:rPr>
              <w:fldChar w:fldCharType="separate"/>
            </w:r>
            <w:r w:rsidR="00F93243">
              <w:rPr>
                <w:noProof/>
                <w:webHidden/>
              </w:rPr>
              <w:t>23</w:t>
            </w:r>
            <w:r>
              <w:rPr>
                <w:noProof/>
                <w:webHidden/>
              </w:rPr>
              <w:fldChar w:fldCharType="end"/>
            </w:r>
          </w:hyperlink>
        </w:p>
        <w:p w14:paraId="79F860BF" w14:textId="4CCA12A2" w:rsidR="00C15C1E" w:rsidRDefault="00C15C1E">
          <w:pPr>
            <w:pStyle w:val="TOC3"/>
            <w:rPr>
              <w:rFonts w:eastAsiaTheme="minorEastAsia"/>
              <w:noProof/>
              <w:color w:val="auto"/>
              <w:kern w:val="2"/>
              <w:sz w:val="24"/>
              <w:szCs w:val="24"/>
              <w:lang w:eastAsia="en-AU"/>
              <w14:ligatures w14:val="standardContextual"/>
            </w:rPr>
          </w:pPr>
          <w:hyperlink w:anchor="_Toc223528551" w:history="1">
            <w:r w:rsidRPr="005F0FA0">
              <w:rPr>
                <w:rStyle w:val="Hyperlink"/>
                <w:noProof/>
                <w:color w:val="auto"/>
              </w:rPr>
              <w:t>8.1 Contract Managers’ confirmation</w:t>
            </w:r>
            <w:r>
              <w:rPr>
                <w:noProof/>
                <w:webHidden/>
              </w:rPr>
              <w:tab/>
            </w:r>
            <w:r>
              <w:rPr>
                <w:noProof/>
                <w:webHidden/>
              </w:rPr>
              <w:fldChar w:fldCharType="begin"/>
            </w:r>
            <w:r>
              <w:rPr>
                <w:noProof/>
                <w:webHidden/>
              </w:rPr>
              <w:instrText xml:space="preserve"> PAGEREF _Toc223528551 \h </w:instrText>
            </w:r>
            <w:r>
              <w:rPr>
                <w:noProof/>
                <w:webHidden/>
              </w:rPr>
            </w:r>
            <w:r>
              <w:rPr>
                <w:noProof/>
                <w:webHidden/>
              </w:rPr>
              <w:fldChar w:fldCharType="separate"/>
            </w:r>
            <w:r w:rsidR="00F93243">
              <w:rPr>
                <w:noProof/>
                <w:webHidden/>
              </w:rPr>
              <w:t>23</w:t>
            </w:r>
            <w:r>
              <w:rPr>
                <w:noProof/>
                <w:webHidden/>
              </w:rPr>
              <w:fldChar w:fldCharType="end"/>
            </w:r>
          </w:hyperlink>
        </w:p>
        <w:p w14:paraId="48A46D4E" w14:textId="643239B8" w:rsidR="00C15C1E" w:rsidRDefault="00C15C1E">
          <w:pPr>
            <w:pStyle w:val="TOC3"/>
            <w:rPr>
              <w:rFonts w:eastAsiaTheme="minorEastAsia"/>
              <w:noProof/>
              <w:color w:val="auto"/>
              <w:kern w:val="2"/>
              <w:sz w:val="24"/>
              <w:szCs w:val="24"/>
              <w:lang w:eastAsia="en-AU"/>
              <w14:ligatures w14:val="standardContextual"/>
            </w:rPr>
          </w:pPr>
          <w:hyperlink w:anchor="_Toc223528552" w:history="1">
            <w:r w:rsidRPr="005F0FA0">
              <w:rPr>
                <w:rStyle w:val="Hyperlink"/>
                <w:noProof/>
                <w:color w:val="auto"/>
              </w:rPr>
              <w:t>8.2</w:t>
            </w:r>
            <w:r>
              <w:rPr>
                <w:noProof/>
                <w:webHidden/>
              </w:rPr>
              <w:tab/>
            </w:r>
            <w:r>
              <w:rPr>
                <w:noProof/>
                <w:webHidden/>
              </w:rPr>
              <w:fldChar w:fldCharType="begin"/>
            </w:r>
            <w:r>
              <w:rPr>
                <w:noProof/>
                <w:webHidden/>
              </w:rPr>
              <w:instrText xml:space="preserve"> PAGEREF _Toc223528552 \h </w:instrText>
            </w:r>
            <w:r>
              <w:rPr>
                <w:noProof/>
                <w:webHidden/>
              </w:rPr>
            </w:r>
            <w:r>
              <w:rPr>
                <w:noProof/>
                <w:webHidden/>
              </w:rPr>
              <w:fldChar w:fldCharType="separate"/>
            </w:r>
            <w:r w:rsidR="00F93243">
              <w:rPr>
                <w:noProof/>
                <w:webHidden/>
              </w:rPr>
              <w:t>24</w:t>
            </w:r>
            <w:r>
              <w:rPr>
                <w:noProof/>
                <w:webHidden/>
              </w:rPr>
              <w:fldChar w:fldCharType="end"/>
            </w:r>
          </w:hyperlink>
        </w:p>
        <w:p w14:paraId="67023528" w14:textId="11A6669A" w:rsidR="00C15C1E" w:rsidRDefault="00C15C1E">
          <w:pPr>
            <w:pStyle w:val="TOC3"/>
            <w:rPr>
              <w:rFonts w:eastAsiaTheme="minorEastAsia"/>
              <w:noProof/>
              <w:color w:val="auto"/>
              <w:kern w:val="2"/>
              <w:sz w:val="24"/>
              <w:szCs w:val="24"/>
              <w:lang w:eastAsia="en-AU"/>
              <w14:ligatures w14:val="standardContextual"/>
            </w:rPr>
          </w:pPr>
          <w:hyperlink w:anchor="_Toc223528553" w:history="1">
            <w:r w:rsidRPr="005F0FA0">
              <w:rPr>
                <w:rStyle w:val="Hyperlink"/>
                <w:noProof/>
                <w:color w:val="auto"/>
              </w:rPr>
              <w:t>Appropriate use of MMR exemptions and ‘other’ category</w:t>
            </w:r>
            <w:r>
              <w:rPr>
                <w:noProof/>
                <w:webHidden/>
              </w:rPr>
              <w:tab/>
            </w:r>
            <w:r>
              <w:rPr>
                <w:noProof/>
                <w:webHidden/>
              </w:rPr>
              <w:fldChar w:fldCharType="begin"/>
            </w:r>
            <w:r>
              <w:rPr>
                <w:noProof/>
                <w:webHidden/>
              </w:rPr>
              <w:instrText xml:space="preserve"> PAGEREF _Toc223528553 \h </w:instrText>
            </w:r>
            <w:r>
              <w:rPr>
                <w:noProof/>
                <w:webHidden/>
              </w:rPr>
            </w:r>
            <w:r>
              <w:rPr>
                <w:noProof/>
                <w:webHidden/>
              </w:rPr>
              <w:fldChar w:fldCharType="separate"/>
            </w:r>
            <w:r w:rsidR="00F93243">
              <w:rPr>
                <w:noProof/>
                <w:webHidden/>
              </w:rPr>
              <w:t>24</w:t>
            </w:r>
            <w:r>
              <w:rPr>
                <w:noProof/>
                <w:webHidden/>
              </w:rPr>
              <w:fldChar w:fldCharType="end"/>
            </w:r>
          </w:hyperlink>
        </w:p>
        <w:p w14:paraId="5ABE27FB" w14:textId="33D4CB9D" w:rsidR="00C15C1E" w:rsidRDefault="00C15C1E">
          <w:pPr>
            <w:pStyle w:val="TOC2"/>
            <w:rPr>
              <w:rFonts w:eastAsiaTheme="minorEastAsia"/>
              <w:noProof/>
              <w:color w:val="auto"/>
              <w:kern w:val="2"/>
              <w:sz w:val="24"/>
              <w:szCs w:val="24"/>
              <w:lang w:eastAsia="en-AU"/>
              <w14:ligatures w14:val="standardContextual"/>
            </w:rPr>
          </w:pPr>
          <w:hyperlink w:anchor="_Toc223528554" w:history="1">
            <w:r w:rsidRPr="005F0FA0">
              <w:rPr>
                <w:rStyle w:val="Hyperlink"/>
                <w:noProof/>
                <w:color w:val="auto"/>
              </w:rPr>
              <w:t>9.0 Contract Management</w:t>
            </w:r>
            <w:r>
              <w:rPr>
                <w:noProof/>
                <w:webHidden/>
              </w:rPr>
              <w:tab/>
            </w:r>
            <w:r>
              <w:rPr>
                <w:noProof/>
                <w:webHidden/>
              </w:rPr>
              <w:fldChar w:fldCharType="begin"/>
            </w:r>
            <w:r>
              <w:rPr>
                <w:noProof/>
                <w:webHidden/>
              </w:rPr>
              <w:instrText xml:space="preserve"> PAGEREF _Toc223528554 \h </w:instrText>
            </w:r>
            <w:r>
              <w:rPr>
                <w:noProof/>
                <w:webHidden/>
              </w:rPr>
            </w:r>
            <w:r>
              <w:rPr>
                <w:noProof/>
                <w:webHidden/>
              </w:rPr>
              <w:fldChar w:fldCharType="separate"/>
            </w:r>
            <w:r w:rsidR="00F93243">
              <w:rPr>
                <w:noProof/>
                <w:webHidden/>
              </w:rPr>
              <w:t>24</w:t>
            </w:r>
            <w:r>
              <w:rPr>
                <w:noProof/>
                <w:webHidden/>
              </w:rPr>
              <w:fldChar w:fldCharType="end"/>
            </w:r>
          </w:hyperlink>
        </w:p>
        <w:p w14:paraId="4C10A9F7" w14:textId="7344F344" w:rsidR="00C15C1E" w:rsidRDefault="00C15C1E">
          <w:pPr>
            <w:pStyle w:val="TOC3"/>
            <w:rPr>
              <w:rFonts w:eastAsiaTheme="minorEastAsia"/>
              <w:noProof/>
              <w:color w:val="auto"/>
              <w:kern w:val="2"/>
              <w:sz w:val="24"/>
              <w:szCs w:val="24"/>
              <w:lang w:eastAsia="en-AU"/>
              <w14:ligatures w14:val="standardContextual"/>
            </w:rPr>
          </w:pPr>
          <w:hyperlink w:anchor="_Toc223528555" w:history="1">
            <w:r w:rsidRPr="005F0FA0">
              <w:rPr>
                <w:rStyle w:val="Hyperlink"/>
                <w:noProof/>
                <w:color w:val="auto"/>
              </w:rPr>
              <w:t>9.1 Reporting obligations</w:t>
            </w:r>
            <w:r>
              <w:rPr>
                <w:noProof/>
                <w:webHidden/>
              </w:rPr>
              <w:tab/>
            </w:r>
            <w:r>
              <w:rPr>
                <w:noProof/>
                <w:webHidden/>
              </w:rPr>
              <w:fldChar w:fldCharType="begin"/>
            </w:r>
            <w:r>
              <w:rPr>
                <w:noProof/>
                <w:webHidden/>
              </w:rPr>
              <w:instrText xml:space="preserve"> PAGEREF _Toc223528555 \h </w:instrText>
            </w:r>
            <w:r>
              <w:rPr>
                <w:noProof/>
                <w:webHidden/>
              </w:rPr>
            </w:r>
            <w:r>
              <w:rPr>
                <w:noProof/>
                <w:webHidden/>
              </w:rPr>
              <w:fldChar w:fldCharType="separate"/>
            </w:r>
            <w:r w:rsidR="00F93243">
              <w:rPr>
                <w:noProof/>
                <w:webHidden/>
              </w:rPr>
              <w:t>24</w:t>
            </w:r>
            <w:r>
              <w:rPr>
                <w:noProof/>
                <w:webHidden/>
              </w:rPr>
              <w:fldChar w:fldCharType="end"/>
            </w:r>
          </w:hyperlink>
        </w:p>
        <w:p w14:paraId="36554425" w14:textId="1EDFA999" w:rsidR="00C15C1E" w:rsidRDefault="00C15C1E">
          <w:pPr>
            <w:pStyle w:val="TOC3"/>
            <w:rPr>
              <w:rFonts w:eastAsiaTheme="minorEastAsia"/>
              <w:noProof/>
              <w:color w:val="auto"/>
              <w:kern w:val="2"/>
              <w:sz w:val="24"/>
              <w:szCs w:val="24"/>
              <w:lang w:eastAsia="en-AU"/>
              <w14:ligatures w14:val="standardContextual"/>
            </w:rPr>
          </w:pPr>
          <w:hyperlink w:anchor="_Toc223528556" w:history="1">
            <w:r w:rsidRPr="005F0FA0">
              <w:rPr>
                <w:rStyle w:val="Hyperlink"/>
                <w:noProof/>
                <w:color w:val="auto"/>
              </w:rPr>
              <w:t>9.2 Monitoring progress</w:t>
            </w:r>
            <w:r>
              <w:rPr>
                <w:noProof/>
                <w:webHidden/>
              </w:rPr>
              <w:tab/>
            </w:r>
            <w:r>
              <w:rPr>
                <w:noProof/>
                <w:webHidden/>
              </w:rPr>
              <w:fldChar w:fldCharType="begin"/>
            </w:r>
            <w:r>
              <w:rPr>
                <w:noProof/>
                <w:webHidden/>
              </w:rPr>
              <w:instrText xml:space="preserve"> PAGEREF _Toc223528556 \h </w:instrText>
            </w:r>
            <w:r>
              <w:rPr>
                <w:noProof/>
                <w:webHidden/>
              </w:rPr>
            </w:r>
            <w:r>
              <w:rPr>
                <w:noProof/>
                <w:webHidden/>
              </w:rPr>
              <w:fldChar w:fldCharType="separate"/>
            </w:r>
            <w:r w:rsidR="00F93243">
              <w:rPr>
                <w:noProof/>
                <w:webHidden/>
              </w:rPr>
              <w:t>25</w:t>
            </w:r>
            <w:r>
              <w:rPr>
                <w:noProof/>
                <w:webHidden/>
              </w:rPr>
              <w:fldChar w:fldCharType="end"/>
            </w:r>
          </w:hyperlink>
        </w:p>
        <w:p w14:paraId="00240A00" w14:textId="26343CD3" w:rsidR="00C15C1E" w:rsidRDefault="00C15C1E">
          <w:pPr>
            <w:pStyle w:val="TOC3"/>
            <w:rPr>
              <w:rFonts w:eastAsiaTheme="minorEastAsia"/>
              <w:noProof/>
              <w:color w:val="auto"/>
              <w:kern w:val="2"/>
              <w:sz w:val="24"/>
              <w:szCs w:val="24"/>
              <w:lang w:eastAsia="en-AU"/>
              <w14:ligatures w14:val="standardContextual"/>
            </w:rPr>
          </w:pPr>
          <w:hyperlink w:anchor="_Toc223528557" w:history="1">
            <w:r w:rsidRPr="005F0FA0">
              <w:rPr>
                <w:rStyle w:val="Hyperlink"/>
                <w:noProof/>
                <w:color w:val="auto"/>
              </w:rPr>
              <w:t>9.3 Verifying information</w:t>
            </w:r>
            <w:r>
              <w:rPr>
                <w:noProof/>
                <w:webHidden/>
              </w:rPr>
              <w:tab/>
            </w:r>
            <w:r>
              <w:rPr>
                <w:noProof/>
                <w:webHidden/>
              </w:rPr>
              <w:fldChar w:fldCharType="begin"/>
            </w:r>
            <w:r>
              <w:rPr>
                <w:noProof/>
                <w:webHidden/>
              </w:rPr>
              <w:instrText xml:space="preserve"> PAGEREF _Toc223528557 \h </w:instrText>
            </w:r>
            <w:r>
              <w:rPr>
                <w:noProof/>
                <w:webHidden/>
              </w:rPr>
            </w:r>
            <w:r>
              <w:rPr>
                <w:noProof/>
                <w:webHidden/>
              </w:rPr>
              <w:fldChar w:fldCharType="separate"/>
            </w:r>
            <w:r w:rsidR="00F93243">
              <w:rPr>
                <w:noProof/>
                <w:webHidden/>
              </w:rPr>
              <w:t>26</w:t>
            </w:r>
            <w:r>
              <w:rPr>
                <w:noProof/>
                <w:webHidden/>
              </w:rPr>
              <w:fldChar w:fldCharType="end"/>
            </w:r>
          </w:hyperlink>
        </w:p>
        <w:p w14:paraId="01A04B37" w14:textId="0EC96A90" w:rsidR="00C15C1E" w:rsidRDefault="00C15C1E">
          <w:pPr>
            <w:pStyle w:val="TOC3"/>
            <w:rPr>
              <w:rFonts w:eastAsiaTheme="minorEastAsia"/>
              <w:noProof/>
              <w:color w:val="auto"/>
              <w:kern w:val="2"/>
              <w:sz w:val="24"/>
              <w:szCs w:val="24"/>
              <w:lang w:eastAsia="en-AU"/>
              <w14:ligatures w14:val="standardContextual"/>
            </w:rPr>
          </w:pPr>
          <w:hyperlink w:anchor="_Toc223528558" w:history="1">
            <w:r w:rsidRPr="005F0FA0">
              <w:rPr>
                <w:rStyle w:val="Hyperlink"/>
                <w:noProof/>
                <w:color w:val="auto"/>
              </w:rPr>
              <w:t>9.4 Final compliance assessment, contract end</w:t>
            </w:r>
            <w:r>
              <w:rPr>
                <w:noProof/>
                <w:webHidden/>
              </w:rPr>
              <w:tab/>
            </w:r>
            <w:r>
              <w:rPr>
                <w:noProof/>
                <w:webHidden/>
              </w:rPr>
              <w:fldChar w:fldCharType="begin"/>
            </w:r>
            <w:r>
              <w:rPr>
                <w:noProof/>
                <w:webHidden/>
              </w:rPr>
              <w:instrText xml:space="preserve"> PAGEREF _Toc223528558 \h </w:instrText>
            </w:r>
            <w:r>
              <w:rPr>
                <w:noProof/>
                <w:webHidden/>
              </w:rPr>
            </w:r>
            <w:r>
              <w:rPr>
                <w:noProof/>
                <w:webHidden/>
              </w:rPr>
              <w:fldChar w:fldCharType="separate"/>
            </w:r>
            <w:r w:rsidR="00F93243">
              <w:rPr>
                <w:noProof/>
                <w:webHidden/>
              </w:rPr>
              <w:t>26</w:t>
            </w:r>
            <w:r>
              <w:rPr>
                <w:noProof/>
                <w:webHidden/>
              </w:rPr>
              <w:fldChar w:fldCharType="end"/>
            </w:r>
          </w:hyperlink>
        </w:p>
        <w:p w14:paraId="7D722CB5" w14:textId="5A46FFDD" w:rsidR="00C15C1E" w:rsidRDefault="00C15C1E">
          <w:pPr>
            <w:pStyle w:val="TOC2"/>
            <w:rPr>
              <w:rFonts w:eastAsiaTheme="minorEastAsia"/>
              <w:noProof/>
              <w:color w:val="auto"/>
              <w:kern w:val="2"/>
              <w:sz w:val="24"/>
              <w:szCs w:val="24"/>
              <w:lang w:eastAsia="en-AU"/>
              <w14:ligatures w14:val="standardContextual"/>
            </w:rPr>
          </w:pPr>
          <w:hyperlink w:anchor="_Toc223528559" w:history="1">
            <w:r w:rsidRPr="005F0FA0">
              <w:rPr>
                <w:rStyle w:val="Hyperlink"/>
                <w:noProof/>
                <w:color w:val="auto"/>
              </w:rPr>
              <w:t>10.0 Contract variations</w:t>
            </w:r>
            <w:r>
              <w:rPr>
                <w:noProof/>
                <w:webHidden/>
              </w:rPr>
              <w:tab/>
            </w:r>
            <w:r>
              <w:rPr>
                <w:noProof/>
                <w:webHidden/>
              </w:rPr>
              <w:fldChar w:fldCharType="begin"/>
            </w:r>
            <w:r>
              <w:rPr>
                <w:noProof/>
                <w:webHidden/>
              </w:rPr>
              <w:instrText xml:space="preserve"> PAGEREF _Toc223528559 \h </w:instrText>
            </w:r>
            <w:r>
              <w:rPr>
                <w:noProof/>
                <w:webHidden/>
              </w:rPr>
            </w:r>
            <w:r>
              <w:rPr>
                <w:noProof/>
                <w:webHidden/>
              </w:rPr>
              <w:fldChar w:fldCharType="separate"/>
            </w:r>
            <w:r w:rsidR="00F93243">
              <w:rPr>
                <w:noProof/>
                <w:webHidden/>
              </w:rPr>
              <w:t>27</w:t>
            </w:r>
            <w:r>
              <w:rPr>
                <w:noProof/>
                <w:webHidden/>
              </w:rPr>
              <w:fldChar w:fldCharType="end"/>
            </w:r>
          </w:hyperlink>
        </w:p>
        <w:p w14:paraId="202A1F05" w14:textId="36A196FD" w:rsidR="00C15C1E" w:rsidRDefault="00C15C1E">
          <w:pPr>
            <w:pStyle w:val="TOC3"/>
            <w:rPr>
              <w:rFonts w:eastAsiaTheme="minorEastAsia"/>
              <w:noProof/>
              <w:color w:val="auto"/>
              <w:kern w:val="2"/>
              <w:sz w:val="24"/>
              <w:szCs w:val="24"/>
              <w:lang w:eastAsia="en-AU"/>
              <w14:ligatures w14:val="standardContextual"/>
            </w:rPr>
          </w:pPr>
          <w:hyperlink w:anchor="_Toc223528560" w:history="1">
            <w:r w:rsidRPr="005F0FA0">
              <w:rPr>
                <w:rStyle w:val="Hyperlink"/>
                <w:noProof/>
                <w:color w:val="auto"/>
              </w:rPr>
              <w:t>10.1 Varying a contract that is already subject to MMR</w:t>
            </w:r>
            <w:r>
              <w:rPr>
                <w:noProof/>
                <w:webHidden/>
              </w:rPr>
              <w:tab/>
            </w:r>
            <w:r>
              <w:rPr>
                <w:noProof/>
                <w:webHidden/>
              </w:rPr>
              <w:fldChar w:fldCharType="begin"/>
            </w:r>
            <w:r>
              <w:rPr>
                <w:noProof/>
                <w:webHidden/>
              </w:rPr>
              <w:instrText xml:space="preserve"> PAGEREF _Toc223528560 \h </w:instrText>
            </w:r>
            <w:r>
              <w:rPr>
                <w:noProof/>
                <w:webHidden/>
              </w:rPr>
            </w:r>
            <w:r>
              <w:rPr>
                <w:noProof/>
                <w:webHidden/>
              </w:rPr>
              <w:fldChar w:fldCharType="separate"/>
            </w:r>
            <w:r w:rsidR="00F93243">
              <w:rPr>
                <w:noProof/>
                <w:webHidden/>
              </w:rPr>
              <w:t>27</w:t>
            </w:r>
            <w:r>
              <w:rPr>
                <w:noProof/>
                <w:webHidden/>
              </w:rPr>
              <w:fldChar w:fldCharType="end"/>
            </w:r>
          </w:hyperlink>
        </w:p>
        <w:p w14:paraId="0AF4B40C" w14:textId="35C675A2" w:rsidR="00C15C1E" w:rsidRDefault="00C15C1E">
          <w:pPr>
            <w:pStyle w:val="TOC3"/>
            <w:rPr>
              <w:rFonts w:eastAsiaTheme="minorEastAsia"/>
              <w:noProof/>
              <w:color w:val="auto"/>
              <w:kern w:val="2"/>
              <w:sz w:val="24"/>
              <w:szCs w:val="24"/>
              <w:lang w:eastAsia="en-AU"/>
              <w14:ligatures w14:val="standardContextual"/>
            </w:rPr>
          </w:pPr>
          <w:hyperlink w:anchor="_Toc223528561" w:history="1">
            <w:r w:rsidRPr="005F0FA0">
              <w:rPr>
                <w:rStyle w:val="Hyperlink"/>
                <w:noProof/>
                <w:color w:val="auto"/>
              </w:rPr>
              <w:t>10.2 Varying a contract to increase the value of the contract above the $7.5 million threshold</w:t>
            </w:r>
            <w:r>
              <w:rPr>
                <w:noProof/>
                <w:webHidden/>
              </w:rPr>
              <w:tab/>
            </w:r>
            <w:r>
              <w:rPr>
                <w:noProof/>
                <w:webHidden/>
              </w:rPr>
              <w:fldChar w:fldCharType="begin"/>
            </w:r>
            <w:r>
              <w:rPr>
                <w:noProof/>
                <w:webHidden/>
              </w:rPr>
              <w:instrText xml:space="preserve"> PAGEREF _Toc223528561 \h </w:instrText>
            </w:r>
            <w:r>
              <w:rPr>
                <w:noProof/>
                <w:webHidden/>
              </w:rPr>
            </w:r>
            <w:r>
              <w:rPr>
                <w:noProof/>
                <w:webHidden/>
              </w:rPr>
              <w:fldChar w:fldCharType="separate"/>
            </w:r>
            <w:r w:rsidR="00F93243">
              <w:rPr>
                <w:noProof/>
                <w:webHidden/>
              </w:rPr>
              <w:t>27</w:t>
            </w:r>
            <w:r>
              <w:rPr>
                <w:noProof/>
                <w:webHidden/>
              </w:rPr>
              <w:fldChar w:fldCharType="end"/>
            </w:r>
          </w:hyperlink>
        </w:p>
        <w:p w14:paraId="68ABF0CC" w14:textId="1D529702" w:rsidR="00C15C1E" w:rsidRDefault="00C15C1E">
          <w:pPr>
            <w:pStyle w:val="TOC2"/>
            <w:rPr>
              <w:rFonts w:eastAsiaTheme="minorEastAsia"/>
              <w:noProof/>
              <w:color w:val="auto"/>
              <w:kern w:val="2"/>
              <w:sz w:val="24"/>
              <w:szCs w:val="24"/>
              <w:lang w:eastAsia="en-AU"/>
              <w14:ligatures w14:val="standardContextual"/>
            </w:rPr>
          </w:pPr>
          <w:hyperlink w:anchor="_Toc223528562" w:history="1">
            <w:r w:rsidRPr="005F0FA0">
              <w:rPr>
                <w:rStyle w:val="Hyperlink"/>
                <w:noProof/>
                <w:color w:val="auto"/>
              </w:rPr>
              <w:t>11.0 Compliance reporting responsibilities and risks</w:t>
            </w:r>
            <w:r>
              <w:rPr>
                <w:noProof/>
                <w:webHidden/>
              </w:rPr>
              <w:tab/>
            </w:r>
            <w:r>
              <w:rPr>
                <w:noProof/>
                <w:webHidden/>
              </w:rPr>
              <w:fldChar w:fldCharType="begin"/>
            </w:r>
            <w:r>
              <w:rPr>
                <w:noProof/>
                <w:webHidden/>
              </w:rPr>
              <w:instrText xml:space="preserve"> PAGEREF _Toc223528562 \h </w:instrText>
            </w:r>
            <w:r>
              <w:rPr>
                <w:noProof/>
                <w:webHidden/>
              </w:rPr>
            </w:r>
            <w:r>
              <w:rPr>
                <w:noProof/>
                <w:webHidden/>
              </w:rPr>
              <w:fldChar w:fldCharType="separate"/>
            </w:r>
            <w:r w:rsidR="00F93243">
              <w:rPr>
                <w:noProof/>
                <w:webHidden/>
              </w:rPr>
              <w:t>28</w:t>
            </w:r>
            <w:r>
              <w:rPr>
                <w:noProof/>
                <w:webHidden/>
              </w:rPr>
              <w:fldChar w:fldCharType="end"/>
            </w:r>
          </w:hyperlink>
        </w:p>
        <w:p w14:paraId="2741A40B" w14:textId="60AFED71" w:rsidR="00C15C1E" w:rsidRDefault="00C15C1E">
          <w:pPr>
            <w:pStyle w:val="TOC2"/>
            <w:rPr>
              <w:rFonts w:eastAsiaTheme="minorEastAsia"/>
              <w:noProof/>
              <w:color w:val="auto"/>
              <w:kern w:val="2"/>
              <w:sz w:val="24"/>
              <w:szCs w:val="24"/>
              <w:lang w:eastAsia="en-AU"/>
              <w14:ligatures w14:val="standardContextual"/>
            </w:rPr>
          </w:pPr>
          <w:hyperlink w:anchor="_Toc223528563" w:history="1">
            <w:r w:rsidRPr="005F0FA0">
              <w:rPr>
                <w:rStyle w:val="Hyperlink"/>
                <w:noProof/>
                <w:color w:val="auto"/>
              </w:rPr>
              <w:t>13.0 Further assistance</w:t>
            </w:r>
            <w:r>
              <w:rPr>
                <w:noProof/>
                <w:webHidden/>
              </w:rPr>
              <w:tab/>
            </w:r>
            <w:r>
              <w:rPr>
                <w:noProof/>
                <w:webHidden/>
              </w:rPr>
              <w:fldChar w:fldCharType="begin"/>
            </w:r>
            <w:r>
              <w:rPr>
                <w:noProof/>
                <w:webHidden/>
              </w:rPr>
              <w:instrText xml:space="preserve"> PAGEREF _Toc223528563 \h </w:instrText>
            </w:r>
            <w:r>
              <w:rPr>
                <w:noProof/>
                <w:webHidden/>
              </w:rPr>
            </w:r>
            <w:r>
              <w:rPr>
                <w:noProof/>
                <w:webHidden/>
              </w:rPr>
              <w:fldChar w:fldCharType="separate"/>
            </w:r>
            <w:r w:rsidR="00F93243">
              <w:rPr>
                <w:noProof/>
                <w:webHidden/>
              </w:rPr>
              <w:t>30</w:t>
            </w:r>
            <w:r>
              <w:rPr>
                <w:noProof/>
                <w:webHidden/>
              </w:rPr>
              <w:fldChar w:fldCharType="end"/>
            </w:r>
          </w:hyperlink>
        </w:p>
        <w:p w14:paraId="1C3EFCFC" w14:textId="068A719C" w:rsidR="00C15C1E" w:rsidRDefault="00C15C1E">
          <w:pPr>
            <w:pStyle w:val="TOC2"/>
            <w:tabs>
              <w:tab w:val="left" w:pos="960"/>
            </w:tabs>
            <w:rPr>
              <w:rFonts w:eastAsiaTheme="minorEastAsia"/>
              <w:noProof/>
              <w:color w:val="auto"/>
              <w:kern w:val="2"/>
              <w:sz w:val="24"/>
              <w:szCs w:val="24"/>
              <w:lang w:eastAsia="en-AU"/>
              <w14:ligatures w14:val="standardContextual"/>
            </w:rPr>
          </w:pPr>
          <w:hyperlink w:anchor="_Toc223528564" w:history="1">
            <w:r w:rsidRPr="005F0FA0">
              <w:rPr>
                <w:rStyle w:val="Hyperlink"/>
                <w:noProof/>
                <w:color w:val="auto"/>
              </w:rPr>
              <w:t>14.0</w:t>
            </w:r>
            <w:r>
              <w:rPr>
                <w:rFonts w:eastAsiaTheme="minorEastAsia"/>
                <w:noProof/>
                <w:color w:val="auto"/>
                <w:kern w:val="2"/>
                <w:sz w:val="24"/>
                <w:szCs w:val="24"/>
                <w:lang w:eastAsia="en-AU"/>
                <w14:ligatures w14:val="standardContextual"/>
              </w:rPr>
              <w:tab/>
            </w:r>
            <w:r w:rsidRPr="005F0FA0">
              <w:rPr>
                <w:rStyle w:val="Hyperlink"/>
                <w:noProof/>
                <w:color w:val="auto"/>
              </w:rPr>
              <w:t>Resources</w:t>
            </w:r>
            <w:r>
              <w:rPr>
                <w:noProof/>
                <w:webHidden/>
              </w:rPr>
              <w:tab/>
            </w:r>
            <w:r>
              <w:rPr>
                <w:noProof/>
                <w:webHidden/>
              </w:rPr>
              <w:fldChar w:fldCharType="begin"/>
            </w:r>
            <w:r>
              <w:rPr>
                <w:noProof/>
                <w:webHidden/>
              </w:rPr>
              <w:instrText xml:space="preserve"> PAGEREF _Toc223528564 \h </w:instrText>
            </w:r>
            <w:r>
              <w:rPr>
                <w:noProof/>
                <w:webHidden/>
              </w:rPr>
            </w:r>
            <w:r>
              <w:rPr>
                <w:noProof/>
                <w:webHidden/>
              </w:rPr>
              <w:fldChar w:fldCharType="separate"/>
            </w:r>
            <w:r w:rsidR="00F93243">
              <w:rPr>
                <w:noProof/>
                <w:webHidden/>
              </w:rPr>
              <w:t>31</w:t>
            </w:r>
            <w:r>
              <w:rPr>
                <w:noProof/>
                <w:webHidden/>
              </w:rPr>
              <w:fldChar w:fldCharType="end"/>
            </w:r>
          </w:hyperlink>
        </w:p>
        <w:p w14:paraId="377C11DC" w14:textId="61F1956A" w:rsidR="00C15C1E" w:rsidRDefault="00C15C1E">
          <w:pPr>
            <w:pStyle w:val="TOC1"/>
            <w:rPr>
              <w:rFonts w:eastAsiaTheme="minorEastAsia"/>
              <w:noProof/>
              <w:color w:val="auto"/>
              <w:kern w:val="2"/>
              <w:sz w:val="24"/>
              <w:szCs w:val="24"/>
              <w:lang w:eastAsia="en-AU"/>
              <w14:ligatures w14:val="standardContextual"/>
            </w:rPr>
          </w:pPr>
          <w:hyperlink w:anchor="_Toc223528565" w:history="1">
            <w:r w:rsidRPr="005F0FA0">
              <w:rPr>
                <w:rStyle w:val="Hyperlink"/>
                <w:noProof/>
                <w:color w:val="auto"/>
              </w:rPr>
              <w:t>Attachment A</w:t>
            </w:r>
            <w:r>
              <w:rPr>
                <w:noProof/>
                <w:webHidden/>
              </w:rPr>
              <w:tab/>
            </w:r>
            <w:r>
              <w:rPr>
                <w:noProof/>
                <w:webHidden/>
              </w:rPr>
              <w:fldChar w:fldCharType="begin"/>
            </w:r>
            <w:r>
              <w:rPr>
                <w:noProof/>
                <w:webHidden/>
              </w:rPr>
              <w:instrText xml:space="preserve"> PAGEREF _Toc223528565 \h </w:instrText>
            </w:r>
            <w:r>
              <w:rPr>
                <w:noProof/>
                <w:webHidden/>
              </w:rPr>
            </w:r>
            <w:r>
              <w:rPr>
                <w:noProof/>
                <w:webHidden/>
              </w:rPr>
              <w:fldChar w:fldCharType="separate"/>
            </w:r>
            <w:r w:rsidR="00F93243">
              <w:rPr>
                <w:noProof/>
                <w:webHidden/>
              </w:rPr>
              <w:t>33</w:t>
            </w:r>
            <w:r>
              <w:rPr>
                <w:noProof/>
                <w:webHidden/>
              </w:rPr>
              <w:fldChar w:fldCharType="end"/>
            </w:r>
          </w:hyperlink>
        </w:p>
        <w:p w14:paraId="6D9687D7" w14:textId="77777777" w:rsidR="005B43E4" w:rsidRPr="005B47E3" w:rsidRDefault="005B43E4">
          <w:pPr>
            <w:rPr>
              <w:rFonts w:asciiTheme="majorHAnsi" w:hAnsiTheme="majorHAnsi"/>
            </w:rPr>
          </w:pPr>
          <w:r w:rsidRPr="00D45C29">
            <w:rPr>
              <w:rFonts w:asciiTheme="majorHAnsi" w:hAnsiTheme="majorHAnsi"/>
              <w:b/>
              <w:bCs/>
              <w:noProof/>
              <w:sz w:val="18"/>
              <w:szCs w:val="18"/>
            </w:rPr>
            <w:fldChar w:fldCharType="end"/>
          </w:r>
        </w:p>
      </w:sdtContent>
    </w:sdt>
    <w:p w14:paraId="42E646D4" w14:textId="77777777" w:rsidR="006D1139" w:rsidRPr="00A82FD7" w:rsidRDefault="00A372B9" w:rsidP="003549E6">
      <w:pPr>
        <w:pStyle w:val="Heading2"/>
      </w:pPr>
      <w:bookmarkStart w:id="28" w:name="_Toc223528527"/>
      <w:bookmarkStart w:id="29" w:name="_Toc40356277"/>
      <w:r w:rsidRPr="00A82FD7">
        <w:t>Glossary</w:t>
      </w:r>
      <w:bookmarkEnd w:id="28"/>
    </w:p>
    <w:p w14:paraId="17381972" w14:textId="77777777" w:rsidR="006D1139" w:rsidRPr="00A82FD7" w:rsidRDefault="006D1139" w:rsidP="006D1139">
      <w:pPr>
        <w:pStyle w:val="ListParagraph"/>
        <w:tabs>
          <w:tab w:val="left" w:pos="6521"/>
        </w:tabs>
        <w:spacing w:after="200" w:line="276" w:lineRule="auto"/>
        <w:ind w:left="0"/>
        <w:rPr>
          <w:rFonts w:asciiTheme="majorHAnsi" w:hAnsiTheme="majorHAnsi"/>
        </w:rPr>
      </w:pPr>
      <w:proofErr w:type="spellStart"/>
      <w:r w:rsidRPr="00A82FD7">
        <w:rPr>
          <w:rFonts w:asciiTheme="majorHAnsi" w:hAnsiTheme="majorHAnsi"/>
          <w:b/>
        </w:rPr>
        <w:t>AusTender</w:t>
      </w:r>
      <w:proofErr w:type="spellEnd"/>
      <w:r w:rsidRPr="00A82FD7">
        <w:rPr>
          <w:rFonts w:asciiTheme="majorHAnsi" w:hAnsiTheme="majorHAnsi"/>
          <w:b/>
        </w:rPr>
        <w:t xml:space="preserve"> </w:t>
      </w:r>
      <w:r w:rsidRPr="00A82FD7">
        <w:rPr>
          <w:rFonts w:asciiTheme="majorHAnsi" w:hAnsiTheme="majorHAnsi"/>
        </w:rPr>
        <w:t>has the same meaning as in the Commonwealth Procurement Rules.</w:t>
      </w:r>
    </w:p>
    <w:p w14:paraId="5E34E981"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Approach to market</w:t>
      </w:r>
      <w:r w:rsidR="00500EB9" w:rsidRPr="00A82FD7">
        <w:rPr>
          <w:rFonts w:asciiTheme="majorHAnsi" w:hAnsiTheme="majorHAnsi"/>
          <w:b/>
        </w:rPr>
        <w:t xml:space="preserve"> (open)</w:t>
      </w:r>
      <w:r w:rsidRPr="00A82FD7">
        <w:rPr>
          <w:rFonts w:asciiTheme="majorHAnsi" w:hAnsiTheme="majorHAnsi"/>
          <w:b/>
        </w:rPr>
        <w:t xml:space="preserve"> </w:t>
      </w:r>
      <w:r w:rsidRPr="00A82FD7">
        <w:rPr>
          <w:rFonts w:asciiTheme="majorHAnsi" w:hAnsiTheme="majorHAnsi"/>
        </w:rPr>
        <w:t>has the same meaning as in the Commonwealth Procurement Rules.</w:t>
      </w:r>
    </w:p>
    <w:p w14:paraId="2EEED175"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Commonwealth entity </w:t>
      </w:r>
      <w:r w:rsidRPr="00A82FD7">
        <w:rPr>
          <w:rFonts w:asciiTheme="majorHAnsi" w:hAnsiTheme="majorHAnsi"/>
        </w:rPr>
        <w:t xml:space="preserve">has the same meaning as set out in the </w:t>
      </w:r>
      <w:r w:rsidRPr="00A82FD7">
        <w:rPr>
          <w:rFonts w:asciiTheme="majorHAnsi" w:hAnsiTheme="majorHAnsi"/>
          <w:i/>
        </w:rPr>
        <w:t>Public Governance, Performance and Accountability Act 2013</w:t>
      </w:r>
      <w:r w:rsidRPr="00A82FD7">
        <w:rPr>
          <w:rFonts w:asciiTheme="majorHAnsi" w:hAnsiTheme="majorHAnsi"/>
        </w:rPr>
        <w:t>.</w:t>
      </w:r>
    </w:p>
    <w:p w14:paraId="1AE635F2"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Commonwealth Procurement Rules (CPRs) </w:t>
      </w:r>
      <w:r w:rsidRPr="00A82FD7">
        <w:rPr>
          <w:rFonts w:asciiTheme="majorHAnsi" w:hAnsiTheme="majorHAnsi"/>
        </w:rPr>
        <w:t xml:space="preserve">mean the rules issued by the Minister for Finance under section 105B (1) of the </w:t>
      </w:r>
      <w:r w:rsidRPr="00A82FD7">
        <w:rPr>
          <w:rFonts w:asciiTheme="majorHAnsi" w:hAnsiTheme="majorHAnsi"/>
          <w:i/>
        </w:rPr>
        <w:t>Public Governance, Performance and Accountability Act 2013</w:t>
      </w:r>
      <w:r w:rsidRPr="00A82FD7">
        <w:rPr>
          <w:rFonts w:asciiTheme="majorHAnsi" w:hAnsiTheme="majorHAnsi"/>
        </w:rPr>
        <w:t>.</w:t>
      </w:r>
    </w:p>
    <w:p w14:paraId="0CB0407C"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Cooperative procurement arrangement</w:t>
      </w:r>
      <w:r w:rsidRPr="00A82FD7">
        <w:rPr>
          <w:rFonts w:asciiTheme="majorHAnsi" w:hAnsiTheme="majorHAnsi"/>
        </w:rPr>
        <w:t xml:space="preserve"> means an optional </w:t>
      </w:r>
      <w:r w:rsidRPr="00A82FD7">
        <w:rPr>
          <w:rFonts w:asciiTheme="majorHAnsi" w:hAnsiTheme="majorHAnsi"/>
          <w:i/>
        </w:rPr>
        <w:t>panel arrangement</w:t>
      </w:r>
      <w:r w:rsidRPr="00A82FD7">
        <w:rPr>
          <w:rFonts w:asciiTheme="majorHAnsi" w:hAnsiTheme="majorHAnsi"/>
        </w:rPr>
        <w:t xml:space="preserve"> that </w:t>
      </w:r>
      <w:r w:rsidRPr="00A82FD7">
        <w:rPr>
          <w:rFonts w:asciiTheme="majorHAnsi" w:hAnsiTheme="majorHAnsi"/>
          <w:i/>
        </w:rPr>
        <w:t>non-corporate Commonwealth entities</w:t>
      </w:r>
      <w:r w:rsidRPr="00A82FD7">
        <w:rPr>
          <w:rFonts w:asciiTheme="majorHAnsi" w:hAnsiTheme="majorHAnsi"/>
        </w:rPr>
        <w:t xml:space="preserve"> may use to approach the market together for the purposes of reducing expenditure by sharing administration costs. The Mandatory Set Aside (MSA) must be applied prior to a cooperative procurement arrangement is considered. An Indigenous business may also be contracted outside of this arrangement using Exemption 16 to Division 2 of the Commonwealth Procurement Rules. </w:t>
      </w:r>
    </w:p>
    <w:p w14:paraId="60A69808"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Coordinated procurement arrangement</w:t>
      </w:r>
      <w:r w:rsidRPr="00A82FD7">
        <w:rPr>
          <w:rFonts w:asciiTheme="majorHAnsi" w:hAnsiTheme="majorHAnsi"/>
        </w:rPr>
        <w:t xml:space="preserve"> means a </w:t>
      </w:r>
      <w:r w:rsidRPr="00A82FD7">
        <w:rPr>
          <w:rFonts w:asciiTheme="majorHAnsi" w:hAnsiTheme="majorHAnsi"/>
          <w:i/>
        </w:rPr>
        <w:t>panel arrangement</w:t>
      </w:r>
      <w:r w:rsidRPr="00A82FD7">
        <w:rPr>
          <w:rFonts w:asciiTheme="majorHAnsi" w:hAnsiTheme="majorHAnsi"/>
        </w:rPr>
        <w:t xml:space="preserve"> established for commonly used goods or services by the Commonwealth. Once established, a coordinated procurement arrangement is mandatory for </w:t>
      </w:r>
      <w:r w:rsidRPr="00A82FD7">
        <w:rPr>
          <w:rFonts w:asciiTheme="majorHAnsi" w:hAnsiTheme="majorHAnsi"/>
          <w:i/>
        </w:rPr>
        <w:t>non-corporate Commonwealth entities</w:t>
      </w:r>
      <w:r w:rsidRPr="00A82FD7">
        <w:rPr>
          <w:rFonts w:asciiTheme="majorHAnsi" w:hAnsiTheme="majorHAnsi"/>
        </w:rPr>
        <w:t xml:space="preserve"> to use. As a coordinated procurement arrangement forms part of Division 1 of the Commonwealth Procurement Rules, Exemption 16 and the MSA cannot be applied. The MMR may apply to coordinated procurement arrangements. A list of mandatory coordinated procurement arrangements is available on the Department of Finance </w:t>
      </w:r>
      <w:hyperlink r:id="rId16" w:history="1">
        <w:r w:rsidRPr="005F0FA0">
          <w:rPr>
            <w:rStyle w:val="Hyperlink"/>
            <w:rFonts w:asciiTheme="majorHAnsi" w:hAnsiTheme="majorHAnsi"/>
            <w:color w:val="4D637A" w:themeColor="accent1" w:themeTint="BF"/>
          </w:rPr>
          <w:t>website</w:t>
        </w:r>
      </w:hyperlink>
      <w:r w:rsidRPr="00A82FD7">
        <w:rPr>
          <w:rFonts w:asciiTheme="majorHAnsi" w:hAnsiTheme="majorHAnsi"/>
        </w:rPr>
        <w:t xml:space="preserve">. </w:t>
      </w:r>
    </w:p>
    <w:p w14:paraId="72235394" w14:textId="77777777" w:rsidR="006D1139" w:rsidRPr="00A82FD7" w:rsidRDefault="006D1139" w:rsidP="00E62819">
      <w:pPr>
        <w:pStyle w:val="ListParagraph"/>
        <w:tabs>
          <w:tab w:val="left" w:pos="6521"/>
        </w:tabs>
        <w:spacing w:after="0" w:line="276" w:lineRule="auto"/>
        <w:ind w:left="0"/>
        <w:rPr>
          <w:rFonts w:asciiTheme="majorHAnsi" w:hAnsiTheme="majorHAnsi"/>
        </w:rPr>
      </w:pPr>
      <w:r w:rsidRPr="00A82FD7">
        <w:rPr>
          <w:rFonts w:asciiTheme="majorHAnsi" w:hAnsiTheme="majorHAnsi"/>
          <w:b/>
        </w:rPr>
        <w:t xml:space="preserve">Corporate Commonwealth entity </w:t>
      </w:r>
      <w:r w:rsidRPr="00A82FD7">
        <w:rPr>
          <w:rFonts w:asciiTheme="majorHAnsi" w:hAnsiTheme="majorHAnsi"/>
        </w:rPr>
        <w:t xml:space="preserve">has the same meaning as set out in the </w:t>
      </w:r>
      <w:r w:rsidRPr="00A82FD7">
        <w:rPr>
          <w:rFonts w:asciiTheme="majorHAnsi" w:hAnsiTheme="majorHAnsi"/>
          <w:i/>
        </w:rPr>
        <w:t>Public Governance, Performance and Accountability Act 2013</w:t>
      </w:r>
      <w:r w:rsidRPr="00A82FD7">
        <w:rPr>
          <w:rFonts w:asciiTheme="majorHAnsi" w:hAnsiTheme="majorHAnsi"/>
        </w:rPr>
        <w:t>.</w:t>
      </w:r>
    </w:p>
    <w:p w14:paraId="504A4B74" w14:textId="77777777" w:rsidR="00500EB9" w:rsidRPr="00A82FD7" w:rsidRDefault="00500EB9" w:rsidP="00E62819">
      <w:pPr>
        <w:spacing w:after="0"/>
        <w:rPr>
          <w:rFonts w:asciiTheme="majorHAnsi" w:hAnsiTheme="majorHAnsi"/>
          <w:b/>
        </w:rPr>
      </w:pPr>
      <w:r w:rsidRPr="00A82FD7">
        <w:rPr>
          <w:rFonts w:asciiTheme="majorHAnsi" w:hAnsiTheme="majorHAnsi"/>
          <w:b/>
        </w:rPr>
        <w:t>Contract</w:t>
      </w:r>
      <w:r w:rsidRPr="00A82FD7">
        <w:rPr>
          <w:rFonts w:asciiTheme="majorHAnsi" w:hAnsiTheme="majorHAnsi"/>
        </w:rPr>
        <w:t xml:space="preserve"> is an arrangement, as defined by section 23(2) of the PGPA Act, for the procurement of goods and/or services under which relevant money is payable or may become payable. Note: this includes standing offers and panels</w:t>
      </w:r>
    </w:p>
    <w:p w14:paraId="4D3D7031"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Contract manager </w:t>
      </w:r>
      <w:r w:rsidR="00B70FD0" w:rsidRPr="00A82FD7">
        <w:rPr>
          <w:rFonts w:asciiTheme="majorHAnsi" w:hAnsiTheme="majorHAnsi"/>
        </w:rPr>
        <w:t xml:space="preserve">is responsible for oversight of the contract including compliance, financial aspects and </w:t>
      </w:r>
      <w:r w:rsidR="0019221B" w:rsidRPr="00A82FD7">
        <w:rPr>
          <w:rFonts w:asciiTheme="majorHAnsi" w:hAnsiTheme="majorHAnsi"/>
        </w:rPr>
        <w:t xml:space="preserve">ensuring </w:t>
      </w:r>
      <w:r w:rsidR="00B70FD0" w:rsidRPr="00A82FD7">
        <w:rPr>
          <w:rFonts w:asciiTheme="majorHAnsi" w:hAnsiTheme="majorHAnsi"/>
        </w:rPr>
        <w:t>reporting</w:t>
      </w:r>
      <w:r w:rsidR="00B70FD0" w:rsidRPr="00A82FD7">
        <w:rPr>
          <w:rFonts w:asciiTheme="majorHAnsi" w:hAnsiTheme="majorHAnsi"/>
          <w:b/>
        </w:rPr>
        <w:t xml:space="preserve"> </w:t>
      </w:r>
      <w:r w:rsidR="00B70FD0" w:rsidRPr="00A82FD7">
        <w:rPr>
          <w:rFonts w:asciiTheme="majorHAnsi" w:hAnsiTheme="majorHAnsi"/>
        </w:rPr>
        <w:t>requirements are met</w:t>
      </w:r>
      <w:r w:rsidR="001B06B3" w:rsidRPr="00A82FD7">
        <w:rPr>
          <w:rFonts w:asciiTheme="majorHAnsi" w:hAnsiTheme="majorHAnsi"/>
        </w:rPr>
        <w:t>.</w:t>
      </w:r>
    </w:p>
    <w:p w14:paraId="4905D37A" w14:textId="77777777" w:rsidR="0076393B" w:rsidRPr="00A82FD7" w:rsidRDefault="0076393B"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Contractor Portal</w:t>
      </w:r>
      <w:r w:rsidRPr="00A82FD7">
        <w:rPr>
          <w:rFonts w:asciiTheme="majorHAnsi" w:hAnsiTheme="majorHAnsi"/>
        </w:rPr>
        <w:t xml:space="preserve"> means the online reporting system used by suppliers to report their performance against contracts that contain the MMR.  This is the external face of the IPP RS as defined below. </w:t>
      </w:r>
    </w:p>
    <w:p w14:paraId="7F8EDAB0" w14:textId="6FD420C6" w:rsidR="006D1139" w:rsidRPr="00A82FD7" w:rsidRDefault="006D1139" w:rsidP="00F93243">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Exemption 16 </w:t>
      </w:r>
      <w:r w:rsidRPr="00A82FD7">
        <w:rPr>
          <w:rFonts w:asciiTheme="majorHAnsi" w:hAnsiTheme="majorHAnsi"/>
        </w:rPr>
        <w:t>of the Commonwealth Procurement Rules means a procurement of goods and services from a SME</w:t>
      </w:r>
      <w:r w:rsidR="00054EED">
        <w:rPr>
          <w:rFonts w:asciiTheme="majorHAnsi" w:hAnsiTheme="majorHAnsi"/>
        </w:rPr>
        <w:t xml:space="preserve"> </w:t>
      </w:r>
      <w:r w:rsidR="007C1608" w:rsidRPr="007C1608">
        <w:rPr>
          <w:rFonts w:asciiTheme="majorHAnsi" w:hAnsiTheme="majorHAnsi"/>
        </w:rPr>
        <w:t xml:space="preserve">meeting the definition of an Indigenous Enterprise in the </w:t>
      </w:r>
      <w:r w:rsidR="00054EED">
        <w:rPr>
          <w:rFonts w:asciiTheme="majorHAnsi" w:hAnsiTheme="majorHAnsi"/>
        </w:rPr>
        <w:t>IPP</w:t>
      </w:r>
      <w:r w:rsidR="00E72119">
        <w:rPr>
          <w:rFonts w:asciiTheme="majorHAnsi" w:hAnsiTheme="majorHAnsi"/>
        </w:rPr>
        <w:t>.</w:t>
      </w:r>
    </w:p>
    <w:p w14:paraId="26689D4E" w14:textId="77777777" w:rsidR="006D1139" w:rsidRPr="00A82FD7" w:rsidRDefault="006D1139" w:rsidP="00E62819">
      <w:pPr>
        <w:pStyle w:val="ListParagraph"/>
        <w:tabs>
          <w:tab w:val="left" w:pos="6521"/>
        </w:tabs>
        <w:spacing w:after="0" w:line="276" w:lineRule="auto"/>
        <w:ind w:left="0"/>
        <w:rPr>
          <w:rFonts w:asciiTheme="majorHAnsi" w:hAnsiTheme="majorHAnsi"/>
        </w:rPr>
      </w:pPr>
      <w:r w:rsidRPr="00A82FD7">
        <w:rPr>
          <w:rFonts w:asciiTheme="majorHAnsi" w:hAnsiTheme="majorHAnsi"/>
          <w:b/>
        </w:rPr>
        <w:lastRenderedPageBreak/>
        <w:t xml:space="preserve">High Value Contracts </w:t>
      </w:r>
      <w:r w:rsidRPr="00A82FD7">
        <w:rPr>
          <w:rFonts w:asciiTheme="majorHAnsi" w:hAnsiTheme="majorHAnsi"/>
        </w:rPr>
        <w:t xml:space="preserve">means contracts delivered in Australia valued at $7.5 million (GST inclusive) </w:t>
      </w:r>
      <w:r w:rsidR="003F6D16">
        <w:rPr>
          <w:rFonts w:asciiTheme="majorHAnsi" w:hAnsiTheme="majorHAnsi"/>
        </w:rPr>
        <w:t xml:space="preserve">or more </w:t>
      </w:r>
      <w:r w:rsidRPr="00A82FD7">
        <w:rPr>
          <w:rFonts w:asciiTheme="majorHAnsi" w:hAnsiTheme="majorHAnsi"/>
        </w:rPr>
        <w:t xml:space="preserve">in specified sectors, and subject to Mandatory Minimum </w:t>
      </w:r>
      <w:r w:rsidR="0076393B" w:rsidRPr="00A82FD7">
        <w:rPr>
          <w:rFonts w:asciiTheme="majorHAnsi" w:hAnsiTheme="majorHAnsi"/>
        </w:rPr>
        <w:t xml:space="preserve">Indigenous Participation </w:t>
      </w:r>
      <w:r w:rsidRPr="00A82FD7">
        <w:rPr>
          <w:rFonts w:asciiTheme="majorHAnsi" w:hAnsiTheme="majorHAnsi"/>
        </w:rPr>
        <w:t xml:space="preserve">Requirements (MMR), as defined below. </w:t>
      </w:r>
    </w:p>
    <w:p w14:paraId="16678D7C" w14:textId="77777777" w:rsidR="00900CDB" w:rsidRPr="00A82FD7" w:rsidRDefault="00CE4488" w:rsidP="00E62819">
      <w:pPr>
        <w:pStyle w:val="NormalWeb"/>
        <w:rPr>
          <w:rFonts w:asciiTheme="majorHAnsi" w:eastAsiaTheme="minorHAnsi" w:hAnsiTheme="majorHAnsi" w:cstheme="minorBidi"/>
          <w:color w:val="262626" w:themeColor="text1" w:themeTint="D9"/>
          <w:sz w:val="20"/>
          <w:szCs w:val="20"/>
          <w:lang w:eastAsia="en-US"/>
        </w:rPr>
      </w:pPr>
      <w:r w:rsidRPr="00A82FD7">
        <w:rPr>
          <w:rFonts w:asciiTheme="majorHAnsi" w:eastAsiaTheme="minorHAnsi" w:hAnsiTheme="majorHAnsi" w:cstheme="minorBidi"/>
          <w:b/>
          <w:color w:val="262626" w:themeColor="text1" w:themeTint="D9"/>
          <w:sz w:val="20"/>
          <w:szCs w:val="20"/>
          <w:lang w:eastAsia="en-US"/>
        </w:rPr>
        <w:t>Indigenous Procurement Policy</w:t>
      </w:r>
      <w:r w:rsidR="00900CDB" w:rsidRPr="00A82FD7">
        <w:rPr>
          <w:rFonts w:asciiTheme="majorHAnsi" w:eastAsiaTheme="minorHAnsi" w:hAnsiTheme="majorHAnsi" w:cstheme="minorBidi"/>
          <w:color w:val="262626" w:themeColor="text1" w:themeTint="D9"/>
          <w:sz w:val="20"/>
          <w:szCs w:val="20"/>
          <w:lang w:eastAsia="en-US"/>
        </w:rPr>
        <w:t xml:space="preserve"> </w:t>
      </w:r>
      <w:r w:rsidR="00900CDB" w:rsidRPr="00A82FD7">
        <w:rPr>
          <w:rFonts w:asciiTheme="majorHAnsi" w:eastAsiaTheme="minorHAnsi" w:hAnsiTheme="majorHAnsi" w:cstheme="minorBidi"/>
          <w:b/>
          <w:color w:val="262626" w:themeColor="text1" w:themeTint="D9"/>
          <w:sz w:val="20"/>
          <w:szCs w:val="20"/>
          <w:lang w:eastAsia="en-US"/>
        </w:rPr>
        <w:t>(IPP)</w:t>
      </w:r>
      <w:r w:rsidR="00900CDB" w:rsidRPr="00A82FD7">
        <w:rPr>
          <w:rFonts w:asciiTheme="majorHAnsi" w:eastAsiaTheme="minorHAnsi" w:hAnsiTheme="majorHAnsi" w:cstheme="minorBidi"/>
          <w:color w:val="262626" w:themeColor="text1" w:themeTint="D9"/>
          <w:sz w:val="20"/>
          <w:szCs w:val="20"/>
          <w:lang w:eastAsia="en-US"/>
        </w:rPr>
        <w:t xml:space="preserve"> helps stimulate Indigenous entrepreneurship and business development, providing Indigenous Australians with more opportunities to participate in the economy.  The IPP is </w:t>
      </w:r>
      <w:r w:rsidR="00086FB7" w:rsidRPr="00A82FD7">
        <w:rPr>
          <w:rFonts w:asciiTheme="majorHAnsi" w:eastAsiaTheme="minorHAnsi" w:hAnsiTheme="majorHAnsi" w:cstheme="minorBidi"/>
          <w:color w:val="262626" w:themeColor="text1" w:themeTint="D9"/>
          <w:sz w:val="20"/>
          <w:szCs w:val="20"/>
          <w:lang w:eastAsia="en-US"/>
        </w:rPr>
        <w:t>a procurement connected policy under the Commonwealth Procurement Rules</w:t>
      </w:r>
      <w:r w:rsidR="00500EB9" w:rsidRPr="00A82FD7">
        <w:rPr>
          <w:rFonts w:asciiTheme="majorHAnsi" w:eastAsiaTheme="minorHAnsi" w:hAnsiTheme="majorHAnsi" w:cstheme="minorBidi"/>
          <w:color w:val="262626" w:themeColor="text1" w:themeTint="D9"/>
          <w:sz w:val="20"/>
          <w:szCs w:val="20"/>
          <w:lang w:eastAsia="en-US"/>
        </w:rPr>
        <w:t xml:space="preserve"> (CPRs)</w:t>
      </w:r>
      <w:r w:rsidR="00086FB7" w:rsidRPr="00A82FD7">
        <w:rPr>
          <w:rFonts w:asciiTheme="majorHAnsi" w:eastAsiaTheme="minorHAnsi" w:hAnsiTheme="majorHAnsi" w:cstheme="minorBidi"/>
          <w:color w:val="262626" w:themeColor="text1" w:themeTint="D9"/>
          <w:sz w:val="20"/>
          <w:szCs w:val="20"/>
          <w:lang w:eastAsia="en-US"/>
        </w:rPr>
        <w:t>.</w:t>
      </w:r>
    </w:p>
    <w:p w14:paraId="1DAB80DA"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Indigenous Procurement Policy Reporting System (IPPRS) </w:t>
      </w:r>
      <w:r w:rsidRPr="00A82FD7">
        <w:rPr>
          <w:rFonts w:asciiTheme="majorHAnsi" w:hAnsiTheme="majorHAnsi"/>
        </w:rPr>
        <w:t>means the online reporting system used to record and track data on IPP contracts. The system is managed by the NIAA.</w:t>
      </w:r>
    </w:p>
    <w:p w14:paraId="577AE484"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Indigenous small or medium enterprise (Indigenous SME) </w:t>
      </w:r>
      <w:r w:rsidRPr="00A82FD7">
        <w:rPr>
          <w:rFonts w:asciiTheme="majorHAnsi" w:hAnsiTheme="majorHAnsi"/>
        </w:rPr>
        <w:t>means an Indigenous enterprise that meets the definition of SME in the Commonwealth Procurement Rules.</w:t>
      </w:r>
    </w:p>
    <w:p w14:paraId="209D7412" w14:textId="77777777" w:rsidR="00395B37" w:rsidRPr="00A82FD7" w:rsidRDefault="00395B37" w:rsidP="006D1139">
      <w:pPr>
        <w:pStyle w:val="ListParagraph"/>
        <w:tabs>
          <w:tab w:val="left" w:pos="6521"/>
        </w:tabs>
        <w:spacing w:after="200" w:line="276" w:lineRule="auto"/>
        <w:ind w:left="0"/>
        <w:rPr>
          <w:rFonts w:asciiTheme="majorHAnsi" w:hAnsiTheme="majorHAnsi"/>
          <w:b/>
        </w:rPr>
      </w:pPr>
      <w:r w:rsidRPr="00A82FD7">
        <w:rPr>
          <w:rFonts w:asciiTheme="majorHAnsi" w:hAnsiTheme="majorHAnsi"/>
          <w:b/>
        </w:rPr>
        <w:t>Indigenous Participation Plan</w:t>
      </w:r>
      <w:r w:rsidR="00CE4488" w:rsidRPr="00A82FD7">
        <w:rPr>
          <w:rFonts w:asciiTheme="majorHAnsi" w:hAnsiTheme="majorHAnsi"/>
          <w:b/>
        </w:rPr>
        <w:t xml:space="preserve"> </w:t>
      </w:r>
      <w:r w:rsidR="0076393B" w:rsidRPr="005505B6">
        <w:rPr>
          <w:rFonts w:asciiTheme="majorHAnsi" w:hAnsiTheme="majorHAnsi"/>
        </w:rPr>
        <w:t>means the</w:t>
      </w:r>
      <w:r w:rsidR="0076393B" w:rsidRPr="00A82FD7">
        <w:rPr>
          <w:rFonts w:asciiTheme="majorHAnsi" w:hAnsiTheme="majorHAnsi"/>
          <w:b/>
        </w:rPr>
        <w:t xml:space="preserve"> </w:t>
      </w:r>
      <w:r w:rsidR="00CE4488" w:rsidRPr="00A82FD7">
        <w:rPr>
          <w:rFonts w:asciiTheme="majorHAnsi" w:hAnsiTheme="majorHAnsi"/>
        </w:rPr>
        <w:t xml:space="preserve">document </w:t>
      </w:r>
      <w:r w:rsidR="00C20809" w:rsidRPr="00A82FD7">
        <w:rPr>
          <w:rFonts w:asciiTheme="majorHAnsi" w:hAnsiTheme="majorHAnsi"/>
        </w:rPr>
        <w:t xml:space="preserve">that must be submitted by organisations tendering for contract that are subject to the </w:t>
      </w:r>
      <w:r w:rsidR="00CE4488" w:rsidRPr="00A82FD7">
        <w:rPr>
          <w:rFonts w:asciiTheme="majorHAnsi" w:hAnsiTheme="majorHAnsi"/>
        </w:rPr>
        <w:t xml:space="preserve">Mandatory Minimum </w:t>
      </w:r>
      <w:r w:rsidR="00C20809" w:rsidRPr="00A82FD7">
        <w:rPr>
          <w:rFonts w:asciiTheme="majorHAnsi" w:hAnsiTheme="majorHAnsi"/>
        </w:rPr>
        <w:t>Indigenous Participation Requirement</w:t>
      </w:r>
      <w:r w:rsidR="00CE4488" w:rsidRPr="00A82FD7">
        <w:rPr>
          <w:rFonts w:asciiTheme="majorHAnsi" w:hAnsiTheme="majorHAnsi"/>
        </w:rPr>
        <w:t xml:space="preserve">.  </w:t>
      </w:r>
      <w:r w:rsidR="00C20809" w:rsidRPr="00A82FD7">
        <w:rPr>
          <w:rFonts w:asciiTheme="majorHAnsi" w:hAnsiTheme="majorHAnsi"/>
        </w:rPr>
        <w:t>T</w:t>
      </w:r>
      <w:r w:rsidR="00CE4488" w:rsidRPr="00A82FD7">
        <w:rPr>
          <w:rFonts w:asciiTheme="majorHAnsi" w:hAnsiTheme="majorHAnsi"/>
        </w:rPr>
        <w:t xml:space="preserve">enderers outline </w:t>
      </w:r>
      <w:r w:rsidR="00C20809" w:rsidRPr="00A82FD7">
        <w:rPr>
          <w:rFonts w:asciiTheme="majorHAnsi" w:hAnsiTheme="majorHAnsi"/>
        </w:rPr>
        <w:t xml:space="preserve">in the Plan </w:t>
      </w:r>
      <w:r w:rsidR="00CE4488" w:rsidRPr="00A82FD7">
        <w:rPr>
          <w:rFonts w:asciiTheme="majorHAnsi" w:hAnsiTheme="majorHAnsi"/>
        </w:rPr>
        <w:t xml:space="preserve">how they intend to meet (or exceed) </w:t>
      </w:r>
      <w:r w:rsidR="00C20809" w:rsidRPr="00A82FD7">
        <w:rPr>
          <w:rFonts w:asciiTheme="majorHAnsi" w:hAnsiTheme="majorHAnsi"/>
        </w:rPr>
        <w:t xml:space="preserve">Indigenous employment and or supply use targets over the </w:t>
      </w:r>
      <w:r w:rsidR="00CE4488" w:rsidRPr="00A82FD7">
        <w:rPr>
          <w:rFonts w:asciiTheme="majorHAnsi" w:hAnsiTheme="majorHAnsi"/>
        </w:rPr>
        <w:t>contract term</w:t>
      </w:r>
      <w:r w:rsidR="00C20809" w:rsidRPr="00A82FD7">
        <w:rPr>
          <w:rFonts w:asciiTheme="majorHAnsi" w:hAnsiTheme="majorHAnsi"/>
        </w:rPr>
        <w:t xml:space="preserve">. The Plan </w:t>
      </w:r>
      <w:r w:rsidR="00CE4488" w:rsidRPr="00A82FD7">
        <w:rPr>
          <w:rFonts w:asciiTheme="majorHAnsi" w:hAnsiTheme="majorHAnsi"/>
        </w:rPr>
        <w:t>assists procurin</w:t>
      </w:r>
      <w:r w:rsidR="00413F92" w:rsidRPr="00A82FD7">
        <w:rPr>
          <w:rFonts w:asciiTheme="majorHAnsi" w:hAnsiTheme="majorHAnsi"/>
        </w:rPr>
        <w:t>g officials</w:t>
      </w:r>
      <w:r w:rsidR="00CE4488" w:rsidRPr="00A82FD7">
        <w:rPr>
          <w:rFonts w:asciiTheme="majorHAnsi" w:hAnsiTheme="majorHAnsi"/>
        </w:rPr>
        <w:t xml:space="preserve"> to determine which tenderer is mos</w:t>
      </w:r>
      <w:r w:rsidR="006644C0" w:rsidRPr="00A82FD7">
        <w:rPr>
          <w:rFonts w:asciiTheme="majorHAnsi" w:hAnsiTheme="majorHAnsi"/>
        </w:rPr>
        <w:t>t</w:t>
      </w:r>
      <w:r w:rsidR="00CE4488" w:rsidRPr="00A82FD7">
        <w:rPr>
          <w:rFonts w:asciiTheme="majorHAnsi" w:hAnsiTheme="majorHAnsi"/>
        </w:rPr>
        <w:t xml:space="preserve"> likely to achieve the strongest economic outcomes for Indigenous Australians</w:t>
      </w:r>
      <w:r w:rsidR="00413F92" w:rsidRPr="00A82FD7">
        <w:rPr>
          <w:rFonts w:asciiTheme="majorHAnsi" w:hAnsiTheme="majorHAnsi"/>
        </w:rPr>
        <w:t>.</w:t>
      </w:r>
    </w:p>
    <w:p w14:paraId="537AA164" w14:textId="77777777" w:rsidR="006D1139" w:rsidRPr="00A82FD7" w:rsidRDefault="006D1139" w:rsidP="006D1139">
      <w:pPr>
        <w:pStyle w:val="ListParagraph"/>
        <w:tabs>
          <w:tab w:val="left" w:pos="6521"/>
        </w:tabs>
        <w:spacing w:after="200" w:line="276" w:lineRule="auto"/>
        <w:ind w:left="0"/>
        <w:rPr>
          <w:rFonts w:asciiTheme="majorHAnsi" w:hAnsiTheme="majorHAnsi"/>
          <w:b/>
        </w:rPr>
      </w:pPr>
      <w:r w:rsidRPr="00A82FD7">
        <w:rPr>
          <w:rFonts w:asciiTheme="majorHAnsi" w:hAnsiTheme="majorHAnsi"/>
          <w:b/>
        </w:rPr>
        <w:t>MMR</w:t>
      </w:r>
      <w:r w:rsidRPr="00A82FD7">
        <w:rPr>
          <w:rFonts w:asciiTheme="majorHAnsi" w:hAnsiTheme="majorHAnsi"/>
        </w:rPr>
        <w:t xml:space="preserve"> means </w:t>
      </w:r>
      <w:r w:rsidRPr="00A82FD7">
        <w:rPr>
          <w:rFonts w:asciiTheme="majorHAnsi" w:hAnsiTheme="majorHAnsi" w:cs="Arial"/>
        </w:rPr>
        <w:t xml:space="preserve">mandatory minimum </w:t>
      </w:r>
      <w:r w:rsidR="0076393B" w:rsidRPr="00A82FD7">
        <w:rPr>
          <w:rFonts w:asciiTheme="majorHAnsi" w:hAnsiTheme="majorHAnsi" w:cs="Arial"/>
        </w:rPr>
        <w:t xml:space="preserve">Indigenous participation </w:t>
      </w:r>
      <w:r w:rsidRPr="00A82FD7">
        <w:rPr>
          <w:rFonts w:asciiTheme="majorHAnsi" w:hAnsiTheme="majorHAnsi" w:cs="Arial"/>
        </w:rPr>
        <w:t>requirements</w:t>
      </w:r>
      <w:r w:rsidR="00677139">
        <w:rPr>
          <w:rFonts w:asciiTheme="majorHAnsi" w:hAnsiTheme="majorHAnsi" w:cs="Arial"/>
        </w:rPr>
        <w:t>.</w:t>
      </w:r>
    </w:p>
    <w:p w14:paraId="228E64C7"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MSA</w:t>
      </w:r>
      <w:r w:rsidRPr="00A82FD7">
        <w:rPr>
          <w:rFonts w:asciiTheme="majorHAnsi" w:hAnsiTheme="majorHAnsi"/>
        </w:rPr>
        <w:t xml:space="preserve"> means mandatory set aside,</w:t>
      </w:r>
      <w:r w:rsidR="00E80B6D" w:rsidRPr="00A82FD7">
        <w:rPr>
          <w:rFonts w:asciiTheme="majorHAnsi" w:hAnsiTheme="majorHAnsi"/>
        </w:rPr>
        <w:t xml:space="preserve"> The MSA applies to procurement delivered in remote Australia and procurement valued between $80,000 to $200,000, </w:t>
      </w:r>
      <w:proofErr w:type="gramStart"/>
      <w:r w:rsidR="00E80B6D" w:rsidRPr="00A82FD7">
        <w:rPr>
          <w:rFonts w:asciiTheme="majorHAnsi" w:hAnsiTheme="majorHAnsi"/>
        </w:rPr>
        <w:t>with the exception of</w:t>
      </w:r>
      <w:proofErr w:type="gramEnd"/>
      <w:r w:rsidR="00E80B6D" w:rsidRPr="00A82FD7">
        <w:rPr>
          <w:rFonts w:asciiTheme="majorHAnsi" w:hAnsiTheme="majorHAnsi"/>
        </w:rPr>
        <w:t xml:space="preserve"> procurement made using a credit card in remote Australia or procurements covered by a coordinated arrangemen</w:t>
      </w:r>
      <w:r w:rsidR="001B06B3" w:rsidRPr="00A82FD7">
        <w:rPr>
          <w:rFonts w:asciiTheme="majorHAnsi" w:hAnsiTheme="majorHAnsi"/>
        </w:rPr>
        <w:t>t</w:t>
      </w:r>
      <w:r w:rsidR="00677139">
        <w:rPr>
          <w:rFonts w:asciiTheme="majorHAnsi" w:hAnsiTheme="majorHAnsi"/>
        </w:rPr>
        <w:t>.</w:t>
      </w:r>
      <w:r w:rsidRPr="00A82FD7">
        <w:rPr>
          <w:rFonts w:asciiTheme="majorHAnsi" w:hAnsiTheme="majorHAnsi"/>
        </w:rPr>
        <w:t xml:space="preserve"> </w:t>
      </w:r>
    </w:p>
    <w:p w14:paraId="4BBCEBE7" w14:textId="77777777" w:rsidR="00900CDB" w:rsidRPr="00A82FD7" w:rsidRDefault="00900CDB"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Model Clauses</w:t>
      </w:r>
      <w:r w:rsidRPr="00A82FD7">
        <w:rPr>
          <w:rFonts w:asciiTheme="majorHAnsi" w:hAnsiTheme="majorHAnsi"/>
        </w:rPr>
        <w:t xml:space="preserve"> are provided as examples of text that should be included in material for an Approach to Market or Contract terms where the entity determines that the IPP is applicable</w:t>
      </w:r>
      <w:r w:rsidR="00E80B6D" w:rsidRPr="00A82FD7">
        <w:rPr>
          <w:rFonts w:asciiTheme="majorHAnsi" w:hAnsiTheme="majorHAnsi"/>
        </w:rPr>
        <w:t xml:space="preserve">. </w:t>
      </w:r>
    </w:p>
    <w:p w14:paraId="29B2CCF1"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NIAA</w:t>
      </w:r>
      <w:r w:rsidRPr="00A82FD7">
        <w:rPr>
          <w:rFonts w:asciiTheme="majorHAnsi" w:hAnsiTheme="majorHAnsi"/>
        </w:rPr>
        <w:t xml:space="preserve"> means the National Indigenous Australians Agency, the Commonwealth agency with responsibility for administering the Indigenous Procurement Policy.</w:t>
      </w:r>
    </w:p>
    <w:p w14:paraId="4B6D1317"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Non-corporate Commonwealth entity </w:t>
      </w:r>
      <w:r w:rsidRPr="00A82FD7">
        <w:rPr>
          <w:rFonts w:asciiTheme="majorHAnsi" w:hAnsiTheme="majorHAnsi"/>
        </w:rPr>
        <w:t xml:space="preserve">has the same meaning as set out in the </w:t>
      </w:r>
      <w:r w:rsidRPr="00A82FD7">
        <w:rPr>
          <w:rFonts w:asciiTheme="majorHAnsi" w:hAnsiTheme="majorHAnsi"/>
          <w:i/>
        </w:rPr>
        <w:t>Public Governance, Performance and Accountability Act 2013</w:t>
      </w:r>
      <w:r w:rsidRPr="00A82FD7">
        <w:rPr>
          <w:rFonts w:asciiTheme="majorHAnsi" w:hAnsiTheme="majorHAnsi"/>
        </w:rPr>
        <w:t>.</w:t>
      </w:r>
    </w:p>
    <w:p w14:paraId="32823585"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Panel arrangement</w:t>
      </w:r>
      <w:r w:rsidRPr="00A82FD7">
        <w:rPr>
          <w:rFonts w:asciiTheme="majorHAnsi" w:hAnsiTheme="majorHAnsi"/>
        </w:rPr>
        <w:t xml:space="preserve"> means a selected number of suppliers appointed through a contract or deed of standing offer that a Commonwealth entity can approach to procure regularly required goods or services. Panel arrangements are either </w:t>
      </w:r>
      <w:r w:rsidRPr="00A82FD7">
        <w:rPr>
          <w:rFonts w:asciiTheme="majorHAnsi" w:hAnsiTheme="majorHAnsi"/>
          <w:i/>
        </w:rPr>
        <w:t>coordinated</w:t>
      </w:r>
      <w:r w:rsidRPr="00A82FD7">
        <w:rPr>
          <w:rFonts w:asciiTheme="majorHAnsi" w:hAnsiTheme="majorHAnsi"/>
        </w:rPr>
        <w:t xml:space="preserve"> or </w:t>
      </w:r>
      <w:r w:rsidRPr="00A82FD7">
        <w:rPr>
          <w:rFonts w:asciiTheme="majorHAnsi" w:hAnsiTheme="majorHAnsi"/>
          <w:i/>
        </w:rPr>
        <w:t>cooperative</w:t>
      </w:r>
      <w:r w:rsidRPr="00A82FD7">
        <w:rPr>
          <w:rFonts w:asciiTheme="majorHAnsi" w:hAnsiTheme="majorHAnsi"/>
        </w:rPr>
        <w:t xml:space="preserve"> </w:t>
      </w:r>
      <w:r w:rsidRPr="00A82FD7">
        <w:rPr>
          <w:rFonts w:asciiTheme="majorHAnsi" w:hAnsiTheme="majorHAnsi"/>
          <w:i/>
        </w:rPr>
        <w:t xml:space="preserve">procurements </w:t>
      </w:r>
      <w:r w:rsidRPr="00A82FD7">
        <w:rPr>
          <w:rFonts w:asciiTheme="majorHAnsi" w:hAnsiTheme="majorHAnsi"/>
        </w:rPr>
        <w:t xml:space="preserve">(see definitions above).  </w:t>
      </w:r>
    </w:p>
    <w:p w14:paraId="484BF2D4" w14:textId="37FA4B9C" w:rsidR="006D1139" w:rsidRPr="00A82FD7" w:rsidRDefault="006D1139" w:rsidP="006D1139">
      <w:pPr>
        <w:pStyle w:val="ListParagraph"/>
        <w:tabs>
          <w:tab w:val="left" w:pos="6521"/>
        </w:tabs>
        <w:spacing w:after="200" w:line="276" w:lineRule="auto"/>
        <w:ind w:left="0"/>
        <w:rPr>
          <w:rFonts w:asciiTheme="majorHAnsi" w:hAnsiTheme="majorHAnsi"/>
        </w:rPr>
      </w:pPr>
      <w:r w:rsidRPr="00E75929">
        <w:rPr>
          <w:rFonts w:asciiTheme="majorHAnsi" w:hAnsiTheme="majorHAnsi"/>
          <w:b/>
        </w:rPr>
        <w:t xml:space="preserve">Portfolio </w:t>
      </w:r>
      <w:r w:rsidRPr="00E75929">
        <w:rPr>
          <w:rFonts w:asciiTheme="majorHAnsi" w:hAnsiTheme="majorHAnsi"/>
        </w:rPr>
        <w:t xml:space="preserve">means the portfolios identified in the </w:t>
      </w:r>
      <w:hyperlink r:id="rId17" w:history="1">
        <w:r w:rsidRPr="005F0FA0">
          <w:rPr>
            <w:rStyle w:val="Hyperlink"/>
            <w:rFonts w:asciiTheme="majorHAnsi" w:hAnsiTheme="majorHAnsi"/>
            <w:color w:val="4D637A" w:themeColor="accent1" w:themeTint="BF"/>
          </w:rPr>
          <w:t>Australian Government Organisations Register</w:t>
        </w:r>
      </w:hyperlink>
      <w:r w:rsidRPr="00E75929">
        <w:rPr>
          <w:rFonts w:asciiTheme="majorHAnsi" w:hAnsiTheme="majorHAnsi"/>
        </w:rPr>
        <w:t xml:space="preserve">. </w:t>
      </w:r>
    </w:p>
    <w:p w14:paraId="24AF7BBF"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Procuring official </w:t>
      </w:r>
      <w:r w:rsidRPr="00A82FD7">
        <w:rPr>
          <w:rFonts w:asciiTheme="majorHAnsi" w:hAnsiTheme="majorHAnsi"/>
        </w:rPr>
        <w:t>means a Commonwealth official that has responsibility for purchasing a good or service on behalf of a Commonwealth entity.</w:t>
      </w:r>
    </w:p>
    <w:p w14:paraId="7B2B01DC" w14:textId="77777777" w:rsidR="006D1139" w:rsidRPr="00A82FD7" w:rsidRDefault="006D1139" w:rsidP="006D1139">
      <w:pPr>
        <w:pStyle w:val="ListParagraph"/>
        <w:tabs>
          <w:tab w:val="left" w:pos="6521"/>
        </w:tabs>
        <w:spacing w:after="200" w:line="276" w:lineRule="auto"/>
        <w:ind w:left="0"/>
        <w:rPr>
          <w:rFonts w:asciiTheme="majorHAnsi" w:hAnsiTheme="majorHAnsi"/>
          <w:b/>
        </w:rPr>
      </w:pPr>
      <w:r w:rsidRPr="00A82FD7">
        <w:rPr>
          <w:rFonts w:asciiTheme="majorHAnsi" w:hAnsiTheme="majorHAnsi"/>
          <w:b/>
        </w:rPr>
        <w:t xml:space="preserve">Potential </w:t>
      </w:r>
      <w:r w:rsidR="00C10B0A" w:rsidRPr="00A82FD7">
        <w:rPr>
          <w:rFonts w:asciiTheme="majorHAnsi" w:hAnsiTheme="majorHAnsi"/>
          <w:b/>
        </w:rPr>
        <w:t>s</w:t>
      </w:r>
      <w:r w:rsidRPr="00A82FD7">
        <w:rPr>
          <w:rFonts w:asciiTheme="majorHAnsi" w:hAnsiTheme="majorHAnsi"/>
          <w:b/>
        </w:rPr>
        <w:t>upplier</w:t>
      </w:r>
      <w:r w:rsidR="00500EB9" w:rsidRPr="00A82FD7">
        <w:rPr>
          <w:rFonts w:asciiTheme="majorHAnsi" w:hAnsiTheme="majorHAnsi"/>
          <w:b/>
        </w:rPr>
        <w:t xml:space="preserve"> </w:t>
      </w:r>
      <w:r w:rsidR="00500EB9" w:rsidRPr="005505B6">
        <w:rPr>
          <w:rFonts w:asciiTheme="majorHAnsi" w:hAnsiTheme="majorHAnsi"/>
        </w:rPr>
        <w:t>is</w:t>
      </w:r>
      <w:r w:rsidR="00500EB9" w:rsidRPr="00A82FD7">
        <w:rPr>
          <w:rFonts w:asciiTheme="majorHAnsi" w:hAnsiTheme="majorHAnsi"/>
        </w:rPr>
        <w:t xml:space="preserve"> an entity or person who may respond to an approach to market.</w:t>
      </w:r>
    </w:p>
    <w:p w14:paraId="3BF34CF5"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Remote area</w:t>
      </w:r>
      <w:r w:rsidRPr="00A82FD7">
        <w:rPr>
          <w:rFonts w:asciiTheme="majorHAnsi" w:hAnsiTheme="majorHAnsi"/>
        </w:rPr>
        <w:t xml:space="preserve"> means the areas identified in the Remote Indigenous Procurement Policy (RIPP) map on the NIAA website, as updated from time to time.</w:t>
      </w:r>
      <w:r w:rsidRPr="00A82FD7">
        <w:rPr>
          <w:rFonts w:asciiTheme="majorHAnsi" w:hAnsiTheme="majorHAnsi"/>
        </w:rPr>
        <w:tab/>
      </w:r>
    </w:p>
    <w:p w14:paraId="7FDC2C8A"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Remote contract </w:t>
      </w:r>
      <w:r w:rsidRPr="00A82FD7">
        <w:rPr>
          <w:rFonts w:asciiTheme="majorHAnsi" w:hAnsiTheme="majorHAnsi"/>
        </w:rPr>
        <w:t>means a contract where the majority (by value) of the goods or services will be delivered in a remote area.</w:t>
      </w:r>
    </w:p>
    <w:p w14:paraId="3CA5ACA9"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Remote procurement</w:t>
      </w:r>
      <w:r w:rsidRPr="00A82FD7">
        <w:rPr>
          <w:rFonts w:asciiTheme="majorHAnsi" w:hAnsiTheme="majorHAnsi"/>
        </w:rPr>
        <w:t xml:space="preserve"> means a procurement exercise for a remote contract, </w:t>
      </w:r>
      <w:r w:rsidR="00677139" w:rsidRPr="00677139">
        <w:rPr>
          <w:rFonts w:asciiTheme="majorHAnsi" w:hAnsiTheme="majorHAnsi"/>
          <w:color w:val="auto"/>
        </w:rPr>
        <w:t xml:space="preserve">as per </w:t>
      </w:r>
      <w:r w:rsidR="00677139" w:rsidRPr="00E43360">
        <w:rPr>
          <w:rFonts w:asciiTheme="majorHAnsi" w:hAnsiTheme="majorHAnsi"/>
          <w:color w:val="auto"/>
        </w:rPr>
        <w:t>section 3.1</w:t>
      </w:r>
      <w:r w:rsidRPr="00E43360">
        <w:rPr>
          <w:rFonts w:asciiTheme="majorHAnsi" w:hAnsiTheme="majorHAnsi"/>
          <w:color w:val="FF0000"/>
        </w:rPr>
        <w:t xml:space="preserve"> </w:t>
      </w:r>
      <w:r w:rsidRPr="00E43360">
        <w:rPr>
          <w:rFonts w:asciiTheme="majorHAnsi" w:hAnsiTheme="majorHAnsi"/>
        </w:rPr>
        <w:t>of</w:t>
      </w:r>
      <w:r w:rsidRPr="00A82FD7">
        <w:rPr>
          <w:rFonts w:asciiTheme="majorHAnsi" w:hAnsiTheme="majorHAnsi"/>
        </w:rPr>
        <w:t xml:space="preserve"> this </w:t>
      </w:r>
      <w:r w:rsidR="00677139">
        <w:rPr>
          <w:rFonts w:asciiTheme="majorHAnsi" w:hAnsiTheme="majorHAnsi"/>
        </w:rPr>
        <w:t>guide.</w:t>
      </w:r>
    </w:p>
    <w:p w14:paraId="3ADD930E" w14:textId="77777777" w:rsidR="006D1139" w:rsidRPr="00A82FD7" w:rsidRDefault="006D1139" w:rsidP="006D1139">
      <w:pPr>
        <w:pStyle w:val="ListParagraph"/>
        <w:tabs>
          <w:tab w:val="left" w:pos="6521"/>
        </w:tabs>
        <w:spacing w:after="200" w:line="276" w:lineRule="auto"/>
        <w:ind w:left="0"/>
        <w:rPr>
          <w:rFonts w:asciiTheme="majorHAnsi" w:hAnsiTheme="majorHAnsi"/>
        </w:rPr>
      </w:pPr>
      <w:r w:rsidRPr="00A82FD7">
        <w:rPr>
          <w:rFonts w:asciiTheme="majorHAnsi" w:hAnsiTheme="majorHAnsi"/>
          <w:b/>
        </w:rPr>
        <w:t xml:space="preserve">Small and medium-sized enterprise (SME) </w:t>
      </w:r>
      <w:r w:rsidRPr="00A82FD7">
        <w:rPr>
          <w:rFonts w:asciiTheme="majorHAnsi" w:hAnsiTheme="majorHAnsi"/>
        </w:rPr>
        <w:t xml:space="preserve">has the same meaning as in the Commonwealth Procurement Rules. </w:t>
      </w:r>
    </w:p>
    <w:p w14:paraId="615F5ABF" w14:textId="77777777" w:rsidR="006D1139" w:rsidRPr="00A82FD7" w:rsidRDefault="006D1139" w:rsidP="006D1139">
      <w:pPr>
        <w:pStyle w:val="ListParagraph"/>
        <w:tabs>
          <w:tab w:val="left" w:pos="6521"/>
        </w:tabs>
        <w:spacing w:after="200" w:line="276" w:lineRule="auto"/>
        <w:ind w:left="0"/>
        <w:rPr>
          <w:rFonts w:asciiTheme="majorHAnsi" w:hAnsiTheme="majorHAnsi"/>
          <w:b/>
        </w:rPr>
      </w:pPr>
      <w:r w:rsidRPr="00A82FD7">
        <w:rPr>
          <w:rFonts w:asciiTheme="majorHAnsi" w:hAnsiTheme="majorHAnsi"/>
          <w:b/>
        </w:rPr>
        <w:t>Supplier</w:t>
      </w:r>
      <w:r w:rsidR="00500EB9" w:rsidRPr="00A82FD7">
        <w:rPr>
          <w:rFonts w:asciiTheme="majorHAnsi" w:hAnsiTheme="majorHAnsi"/>
        </w:rPr>
        <w:t xml:space="preserve"> is an entity or person who has </w:t>
      </w:r>
      <w:proofErr w:type="gramStart"/>
      <w:r w:rsidR="00500EB9" w:rsidRPr="00A82FD7">
        <w:rPr>
          <w:rFonts w:asciiTheme="majorHAnsi" w:hAnsiTheme="majorHAnsi"/>
        </w:rPr>
        <w:t>entered into</w:t>
      </w:r>
      <w:proofErr w:type="gramEnd"/>
      <w:r w:rsidR="00500EB9" w:rsidRPr="00A82FD7">
        <w:rPr>
          <w:rFonts w:asciiTheme="majorHAnsi" w:hAnsiTheme="majorHAnsi"/>
        </w:rPr>
        <w:t xml:space="preserve"> a contract with the Commonwealth.</w:t>
      </w:r>
    </w:p>
    <w:p w14:paraId="22294959" w14:textId="77777777" w:rsidR="006D1139" w:rsidRPr="00A82FD7" w:rsidRDefault="006D1139" w:rsidP="006D1139">
      <w:pPr>
        <w:pStyle w:val="ListParagraph"/>
        <w:tabs>
          <w:tab w:val="left" w:pos="6521"/>
        </w:tabs>
        <w:spacing w:after="200" w:line="276" w:lineRule="auto"/>
        <w:ind w:left="0"/>
        <w:rPr>
          <w:rFonts w:asciiTheme="majorHAnsi" w:hAnsiTheme="majorHAnsi"/>
          <w:b/>
        </w:rPr>
      </w:pPr>
      <w:r w:rsidRPr="00A82FD7">
        <w:rPr>
          <w:rFonts w:asciiTheme="majorHAnsi" w:hAnsiTheme="majorHAnsi"/>
          <w:b/>
        </w:rPr>
        <w:t>Tender</w:t>
      </w:r>
      <w:r w:rsidR="00500EB9" w:rsidRPr="00A82FD7">
        <w:rPr>
          <w:rFonts w:asciiTheme="majorHAnsi" w:hAnsiTheme="majorHAnsi"/>
          <w:b/>
        </w:rPr>
        <w:t xml:space="preserve"> (open)</w:t>
      </w:r>
      <w:r w:rsidR="00500EB9" w:rsidRPr="00A82FD7">
        <w:rPr>
          <w:rFonts w:asciiTheme="majorHAnsi" w:hAnsiTheme="majorHAnsi"/>
        </w:rPr>
        <w:t xml:space="preserve"> involves publishing an open approach to market and inviting submissions. This includes multi-stage procurements, provided the first stage is an open approach to market</w:t>
      </w:r>
      <w:r w:rsidR="00DF2308" w:rsidRPr="00A82FD7">
        <w:rPr>
          <w:rFonts w:asciiTheme="majorHAnsi" w:hAnsiTheme="majorHAnsi"/>
        </w:rPr>
        <w:t xml:space="preserve">, </w:t>
      </w:r>
    </w:p>
    <w:p w14:paraId="24EFADC1" w14:textId="77777777" w:rsidR="00395B37" w:rsidRPr="00A82FD7" w:rsidRDefault="006D1139" w:rsidP="003549E6">
      <w:pPr>
        <w:pStyle w:val="ListParagraph"/>
        <w:tabs>
          <w:tab w:val="left" w:pos="6521"/>
        </w:tabs>
        <w:spacing w:after="200" w:line="276" w:lineRule="auto"/>
        <w:ind w:left="0"/>
        <w:rPr>
          <w:rFonts w:asciiTheme="majorHAnsi" w:hAnsiTheme="majorHAnsi" w:cs="Arial"/>
          <w:b/>
          <w:color w:val="333333"/>
          <w:shd w:val="clear" w:color="auto" w:fill="FFFFFF"/>
        </w:rPr>
      </w:pPr>
      <w:r w:rsidRPr="00A82FD7">
        <w:rPr>
          <w:rFonts w:asciiTheme="majorHAnsi" w:hAnsiTheme="majorHAnsi"/>
          <w:b/>
        </w:rPr>
        <w:t>Tenderer</w:t>
      </w:r>
      <w:r w:rsidR="00500EB9" w:rsidRPr="00A82FD7">
        <w:rPr>
          <w:rFonts w:asciiTheme="majorHAnsi" w:hAnsiTheme="majorHAnsi"/>
        </w:rPr>
        <w:t xml:space="preserve"> is an entity or person who has responded with a submission to an approach to market.</w:t>
      </w:r>
    </w:p>
    <w:p w14:paraId="19E99776" w14:textId="77777777" w:rsidR="0007522D" w:rsidRPr="00A82FD7" w:rsidRDefault="006D1139" w:rsidP="004821C6">
      <w:pPr>
        <w:pStyle w:val="ListParagraph"/>
        <w:tabs>
          <w:tab w:val="left" w:pos="6521"/>
        </w:tabs>
        <w:spacing w:after="200" w:line="276" w:lineRule="auto"/>
        <w:ind w:left="0"/>
        <w:rPr>
          <w:rFonts w:asciiTheme="majorHAnsi" w:hAnsiTheme="majorHAnsi"/>
        </w:rPr>
      </w:pPr>
      <w:r w:rsidRPr="00A82FD7">
        <w:rPr>
          <w:rFonts w:asciiTheme="majorHAnsi" w:hAnsiTheme="majorHAnsi" w:cs="Arial"/>
          <w:b/>
          <w:color w:val="333333"/>
          <w:shd w:val="clear" w:color="auto" w:fill="FFFFFF"/>
        </w:rPr>
        <w:t>United Nations Standard Products and Services Code (UNSPSC)</w:t>
      </w:r>
      <w:r w:rsidRPr="00A82FD7">
        <w:rPr>
          <w:rFonts w:asciiTheme="majorHAnsi" w:hAnsiTheme="majorHAnsi"/>
          <w:b/>
        </w:rPr>
        <w:t xml:space="preserve"> </w:t>
      </w:r>
      <w:r w:rsidRPr="00A82FD7">
        <w:rPr>
          <w:rFonts w:asciiTheme="majorHAnsi" w:hAnsiTheme="majorHAnsi" w:cs="Arial"/>
          <w:color w:val="333333"/>
          <w:shd w:val="clear" w:color="auto" w:fill="FFFFFF"/>
        </w:rPr>
        <w:t>is an open, global, multi-sector standard for the classification of products and services. Use of UNSPSC enables analysis of Australian Government procurement activity from approach to outcome by sector and across government.</w:t>
      </w:r>
      <w:r w:rsidR="00A372B9" w:rsidRPr="00A82FD7">
        <w:rPr>
          <w:rFonts w:asciiTheme="majorHAnsi" w:hAnsiTheme="majorHAnsi"/>
        </w:rPr>
        <w:br w:type="page"/>
      </w:r>
      <w:bookmarkEnd w:id="29"/>
    </w:p>
    <w:p w14:paraId="3164553F" w14:textId="77777777" w:rsidR="00597593" w:rsidRPr="00A82FD7" w:rsidRDefault="00597593" w:rsidP="00D440EA">
      <w:pPr>
        <w:pStyle w:val="Heading2"/>
        <w:numPr>
          <w:ilvl w:val="0"/>
          <w:numId w:val="22"/>
        </w:numPr>
      </w:pPr>
      <w:bookmarkStart w:id="30" w:name="_Toc223528528"/>
      <w:r w:rsidRPr="00A82FD7">
        <w:lastRenderedPageBreak/>
        <w:t>The I</w:t>
      </w:r>
      <w:r w:rsidR="00E83B3E" w:rsidRPr="00A82FD7">
        <w:t>ndigenous Procurement Policy (IPP)</w:t>
      </w:r>
      <w:bookmarkEnd w:id="30"/>
    </w:p>
    <w:p w14:paraId="71272162" w14:textId="77777777" w:rsidR="00DE1827" w:rsidRPr="00A82FD7" w:rsidRDefault="00DE1827" w:rsidP="00DE1827">
      <w:pPr>
        <w:pStyle w:val="BodyText"/>
        <w:rPr>
          <w:rFonts w:asciiTheme="majorHAnsi" w:hAnsiTheme="majorHAnsi"/>
        </w:rPr>
      </w:pPr>
      <w:r w:rsidRPr="00A82FD7">
        <w:rPr>
          <w:rFonts w:asciiTheme="majorHAnsi" w:hAnsiTheme="majorHAnsi"/>
        </w:rPr>
        <w:t>The primary purpose of the IPP is to stimulate Indigenous entrepreneurship and business development, providing Indigenous Australians with more opportunities to participate in the economy.</w:t>
      </w:r>
    </w:p>
    <w:p w14:paraId="0538A218" w14:textId="77777777" w:rsidR="00DE1827" w:rsidRPr="00A82FD7" w:rsidRDefault="00DE1827" w:rsidP="00DE1827">
      <w:pPr>
        <w:pStyle w:val="BodyText"/>
        <w:rPr>
          <w:rFonts w:asciiTheme="majorHAnsi" w:hAnsiTheme="majorHAnsi"/>
        </w:rPr>
      </w:pPr>
      <w:r w:rsidRPr="00A82FD7">
        <w:rPr>
          <w:rFonts w:asciiTheme="majorHAnsi" w:hAnsiTheme="majorHAnsi"/>
        </w:rPr>
        <w:t xml:space="preserve">Prior to the implementation of the policy on 1 July 2015, Indigenous enterprises secured limited business from Commonwealth procurement. The policy is intended to </w:t>
      </w:r>
      <w:r w:rsidR="007632B7">
        <w:rPr>
          <w:rFonts w:asciiTheme="majorHAnsi" w:hAnsiTheme="majorHAnsi"/>
        </w:rPr>
        <w:t xml:space="preserve">drive a significant </w:t>
      </w:r>
      <w:r w:rsidRPr="00A82FD7">
        <w:rPr>
          <w:rFonts w:asciiTheme="majorHAnsi" w:hAnsiTheme="majorHAnsi"/>
        </w:rPr>
        <w:t xml:space="preserve">increase the rate of purchasing from Indigenous enterprises, helping to drive Indigenous economic development. </w:t>
      </w:r>
    </w:p>
    <w:p w14:paraId="68AF1F00" w14:textId="77777777" w:rsidR="00DE1827" w:rsidRPr="00A82FD7" w:rsidRDefault="00DE1827" w:rsidP="00DE1827">
      <w:pPr>
        <w:pStyle w:val="BodyText"/>
        <w:rPr>
          <w:rFonts w:asciiTheme="majorHAnsi" w:hAnsiTheme="majorHAnsi"/>
        </w:rPr>
      </w:pPr>
      <w:r w:rsidRPr="00A82FD7">
        <w:rPr>
          <w:rFonts w:asciiTheme="majorHAnsi" w:hAnsiTheme="majorHAnsi"/>
        </w:rPr>
        <w:t xml:space="preserve">The IPP applies to procurements made on behalf of non-corporate Commonwealth entities. If </w:t>
      </w:r>
      <w:r w:rsidR="00FD24C4">
        <w:rPr>
          <w:rFonts w:asciiTheme="majorHAnsi" w:hAnsiTheme="majorHAnsi"/>
        </w:rPr>
        <w:t>the procurement activity is s</w:t>
      </w:r>
      <w:r w:rsidRPr="00A82FD7">
        <w:rPr>
          <w:rFonts w:asciiTheme="majorHAnsi" w:hAnsiTheme="majorHAnsi"/>
        </w:rPr>
        <w:t xml:space="preserve">ubject to the Commonwealth Procurement Rules, </w:t>
      </w:r>
      <w:r w:rsidR="00FD24C4">
        <w:rPr>
          <w:rFonts w:asciiTheme="majorHAnsi" w:hAnsiTheme="majorHAnsi"/>
        </w:rPr>
        <w:t>it is</w:t>
      </w:r>
      <w:r w:rsidRPr="00A82FD7">
        <w:rPr>
          <w:rFonts w:asciiTheme="majorHAnsi" w:hAnsiTheme="majorHAnsi"/>
        </w:rPr>
        <w:t xml:space="preserve"> likely subject to the IPP.</w:t>
      </w:r>
    </w:p>
    <w:p w14:paraId="21452A41" w14:textId="77777777" w:rsidR="00DE1827" w:rsidRPr="00A82FD7" w:rsidRDefault="00DE1827" w:rsidP="00DE1827">
      <w:pPr>
        <w:pStyle w:val="BodyText"/>
        <w:rPr>
          <w:rFonts w:asciiTheme="majorHAnsi" w:hAnsiTheme="majorHAnsi"/>
        </w:rPr>
      </w:pPr>
      <w:r w:rsidRPr="00A82FD7">
        <w:rPr>
          <w:rFonts w:asciiTheme="majorHAnsi" w:hAnsiTheme="majorHAnsi"/>
        </w:rPr>
        <w:t xml:space="preserve">Corporate Commonwealth entities are encouraged to use best endeavours to apply the IPP. The IPP does not apply to Commonwealth grants. </w:t>
      </w:r>
    </w:p>
    <w:p w14:paraId="7572BEA0" w14:textId="167D19F4" w:rsidR="006173B7" w:rsidRPr="00A82FD7" w:rsidRDefault="00931B4A" w:rsidP="005B43E4">
      <w:pPr>
        <w:pStyle w:val="Heading2"/>
      </w:pPr>
      <w:bookmarkStart w:id="31" w:name="_Toc223528529"/>
      <w:r w:rsidRPr="00A82FD7">
        <w:t xml:space="preserve">2.0 </w:t>
      </w:r>
      <w:r w:rsidR="00D0369B">
        <w:t>Mandatory m</w:t>
      </w:r>
      <w:r w:rsidR="006173B7" w:rsidRPr="00A82FD7">
        <w:t>i</w:t>
      </w:r>
      <w:r w:rsidR="005B43E4" w:rsidRPr="00A82FD7">
        <w:t xml:space="preserve">nimum </w:t>
      </w:r>
      <w:r w:rsidR="00D0369B">
        <w:t>r</w:t>
      </w:r>
      <w:r w:rsidR="006173B7" w:rsidRPr="00A82FD7">
        <w:t xml:space="preserve">equirements </w:t>
      </w:r>
      <w:r w:rsidR="00D0369B">
        <w:t>Indigenous participation</w:t>
      </w:r>
      <w:bookmarkEnd w:id="31"/>
      <w:r w:rsidR="006173B7" w:rsidRPr="00A82FD7">
        <w:t xml:space="preserve"> </w:t>
      </w:r>
      <w:r w:rsidR="005433E9">
        <w:t xml:space="preserve">requirements </w:t>
      </w:r>
      <w:r w:rsidR="005433E9" w:rsidRPr="00A82FD7">
        <w:t>(MMR</w:t>
      </w:r>
      <w:r w:rsidR="005433E9">
        <w:t>)</w:t>
      </w:r>
    </w:p>
    <w:p w14:paraId="4E07F71C" w14:textId="77777777" w:rsidR="00DE1827" w:rsidRPr="00A82FD7" w:rsidRDefault="00DE1827" w:rsidP="00DE1827">
      <w:pPr>
        <w:pStyle w:val="BodyText"/>
        <w:rPr>
          <w:rFonts w:asciiTheme="majorHAnsi" w:hAnsiTheme="majorHAnsi"/>
        </w:rPr>
      </w:pPr>
      <w:r w:rsidRPr="00A82FD7">
        <w:rPr>
          <w:rFonts w:asciiTheme="majorHAnsi" w:hAnsiTheme="majorHAnsi"/>
        </w:rPr>
        <w:t xml:space="preserve">To ensure Indigenous Australians </w:t>
      </w:r>
      <w:proofErr w:type="gramStart"/>
      <w:r w:rsidRPr="00A82FD7">
        <w:rPr>
          <w:rFonts w:asciiTheme="majorHAnsi" w:hAnsiTheme="majorHAnsi"/>
        </w:rPr>
        <w:t>have the opportunity to</w:t>
      </w:r>
      <w:proofErr w:type="gramEnd"/>
      <w:r w:rsidRPr="00A82FD7">
        <w:rPr>
          <w:rFonts w:asciiTheme="majorHAnsi" w:hAnsiTheme="majorHAnsi"/>
        </w:rPr>
        <w:t xml:space="preserve"> participate in the delivery of high-value Australian Government contracts, the IPP sets the minimum threshold for Indigenous participation in certain procurements. These are known as mandatory minimum requirements or MMR.  MMR apply to procurements valued at $7.5 million </w:t>
      </w:r>
      <w:r w:rsidR="003F6D16">
        <w:rPr>
          <w:rFonts w:asciiTheme="majorHAnsi" w:hAnsiTheme="majorHAnsi"/>
        </w:rPr>
        <w:t xml:space="preserve">or more </w:t>
      </w:r>
      <w:r w:rsidR="007F370F" w:rsidRPr="00A82FD7">
        <w:rPr>
          <w:rFonts w:asciiTheme="majorHAnsi" w:hAnsiTheme="majorHAnsi"/>
        </w:rPr>
        <w:t xml:space="preserve">(GST inclusive) </w:t>
      </w:r>
      <w:r w:rsidRPr="00A82FD7">
        <w:rPr>
          <w:rFonts w:asciiTheme="majorHAnsi" w:hAnsiTheme="majorHAnsi"/>
        </w:rPr>
        <w:t xml:space="preserve">that </w:t>
      </w:r>
      <w:r w:rsidR="007F370F" w:rsidRPr="00A82FD7">
        <w:rPr>
          <w:rFonts w:asciiTheme="majorHAnsi" w:hAnsiTheme="majorHAnsi"/>
        </w:rPr>
        <w:t xml:space="preserve">are delivered wholly in Australia and </w:t>
      </w:r>
      <w:r w:rsidRPr="00A82FD7">
        <w:rPr>
          <w:rFonts w:asciiTheme="majorHAnsi" w:hAnsiTheme="majorHAnsi"/>
        </w:rPr>
        <w:t xml:space="preserve">fall within specific industry sectors </w:t>
      </w:r>
      <w:r w:rsidR="007F370F" w:rsidRPr="00E43360">
        <w:rPr>
          <w:rFonts w:asciiTheme="majorHAnsi" w:hAnsiTheme="majorHAnsi"/>
        </w:rPr>
        <w:t>(see the MMR checklist at Table 1</w:t>
      </w:r>
      <w:r w:rsidRPr="00E43360">
        <w:rPr>
          <w:rFonts w:asciiTheme="majorHAnsi" w:hAnsiTheme="majorHAnsi"/>
        </w:rPr>
        <w:t>)</w:t>
      </w:r>
      <w:r w:rsidR="007F370F" w:rsidRPr="00E43360">
        <w:rPr>
          <w:rFonts w:asciiTheme="majorHAnsi" w:hAnsiTheme="majorHAnsi"/>
        </w:rPr>
        <w:t>.</w:t>
      </w:r>
    </w:p>
    <w:p w14:paraId="229FD819" w14:textId="77777777" w:rsidR="00FB26D0" w:rsidRPr="00A82FD7" w:rsidRDefault="004821C6" w:rsidP="00DE1827">
      <w:pPr>
        <w:pStyle w:val="BodyText"/>
        <w:rPr>
          <w:rFonts w:asciiTheme="majorHAnsi" w:hAnsiTheme="majorHAnsi"/>
        </w:rPr>
      </w:pPr>
      <w:r w:rsidRPr="00A82FD7">
        <w:rPr>
          <w:rFonts w:asciiTheme="majorHAnsi" w:hAnsiTheme="majorHAnsi"/>
        </w:rPr>
        <w:t xml:space="preserve">Once a Commonwealth procuring official or contract manager </w:t>
      </w:r>
      <w:r w:rsidR="007F370F" w:rsidRPr="00A82FD7">
        <w:rPr>
          <w:rFonts w:asciiTheme="majorHAnsi" w:hAnsiTheme="majorHAnsi"/>
        </w:rPr>
        <w:t>has established that MMR apply to a procurement</w:t>
      </w:r>
      <w:r w:rsidR="00FB26D0" w:rsidRPr="00A82FD7">
        <w:rPr>
          <w:rFonts w:asciiTheme="majorHAnsi" w:hAnsiTheme="majorHAnsi"/>
        </w:rPr>
        <w:t>,</w:t>
      </w:r>
      <w:r w:rsidR="007F370F" w:rsidRPr="00A82FD7">
        <w:rPr>
          <w:rFonts w:asciiTheme="majorHAnsi" w:hAnsiTheme="majorHAnsi"/>
        </w:rPr>
        <w:t xml:space="preserve"> they are required </w:t>
      </w:r>
      <w:r w:rsidR="00FB26D0" w:rsidRPr="00A82FD7">
        <w:rPr>
          <w:rFonts w:asciiTheme="majorHAnsi" w:hAnsiTheme="majorHAnsi"/>
        </w:rPr>
        <w:t>to consider:</w:t>
      </w:r>
    </w:p>
    <w:p w14:paraId="6931F246" w14:textId="4BE9632D" w:rsidR="00FB26D0" w:rsidRDefault="007F370F" w:rsidP="004821C6">
      <w:pPr>
        <w:pStyle w:val="NumberedListlvl1"/>
        <w:rPr>
          <w:rFonts w:asciiTheme="majorHAnsi" w:hAnsiTheme="majorHAnsi"/>
        </w:rPr>
      </w:pPr>
      <w:r w:rsidRPr="00A82FD7">
        <w:rPr>
          <w:rFonts w:asciiTheme="majorHAnsi" w:hAnsiTheme="majorHAnsi"/>
        </w:rPr>
        <w:t xml:space="preserve">First, at the approach to market stage, </w:t>
      </w:r>
      <w:r w:rsidR="00FB26D0" w:rsidRPr="00A82FD7">
        <w:rPr>
          <w:rFonts w:asciiTheme="majorHAnsi" w:hAnsiTheme="majorHAnsi"/>
        </w:rPr>
        <w:t xml:space="preserve">the procuring official must advise tenderers of their obligations under the IPP. This includes </w:t>
      </w:r>
      <w:r w:rsidR="00943A00">
        <w:rPr>
          <w:rFonts w:asciiTheme="majorHAnsi" w:hAnsiTheme="majorHAnsi"/>
        </w:rPr>
        <w:t xml:space="preserve">that tenderers need to </w:t>
      </w:r>
      <w:r w:rsidR="00FB26D0" w:rsidRPr="00A82FD7">
        <w:rPr>
          <w:rFonts w:asciiTheme="majorHAnsi" w:hAnsiTheme="majorHAnsi"/>
        </w:rPr>
        <w:t>provid</w:t>
      </w:r>
      <w:r w:rsidR="00943A00">
        <w:rPr>
          <w:rFonts w:asciiTheme="majorHAnsi" w:hAnsiTheme="majorHAnsi"/>
        </w:rPr>
        <w:t>e</w:t>
      </w:r>
      <w:r w:rsidR="00FB26D0" w:rsidRPr="00A82FD7">
        <w:rPr>
          <w:rFonts w:asciiTheme="majorHAnsi" w:hAnsiTheme="majorHAnsi"/>
        </w:rPr>
        <w:t xml:space="preserve"> </w:t>
      </w:r>
      <w:r w:rsidR="00F13D19">
        <w:rPr>
          <w:rFonts w:asciiTheme="majorHAnsi" w:hAnsiTheme="majorHAnsi"/>
        </w:rPr>
        <w:t xml:space="preserve">an Indigenous Participation Plan </w:t>
      </w:r>
      <w:r w:rsidR="00FB26D0" w:rsidRPr="00A82FD7">
        <w:rPr>
          <w:rFonts w:asciiTheme="majorHAnsi" w:hAnsiTheme="majorHAnsi"/>
        </w:rPr>
        <w:t>detail</w:t>
      </w:r>
      <w:r w:rsidR="00F13D19">
        <w:rPr>
          <w:rFonts w:asciiTheme="majorHAnsi" w:hAnsiTheme="majorHAnsi"/>
        </w:rPr>
        <w:t xml:space="preserve">ing </w:t>
      </w:r>
      <w:r w:rsidR="00943A00">
        <w:rPr>
          <w:rFonts w:asciiTheme="majorHAnsi" w:hAnsiTheme="majorHAnsi"/>
        </w:rPr>
        <w:t xml:space="preserve">the </w:t>
      </w:r>
      <w:r w:rsidR="00FB26D0" w:rsidRPr="00A82FD7">
        <w:rPr>
          <w:rFonts w:asciiTheme="majorHAnsi" w:hAnsiTheme="majorHAnsi"/>
        </w:rPr>
        <w:t xml:space="preserve">current levels of Indigenous participation within their organisation, a history of past performance against MMR targets and a commitment to achieving Indigenous participation outcomes throughout the delivery of the contract as part of their tender submission. </w:t>
      </w:r>
    </w:p>
    <w:p w14:paraId="3C28544D" w14:textId="77777777" w:rsidR="00096FA2" w:rsidRPr="00096FA2" w:rsidRDefault="00096FA2" w:rsidP="00096FA2">
      <w:pPr>
        <w:pStyle w:val="NumberedListlvl1"/>
        <w:numPr>
          <w:ilvl w:val="0"/>
          <w:numId w:val="0"/>
        </w:numPr>
        <w:ind w:left="567"/>
        <w:rPr>
          <w:rFonts w:asciiTheme="majorHAnsi" w:hAnsiTheme="majorHAnsi"/>
          <w:sz w:val="10"/>
          <w:szCs w:val="10"/>
        </w:rPr>
      </w:pPr>
    </w:p>
    <w:p w14:paraId="7236E4E3" w14:textId="538E8B4A" w:rsidR="00096FA2" w:rsidRPr="00BF06C2" w:rsidRDefault="00FB26D0" w:rsidP="00BF06C2">
      <w:pPr>
        <w:pStyle w:val="NumberedListlvl1"/>
        <w:rPr>
          <w:rFonts w:asciiTheme="majorHAnsi" w:hAnsiTheme="majorHAnsi"/>
        </w:rPr>
      </w:pPr>
      <w:r w:rsidRPr="00096FA2">
        <w:rPr>
          <w:rFonts w:asciiTheme="majorHAnsi" w:hAnsiTheme="majorHAnsi"/>
        </w:rPr>
        <w:t>The procuring official must consider this information as part of the tender evaluation process</w:t>
      </w:r>
      <w:r w:rsidR="00CF0E0A">
        <w:rPr>
          <w:rFonts w:asciiTheme="majorHAnsi" w:hAnsiTheme="majorHAnsi"/>
        </w:rPr>
        <w:t xml:space="preserve"> as well as </w:t>
      </w:r>
      <w:r w:rsidR="00BF06C2" w:rsidRPr="00BF06C2">
        <w:rPr>
          <w:rFonts w:asciiTheme="majorHAnsi" w:hAnsiTheme="majorHAnsi"/>
        </w:rPr>
        <w:t>past performance against MMR targets.</w:t>
      </w:r>
      <w:r w:rsidRPr="00BF06C2">
        <w:rPr>
          <w:rFonts w:asciiTheme="majorHAnsi" w:hAnsiTheme="majorHAnsi"/>
        </w:rPr>
        <w:t xml:space="preserve"> </w:t>
      </w:r>
    </w:p>
    <w:p w14:paraId="3EF7CD47" w14:textId="77777777" w:rsidR="00096FA2" w:rsidRPr="00096FA2" w:rsidRDefault="00096FA2" w:rsidP="00096FA2">
      <w:pPr>
        <w:pStyle w:val="ListParagraph"/>
        <w:rPr>
          <w:rFonts w:asciiTheme="majorHAnsi" w:hAnsiTheme="majorHAnsi"/>
          <w:sz w:val="10"/>
          <w:szCs w:val="10"/>
        </w:rPr>
      </w:pPr>
    </w:p>
    <w:p w14:paraId="438AFD87" w14:textId="77777777" w:rsidR="00C277B6" w:rsidRDefault="00FB26D0" w:rsidP="009151EE">
      <w:pPr>
        <w:pStyle w:val="NumberedListlvl1"/>
        <w:rPr>
          <w:rStyle w:val="BodyTextChar"/>
          <w:rFonts w:asciiTheme="majorHAnsi" w:hAnsiTheme="majorHAnsi"/>
        </w:rPr>
      </w:pPr>
      <w:r w:rsidRPr="00096FA2">
        <w:rPr>
          <w:rStyle w:val="BodyTextChar"/>
          <w:rFonts w:asciiTheme="majorHAnsi" w:hAnsiTheme="majorHAnsi"/>
        </w:rPr>
        <w:t>During contract negotiations, the procuring official or contract manager</w:t>
      </w:r>
      <w:r w:rsidR="00DE1827" w:rsidRPr="00096FA2">
        <w:rPr>
          <w:rStyle w:val="BodyTextChar"/>
          <w:rFonts w:asciiTheme="majorHAnsi" w:hAnsiTheme="majorHAnsi"/>
        </w:rPr>
        <w:t xml:space="preserve"> must agree </w:t>
      </w:r>
      <w:r w:rsidR="004821C6" w:rsidRPr="00096FA2">
        <w:rPr>
          <w:rStyle w:val="BodyTextChar"/>
          <w:rFonts w:asciiTheme="majorHAnsi" w:hAnsiTheme="majorHAnsi"/>
        </w:rPr>
        <w:t>Indigenous participation</w:t>
      </w:r>
      <w:r w:rsidRPr="00096FA2">
        <w:rPr>
          <w:rStyle w:val="BodyTextChar"/>
          <w:rFonts w:asciiTheme="majorHAnsi" w:hAnsiTheme="majorHAnsi"/>
        </w:rPr>
        <w:t xml:space="preserve"> </w:t>
      </w:r>
      <w:r w:rsidR="00DE1827" w:rsidRPr="00096FA2">
        <w:rPr>
          <w:rStyle w:val="BodyTextChar"/>
          <w:rFonts w:asciiTheme="majorHAnsi" w:hAnsiTheme="majorHAnsi"/>
        </w:rPr>
        <w:t xml:space="preserve">targets with </w:t>
      </w:r>
      <w:r w:rsidRPr="00096FA2">
        <w:rPr>
          <w:rStyle w:val="BodyTextChar"/>
          <w:rFonts w:asciiTheme="majorHAnsi" w:hAnsiTheme="majorHAnsi"/>
        </w:rPr>
        <w:t>the supplier</w:t>
      </w:r>
      <w:r w:rsidR="004821C6" w:rsidRPr="00096FA2">
        <w:rPr>
          <w:rStyle w:val="BodyTextChar"/>
          <w:rFonts w:asciiTheme="majorHAnsi" w:hAnsiTheme="majorHAnsi"/>
        </w:rPr>
        <w:t xml:space="preserve"> in line with MMR</w:t>
      </w:r>
      <w:r w:rsidR="00943A00" w:rsidRPr="00096FA2">
        <w:rPr>
          <w:rStyle w:val="BodyTextChar"/>
          <w:rFonts w:asciiTheme="majorHAnsi" w:hAnsiTheme="majorHAnsi"/>
        </w:rPr>
        <w:t xml:space="preserve"> and include these in the contract</w:t>
      </w:r>
      <w:r w:rsidR="00DE1827" w:rsidRPr="00096FA2">
        <w:rPr>
          <w:rStyle w:val="BodyTextChar"/>
          <w:rFonts w:asciiTheme="majorHAnsi" w:hAnsiTheme="majorHAnsi"/>
        </w:rPr>
        <w:t>. Targets should reflect an agreed level of Indigenous employment</w:t>
      </w:r>
      <w:r w:rsidR="004821C6" w:rsidRPr="00096FA2">
        <w:rPr>
          <w:rStyle w:val="BodyTextChar"/>
          <w:rFonts w:asciiTheme="majorHAnsi" w:hAnsiTheme="majorHAnsi"/>
        </w:rPr>
        <w:t xml:space="preserve"> (workforce)</w:t>
      </w:r>
      <w:r w:rsidR="00DE1827" w:rsidRPr="00096FA2">
        <w:rPr>
          <w:rStyle w:val="BodyTextChar"/>
          <w:rFonts w:asciiTheme="majorHAnsi" w:hAnsiTheme="majorHAnsi"/>
        </w:rPr>
        <w:t>, or an agreed level of Indigenous businesses participation (supplier-us</w:t>
      </w:r>
      <w:r w:rsidR="004821C6" w:rsidRPr="00096FA2">
        <w:rPr>
          <w:rStyle w:val="BodyTextChar"/>
          <w:rFonts w:asciiTheme="majorHAnsi" w:hAnsiTheme="majorHAnsi"/>
        </w:rPr>
        <w:t>e</w:t>
      </w:r>
      <w:r w:rsidR="00DE1827" w:rsidRPr="00096FA2">
        <w:rPr>
          <w:rStyle w:val="BodyTextChar"/>
          <w:rFonts w:asciiTheme="majorHAnsi" w:hAnsiTheme="majorHAnsi"/>
        </w:rPr>
        <w:t>), or a combination of both, over the life of the contract. These targets should be applied</w:t>
      </w:r>
      <w:r w:rsidR="004821C6" w:rsidRPr="00096FA2">
        <w:rPr>
          <w:rStyle w:val="BodyTextChar"/>
          <w:rFonts w:asciiTheme="majorHAnsi" w:hAnsiTheme="majorHAnsi"/>
        </w:rPr>
        <w:t xml:space="preserve"> to the contract itself or the supplier’s Australian-</w:t>
      </w:r>
      <w:r w:rsidR="00DE1827" w:rsidRPr="00096FA2">
        <w:rPr>
          <w:rStyle w:val="BodyTextChar"/>
          <w:rFonts w:asciiTheme="majorHAnsi" w:hAnsiTheme="majorHAnsi"/>
        </w:rPr>
        <w:t>base</w:t>
      </w:r>
      <w:r w:rsidR="004821C6" w:rsidRPr="00096FA2">
        <w:rPr>
          <w:rStyle w:val="BodyTextChar"/>
          <w:rFonts w:asciiTheme="majorHAnsi" w:hAnsiTheme="majorHAnsi"/>
        </w:rPr>
        <w:t>d supply chain and or workforce (information on determining targets is at Section 3).</w:t>
      </w:r>
    </w:p>
    <w:p w14:paraId="462CEAA0" w14:textId="77777777" w:rsidR="00096FA2" w:rsidRPr="00096FA2" w:rsidRDefault="00096FA2" w:rsidP="00096FA2">
      <w:pPr>
        <w:pStyle w:val="ListParagraph"/>
        <w:rPr>
          <w:rStyle w:val="BodyTextChar"/>
          <w:rFonts w:asciiTheme="majorHAnsi" w:hAnsiTheme="majorHAnsi"/>
          <w:sz w:val="10"/>
          <w:szCs w:val="10"/>
        </w:rPr>
      </w:pPr>
    </w:p>
    <w:p w14:paraId="4431DA03" w14:textId="2F1DCBFC" w:rsidR="004821C6" w:rsidRPr="008D1DB4" w:rsidRDefault="004821C6" w:rsidP="008D1DB4">
      <w:pPr>
        <w:pStyle w:val="NumberedListlvl1"/>
        <w:rPr>
          <w:rStyle w:val="BodyTextChar"/>
          <w:rFonts w:asciiTheme="majorHAnsi" w:hAnsiTheme="majorHAnsi"/>
        </w:rPr>
      </w:pPr>
      <w:r w:rsidRPr="00A82FD7">
        <w:rPr>
          <w:rStyle w:val="BodyTextChar"/>
          <w:rFonts w:asciiTheme="majorHAnsi" w:hAnsiTheme="majorHAnsi"/>
        </w:rPr>
        <w:t xml:space="preserve">Over the life of the contract, the contract manager must monitor the supplier’s progress against the agreed target by assessing </w:t>
      </w:r>
      <w:r w:rsidR="00787C61">
        <w:rPr>
          <w:rStyle w:val="BodyTextChar"/>
          <w:rFonts w:asciiTheme="majorHAnsi" w:hAnsiTheme="majorHAnsi"/>
        </w:rPr>
        <w:t xml:space="preserve">and acknowledging </w:t>
      </w:r>
      <w:r w:rsidRPr="00A82FD7">
        <w:rPr>
          <w:rStyle w:val="BodyTextChar"/>
          <w:rFonts w:asciiTheme="majorHAnsi" w:hAnsiTheme="majorHAnsi"/>
        </w:rPr>
        <w:t>performance reports in the Indigenous Procurement Policy Reporting System (IPPRS)</w:t>
      </w:r>
      <w:r w:rsidR="00244F42" w:rsidRPr="00A82FD7">
        <w:rPr>
          <w:rStyle w:val="BodyTextChar"/>
          <w:rFonts w:asciiTheme="majorHAnsi" w:hAnsiTheme="majorHAnsi"/>
        </w:rPr>
        <w:t>.</w:t>
      </w:r>
      <w:r w:rsidR="00316022">
        <w:rPr>
          <w:rStyle w:val="BodyTextChar"/>
          <w:rFonts w:asciiTheme="majorHAnsi" w:hAnsiTheme="majorHAnsi"/>
        </w:rPr>
        <w:t xml:space="preserve"> </w:t>
      </w:r>
      <w:r w:rsidR="00B679CB">
        <w:rPr>
          <w:rFonts w:asciiTheme="majorHAnsi" w:hAnsiTheme="majorHAnsi"/>
        </w:rPr>
        <w:t>This includes c</w:t>
      </w:r>
      <w:r w:rsidR="00316022" w:rsidRPr="00316022">
        <w:rPr>
          <w:rFonts w:asciiTheme="majorHAnsi" w:hAnsiTheme="majorHAnsi"/>
        </w:rPr>
        <w:t xml:space="preserve">hecking Indigenous businesses used in </w:t>
      </w:r>
      <w:r w:rsidR="00B679CB">
        <w:rPr>
          <w:rFonts w:asciiTheme="majorHAnsi" w:hAnsiTheme="majorHAnsi"/>
        </w:rPr>
        <w:t xml:space="preserve">the </w:t>
      </w:r>
      <w:r w:rsidR="00316022" w:rsidRPr="00316022">
        <w:rPr>
          <w:rFonts w:asciiTheme="majorHAnsi" w:hAnsiTheme="majorHAnsi"/>
        </w:rPr>
        <w:t xml:space="preserve">supply chain and </w:t>
      </w:r>
      <w:r w:rsidR="00B679CB">
        <w:rPr>
          <w:rFonts w:asciiTheme="majorHAnsi" w:hAnsiTheme="majorHAnsi"/>
        </w:rPr>
        <w:t xml:space="preserve">FTE employment </w:t>
      </w:r>
      <w:r w:rsidR="00316022" w:rsidRPr="00316022">
        <w:rPr>
          <w:rFonts w:asciiTheme="majorHAnsi" w:hAnsiTheme="majorHAnsi"/>
        </w:rPr>
        <w:t xml:space="preserve">figures are </w:t>
      </w:r>
      <w:r w:rsidR="008D1DB4">
        <w:rPr>
          <w:rFonts w:asciiTheme="majorHAnsi" w:hAnsiTheme="majorHAnsi"/>
        </w:rPr>
        <w:t>true and accurate</w:t>
      </w:r>
      <w:r w:rsidR="00316022" w:rsidRPr="00316022">
        <w:rPr>
          <w:rFonts w:asciiTheme="majorHAnsi" w:hAnsiTheme="majorHAnsi"/>
        </w:rPr>
        <w:t>.</w:t>
      </w:r>
    </w:p>
    <w:p w14:paraId="47856F6B" w14:textId="77777777" w:rsidR="00096FA2" w:rsidRPr="00096FA2" w:rsidRDefault="00096FA2" w:rsidP="00096FA2">
      <w:pPr>
        <w:pStyle w:val="ListParagraph"/>
        <w:rPr>
          <w:rStyle w:val="BodyTextChar"/>
          <w:rFonts w:asciiTheme="majorHAnsi" w:hAnsiTheme="majorHAnsi"/>
          <w:sz w:val="10"/>
          <w:szCs w:val="10"/>
        </w:rPr>
      </w:pPr>
    </w:p>
    <w:p w14:paraId="65103CE7" w14:textId="77777777" w:rsidR="00E17C7A" w:rsidRDefault="00244F42" w:rsidP="004821C6">
      <w:pPr>
        <w:pStyle w:val="NumberedListlvl1"/>
        <w:rPr>
          <w:rStyle w:val="BodyTextChar"/>
          <w:rFonts w:asciiTheme="majorHAnsi" w:hAnsiTheme="majorHAnsi"/>
        </w:rPr>
      </w:pPr>
      <w:r w:rsidRPr="00A82FD7">
        <w:rPr>
          <w:rStyle w:val="BodyTextChar"/>
          <w:rFonts w:asciiTheme="majorHAnsi" w:hAnsiTheme="majorHAnsi"/>
        </w:rPr>
        <w:t>At the conclusion of the contract, the contract manager must provide a final compliance assessment of the supplier through the IPPRS.</w:t>
      </w:r>
    </w:p>
    <w:p w14:paraId="3AFD4C60" w14:textId="77777777" w:rsidR="00E17C7A" w:rsidRDefault="00E17C7A">
      <w:pPr>
        <w:rPr>
          <w:rStyle w:val="BodyTextChar"/>
          <w:rFonts w:asciiTheme="majorHAnsi" w:hAnsiTheme="majorHAnsi"/>
        </w:rPr>
      </w:pPr>
      <w:r>
        <w:rPr>
          <w:rStyle w:val="BodyTextChar"/>
          <w:rFonts w:asciiTheme="majorHAnsi" w:hAnsiTheme="majorHAnsi"/>
        </w:rPr>
        <w:lastRenderedPageBreak/>
        <w:br w:type="page"/>
      </w:r>
    </w:p>
    <w:p w14:paraId="2267CC47" w14:textId="77777777" w:rsidR="0064147A" w:rsidRPr="005F0FA0" w:rsidRDefault="005B43E4" w:rsidP="004821C6">
      <w:pPr>
        <w:pStyle w:val="Heading3"/>
        <w:rPr>
          <w:color w:val="6E3A00" w:themeColor="accent4" w:themeShade="80"/>
        </w:rPr>
      </w:pPr>
      <w:bookmarkStart w:id="32" w:name="_Toc223528530"/>
      <w:r w:rsidRPr="005F0FA0">
        <w:rPr>
          <w:rStyle w:val="BodyTextChar"/>
          <w:color w:val="6E3A00" w:themeColor="accent4" w:themeShade="80"/>
        </w:rPr>
        <w:lastRenderedPageBreak/>
        <w:t>2</w:t>
      </w:r>
      <w:r w:rsidR="00296575" w:rsidRPr="005F0FA0">
        <w:rPr>
          <w:rStyle w:val="BodyTextChar"/>
          <w:color w:val="6E3A00" w:themeColor="accent4" w:themeShade="80"/>
        </w:rPr>
        <w:t>.1</w:t>
      </w:r>
      <w:r w:rsidR="00296575" w:rsidRPr="005F0FA0">
        <w:rPr>
          <w:color w:val="6E3A00" w:themeColor="accent4" w:themeShade="80"/>
        </w:rPr>
        <w:t xml:space="preserve"> </w:t>
      </w:r>
      <w:r w:rsidR="00A53574" w:rsidRPr="005F0FA0">
        <w:rPr>
          <w:color w:val="6E3A00" w:themeColor="accent4" w:themeShade="80"/>
        </w:rPr>
        <w:t xml:space="preserve">Determining </w:t>
      </w:r>
      <w:r w:rsidR="00643ACA" w:rsidRPr="005F0FA0">
        <w:rPr>
          <w:color w:val="6E3A00" w:themeColor="accent4" w:themeShade="80"/>
        </w:rPr>
        <w:t>whether</w:t>
      </w:r>
      <w:r w:rsidR="00A53574" w:rsidRPr="005F0FA0">
        <w:rPr>
          <w:color w:val="6E3A00" w:themeColor="accent4" w:themeShade="80"/>
        </w:rPr>
        <w:t xml:space="preserve"> </w:t>
      </w:r>
      <w:r w:rsidR="00D0369B" w:rsidRPr="005F0FA0">
        <w:rPr>
          <w:color w:val="6E3A00" w:themeColor="accent4" w:themeShade="80"/>
        </w:rPr>
        <w:t>MMR apply</w:t>
      </w:r>
      <w:r w:rsidR="0064147A" w:rsidRPr="005F0FA0">
        <w:rPr>
          <w:color w:val="6E3A00" w:themeColor="accent4" w:themeShade="80"/>
        </w:rPr>
        <w:t xml:space="preserve"> </w:t>
      </w:r>
      <w:r w:rsidR="00A5262B" w:rsidRPr="005F0FA0">
        <w:rPr>
          <w:color w:val="6E3A00" w:themeColor="accent4" w:themeShade="80"/>
        </w:rPr>
        <w:t xml:space="preserve">to </w:t>
      </w:r>
      <w:r w:rsidR="00FD24C4" w:rsidRPr="005F0FA0">
        <w:rPr>
          <w:color w:val="6E3A00" w:themeColor="accent4" w:themeShade="80"/>
        </w:rPr>
        <w:t xml:space="preserve">a </w:t>
      </w:r>
      <w:r w:rsidR="00A5262B" w:rsidRPr="005F0FA0">
        <w:rPr>
          <w:color w:val="6E3A00" w:themeColor="accent4" w:themeShade="80"/>
        </w:rPr>
        <w:t>procurement</w:t>
      </w:r>
      <w:bookmarkEnd w:id="32"/>
    </w:p>
    <w:p w14:paraId="03148BA0" w14:textId="77777777" w:rsidR="008D41D4" w:rsidRPr="00A82FD7" w:rsidRDefault="008D41D4" w:rsidP="003549E6">
      <w:pPr>
        <w:pStyle w:val="BodyText"/>
        <w:rPr>
          <w:rFonts w:asciiTheme="majorHAnsi" w:hAnsiTheme="majorHAnsi"/>
        </w:rPr>
      </w:pPr>
    </w:p>
    <w:tbl>
      <w:tblPr>
        <w:tblStyle w:val="GridTable4-Accent4"/>
        <w:tblW w:w="9776" w:type="dxa"/>
        <w:tblLook w:val="04A0" w:firstRow="1" w:lastRow="0" w:firstColumn="1" w:lastColumn="0" w:noHBand="0" w:noVBand="1"/>
      </w:tblPr>
      <w:tblGrid>
        <w:gridCol w:w="562"/>
        <w:gridCol w:w="4111"/>
        <w:gridCol w:w="5103"/>
      </w:tblGrid>
      <w:tr w:rsidR="005505B6" w:rsidRPr="00A82FD7" w14:paraId="4DB87364" w14:textId="77777777" w:rsidTr="00527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63D25B5" w14:textId="77777777" w:rsidR="005505B6" w:rsidRPr="00A82FD7" w:rsidRDefault="005505B6" w:rsidP="00410F19">
            <w:pPr>
              <w:pStyle w:val="BodyText"/>
              <w:rPr>
                <w:rFonts w:asciiTheme="majorHAnsi" w:hAnsiTheme="majorHAnsi"/>
                <w:sz w:val="24"/>
                <w:szCs w:val="24"/>
              </w:rPr>
            </w:pPr>
          </w:p>
        </w:tc>
        <w:tc>
          <w:tcPr>
            <w:tcW w:w="4111" w:type="dxa"/>
          </w:tcPr>
          <w:p w14:paraId="32DC6D85" w14:textId="77777777" w:rsidR="005505B6" w:rsidRPr="005F0FA0" w:rsidRDefault="005505B6" w:rsidP="00410F19">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olor w:val="262626" w:themeColor="text1" w:themeTint="D9"/>
                <w:sz w:val="24"/>
                <w:szCs w:val="24"/>
              </w:rPr>
            </w:pPr>
            <w:r w:rsidRPr="005F0FA0">
              <w:rPr>
                <w:rFonts w:asciiTheme="majorHAnsi" w:hAnsiTheme="majorHAnsi"/>
                <w:color w:val="262626" w:themeColor="text1" w:themeTint="D9"/>
                <w:sz w:val="24"/>
                <w:szCs w:val="24"/>
              </w:rPr>
              <w:t>Table 1. MMR Checklist</w:t>
            </w:r>
          </w:p>
          <w:p w14:paraId="4D624CD9" w14:textId="77777777" w:rsidR="005505B6" w:rsidRPr="005F0FA0" w:rsidRDefault="005505B6" w:rsidP="00410F19">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olor w:val="262626" w:themeColor="text1" w:themeTint="D9"/>
              </w:rPr>
            </w:pPr>
          </w:p>
          <w:p w14:paraId="4F2B1040" w14:textId="77777777" w:rsidR="005505B6" w:rsidRPr="005F0FA0" w:rsidRDefault="005505B6" w:rsidP="00D0369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olor w:val="262626" w:themeColor="text1" w:themeTint="D9"/>
              </w:rPr>
            </w:pPr>
            <w:r w:rsidRPr="005F0FA0">
              <w:rPr>
                <w:rFonts w:asciiTheme="majorHAnsi" w:hAnsiTheme="majorHAnsi"/>
                <w:color w:val="262626" w:themeColor="text1" w:themeTint="D9"/>
              </w:rPr>
              <w:t>Procurements subject to MMR</w:t>
            </w:r>
          </w:p>
        </w:tc>
        <w:tc>
          <w:tcPr>
            <w:tcW w:w="5103" w:type="dxa"/>
          </w:tcPr>
          <w:p w14:paraId="421B44E9" w14:textId="77777777" w:rsidR="005505B6" w:rsidRPr="005F0FA0" w:rsidRDefault="005505B6">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olor w:val="262626" w:themeColor="text1" w:themeTint="D9"/>
              </w:rPr>
            </w:pPr>
          </w:p>
          <w:p w14:paraId="2B2F7A6F" w14:textId="77777777" w:rsidR="005505B6" w:rsidRPr="005F0FA0" w:rsidRDefault="005505B6">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olor w:val="262626" w:themeColor="text1" w:themeTint="D9"/>
              </w:rPr>
            </w:pPr>
          </w:p>
          <w:p w14:paraId="5778BB5B" w14:textId="77777777" w:rsidR="005505B6" w:rsidRPr="005F0FA0" w:rsidRDefault="005505B6" w:rsidP="00D0369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olor w:val="262626" w:themeColor="text1" w:themeTint="D9"/>
              </w:rPr>
            </w:pPr>
            <w:r w:rsidRPr="005F0FA0">
              <w:rPr>
                <w:rFonts w:asciiTheme="majorHAnsi" w:hAnsiTheme="majorHAnsi"/>
                <w:color w:val="262626" w:themeColor="text1" w:themeTint="D9"/>
              </w:rPr>
              <w:t>Procurements NOT subject to MMR</w:t>
            </w:r>
          </w:p>
        </w:tc>
      </w:tr>
      <w:tr w:rsidR="005505B6" w:rsidRPr="00A82FD7" w14:paraId="449AE3A7" w14:textId="77777777" w:rsidTr="0052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82F9B4B" w14:textId="77777777" w:rsidR="005505B6" w:rsidRDefault="005505B6" w:rsidP="00127F3E">
            <w:pPr>
              <w:pStyle w:val="BodyText"/>
              <w:rPr>
                <w:rFonts w:asciiTheme="majorHAnsi" w:hAnsiTheme="majorHAnsi"/>
              </w:rPr>
            </w:pPr>
            <w:r>
              <w:rPr>
                <w:rFonts w:asciiTheme="majorHAnsi" w:hAnsiTheme="majorHAnsi"/>
              </w:rPr>
              <w:t>1</w:t>
            </w:r>
            <w:r w:rsidR="0052772F">
              <w:rPr>
                <w:rFonts w:asciiTheme="majorHAnsi" w:hAnsiTheme="majorHAnsi"/>
              </w:rPr>
              <w:t>*</w:t>
            </w:r>
          </w:p>
        </w:tc>
        <w:tc>
          <w:tcPr>
            <w:tcW w:w="4111" w:type="dxa"/>
          </w:tcPr>
          <w:p w14:paraId="15656F87" w14:textId="77777777" w:rsidR="005505B6" w:rsidRPr="00A82FD7" w:rsidRDefault="005505B6" w:rsidP="00127F3E">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rPr>
              <w:t>The</w:t>
            </w:r>
            <w:r w:rsidRPr="00A82FD7">
              <w:rPr>
                <w:rFonts w:asciiTheme="majorHAnsi" w:hAnsiTheme="majorHAnsi"/>
              </w:rPr>
              <w:t xml:space="preserve"> procurement is subject to the Commonwealth Procurement Rules (CPRs)</w:t>
            </w:r>
          </w:p>
        </w:tc>
        <w:tc>
          <w:tcPr>
            <w:tcW w:w="5103" w:type="dxa"/>
          </w:tcPr>
          <w:p w14:paraId="6F745B5E" w14:textId="77777777" w:rsidR="005505B6" w:rsidRPr="00A82FD7" w:rsidRDefault="005505B6" w:rsidP="003549E6">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The</w:t>
            </w:r>
            <w:r w:rsidRPr="00A82FD7">
              <w:rPr>
                <w:rFonts w:asciiTheme="majorHAnsi" w:hAnsiTheme="majorHAnsi"/>
              </w:rPr>
              <w:t xml:space="preserve"> procurement is subject to paragraph 2.6 of the CPRs (paragraph 2.6 deals with activities relating to international peace and security, human health, essential security interests and national treasures).</w:t>
            </w:r>
          </w:p>
          <w:p w14:paraId="5DE2105F" w14:textId="77777777" w:rsidR="005505B6" w:rsidRPr="00A82FD7" w:rsidRDefault="005505B6" w:rsidP="00410F19">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5505B6" w:rsidRPr="00A82FD7" w14:paraId="5EB7E5B1" w14:textId="77777777" w:rsidTr="0052772F">
        <w:tc>
          <w:tcPr>
            <w:cnfStyle w:val="001000000000" w:firstRow="0" w:lastRow="0" w:firstColumn="1" w:lastColumn="0" w:oddVBand="0" w:evenVBand="0" w:oddHBand="0" w:evenHBand="0" w:firstRowFirstColumn="0" w:firstRowLastColumn="0" w:lastRowFirstColumn="0" w:lastRowLastColumn="0"/>
            <w:tcW w:w="562" w:type="dxa"/>
          </w:tcPr>
          <w:p w14:paraId="051C6107" w14:textId="77777777" w:rsidR="005505B6" w:rsidRDefault="005505B6" w:rsidP="0084306B">
            <w:pPr>
              <w:pStyle w:val="BodyText"/>
              <w:rPr>
                <w:rFonts w:asciiTheme="majorHAnsi" w:hAnsiTheme="majorHAnsi"/>
              </w:rPr>
            </w:pPr>
            <w:r>
              <w:rPr>
                <w:rFonts w:asciiTheme="majorHAnsi" w:hAnsiTheme="majorHAnsi"/>
              </w:rPr>
              <w:t>2</w:t>
            </w:r>
            <w:r w:rsidR="0052772F">
              <w:rPr>
                <w:rFonts w:asciiTheme="majorHAnsi" w:hAnsiTheme="majorHAnsi"/>
              </w:rPr>
              <w:t>*</w:t>
            </w:r>
          </w:p>
        </w:tc>
        <w:tc>
          <w:tcPr>
            <w:tcW w:w="4111" w:type="dxa"/>
          </w:tcPr>
          <w:p w14:paraId="2CC2F77A" w14:textId="1E827CD6" w:rsidR="005505B6" w:rsidRPr="00A82FD7" w:rsidRDefault="005505B6" w:rsidP="0084306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rPr>
              <w:t>The</w:t>
            </w:r>
            <w:r w:rsidRPr="00A82FD7">
              <w:rPr>
                <w:rFonts w:asciiTheme="majorHAnsi" w:hAnsiTheme="majorHAnsi"/>
              </w:rPr>
              <w:t xml:space="preserve"> procurement is estimated to be $7.5 million </w:t>
            </w:r>
            <w:r>
              <w:rPr>
                <w:rFonts w:asciiTheme="majorHAnsi" w:hAnsiTheme="majorHAnsi"/>
              </w:rPr>
              <w:t xml:space="preserve">or more </w:t>
            </w:r>
            <w:r w:rsidRPr="00A82FD7">
              <w:rPr>
                <w:rFonts w:asciiTheme="majorHAnsi" w:hAnsiTheme="majorHAnsi"/>
              </w:rPr>
              <w:t>(</w:t>
            </w:r>
            <w:proofErr w:type="spellStart"/>
            <w:r>
              <w:rPr>
                <w:rFonts w:asciiTheme="majorHAnsi" w:hAnsiTheme="majorHAnsi"/>
              </w:rPr>
              <w:t>inc</w:t>
            </w:r>
            <w:proofErr w:type="spellEnd"/>
            <w:r>
              <w:rPr>
                <w:rFonts w:asciiTheme="majorHAnsi" w:hAnsiTheme="majorHAnsi"/>
              </w:rPr>
              <w:t xml:space="preserve"> </w:t>
            </w:r>
            <w:r w:rsidRPr="00A82FD7">
              <w:rPr>
                <w:rFonts w:asciiTheme="majorHAnsi" w:hAnsiTheme="majorHAnsi"/>
              </w:rPr>
              <w:t xml:space="preserve">GST) which includes options, extensions, renewals or other mechanisms that may be executed over the life of the contract. (refer </w:t>
            </w:r>
            <w:r w:rsidR="005940AC">
              <w:rPr>
                <w:rFonts w:asciiTheme="majorHAnsi" w:hAnsiTheme="majorHAnsi"/>
              </w:rPr>
              <w:t>9</w:t>
            </w:r>
            <w:r>
              <w:rPr>
                <w:rFonts w:asciiTheme="majorHAnsi" w:hAnsiTheme="majorHAnsi"/>
              </w:rPr>
              <w:t>.2 on S</w:t>
            </w:r>
            <w:r w:rsidRPr="00A82FD7">
              <w:rPr>
                <w:rFonts w:asciiTheme="majorHAnsi" w:hAnsiTheme="majorHAnsi"/>
              </w:rPr>
              <w:t>ection 9 of the CPRs)</w:t>
            </w:r>
          </w:p>
        </w:tc>
        <w:tc>
          <w:tcPr>
            <w:tcW w:w="5103" w:type="dxa"/>
          </w:tcPr>
          <w:p w14:paraId="4E9CC40F" w14:textId="77777777" w:rsidR="005505B6" w:rsidRPr="00A82FD7" w:rsidRDefault="005505B6" w:rsidP="003549E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82FD7">
              <w:rPr>
                <w:rFonts w:asciiTheme="majorHAnsi" w:hAnsiTheme="majorHAnsi"/>
              </w:rPr>
              <w:t xml:space="preserve">The procurement falls within sub-category exemptions listed in Figure 2 or a non-prescribed UNSPSC category. </w:t>
            </w:r>
          </w:p>
          <w:p w14:paraId="6F1A4AE3" w14:textId="77777777" w:rsidR="005505B6" w:rsidRPr="00A82FD7" w:rsidRDefault="005505B6" w:rsidP="00410F19">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5505B6" w:rsidRPr="00A82FD7" w14:paraId="2E4C5E45" w14:textId="77777777" w:rsidTr="0052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FF3A1A0" w14:textId="77777777" w:rsidR="005505B6" w:rsidRPr="00A82FD7" w:rsidRDefault="005505B6">
            <w:pPr>
              <w:pStyle w:val="BodyText"/>
              <w:rPr>
                <w:rFonts w:asciiTheme="majorHAnsi" w:hAnsiTheme="majorHAnsi"/>
              </w:rPr>
            </w:pPr>
            <w:r>
              <w:rPr>
                <w:rFonts w:asciiTheme="majorHAnsi" w:hAnsiTheme="majorHAnsi"/>
              </w:rPr>
              <w:t>3</w:t>
            </w:r>
            <w:r w:rsidR="0052772F">
              <w:rPr>
                <w:rFonts w:asciiTheme="majorHAnsi" w:hAnsiTheme="majorHAnsi"/>
              </w:rPr>
              <w:t>*</w:t>
            </w:r>
          </w:p>
        </w:tc>
        <w:tc>
          <w:tcPr>
            <w:tcW w:w="4111" w:type="dxa"/>
          </w:tcPr>
          <w:p w14:paraId="508C474C" w14:textId="77777777" w:rsidR="005505B6" w:rsidRPr="00A82FD7" w:rsidRDefault="005505B6">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82FD7">
              <w:rPr>
                <w:rFonts w:asciiTheme="majorHAnsi" w:hAnsiTheme="majorHAnsi"/>
              </w:rPr>
              <w:t>All the goods and services will be delivered wholly within Australia.</w:t>
            </w:r>
          </w:p>
        </w:tc>
        <w:tc>
          <w:tcPr>
            <w:tcW w:w="5103" w:type="dxa"/>
          </w:tcPr>
          <w:p w14:paraId="30981616" w14:textId="77777777" w:rsidR="005505B6" w:rsidRPr="00A82FD7" w:rsidRDefault="005505B6" w:rsidP="003549E6">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82FD7">
              <w:rPr>
                <w:rFonts w:asciiTheme="majorHAnsi" w:hAnsiTheme="majorHAnsi"/>
              </w:rPr>
              <w:t>The goods and services will be delivered overseas in whole or in part.</w:t>
            </w:r>
          </w:p>
          <w:p w14:paraId="55941DE9" w14:textId="77777777" w:rsidR="005505B6" w:rsidRPr="00A82FD7" w:rsidRDefault="005505B6" w:rsidP="00410F19">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5505B6" w:rsidRPr="00A82FD7" w14:paraId="79D8DB17" w14:textId="77777777" w:rsidTr="0052772F">
        <w:tc>
          <w:tcPr>
            <w:cnfStyle w:val="001000000000" w:firstRow="0" w:lastRow="0" w:firstColumn="1" w:lastColumn="0" w:oddVBand="0" w:evenVBand="0" w:oddHBand="0" w:evenHBand="0" w:firstRowFirstColumn="0" w:firstRowLastColumn="0" w:lastRowFirstColumn="0" w:lastRowLastColumn="0"/>
            <w:tcW w:w="562" w:type="dxa"/>
          </w:tcPr>
          <w:p w14:paraId="42C942C0" w14:textId="77777777" w:rsidR="005505B6" w:rsidRPr="00A82FD7" w:rsidRDefault="005505B6" w:rsidP="003549E6">
            <w:pPr>
              <w:pStyle w:val="BodyText"/>
              <w:rPr>
                <w:rFonts w:asciiTheme="majorHAnsi" w:hAnsiTheme="majorHAnsi"/>
              </w:rPr>
            </w:pPr>
            <w:r>
              <w:rPr>
                <w:rFonts w:asciiTheme="majorHAnsi" w:hAnsiTheme="majorHAnsi"/>
              </w:rPr>
              <w:t>4</w:t>
            </w:r>
            <w:r w:rsidR="0052772F">
              <w:rPr>
                <w:rFonts w:asciiTheme="majorHAnsi" w:hAnsiTheme="majorHAnsi"/>
              </w:rPr>
              <w:t>*</w:t>
            </w:r>
          </w:p>
        </w:tc>
        <w:tc>
          <w:tcPr>
            <w:tcW w:w="4111" w:type="dxa"/>
          </w:tcPr>
          <w:p w14:paraId="3E1296BE" w14:textId="77777777" w:rsidR="005505B6" w:rsidRPr="00A82FD7" w:rsidRDefault="005505B6" w:rsidP="003549E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roofErr w:type="gramStart"/>
            <w:r w:rsidRPr="00A82FD7">
              <w:rPr>
                <w:rFonts w:asciiTheme="majorHAnsi" w:hAnsiTheme="majorHAnsi"/>
              </w:rPr>
              <w:t>The majority of</w:t>
            </w:r>
            <w:proofErr w:type="gramEnd"/>
            <w:r w:rsidRPr="00A82FD7">
              <w:rPr>
                <w:rFonts w:asciiTheme="majorHAnsi" w:hAnsiTheme="majorHAnsi"/>
              </w:rPr>
              <w:t xml:space="preserve"> the procurement is expended in one or more of the 19 specified industry categories as listed in Figure 1.</w:t>
            </w:r>
          </w:p>
          <w:p w14:paraId="6A2DCC70" w14:textId="77777777" w:rsidR="005505B6" w:rsidRPr="00A82FD7" w:rsidRDefault="005505B6" w:rsidP="003549E6">
            <w:pPr>
              <w:pStyle w:val="BodyText"/>
              <w:tabs>
                <w:tab w:val="left" w:pos="1433"/>
              </w:tabs>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A82FD7">
              <w:rPr>
                <w:rFonts w:asciiTheme="majorHAnsi" w:hAnsiTheme="majorHAnsi"/>
              </w:rPr>
              <w:tab/>
            </w:r>
          </w:p>
        </w:tc>
        <w:tc>
          <w:tcPr>
            <w:tcW w:w="5103" w:type="dxa"/>
          </w:tcPr>
          <w:p w14:paraId="7A08E796" w14:textId="77777777" w:rsidR="005505B6" w:rsidRPr="00A82FD7" w:rsidRDefault="005505B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82FD7">
              <w:rPr>
                <w:rFonts w:asciiTheme="majorHAnsi" w:hAnsiTheme="majorHAnsi"/>
              </w:rPr>
              <w:t>The contract is valued less than $7.5 million (GST inclusive) or less than half the value of the contact falls within the 1</w:t>
            </w:r>
            <w:r>
              <w:rPr>
                <w:rFonts w:asciiTheme="majorHAnsi" w:hAnsiTheme="majorHAnsi"/>
              </w:rPr>
              <w:t>9</w:t>
            </w:r>
            <w:r w:rsidRPr="00A82FD7">
              <w:rPr>
                <w:rFonts w:asciiTheme="majorHAnsi" w:hAnsiTheme="majorHAnsi"/>
              </w:rPr>
              <w:t xml:space="preserve"> specified industry categories. </w:t>
            </w:r>
          </w:p>
          <w:p w14:paraId="42A94BD8" w14:textId="77777777" w:rsidR="005505B6" w:rsidRPr="00A82FD7" w:rsidRDefault="005505B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73CF7C1A" w14:textId="77777777" w:rsidR="005505B6" w:rsidRPr="00A82FD7" w:rsidRDefault="005505B6" w:rsidP="00077B3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82FD7">
              <w:rPr>
                <w:rFonts w:asciiTheme="majorHAnsi" w:hAnsiTheme="majorHAnsi"/>
              </w:rPr>
              <w:t xml:space="preserve">Note: A contract variation that increases the value of a contract above the $7.5 million threshold may result in the contract becoming subject to the MMR where the contract contains appropriate clauses or supplier agrees to voluntarily meet the MMR </w:t>
            </w:r>
            <w:r w:rsidRPr="00E43360">
              <w:rPr>
                <w:rFonts w:asciiTheme="majorHAnsi" w:hAnsiTheme="majorHAnsi"/>
              </w:rPr>
              <w:t xml:space="preserve">(refer to </w:t>
            </w:r>
            <w:r>
              <w:rPr>
                <w:rFonts w:asciiTheme="majorHAnsi" w:hAnsiTheme="majorHAnsi"/>
              </w:rPr>
              <w:t>Section 10</w:t>
            </w:r>
            <w:r w:rsidRPr="00E43360">
              <w:rPr>
                <w:rFonts w:asciiTheme="majorHAnsi" w:hAnsiTheme="majorHAnsi"/>
              </w:rPr>
              <w:t>)</w:t>
            </w:r>
          </w:p>
        </w:tc>
      </w:tr>
      <w:tr w:rsidR="005505B6" w:rsidRPr="00A82FD7" w14:paraId="252D3174" w14:textId="77777777" w:rsidTr="0052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F5A060F" w14:textId="77777777" w:rsidR="005505B6" w:rsidRPr="00A82FD7" w:rsidRDefault="005505B6" w:rsidP="0079762F">
            <w:pPr>
              <w:pStyle w:val="BodyText"/>
              <w:rPr>
                <w:rFonts w:asciiTheme="majorHAnsi" w:hAnsiTheme="majorHAnsi"/>
              </w:rPr>
            </w:pPr>
            <w:r>
              <w:rPr>
                <w:rFonts w:asciiTheme="majorHAnsi" w:hAnsiTheme="majorHAnsi"/>
              </w:rPr>
              <w:t>5</w:t>
            </w:r>
          </w:p>
        </w:tc>
        <w:tc>
          <w:tcPr>
            <w:tcW w:w="4111" w:type="dxa"/>
          </w:tcPr>
          <w:p w14:paraId="0BA714F1" w14:textId="77777777" w:rsidR="005505B6" w:rsidRPr="00A82FD7" w:rsidRDefault="005505B6" w:rsidP="0079762F">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82FD7">
              <w:rPr>
                <w:rFonts w:asciiTheme="majorHAnsi" w:hAnsiTheme="majorHAnsi"/>
              </w:rPr>
              <w:t xml:space="preserve">Coordinated or cooperative procurement arrangements in place after </w:t>
            </w:r>
            <w:r w:rsidRPr="00E43360">
              <w:rPr>
                <w:rFonts w:asciiTheme="majorHAnsi" w:hAnsiTheme="majorHAnsi"/>
              </w:rPr>
              <w:t>1 July 2016</w:t>
            </w:r>
          </w:p>
        </w:tc>
        <w:tc>
          <w:tcPr>
            <w:tcW w:w="5103" w:type="dxa"/>
          </w:tcPr>
          <w:p w14:paraId="23DB0A77" w14:textId="77777777" w:rsidR="005505B6" w:rsidRPr="00A82FD7" w:rsidRDefault="005505B6" w:rsidP="00204616">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82FD7">
              <w:rPr>
                <w:rFonts w:asciiTheme="majorHAnsi" w:hAnsiTheme="majorHAnsi"/>
              </w:rPr>
              <w:t>Is subject to a coordinated or cooperative procurement arrangements e</w:t>
            </w:r>
            <w:r>
              <w:rPr>
                <w:rFonts w:asciiTheme="majorHAnsi" w:hAnsiTheme="majorHAnsi"/>
              </w:rPr>
              <w:t>stablished prior to 1 July 2016.</w:t>
            </w:r>
          </w:p>
        </w:tc>
      </w:tr>
    </w:tbl>
    <w:p w14:paraId="51CEE7C9" w14:textId="77777777" w:rsidR="00561141" w:rsidRDefault="00561141" w:rsidP="003549E6">
      <w:pPr>
        <w:pStyle w:val="BodyText"/>
        <w:rPr>
          <w:rFonts w:asciiTheme="majorHAnsi" w:hAnsiTheme="majorHAnsi"/>
          <w:lang w:eastAsia="en-AU"/>
        </w:rPr>
      </w:pPr>
    </w:p>
    <w:p w14:paraId="099EF027" w14:textId="77777777" w:rsidR="0052772F" w:rsidRPr="00096FA2" w:rsidRDefault="0052772F" w:rsidP="003549E6">
      <w:pPr>
        <w:pStyle w:val="BodyText"/>
        <w:rPr>
          <w:rFonts w:asciiTheme="majorHAnsi" w:hAnsiTheme="majorHAnsi"/>
          <w:lang w:eastAsia="en-AU"/>
        </w:rPr>
      </w:pPr>
      <w:r w:rsidRPr="00096FA2">
        <w:rPr>
          <w:rFonts w:asciiTheme="majorHAnsi" w:hAnsiTheme="majorHAnsi"/>
          <w:lang w:eastAsia="en-AU"/>
        </w:rPr>
        <w:t>*</w:t>
      </w:r>
      <w:r w:rsidRPr="00096FA2">
        <w:rPr>
          <w:rFonts w:asciiTheme="majorHAnsi" w:hAnsiTheme="majorHAnsi"/>
        </w:rPr>
        <w:t xml:space="preserve"> Your procurement is subject to the MMR if </w:t>
      </w:r>
      <w:r w:rsidRPr="00096FA2">
        <w:rPr>
          <w:rFonts w:asciiTheme="majorHAnsi" w:hAnsiTheme="majorHAnsi"/>
          <w:u w:val="single"/>
        </w:rPr>
        <w:t>all</w:t>
      </w:r>
      <w:r w:rsidRPr="00096FA2">
        <w:rPr>
          <w:rFonts w:asciiTheme="majorHAnsi" w:hAnsiTheme="majorHAnsi"/>
        </w:rPr>
        <w:t xml:space="preserve"> the first 4 conditions are met</w:t>
      </w:r>
      <w:r w:rsidR="005B47E3">
        <w:rPr>
          <w:rFonts w:asciiTheme="majorHAnsi" w:hAnsiTheme="majorHAnsi"/>
        </w:rPr>
        <w:t>.</w:t>
      </w:r>
    </w:p>
    <w:p w14:paraId="316FAB63" w14:textId="77777777" w:rsidR="00244F42" w:rsidRPr="005F0FA0" w:rsidRDefault="009059BC" w:rsidP="009059BC">
      <w:pPr>
        <w:pStyle w:val="Heading3"/>
        <w:rPr>
          <w:color w:val="A55700" w:themeColor="accent4" w:themeShade="BF"/>
          <w:lang w:eastAsia="en-AU"/>
        </w:rPr>
      </w:pPr>
      <w:bookmarkStart w:id="33" w:name="_Toc223528531"/>
      <w:r w:rsidRPr="005F0FA0">
        <w:rPr>
          <w:color w:val="A55700" w:themeColor="accent4" w:themeShade="BF"/>
          <w:lang w:eastAsia="en-AU"/>
        </w:rPr>
        <w:t xml:space="preserve">2.2 </w:t>
      </w:r>
      <w:r w:rsidR="00244F42" w:rsidRPr="005F0FA0">
        <w:rPr>
          <w:color w:val="A55700" w:themeColor="accent4" w:themeShade="BF"/>
          <w:lang w:eastAsia="en-AU"/>
        </w:rPr>
        <w:t xml:space="preserve">Requirement to estimate the value of </w:t>
      </w:r>
      <w:r w:rsidR="00FD24C4" w:rsidRPr="005F0FA0">
        <w:rPr>
          <w:color w:val="A55700" w:themeColor="accent4" w:themeShade="BF"/>
          <w:lang w:eastAsia="en-AU"/>
        </w:rPr>
        <w:t>a</w:t>
      </w:r>
      <w:r w:rsidR="00244F42" w:rsidRPr="005F0FA0">
        <w:rPr>
          <w:color w:val="A55700" w:themeColor="accent4" w:themeShade="BF"/>
          <w:lang w:eastAsia="en-AU"/>
        </w:rPr>
        <w:t xml:space="preserve"> procurement</w:t>
      </w:r>
      <w:bookmarkEnd w:id="33"/>
    </w:p>
    <w:p w14:paraId="240EB6AE" w14:textId="77777777" w:rsidR="009059BC" w:rsidRDefault="00244F42" w:rsidP="009059BC">
      <w:pPr>
        <w:pStyle w:val="BodyText"/>
        <w:rPr>
          <w:rFonts w:asciiTheme="majorHAnsi" w:hAnsiTheme="majorHAnsi"/>
          <w:lang w:eastAsia="en-AU"/>
        </w:rPr>
      </w:pPr>
      <w:r w:rsidRPr="009059BC">
        <w:rPr>
          <w:rFonts w:asciiTheme="majorHAnsi" w:hAnsiTheme="majorHAnsi"/>
          <w:lang w:eastAsia="en-AU"/>
        </w:rPr>
        <w:t>The CPRs state that when the maximum value of a procurement over its entire duration cannot be estimated, the procurement must be treated as being valued above the relevant procurement threshold</w:t>
      </w:r>
      <w:r w:rsidR="009059BC">
        <w:rPr>
          <w:rFonts w:asciiTheme="majorHAnsi" w:hAnsiTheme="majorHAnsi"/>
          <w:lang w:eastAsia="en-AU"/>
        </w:rPr>
        <w:t>. The procurement threshold in this case is $7.5 million</w:t>
      </w:r>
      <w:r w:rsidR="00077B35">
        <w:rPr>
          <w:rFonts w:asciiTheme="majorHAnsi" w:hAnsiTheme="majorHAnsi"/>
          <w:lang w:eastAsia="en-AU"/>
        </w:rPr>
        <w:t xml:space="preserve"> </w:t>
      </w:r>
      <w:r w:rsidR="0084306B">
        <w:rPr>
          <w:rFonts w:asciiTheme="majorHAnsi" w:hAnsiTheme="majorHAnsi"/>
          <w:lang w:eastAsia="en-AU"/>
        </w:rPr>
        <w:t>GST inclusive.</w:t>
      </w:r>
      <w:r w:rsidR="009059BC">
        <w:rPr>
          <w:rFonts w:asciiTheme="majorHAnsi" w:hAnsiTheme="majorHAnsi"/>
          <w:lang w:eastAsia="en-AU"/>
        </w:rPr>
        <w:t xml:space="preserve"> </w:t>
      </w:r>
    </w:p>
    <w:p w14:paraId="6382F026" w14:textId="0EFBE740" w:rsidR="00244F42" w:rsidRPr="009059BC" w:rsidRDefault="009059BC" w:rsidP="009059BC">
      <w:pPr>
        <w:pStyle w:val="BodyText"/>
        <w:rPr>
          <w:rFonts w:asciiTheme="majorHAnsi" w:hAnsiTheme="majorHAnsi"/>
          <w:lang w:eastAsia="en-AU"/>
        </w:rPr>
      </w:pPr>
      <w:r>
        <w:rPr>
          <w:rFonts w:asciiTheme="majorHAnsi" w:hAnsiTheme="majorHAnsi"/>
          <w:lang w:eastAsia="en-AU"/>
        </w:rPr>
        <w:t>Please see below for information</w:t>
      </w:r>
      <w:r w:rsidR="00244F42" w:rsidRPr="009059BC">
        <w:rPr>
          <w:rFonts w:asciiTheme="majorHAnsi" w:hAnsiTheme="majorHAnsi"/>
          <w:lang w:eastAsia="en-AU"/>
        </w:rPr>
        <w:t xml:space="preserve"> on the requirement to estimate the value of</w:t>
      </w:r>
      <w:r w:rsidR="00FD24C4">
        <w:rPr>
          <w:rFonts w:asciiTheme="majorHAnsi" w:hAnsiTheme="majorHAnsi"/>
          <w:lang w:eastAsia="en-AU"/>
        </w:rPr>
        <w:t xml:space="preserve"> a</w:t>
      </w:r>
      <w:r w:rsidR="00244F42" w:rsidRPr="009059BC">
        <w:rPr>
          <w:rFonts w:asciiTheme="majorHAnsi" w:hAnsiTheme="majorHAnsi"/>
          <w:lang w:eastAsia="en-AU"/>
        </w:rPr>
        <w:t xml:space="preserve"> procurement </w:t>
      </w:r>
      <w:r>
        <w:rPr>
          <w:rFonts w:asciiTheme="majorHAnsi" w:hAnsiTheme="majorHAnsi"/>
          <w:lang w:eastAsia="en-AU"/>
        </w:rPr>
        <w:t xml:space="preserve">as </w:t>
      </w:r>
      <w:proofErr w:type="gramStart"/>
      <w:r>
        <w:rPr>
          <w:rFonts w:asciiTheme="majorHAnsi" w:hAnsiTheme="majorHAnsi"/>
          <w:lang w:eastAsia="en-AU"/>
        </w:rPr>
        <w:t>at</w:t>
      </w:r>
      <w:proofErr w:type="gramEnd"/>
      <w:r>
        <w:rPr>
          <w:rFonts w:asciiTheme="majorHAnsi" w:hAnsiTheme="majorHAnsi"/>
          <w:lang w:eastAsia="en-AU"/>
        </w:rPr>
        <w:t xml:space="preserve"> </w:t>
      </w:r>
      <w:r w:rsidR="00FB0268">
        <w:rPr>
          <w:rFonts w:asciiTheme="majorHAnsi" w:hAnsiTheme="majorHAnsi"/>
          <w:lang w:eastAsia="en-AU"/>
        </w:rPr>
        <w:t>November 2025</w:t>
      </w:r>
      <w:r>
        <w:rPr>
          <w:rFonts w:asciiTheme="majorHAnsi" w:hAnsiTheme="majorHAnsi"/>
          <w:lang w:eastAsia="en-AU"/>
        </w:rPr>
        <w:t>.  For the latest information, go to Department of Finance</w:t>
      </w:r>
      <w:r w:rsidR="00244F42" w:rsidRPr="009059BC">
        <w:rPr>
          <w:rFonts w:asciiTheme="majorHAnsi" w:hAnsiTheme="majorHAnsi"/>
          <w:lang w:eastAsia="en-AU"/>
        </w:rPr>
        <w:t xml:space="preserve"> website</w:t>
      </w:r>
      <w:r>
        <w:rPr>
          <w:rFonts w:asciiTheme="majorHAnsi" w:hAnsiTheme="majorHAnsi"/>
          <w:lang w:eastAsia="en-AU"/>
        </w:rPr>
        <w:t>.</w:t>
      </w:r>
    </w:p>
    <w:p w14:paraId="3143D1D3" w14:textId="77777777" w:rsidR="00077B35" w:rsidRDefault="00077B35">
      <w:pPr>
        <w:rPr>
          <w:rStyle w:val="Strong"/>
          <w:rFonts w:asciiTheme="majorHAnsi" w:hAnsiTheme="majorHAnsi"/>
          <w:sz w:val="22"/>
          <w:szCs w:val="22"/>
        </w:rPr>
      </w:pPr>
      <w:r>
        <w:rPr>
          <w:rStyle w:val="Strong"/>
          <w:rFonts w:asciiTheme="majorHAnsi" w:hAnsiTheme="majorHAnsi"/>
          <w:sz w:val="22"/>
          <w:szCs w:val="22"/>
        </w:rPr>
        <w:br w:type="page"/>
      </w:r>
    </w:p>
    <w:p w14:paraId="11D55456" w14:textId="77777777" w:rsidR="001C6E22" w:rsidRPr="00A82FD7" w:rsidRDefault="001C6E22" w:rsidP="009059BC">
      <w:pPr>
        <w:pStyle w:val="BodyText"/>
        <w:rPr>
          <w:rStyle w:val="Strong"/>
          <w:rFonts w:asciiTheme="majorHAnsi" w:hAnsiTheme="majorHAnsi"/>
          <w:sz w:val="22"/>
          <w:szCs w:val="22"/>
        </w:rPr>
      </w:pPr>
    </w:p>
    <w:p w14:paraId="29E56892" w14:textId="77777777" w:rsidR="006F3969" w:rsidRDefault="00244F42" w:rsidP="001C6E22">
      <w:pPr>
        <w:pStyle w:val="EmphasisPanelBody"/>
        <w:rPr>
          <w:rStyle w:val="Strong"/>
          <w:rFonts w:asciiTheme="majorHAnsi" w:hAnsiTheme="majorHAnsi"/>
          <w:i/>
          <w:sz w:val="22"/>
          <w:szCs w:val="22"/>
        </w:rPr>
      </w:pPr>
      <w:r w:rsidRPr="00A82FD7">
        <w:rPr>
          <w:rStyle w:val="Strong"/>
          <w:rFonts w:asciiTheme="majorHAnsi" w:hAnsiTheme="majorHAnsi"/>
          <w:i/>
          <w:sz w:val="22"/>
          <w:szCs w:val="22"/>
        </w:rPr>
        <w:t>Commonwealth Procurement Rules, Section 9</w:t>
      </w:r>
    </w:p>
    <w:p w14:paraId="40112210" w14:textId="70E33CFE" w:rsidR="00244F42" w:rsidRPr="0028339A" w:rsidRDefault="00545882" w:rsidP="001C6E22">
      <w:pPr>
        <w:pStyle w:val="EmphasisPanelBody"/>
        <w:rPr>
          <w:rStyle w:val="Strong"/>
          <w:rFonts w:asciiTheme="majorHAnsi" w:hAnsiTheme="majorHAnsi"/>
          <w:iCs/>
          <w:sz w:val="22"/>
          <w:szCs w:val="22"/>
        </w:rPr>
      </w:pPr>
      <w:r w:rsidRPr="00545882">
        <w:rPr>
          <w:rFonts w:asciiTheme="majorHAnsi" w:hAnsiTheme="majorHAnsi"/>
          <w:b/>
          <w:bCs/>
          <w:i/>
          <w:sz w:val="22"/>
          <w:szCs w:val="22"/>
          <w:bdr w:val="none" w:sz="0" w:space="0" w:color="auto" w:frame="1"/>
          <w:lang w:val="en-AU"/>
        </w:rPr>
        <w:t>Requirement to estimate value of procurement</w:t>
      </w:r>
    </w:p>
    <w:p w14:paraId="6C5489D7" w14:textId="58A7C5B2" w:rsidR="00244F42" w:rsidRPr="00A82FD7" w:rsidRDefault="00244F42" w:rsidP="00477FF1">
      <w:pPr>
        <w:pStyle w:val="EmphasisPanelBody"/>
        <w:ind w:left="720" w:hanging="522"/>
        <w:rPr>
          <w:rFonts w:asciiTheme="majorHAnsi" w:hAnsiTheme="majorHAnsi"/>
        </w:rPr>
      </w:pPr>
      <w:proofErr w:type="gramStart"/>
      <w:r w:rsidRPr="00A82FD7">
        <w:rPr>
          <w:rFonts w:asciiTheme="majorHAnsi" w:hAnsiTheme="majorHAnsi"/>
        </w:rPr>
        <w:t>9.2  </w:t>
      </w:r>
      <w:r w:rsidRPr="00A82FD7">
        <w:rPr>
          <w:rFonts w:asciiTheme="majorHAnsi" w:hAnsiTheme="majorHAnsi"/>
        </w:rPr>
        <w:tab/>
      </w:r>
      <w:proofErr w:type="gramEnd"/>
      <w:r w:rsidRPr="00A82FD7">
        <w:rPr>
          <w:rFonts w:asciiTheme="majorHAnsi" w:hAnsiTheme="majorHAnsi"/>
        </w:rPr>
        <w:t>T</w:t>
      </w:r>
      <w:r w:rsidR="00033929" w:rsidRPr="00033929">
        <w:rPr>
          <w:rFonts w:asciiTheme="majorHAnsi" w:hAnsiTheme="majorHAnsi"/>
          <w:lang w:val="en-AU"/>
        </w:rPr>
        <w:t>he expected value of a procurement must be estimated before a decision on the procurement method is made. The expected value is the maximum value of the proposed contract, including options, extensions, renewals or other mechanisms that may be executed over the life of the contract.</w:t>
      </w:r>
      <w:r w:rsidR="00033929" w:rsidRPr="00033929" w:rsidDel="00033929">
        <w:rPr>
          <w:rFonts w:asciiTheme="majorHAnsi" w:hAnsiTheme="majorHAnsi"/>
          <w:lang w:val="en-AU"/>
        </w:rPr>
        <w:t xml:space="preserve"> </w:t>
      </w:r>
    </w:p>
    <w:p w14:paraId="29A4B3CD" w14:textId="77777777" w:rsidR="00F226AB" w:rsidRDefault="00244F42" w:rsidP="001C6E22">
      <w:pPr>
        <w:pStyle w:val="EmphasisPanelBody"/>
        <w:ind w:left="720" w:hanging="522"/>
        <w:rPr>
          <w:rFonts w:asciiTheme="majorHAnsi" w:hAnsiTheme="majorHAnsi"/>
          <w:lang w:val="en-AU"/>
        </w:rPr>
      </w:pPr>
      <w:r w:rsidRPr="00A82FD7">
        <w:rPr>
          <w:rFonts w:asciiTheme="majorHAnsi" w:hAnsiTheme="majorHAnsi"/>
        </w:rPr>
        <w:t>9.3</w:t>
      </w:r>
      <w:r w:rsidRPr="00A82FD7">
        <w:rPr>
          <w:rFonts w:asciiTheme="majorHAnsi" w:hAnsiTheme="majorHAnsi"/>
        </w:rPr>
        <w:tab/>
      </w:r>
      <w:r w:rsidR="00F226AB" w:rsidRPr="00F226AB">
        <w:rPr>
          <w:rFonts w:asciiTheme="majorHAnsi" w:hAnsiTheme="majorHAnsi"/>
          <w:lang w:val="en-AU"/>
        </w:rPr>
        <w:t xml:space="preserve">The maximum value of the goods and services being procured must include: </w:t>
      </w:r>
    </w:p>
    <w:p w14:paraId="7F5669B4" w14:textId="351FC63B" w:rsidR="00F226AB" w:rsidRDefault="00F226AB" w:rsidP="00F226AB">
      <w:pPr>
        <w:pStyle w:val="EmphasisPanelBody"/>
        <w:ind w:left="720" w:hanging="522"/>
        <w:rPr>
          <w:rFonts w:asciiTheme="majorHAnsi" w:hAnsiTheme="majorHAnsi"/>
          <w:lang w:val="en-AU"/>
        </w:rPr>
      </w:pPr>
      <w:r>
        <w:rPr>
          <w:rFonts w:asciiTheme="majorHAnsi" w:hAnsiTheme="majorHAnsi"/>
          <w:lang w:val="en-AU"/>
        </w:rPr>
        <w:tab/>
      </w:r>
      <w:r w:rsidRPr="00F226AB">
        <w:rPr>
          <w:rFonts w:asciiTheme="majorHAnsi" w:hAnsiTheme="majorHAnsi"/>
          <w:lang w:val="en-AU"/>
        </w:rPr>
        <w:t xml:space="preserve">a. all forms of remuneration, including any premiums, fees, commissions, interest, allowances and other revenue streams that may be provided for in the proposed </w:t>
      </w:r>
      <w:proofErr w:type="gramStart"/>
      <w:r w:rsidRPr="00F226AB">
        <w:rPr>
          <w:rFonts w:asciiTheme="majorHAnsi" w:hAnsiTheme="majorHAnsi"/>
          <w:lang w:val="en-AU"/>
        </w:rPr>
        <w:t>contract;</w:t>
      </w:r>
      <w:proofErr w:type="gramEnd"/>
      <w:r w:rsidRPr="00F226AB">
        <w:rPr>
          <w:rFonts w:asciiTheme="majorHAnsi" w:hAnsiTheme="majorHAnsi"/>
          <w:lang w:val="en-AU"/>
        </w:rPr>
        <w:t xml:space="preserve"> </w:t>
      </w:r>
    </w:p>
    <w:p w14:paraId="782D7ACD" w14:textId="2C2A9321" w:rsidR="00F226AB" w:rsidRDefault="00F226AB" w:rsidP="001C6E22">
      <w:pPr>
        <w:pStyle w:val="EmphasisPanelBody"/>
        <w:ind w:left="720" w:hanging="522"/>
        <w:rPr>
          <w:rFonts w:asciiTheme="majorHAnsi" w:hAnsiTheme="majorHAnsi"/>
          <w:lang w:val="en-AU"/>
        </w:rPr>
      </w:pPr>
      <w:r>
        <w:rPr>
          <w:rFonts w:asciiTheme="majorHAnsi" w:hAnsiTheme="majorHAnsi"/>
          <w:lang w:val="en-AU"/>
        </w:rPr>
        <w:tab/>
      </w:r>
      <w:r w:rsidRPr="00F226AB">
        <w:rPr>
          <w:rFonts w:asciiTheme="majorHAnsi" w:hAnsiTheme="majorHAnsi"/>
          <w:lang w:val="en-AU"/>
        </w:rPr>
        <w:t xml:space="preserve">b. the value of the goods and services being procured, including the value of any options in the proposed contract; and </w:t>
      </w:r>
    </w:p>
    <w:p w14:paraId="0238E8A2" w14:textId="2861D1B9" w:rsidR="00244F42" w:rsidRPr="00A82FD7" w:rsidRDefault="00F226AB" w:rsidP="001C6E22">
      <w:pPr>
        <w:pStyle w:val="EmphasisPanelBody"/>
        <w:ind w:left="720" w:hanging="522"/>
        <w:rPr>
          <w:rFonts w:asciiTheme="majorHAnsi" w:hAnsiTheme="majorHAnsi"/>
        </w:rPr>
      </w:pPr>
      <w:r>
        <w:rPr>
          <w:rFonts w:asciiTheme="majorHAnsi" w:hAnsiTheme="majorHAnsi"/>
          <w:lang w:val="en-AU"/>
        </w:rPr>
        <w:tab/>
      </w:r>
      <w:r w:rsidRPr="00F226AB">
        <w:rPr>
          <w:rFonts w:asciiTheme="majorHAnsi" w:hAnsiTheme="majorHAnsi"/>
          <w:lang w:val="en-AU"/>
        </w:rPr>
        <w:t>c. any taxes or charges.</w:t>
      </w:r>
      <w:r w:rsidRPr="00F226AB" w:rsidDel="00F226AB">
        <w:rPr>
          <w:rFonts w:asciiTheme="majorHAnsi" w:hAnsiTheme="majorHAnsi"/>
          <w:lang w:val="en-AU"/>
        </w:rPr>
        <w:t xml:space="preserve"> </w:t>
      </w:r>
    </w:p>
    <w:p w14:paraId="5C413523" w14:textId="4BB778DA" w:rsidR="00244F42" w:rsidRPr="00A82FD7" w:rsidRDefault="00244F42" w:rsidP="001C6E22">
      <w:pPr>
        <w:pStyle w:val="EmphasisPanelBody"/>
        <w:ind w:left="720" w:hanging="522"/>
        <w:rPr>
          <w:rFonts w:asciiTheme="majorHAnsi" w:hAnsiTheme="majorHAnsi"/>
        </w:rPr>
      </w:pPr>
      <w:r w:rsidRPr="00A82FD7">
        <w:rPr>
          <w:rFonts w:asciiTheme="majorHAnsi" w:hAnsiTheme="majorHAnsi"/>
        </w:rPr>
        <w:t>9.4</w:t>
      </w:r>
      <w:r w:rsidRPr="00A82FD7">
        <w:rPr>
          <w:rFonts w:asciiTheme="majorHAnsi" w:hAnsiTheme="majorHAnsi"/>
        </w:rPr>
        <w:tab/>
      </w:r>
      <w:r w:rsidR="00223E30">
        <w:rPr>
          <w:rFonts w:asciiTheme="majorHAnsi" w:hAnsiTheme="majorHAnsi"/>
        </w:rPr>
        <w:t>W</w:t>
      </w:r>
      <w:r w:rsidR="00223E30" w:rsidRPr="00223E30">
        <w:rPr>
          <w:rFonts w:asciiTheme="majorHAnsi" w:hAnsiTheme="majorHAnsi"/>
          <w:lang w:val="en-AU"/>
        </w:rPr>
        <w:t xml:space="preserve">hen a procurement is to be conducted in multiple parts with contracts awarded either at the same time or over </w:t>
      </w:r>
      <w:proofErr w:type="gramStart"/>
      <w:r w:rsidR="00223E30" w:rsidRPr="00223E30">
        <w:rPr>
          <w:rFonts w:asciiTheme="majorHAnsi" w:hAnsiTheme="majorHAnsi"/>
          <w:lang w:val="en-AU"/>
        </w:rPr>
        <w:t>a period of time</w:t>
      </w:r>
      <w:proofErr w:type="gramEnd"/>
      <w:r w:rsidR="00223E30" w:rsidRPr="00223E30">
        <w:rPr>
          <w:rFonts w:asciiTheme="majorHAnsi" w:hAnsiTheme="majorHAnsi"/>
          <w:lang w:val="en-AU"/>
        </w:rPr>
        <w:t xml:space="preserve">, with one or more suppliers, the expected value of the goods and services being procured must include the maximum value of </w:t>
      </w:r>
      <w:proofErr w:type="gramStart"/>
      <w:r w:rsidR="00223E30" w:rsidRPr="00223E30">
        <w:rPr>
          <w:rFonts w:asciiTheme="majorHAnsi" w:hAnsiTheme="majorHAnsi"/>
          <w:lang w:val="en-AU"/>
        </w:rPr>
        <w:t>all of</w:t>
      </w:r>
      <w:proofErr w:type="gramEnd"/>
      <w:r w:rsidR="00223E30" w:rsidRPr="00223E30">
        <w:rPr>
          <w:rFonts w:asciiTheme="majorHAnsi" w:hAnsiTheme="majorHAnsi"/>
          <w:lang w:val="en-AU"/>
        </w:rPr>
        <w:t xml:space="preserve"> the contracts</w:t>
      </w:r>
      <w:r w:rsidRPr="00A82FD7">
        <w:rPr>
          <w:rFonts w:asciiTheme="majorHAnsi" w:hAnsiTheme="majorHAnsi"/>
        </w:rPr>
        <w:t>.</w:t>
      </w:r>
    </w:p>
    <w:p w14:paraId="4CA078F3" w14:textId="58A42A72" w:rsidR="00244F42" w:rsidRPr="00A82FD7" w:rsidRDefault="00244F42" w:rsidP="001C6E22">
      <w:pPr>
        <w:pStyle w:val="EmphasisPanelBody"/>
        <w:ind w:left="720" w:hanging="522"/>
        <w:rPr>
          <w:rFonts w:asciiTheme="majorHAnsi" w:hAnsiTheme="majorHAnsi"/>
        </w:rPr>
      </w:pPr>
      <w:r w:rsidRPr="00A82FD7">
        <w:rPr>
          <w:rFonts w:asciiTheme="majorHAnsi" w:hAnsiTheme="majorHAnsi"/>
        </w:rPr>
        <w:t>9.5</w:t>
      </w:r>
      <w:r w:rsidRPr="00A82FD7">
        <w:rPr>
          <w:rFonts w:asciiTheme="majorHAnsi" w:hAnsiTheme="majorHAnsi"/>
        </w:rPr>
        <w:tab/>
      </w:r>
      <w:r w:rsidR="00223E30" w:rsidRPr="00223E30">
        <w:rPr>
          <w:rFonts w:asciiTheme="majorHAnsi" w:hAnsiTheme="majorHAnsi"/>
          <w:lang w:val="en-AU"/>
        </w:rPr>
        <w:t>A procurement must not be divided into separate parts solely for the purpose of avoiding a relevant procurement threshold</w:t>
      </w:r>
      <w:r w:rsidRPr="00A82FD7">
        <w:rPr>
          <w:rFonts w:asciiTheme="majorHAnsi" w:hAnsiTheme="majorHAnsi"/>
        </w:rPr>
        <w:t>.</w:t>
      </w:r>
    </w:p>
    <w:p w14:paraId="54D5C446" w14:textId="0A12085F" w:rsidR="00EA3705" w:rsidRDefault="00244F42" w:rsidP="001C6E22">
      <w:pPr>
        <w:pStyle w:val="EmphasisPanelBody"/>
        <w:ind w:left="720" w:hanging="522"/>
        <w:rPr>
          <w:rFonts w:asciiTheme="majorHAnsi" w:hAnsiTheme="majorHAnsi"/>
          <w:lang w:val="en-AU"/>
        </w:rPr>
      </w:pPr>
      <w:r w:rsidRPr="00A82FD7">
        <w:rPr>
          <w:rFonts w:asciiTheme="majorHAnsi" w:hAnsiTheme="majorHAnsi"/>
        </w:rPr>
        <w:t>9.6</w:t>
      </w:r>
      <w:r w:rsidRPr="00A82FD7">
        <w:rPr>
          <w:rFonts w:asciiTheme="majorHAnsi" w:hAnsiTheme="majorHAnsi"/>
        </w:rPr>
        <w:tab/>
      </w:r>
      <w:r w:rsidR="00EA3705" w:rsidRPr="00EA3705">
        <w:rPr>
          <w:rFonts w:asciiTheme="majorHAnsi" w:hAnsiTheme="majorHAnsi"/>
          <w:lang w:val="en-AU"/>
        </w:rPr>
        <w:t>When the maximum value of a procurement over its entire duration cannot be estimated the procurement must be treated as being valued above the relevant procurement threshold</w:t>
      </w:r>
      <w:r w:rsidR="00EA3705" w:rsidRPr="00EA3705" w:rsidDel="00EA3705">
        <w:rPr>
          <w:rFonts w:asciiTheme="majorHAnsi" w:hAnsiTheme="majorHAnsi"/>
          <w:lang w:val="en-AU"/>
        </w:rPr>
        <w:t xml:space="preserve"> </w:t>
      </w:r>
    </w:p>
    <w:p w14:paraId="74522005" w14:textId="77777777" w:rsidR="00EA3705" w:rsidRPr="00A82FD7" w:rsidRDefault="00EA3705" w:rsidP="001C6E22">
      <w:pPr>
        <w:pStyle w:val="EmphasisPanelBody"/>
        <w:ind w:left="720" w:hanging="522"/>
        <w:rPr>
          <w:rFonts w:asciiTheme="majorHAnsi" w:hAnsiTheme="majorHAnsi"/>
        </w:rPr>
      </w:pPr>
    </w:p>
    <w:p w14:paraId="797C7BD9" w14:textId="77777777" w:rsidR="001C6E22" w:rsidRPr="00A82FD7" w:rsidRDefault="00244F42" w:rsidP="00EA3705">
      <w:pPr>
        <w:pStyle w:val="EmphasisPanelBody"/>
        <w:ind w:left="720" w:hanging="522"/>
        <w:rPr>
          <w:rFonts w:asciiTheme="majorHAnsi" w:hAnsiTheme="majorHAnsi"/>
        </w:rPr>
      </w:pPr>
      <w:r w:rsidRPr="00A82FD7">
        <w:rPr>
          <w:rFonts w:asciiTheme="majorHAnsi" w:hAnsiTheme="majorHAnsi"/>
        </w:rPr>
        <w:t xml:space="preserve">Further guidance is available in the </w:t>
      </w:r>
      <w:hyperlink r:id="rId18" w:history="1">
        <w:r w:rsidRPr="003352F9">
          <w:rPr>
            <w:rStyle w:val="Hyperlink"/>
            <w:rFonts w:asciiTheme="majorHAnsi" w:hAnsiTheme="majorHAnsi"/>
            <w:color w:val="262626" w:themeColor="text1" w:themeTint="D9"/>
            <w:u w:val="none"/>
          </w:rPr>
          <w:t>Commonwealth Procurement Rules</w:t>
        </w:r>
      </w:hyperlink>
      <w:r w:rsidRPr="00A82FD7">
        <w:rPr>
          <w:rFonts w:asciiTheme="majorHAnsi" w:hAnsiTheme="majorHAnsi"/>
        </w:rPr>
        <w:t>.</w:t>
      </w:r>
    </w:p>
    <w:p w14:paraId="37A82CC4" w14:textId="77777777" w:rsidR="00096FA2" w:rsidRDefault="00096FA2">
      <w:pPr>
        <w:rPr>
          <w:rStyle w:val="Strong"/>
        </w:rPr>
      </w:pPr>
      <w:r>
        <w:rPr>
          <w:rStyle w:val="Strong"/>
        </w:rPr>
        <w:br w:type="page"/>
      </w:r>
    </w:p>
    <w:p w14:paraId="49CA3BA3" w14:textId="77777777" w:rsidR="008E7B4B" w:rsidRPr="005F0FA0" w:rsidRDefault="008E7B4B" w:rsidP="008E7B4B">
      <w:pPr>
        <w:pStyle w:val="EmphasisPanelHeading"/>
        <w:rPr>
          <w:color w:val="6E3A00" w:themeColor="accent4" w:themeShade="80"/>
        </w:rPr>
      </w:pPr>
      <w:r w:rsidRPr="005F0FA0">
        <w:rPr>
          <w:color w:val="6E3A00" w:themeColor="accent4" w:themeShade="80"/>
        </w:rPr>
        <w:lastRenderedPageBreak/>
        <w:t>Figure 1. Industry sectors subject to MMR</w:t>
      </w:r>
    </w:p>
    <w:p w14:paraId="6E5EAD49" w14:textId="77777777" w:rsidR="008E7B4B" w:rsidRDefault="008E7B4B" w:rsidP="00F20EBA">
      <w:pPr>
        <w:pStyle w:val="EmphasisPanelBullet"/>
        <w:numPr>
          <w:ilvl w:val="0"/>
          <w:numId w:val="0"/>
        </w:numPr>
        <w:ind w:left="567" w:hanging="369"/>
        <w:rPr>
          <w:rFonts w:asciiTheme="majorHAnsi" w:hAnsiTheme="majorHAnsi"/>
          <w:b/>
        </w:rPr>
      </w:pPr>
    </w:p>
    <w:p w14:paraId="412AB7E4" w14:textId="77777777" w:rsidR="00A05188" w:rsidRPr="00A82FD7" w:rsidRDefault="00A05188" w:rsidP="00F20EBA">
      <w:pPr>
        <w:pStyle w:val="EmphasisPanelBullet"/>
        <w:numPr>
          <w:ilvl w:val="0"/>
          <w:numId w:val="0"/>
        </w:numPr>
        <w:ind w:left="567" w:hanging="369"/>
        <w:rPr>
          <w:rFonts w:asciiTheme="majorHAnsi" w:hAnsiTheme="majorHAnsi"/>
          <w:b/>
        </w:rPr>
      </w:pPr>
      <w:r w:rsidRPr="00A82FD7">
        <w:rPr>
          <w:rFonts w:asciiTheme="majorHAnsi" w:hAnsiTheme="majorHAnsi"/>
          <w:b/>
        </w:rPr>
        <w:t>Code</w:t>
      </w:r>
      <w:r w:rsidRPr="00A82FD7">
        <w:rPr>
          <w:rFonts w:asciiTheme="majorHAnsi" w:hAnsiTheme="majorHAnsi"/>
          <w:b/>
        </w:rPr>
        <w:tab/>
        <w:t>Industry Category</w:t>
      </w:r>
    </w:p>
    <w:p w14:paraId="1EDD6EBC"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64</w:t>
      </w:r>
      <w:r w:rsidRPr="00A82FD7">
        <w:rPr>
          <w:rFonts w:asciiTheme="majorHAnsi" w:hAnsiTheme="majorHAnsi"/>
        </w:rPr>
        <w:tab/>
        <w:t xml:space="preserve"> </w:t>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financial instruments, products, contracts and agreements</w:t>
      </w:r>
    </w:p>
    <w:p w14:paraId="2FEDF206"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70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farming and fishing and forestry and wildlife</w:t>
      </w:r>
    </w:p>
    <w:p w14:paraId="566A8DD8"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71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mining and oil and gas services</w:t>
      </w:r>
    </w:p>
    <w:p w14:paraId="50D0841D" w14:textId="77777777" w:rsidR="00A01101"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72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00A01101" w:rsidRPr="00A82FD7">
        <w:rPr>
          <w:rFonts w:asciiTheme="majorHAnsi" w:hAnsiTheme="majorHAnsi"/>
        </w:rPr>
        <w:t>building and facility construction and maintenance services</w:t>
      </w:r>
    </w:p>
    <w:p w14:paraId="6A6934E8" w14:textId="77777777" w:rsidR="00F20EBA"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73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industrial production and manufacturing services</w:t>
      </w:r>
    </w:p>
    <w:p w14:paraId="611FA975"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76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industrial cleaning services</w:t>
      </w:r>
    </w:p>
    <w:p w14:paraId="16B4CD0A"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77 </w:t>
      </w:r>
      <w:proofErr w:type="gramStart"/>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environmental services</w:t>
      </w:r>
      <w:proofErr w:type="gramEnd"/>
    </w:p>
    <w:p w14:paraId="312AC2D0" w14:textId="77777777" w:rsidR="00A01101"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78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00A01101" w:rsidRPr="00A82FD7">
        <w:rPr>
          <w:rFonts w:asciiTheme="majorHAnsi" w:hAnsiTheme="majorHAnsi"/>
        </w:rPr>
        <w:t>transportation, storage and mail services</w:t>
      </w:r>
    </w:p>
    <w:p w14:paraId="508078A8" w14:textId="77777777" w:rsidR="00F20EBA" w:rsidRPr="00A82FD7" w:rsidRDefault="00F20EBA" w:rsidP="003549E6">
      <w:pPr>
        <w:pStyle w:val="EmphasisPanelBullet"/>
        <w:numPr>
          <w:ilvl w:val="0"/>
          <w:numId w:val="0"/>
        </w:numPr>
        <w:ind w:left="1440" w:hanging="1242"/>
        <w:rPr>
          <w:rFonts w:asciiTheme="majorHAnsi" w:hAnsiTheme="majorHAnsi"/>
        </w:rPr>
      </w:pPr>
      <w:r w:rsidRPr="00A82FD7">
        <w:rPr>
          <w:rFonts w:asciiTheme="majorHAnsi" w:hAnsiTheme="majorHAnsi"/>
        </w:rPr>
        <w:t xml:space="preserve">80 </w:t>
      </w:r>
      <w:r w:rsidRPr="00A82FD7">
        <w:rPr>
          <w:rFonts w:asciiTheme="majorHAnsi" w:hAnsiTheme="majorHAnsi"/>
        </w:rPr>
        <w:tab/>
        <w:t>management and business professionals and administrative services</w:t>
      </w:r>
      <w:r w:rsidR="00A05188" w:rsidRPr="00A82FD7">
        <w:rPr>
          <w:rFonts w:asciiTheme="majorHAnsi" w:hAnsiTheme="majorHAnsi"/>
        </w:rPr>
        <w:t xml:space="preserve"> (sub-category exemptions apply</w:t>
      </w:r>
      <w:r w:rsidRPr="00A82FD7">
        <w:rPr>
          <w:rFonts w:asciiTheme="majorHAnsi" w:hAnsiTheme="majorHAnsi"/>
        </w:rPr>
        <w:t>)</w:t>
      </w:r>
    </w:p>
    <w:p w14:paraId="6BA1AFBA" w14:textId="77777777" w:rsidR="00F20EBA"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81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engineering and research and technology-based services</w:t>
      </w:r>
    </w:p>
    <w:p w14:paraId="34DF6596"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82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editorial and design and graphic and fine art services</w:t>
      </w:r>
    </w:p>
    <w:p w14:paraId="7948FE6F"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84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financial and insurance services</w:t>
      </w:r>
      <w:r w:rsidR="00A05188" w:rsidRPr="00A82FD7">
        <w:rPr>
          <w:rFonts w:asciiTheme="majorHAnsi" w:hAnsiTheme="majorHAnsi"/>
        </w:rPr>
        <w:t xml:space="preserve"> (sub-category exemptions apply</w:t>
      </w:r>
      <w:r w:rsidRPr="00A82FD7">
        <w:rPr>
          <w:rFonts w:asciiTheme="majorHAnsi" w:hAnsiTheme="majorHAnsi"/>
        </w:rPr>
        <w:t>)</w:t>
      </w:r>
    </w:p>
    <w:p w14:paraId="0055EB74"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85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healthcare services</w:t>
      </w:r>
    </w:p>
    <w:p w14:paraId="7B366FD1" w14:textId="77777777" w:rsidR="00A01101"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86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00A01101" w:rsidRPr="00A82FD7">
        <w:rPr>
          <w:rFonts w:asciiTheme="majorHAnsi" w:hAnsiTheme="majorHAnsi"/>
        </w:rPr>
        <w:t>education and training services</w:t>
      </w:r>
    </w:p>
    <w:p w14:paraId="726CAB59" w14:textId="77777777" w:rsidR="00A01101"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90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00A01101" w:rsidRPr="00A82FD7">
        <w:rPr>
          <w:rFonts w:asciiTheme="majorHAnsi" w:hAnsiTheme="majorHAnsi"/>
        </w:rPr>
        <w:t>travel and food and lodging and entertainment services</w:t>
      </w:r>
    </w:p>
    <w:p w14:paraId="4DF65850" w14:textId="77777777" w:rsidR="00F20EBA" w:rsidRPr="00A82FD7" w:rsidRDefault="00F20EBA" w:rsidP="00F20EBA">
      <w:pPr>
        <w:pStyle w:val="EmphasisPanelBullet"/>
        <w:numPr>
          <w:ilvl w:val="0"/>
          <w:numId w:val="0"/>
        </w:numPr>
        <w:ind w:left="567" w:hanging="369"/>
        <w:rPr>
          <w:rFonts w:asciiTheme="majorHAnsi" w:hAnsiTheme="majorHAnsi"/>
        </w:rPr>
      </w:pPr>
      <w:r w:rsidRPr="00A82FD7">
        <w:rPr>
          <w:rFonts w:asciiTheme="majorHAnsi" w:hAnsiTheme="majorHAnsi"/>
        </w:rPr>
        <w:t xml:space="preserve">91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Pr="00A82FD7">
        <w:rPr>
          <w:rFonts w:asciiTheme="majorHAnsi" w:hAnsiTheme="majorHAnsi"/>
        </w:rPr>
        <w:t>personal and domestic services</w:t>
      </w:r>
    </w:p>
    <w:p w14:paraId="7EA6CCF3" w14:textId="77777777" w:rsidR="00F20EBA" w:rsidRPr="00A82FD7" w:rsidRDefault="00F20EBA" w:rsidP="003549E6">
      <w:pPr>
        <w:pStyle w:val="EmphasisPanelBullet"/>
        <w:numPr>
          <w:ilvl w:val="0"/>
          <w:numId w:val="0"/>
        </w:numPr>
        <w:ind w:left="1440" w:hanging="1242"/>
        <w:rPr>
          <w:rFonts w:asciiTheme="majorHAnsi" w:hAnsiTheme="majorHAnsi"/>
        </w:rPr>
      </w:pPr>
      <w:r w:rsidRPr="00A82FD7">
        <w:rPr>
          <w:rFonts w:asciiTheme="majorHAnsi" w:hAnsiTheme="majorHAnsi"/>
        </w:rPr>
        <w:t xml:space="preserve">92 </w:t>
      </w:r>
      <w:r w:rsidRPr="00A82FD7">
        <w:rPr>
          <w:rFonts w:asciiTheme="majorHAnsi" w:hAnsiTheme="majorHAnsi"/>
        </w:rPr>
        <w:tab/>
        <w:t xml:space="preserve">national </w:t>
      </w:r>
      <w:proofErr w:type="spellStart"/>
      <w:r w:rsidRPr="00A82FD7">
        <w:rPr>
          <w:rFonts w:asciiTheme="majorHAnsi" w:hAnsiTheme="majorHAnsi"/>
        </w:rPr>
        <w:t>defence</w:t>
      </w:r>
      <w:proofErr w:type="spellEnd"/>
      <w:r w:rsidRPr="00A82FD7">
        <w:rPr>
          <w:rFonts w:asciiTheme="majorHAnsi" w:hAnsiTheme="majorHAnsi"/>
        </w:rPr>
        <w:t xml:space="preserve"> and public order and security and safety services</w:t>
      </w:r>
      <w:r w:rsidR="00A05188" w:rsidRPr="00A82FD7">
        <w:rPr>
          <w:rFonts w:asciiTheme="majorHAnsi" w:hAnsiTheme="majorHAnsi"/>
        </w:rPr>
        <w:t xml:space="preserve"> (sub-category exemption apply</w:t>
      </w:r>
      <w:r w:rsidRPr="00A82FD7">
        <w:rPr>
          <w:rFonts w:asciiTheme="majorHAnsi" w:hAnsiTheme="majorHAnsi"/>
        </w:rPr>
        <w:t>)</w:t>
      </w:r>
    </w:p>
    <w:p w14:paraId="601188F3" w14:textId="77777777" w:rsidR="00A01101"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93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r w:rsidR="00A01101" w:rsidRPr="00A82FD7">
        <w:rPr>
          <w:rFonts w:asciiTheme="majorHAnsi" w:hAnsiTheme="majorHAnsi"/>
        </w:rPr>
        <w:t>politics and civic affairs services</w:t>
      </w:r>
    </w:p>
    <w:p w14:paraId="1BBFCA17" w14:textId="77777777" w:rsidR="00A01101" w:rsidRPr="00A82FD7" w:rsidRDefault="00F20EBA" w:rsidP="003549E6">
      <w:pPr>
        <w:pStyle w:val="EmphasisPanelBullet"/>
        <w:numPr>
          <w:ilvl w:val="0"/>
          <w:numId w:val="0"/>
        </w:numPr>
        <w:ind w:left="567" w:hanging="369"/>
        <w:rPr>
          <w:rFonts w:asciiTheme="majorHAnsi" w:hAnsiTheme="majorHAnsi"/>
        </w:rPr>
      </w:pPr>
      <w:r w:rsidRPr="00A82FD7">
        <w:rPr>
          <w:rFonts w:asciiTheme="majorHAnsi" w:hAnsiTheme="majorHAnsi"/>
        </w:rPr>
        <w:t xml:space="preserve">94 </w:t>
      </w:r>
      <w:r w:rsidRPr="00A82FD7">
        <w:rPr>
          <w:rFonts w:asciiTheme="majorHAnsi" w:hAnsiTheme="majorHAnsi"/>
        </w:rPr>
        <w:tab/>
      </w:r>
      <w:r w:rsidR="00A05188" w:rsidRPr="00A82FD7">
        <w:rPr>
          <w:rFonts w:asciiTheme="majorHAnsi" w:hAnsiTheme="majorHAnsi"/>
        </w:rPr>
        <w:tab/>
      </w:r>
      <w:r w:rsidR="00A05188" w:rsidRPr="00A82FD7">
        <w:rPr>
          <w:rFonts w:asciiTheme="majorHAnsi" w:hAnsiTheme="majorHAnsi"/>
        </w:rPr>
        <w:tab/>
      </w:r>
      <w:proofErr w:type="spellStart"/>
      <w:r w:rsidR="00A01101" w:rsidRPr="00A82FD7">
        <w:rPr>
          <w:rFonts w:asciiTheme="majorHAnsi" w:hAnsiTheme="majorHAnsi"/>
        </w:rPr>
        <w:t>organisations</w:t>
      </w:r>
      <w:proofErr w:type="spellEnd"/>
      <w:r w:rsidR="00A01101" w:rsidRPr="00A82FD7">
        <w:rPr>
          <w:rFonts w:asciiTheme="majorHAnsi" w:hAnsiTheme="majorHAnsi"/>
        </w:rPr>
        <w:t xml:space="preserve"> and clubs</w:t>
      </w:r>
    </w:p>
    <w:p w14:paraId="27B898D7" w14:textId="77777777" w:rsidR="00A01101" w:rsidRPr="00A82FD7" w:rsidRDefault="00A01101" w:rsidP="00643ACA">
      <w:pPr>
        <w:pStyle w:val="EmphasisPanelBody"/>
        <w:rPr>
          <w:rFonts w:asciiTheme="majorHAnsi" w:hAnsiTheme="majorHAnsi"/>
        </w:rPr>
      </w:pPr>
      <w:r w:rsidRPr="00A82FD7">
        <w:rPr>
          <w:rFonts w:asciiTheme="majorHAnsi" w:hAnsiTheme="majorHAnsi"/>
        </w:rPr>
        <w:t xml:space="preserve">These sectors are determined by the United Nations Standards Products and Services Codes (UNSPSC) which is an open, global, multi-sector standard for efficient accurate classification of products and services for buying, selling or otherwise exchanging goods and services in the global marketplace. </w:t>
      </w:r>
    </w:p>
    <w:p w14:paraId="6FCC4AB1" w14:textId="77777777" w:rsidR="00A01101" w:rsidRPr="00A82FD7" w:rsidRDefault="00A01101" w:rsidP="00643ACA">
      <w:pPr>
        <w:pStyle w:val="EmphasisPanelBody"/>
        <w:rPr>
          <w:rFonts w:asciiTheme="majorHAnsi" w:hAnsiTheme="majorHAnsi"/>
        </w:rPr>
      </w:pPr>
      <w:r w:rsidRPr="00A82FD7">
        <w:rPr>
          <w:rFonts w:asciiTheme="majorHAnsi" w:hAnsiTheme="majorHAnsi"/>
        </w:rPr>
        <w:t xml:space="preserve">The UNSPSC is used for reporting procurement activity across the Australian Government, including under the IPP. The UNSPSC is used by </w:t>
      </w:r>
      <w:r w:rsidR="00003479" w:rsidRPr="00A82FD7">
        <w:rPr>
          <w:rFonts w:asciiTheme="majorHAnsi" w:hAnsiTheme="majorHAnsi"/>
        </w:rPr>
        <w:t xml:space="preserve">entities </w:t>
      </w:r>
      <w:r w:rsidRPr="00A82FD7">
        <w:rPr>
          <w:rFonts w:asciiTheme="majorHAnsi" w:hAnsiTheme="majorHAnsi"/>
        </w:rPr>
        <w:t>to decide whether a contract must meet MMRs.</w:t>
      </w:r>
    </w:p>
    <w:p w14:paraId="0B5A594C" w14:textId="77777777" w:rsidR="00A01101" w:rsidRPr="00A82FD7" w:rsidRDefault="00A01101" w:rsidP="00643ACA">
      <w:pPr>
        <w:pStyle w:val="EmphasisPanelBody"/>
        <w:rPr>
          <w:rFonts w:asciiTheme="majorHAnsi" w:hAnsiTheme="majorHAnsi"/>
        </w:rPr>
      </w:pPr>
      <w:r w:rsidRPr="00A82FD7">
        <w:rPr>
          <w:rFonts w:asciiTheme="majorHAnsi" w:hAnsiTheme="majorHAnsi"/>
        </w:rPr>
        <w:t xml:space="preserve">To find out more, refer to </w:t>
      </w:r>
      <w:r w:rsidR="0088493C" w:rsidRPr="00A82FD7">
        <w:rPr>
          <w:rFonts w:asciiTheme="majorHAnsi" w:hAnsiTheme="majorHAnsi"/>
        </w:rPr>
        <w:t xml:space="preserve">the </w:t>
      </w:r>
      <w:r w:rsidRPr="00A82FD7">
        <w:rPr>
          <w:rFonts w:asciiTheme="majorHAnsi" w:hAnsiTheme="majorHAnsi"/>
        </w:rPr>
        <w:t xml:space="preserve">NIAA website: </w:t>
      </w:r>
      <w:hyperlink r:id="rId19" w:history="1">
        <w:r w:rsidRPr="005F0FA0">
          <w:rPr>
            <w:rFonts w:asciiTheme="majorHAnsi" w:hAnsiTheme="majorHAnsi"/>
            <w:color w:val="014463" w:themeColor="text2"/>
            <w:u w:val="single"/>
          </w:rPr>
          <w:t>www.niaa.gov.au/resource-centre/indigenous-affairs/united-nations-standard-products-and-service-codes</w:t>
        </w:r>
      </w:hyperlink>
      <w:r w:rsidRPr="00A82FD7">
        <w:rPr>
          <w:rFonts w:asciiTheme="majorHAnsi" w:hAnsiTheme="majorHAnsi"/>
        </w:rPr>
        <w:t xml:space="preserve"> </w:t>
      </w:r>
    </w:p>
    <w:p w14:paraId="242068CA" w14:textId="77777777" w:rsidR="00A05188" w:rsidRPr="00A82FD7" w:rsidRDefault="00A05188">
      <w:pPr>
        <w:rPr>
          <w:rFonts w:asciiTheme="majorHAnsi" w:hAnsiTheme="majorHAnsi"/>
        </w:rPr>
      </w:pPr>
      <w:r w:rsidRPr="00A82FD7">
        <w:rPr>
          <w:rFonts w:asciiTheme="majorHAnsi" w:hAnsiTheme="majorHAnsi"/>
        </w:rPr>
        <w:br w:type="page"/>
      </w:r>
    </w:p>
    <w:p w14:paraId="0A60DF5C" w14:textId="77777777" w:rsidR="00E43360" w:rsidRPr="005F0FA0" w:rsidRDefault="00E43360" w:rsidP="00E43360">
      <w:pPr>
        <w:pStyle w:val="EmphasisPanelHeading"/>
        <w:rPr>
          <w:color w:val="6E3A00" w:themeColor="accent4" w:themeShade="80"/>
        </w:rPr>
      </w:pPr>
      <w:r w:rsidRPr="005F0FA0">
        <w:rPr>
          <w:color w:val="6E3A00" w:themeColor="accent4" w:themeShade="80"/>
        </w:rPr>
        <w:lastRenderedPageBreak/>
        <w:t>Figure 2. The following are listed as sub-category exemptions from using the MMR</w:t>
      </w:r>
    </w:p>
    <w:p w14:paraId="416574F5" w14:textId="77777777" w:rsidR="00214294" w:rsidRPr="00A82FD7" w:rsidRDefault="00A05188" w:rsidP="00E43360">
      <w:pPr>
        <w:pStyle w:val="EmphasisPanelBody"/>
        <w:rPr>
          <w:rFonts w:asciiTheme="majorHAnsi" w:hAnsiTheme="majorHAnsi"/>
        </w:rPr>
      </w:pPr>
      <w:r w:rsidRPr="00A82FD7">
        <w:rPr>
          <w:rFonts w:asciiTheme="majorHAnsi" w:hAnsiTheme="majorHAnsi"/>
        </w:rPr>
        <w:t>80131500</w:t>
      </w:r>
      <w:r w:rsidRPr="00A82FD7">
        <w:rPr>
          <w:rFonts w:asciiTheme="majorHAnsi" w:hAnsiTheme="majorHAnsi"/>
        </w:rPr>
        <w:tab/>
      </w:r>
      <w:r w:rsidR="00214294" w:rsidRPr="00A82FD7">
        <w:rPr>
          <w:rFonts w:asciiTheme="majorHAnsi" w:hAnsiTheme="majorHAnsi"/>
        </w:rPr>
        <w:t>Lease and Rental of property or building</w:t>
      </w:r>
    </w:p>
    <w:p w14:paraId="6C44BF1B" w14:textId="77777777" w:rsidR="00214294" w:rsidRPr="00A82FD7" w:rsidRDefault="00A05188" w:rsidP="00E43360">
      <w:pPr>
        <w:pStyle w:val="EmphasisPanelBody"/>
        <w:rPr>
          <w:rFonts w:asciiTheme="majorHAnsi" w:hAnsiTheme="majorHAnsi"/>
        </w:rPr>
      </w:pPr>
      <w:r w:rsidRPr="00A82FD7">
        <w:rPr>
          <w:rFonts w:asciiTheme="majorHAnsi" w:hAnsiTheme="majorHAnsi"/>
        </w:rPr>
        <w:t>80131501</w:t>
      </w:r>
      <w:r w:rsidRPr="00A82FD7">
        <w:rPr>
          <w:rFonts w:asciiTheme="majorHAnsi" w:hAnsiTheme="majorHAnsi"/>
        </w:rPr>
        <w:tab/>
      </w:r>
      <w:r w:rsidR="00214294" w:rsidRPr="00A82FD7">
        <w:rPr>
          <w:rFonts w:asciiTheme="majorHAnsi" w:hAnsiTheme="majorHAnsi"/>
        </w:rPr>
        <w:t>Land Leases</w:t>
      </w:r>
    </w:p>
    <w:p w14:paraId="2464626D" w14:textId="77777777" w:rsidR="00214294" w:rsidRPr="00A82FD7" w:rsidRDefault="00A05188" w:rsidP="00E43360">
      <w:pPr>
        <w:pStyle w:val="EmphasisPanelBody"/>
        <w:rPr>
          <w:rFonts w:asciiTheme="majorHAnsi" w:hAnsiTheme="majorHAnsi"/>
        </w:rPr>
      </w:pPr>
      <w:r w:rsidRPr="00A82FD7">
        <w:rPr>
          <w:rFonts w:asciiTheme="majorHAnsi" w:hAnsiTheme="majorHAnsi"/>
        </w:rPr>
        <w:t>80131503</w:t>
      </w:r>
      <w:r w:rsidRPr="00A82FD7">
        <w:rPr>
          <w:rFonts w:asciiTheme="majorHAnsi" w:hAnsiTheme="majorHAnsi"/>
        </w:rPr>
        <w:tab/>
      </w:r>
      <w:r w:rsidR="00214294" w:rsidRPr="00A82FD7">
        <w:rPr>
          <w:rFonts w:asciiTheme="majorHAnsi" w:hAnsiTheme="majorHAnsi"/>
        </w:rPr>
        <w:t>Residential leases</w:t>
      </w:r>
    </w:p>
    <w:p w14:paraId="3A20AD90" w14:textId="77777777" w:rsidR="00214294" w:rsidRPr="00A82FD7" w:rsidRDefault="00A05188" w:rsidP="00E43360">
      <w:pPr>
        <w:pStyle w:val="EmphasisPanelBody"/>
        <w:rPr>
          <w:rFonts w:asciiTheme="majorHAnsi" w:hAnsiTheme="majorHAnsi"/>
        </w:rPr>
      </w:pPr>
      <w:r w:rsidRPr="00A82FD7">
        <w:rPr>
          <w:rFonts w:asciiTheme="majorHAnsi" w:hAnsiTheme="majorHAnsi"/>
        </w:rPr>
        <w:t>84130000</w:t>
      </w:r>
      <w:r w:rsidRPr="00A82FD7">
        <w:rPr>
          <w:rFonts w:asciiTheme="majorHAnsi" w:hAnsiTheme="majorHAnsi"/>
        </w:rPr>
        <w:tab/>
      </w:r>
      <w:r w:rsidR="00214294" w:rsidRPr="00A82FD7">
        <w:rPr>
          <w:rFonts w:asciiTheme="majorHAnsi" w:hAnsiTheme="majorHAnsi"/>
        </w:rPr>
        <w:t>Insurance and retirement services</w:t>
      </w:r>
    </w:p>
    <w:p w14:paraId="12AF4F79" w14:textId="77777777" w:rsidR="00214294" w:rsidRPr="00A82FD7" w:rsidRDefault="00A05188" w:rsidP="00E43360">
      <w:pPr>
        <w:pStyle w:val="EmphasisPanelBody"/>
        <w:rPr>
          <w:rFonts w:asciiTheme="majorHAnsi" w:hAnsiTheme="majorHAnsi"/>
        </w:rPr>
      </w:pPr>
      <w:r w:rsidRPr="00A82FD7">
        <w:rPr>
          <w:rFonts w:asciiTheme="majorHAnsi" w:hAnsiTheme="majorHAnsi"/>
        </w:rPr>
        <w:t>84131800</w:t>
      </w:r>
      <w:r w:rsidRPr="00A82FD7">
        <w:rPr>
          <w:rFonts w:asciiTheme="majorHAnsi" w:hAnsiTheme="majorHAnsi"/>
        </w:rPr>
        <w:tab/>
      </w:r>
      <w:r w:rsidR="00214294" w:rsidRPr="00A82FD7">
        <w:rPr>
          <w:rFonts w:asciiTheme="majorHAnsi" w:hAnsiTheme="majorHAnsi"/>
        </w:rPr>
        <w:t>Retirement funds</w:t>
      </w:r>
    </w:p>
    <w:p w14:paraId="6A88867B" w14:textId="77777777" w:rsidR="00214294" w:rsidRPr="00A82FD7" w:rsidRDefault="00A05188" w:rsidP="00E43360">
      <w:pPr>
        <w:pStyle w:val="EmphasisPanelBody"/>
        <w:rPr>
          <w:rFonts w:asciiTheme="majorHAnsi" w:hAnsiTheme="majorHAnsi"/>
        </w:rPr>
      </w:pPr>
      <w:r w:rsidRPr="00A82FD7">
        <w:rPr>
          <w:rFonts w:asciiTheme="majorHAnsi" w:hAnsiTheme="majorHAnsi"/>
        </w:rPr>
        <w:t>92110000</w:t>
      </w:r>
      <w:r w:rsidRPr="00A82FD7">
        <w:rPr>
          <w:rFonts w:asciiTheme="majorHAnsi" w:hAnsiTheme="majorHAnsi"/>
        </w:rPr>
        <w:tab/>
      </w:r>
      <w:r w:rsidR="00214294" w:rsidRPr="00A82FD7">
        <w:rPr>
          <w:rFonts w:asciiTheme="majorHAnsi" w:hAnsiTheme="majorHAnsi"/>
        </w:rPr>
        <w:t xml:space="preserve">Military services and national </w:t>
      </w:r>
      <w:proofErr w:type="spellStart"/>
      <w:r w:rsidR="00214294" w:rsidRPr="00A82FD7">
        <w:rPr>
          <w:rFonts w:asciiTheme="majorHAnsi" w:hAnsiTheme="majorHAnsi"/>
        </w:rPr>
        <w:t>defence</w:t>
      </w:r>
      <w:proofErr w:type="spellEnd"/>
    </w:p>
    <w:p w14:paraId="129C1F5D" w14:textId="77777777" w:rsidR="00214294" w:rsidRPr="00A82FD7" w:rsidRDefault="00A05188" w:rsidP="00E43360">
      <w:pPr>
        <w:pStyle w:val="EmphasisPanelBody"/>
        <w:rPr>
          <w:rFonts w:asciiTheme="majorHAnsi" w:hAnsiTheme="majorHAnsi"/>
        </w:rPr>
      </w:pPr>
      <w:r w:rsidRPr="00A82FD7">
        <w:rPr>
          <w:rFonts w:asciiTheme="majorHAnsi" w:hAnsiTheme="majorHAnsi"/>
        </w:rPr>
        <w:t>92111700</w:t>
      </w:r>
      <w:r w:rsidRPr="00A82FD7">
        <w:rPr>
          <w:rFonts w:asciiTheme="majorHAnsi" w:hAnsiTheme="majorHAnsi"/>
        </w:rPr>
        <w:tab/>
      </w:r>
      <w:r w:rsidR="00214294" w:rsidRPr="00A82FD7">
        <w:rPr>
          <w:rFonts w:asciiTheme="majorHAnsi" w:hAnsiTheme="majorHAnsi"/>
        </w:rPr>
        <w:t>Military science and research</w:t>
      </w:r>
    </w:p>
    <w:p w14:paraId="0A6BDDDF" w14:textId="77777777" w:rsidR="00D04313" w:rsidRPr="00A82FD7" w:rsidRDefault="00D04313" w:rsidP="004F5953">
      <w:pPr>
        <w:pStyle w:val="BodyText"/>
        <w:rPr>
          <w:rFonts w:asciiTheme="majorHAnsi" w:hAnsiTheme="majorHAnsi"/>
        </w:rPr>
      </w:pPr>
    </w:p>
    <w:p w14:paraId="672B787E" w14:textId="77777777" w:rsidR="00C469D9" w:rsidRPr="005F0FA0" w:rsidRDefault="00E43360" w:rsidP="00C469D9">
      <w:pPr>
        <w:pStyle w:val="EmphasisPanelHeading"/>
        <w:rPr>
          <w:color w:val="6E3A00" w:themeColor="accent4" w:themeShade="80"/>
          <w:bdr w:val="none" w:sz="0" w:space="0" w:color="auto" w:frame="1"/>
        </w:rPr>
      </w:pPr>
      <w:r w:rsidRPr="005F0FA0">
        <w:rPr>
          <w:color w:val="6E3A00" w:themeColor="accent4" w:themeShade="80"/>
          <w:bdr w:val="none" w:sz="0" w:space="0" w:color="auto" w:frame="1"/>
        </w:rPr>
        <w:t xml:space="preserve">Figure 3. </w:t>
      </w:r>
      <w:r w:rsidR="00C469D9" w:rsidRPr="005F0FA0">
        <w:rPr>
          <w:color w:val="6E3A00" w:themeColor="accent4" w:themeShade="80"/>
          <w:bdr w:val="none" w:sz="0" w:space="0" w:color="auto" w:frame="1"/>
        </w:rPr>
        <w:t>Accessing the UNSPSC codes to confirm goods and services are subject to MMR</w:t>
      </w:r>
    </w:p>
    <w:p w14:paraId="09BA7ABB" w14:textId="26153919" w:rsidR="00C469D9" w:rsidRPr="00A82FD7" w:rsidRDefault="00C469D9" w:rsidP="00C469D9">
      <w:pPr>
        <w:pStyle w:val="EmphasisPanelBody"/>
        <w:rPr>
          <w:rFonts w:asciiTheme="majorHAnsi" w:hAnsiTheme="majorHAnsi"/>
          <w:sz w:val="18"/>
          <w:szCs w:val="18"/>
          <w:bdr w:val="none" w:sz="0" w:space="0" w:color="auto" w:frame="1"/>
        </w:rPr>
      </w:pPr>
      <w:r w:rsidRPr="00A82FD7">
        <w:rPr>
          <w:rFonts w:asciiTheme="majorHAnsi" w:hAnsiTheme="majorHAnsi"/>
          <w:sz w:val="18"/>
          <w:szCs w:val="18"/>
          <w:bdr w:val="none" w:sz="0" w:space="0" w:color="auto" w:frame="1"/>
        </w:rPr>
        <w:t xml:space="preserve">The codes can be accessed at </w:t>
      </w:r>
      <w:r w:rsidR="00922E9E" w:rsidRPr="00922E9E">
        <w:t>https://www.ungm.org/Public/UNSPSC</w:t>
      </w:r>
    </w:p>
    <w:p w14:paraId="5202FC33" w14:textId="77777777" w:rsidR="00C469D9" w:rsidRPr="00A82FD7" w:rsidRDefault="00C469D9" w:rsidP="00C469D9">
      <w:pPr>
        <w:pStyle w:val="EmphasisPanelBody"/>
        <w:rPr>
          <w:rFonts w:asciiTheme="majorHAnsi" w:hAnsiTheme="majorHAnsi"/>
          <w:sz w:val="18"/>
          <w:szCs w:val="18"/>
          <w:bdr w:val="none" w:sz="0" w:space="0" w:color="auto" w:frame="1"/>
        </w:rPr>
      </w:pPr>
      <w:r w:rsidRPr="00A82FD7">
        <w:rPr>
          <w:rFonts w:asciiTheme="majorHAnsi" w:hAnsiTheme="majorHAnsi"/>
          <w:sz w:val="18"/>
          <w:szCs w:val="18"/>
          <w:bdr w:val="none" w:sz="0" w:space="0" w:color="auto" w:frame="1"/>
        </w:rPr>
        <w:t>Non-members can access codes via the ‘Search-Code’ tab or by downloading a free pdf list of up-to-date codes from the ‘Code</w:t>
      </w:r>
      <w:r w:rsidR="005920EF">
        <w:rPr>
          <w:rFonts w:asciiTheme="majorHAnsi" w:hAnsiTheme="majorHAnsi"/>
          <w:sz w:val="18"/>
          <w:szCs w:val="18"/>
          <w:bdr w:val="none" w:sz="0" w:space="0" w:color="auto" w:frame="1"/>
        </w:rPr>
        <w:t xml:space="preserve"> </w:t>
      </w:r>
      <w:proofErr w:type="gramStart"/>
      <w:r w:rsidRPr="00A82FD7">
        <w:rPr>
          <w:rFonts w:asciiTheme="majorHAnsi" w:hAnsiTheme="majorHAnsi"/>
          <w:sz w:val="18"/>
          <w:szCs w:val="18"/>
          <w:bdr w:val="none" w:sz="0" w:space="0" w:color="auto" w:frame="1"/>
        </w:rPr>
        <w:t>set</w:t>
      </w:r>
      <w:proofErr w:type="gramEnd"/>
      <w:r w:rsidRPr="00A82FD7">
        <w:rPr>
          <w:rFonts w:asciiTheme="majorHAnsi" w:hAnsiTheme="majorHAnsi"/>
          <w:sz w:val="18"/>
          <w:szCs w:val="18"/>
          <w:bdr w:val="none" w:sz="0" w:space="0" w:color="auto" w:frame="1"/>
        </w:rPr>
        <w:t>-Downloads’ tab.</w:t>
      </w:r>
    </w:p>
    <w:p w14:paraId="18260F83" w14:textId="125F132A" w:rsidR="00C469D9" w:rsidRPr="00A82FD7" w:rsidRDefault="00C469D9" w:rsidP="00C469D9">
      <w:pPr>
        <w:pStyle w:val="EmphasisPanelBody"/>
        <w:rPr>
          <w:rFonts w:asciiTheme="majorHAnsi" w:hAnsiTheme="majorHAnsi"/>
          <w:sz w:val="18"/>
          <w:szCs w:val="18"/>
          <w:bdr w:val="none" w:sz="0" w:space="0" w:color="auto" w:frame="1"/>
        </w:rPr>
      </w:pPr>
      <w:r w:rsidRPr="00A82FD7">
        <w:rPr>
          <w:rFonts w:asciiTheme="majorHAnsi" w:hAnsiTheme="majorHAnsi"/>
          <w:sz w:val="18"/>
          <w:szCs w:val="18"/>
          <w:bdr w:val="none" w:sz="0" w:space="0" w:color="auto" w:frame="1"/>
        </w:rPr>
        <w:t>The easiest way to find a code is to search the code</w:t>
      </w:r>
      <w:r w:rsidR="005920EF">
        <w:rPr>
          <w:rFonts w:asciiTheme="majorHAnsi" w:hAnsiTheme="majorHAnsi"/>
          <w:sz w:val="18"/>
          <w:szCs w:val="18"/>
          <w:bdr w:val="none" w:sz="0" w:space="0" w:color="auto" w:frame="1"/>
        </w:rPr>
        <w:t xml:space="preserve"> </w:t>
      </w:r>
      <w:r w:rsidRPr="00A82FD7">
        <w:rPr>
          <w:rFonts w:asciiTheme="majorHAnsi" w:hAnsiTheme="majorHAnsi"/>
          <w:sz w:val="18"/>
          <w:szCs w:val="18"/>
          <w:bdr w:val="none" w:sz="0" w:space="0" w:color="auto" w:frame="1"/>
        </w:rPr>
        <w:t xml:space="preserve">set online at </w:t>
      </w:r>
      <w:r w:rsidR="00AF6630" w:rsidRPr="00AF6630">
        <w:t>https://www.ungm.org/Public/UNSPSC</w:t>
      </w:r>
      <w:r w:rsidRPr="00A82FD7">
        <w:rPr>
          <w:rFonts w:asciiTheme="majorHAnsi" w:hAnsiTheme="majorHAnsi"/>
          <w:sz w:val="18"/>
          <w:szCs w:val="18"/>
          <w:bdr w:val="none" w:sz="0" w:space="0" w:color="auto" w:frame="1"/>
        </w:rPr>
        <w:t>A useful feature of the search the code function is to use “%” as a wild card. This can be used for the ‘Search Code’ field and ‘Search Title’ field.</w:t>
      </w:r>
    </w:p>
    <w:p w14:paraId="072DE37E" w14:textId="646EED60" w:rsidR="00C469D9" w:rsidRPr="00A82FD7" w:rsidRDefault="00C469D9" w:rsidP="00C469D9">
      <w:pPr>
        <w:pStyle w:val="EmphasisPanelBody"/>
        <w:rPr>
          <w:rFonts w:asciiTheme="majorHAnsi" w:hAnsiTheme="majorHAnsi"/>
          <w:sz w:val="18"/>
          <w:szCs w:val="18"/>
          <w:bdr w:val="none" w:sz="0" w:space="0" w:color="auto" w:frame="1"/>
        </w:rPr>
      </w:pPr>
      <w:r w:rsidRPr="00A82FD7">
        <w:rPr>
          <w:rFonts w:asciiTheme="majorHAnsi" w:hAnsiTheme="majorHAnsi"/>
          <w:sz w:val="18"/>
          <w:szCs w:val="18"/>
          <w:bdr w:val="none" w:sz="0" w:space="0" w:color="auto" w:frame="1"/>
        </w:rPr>
        <w:t xml:space="preserve">As an example: </w:t>
      </w:r>
      <w:r w:rsidR="00FD24C4">
        <w:rPr>
          <w:rFonts w:asciiTheme="majorHAnsi" w:hAnsiTheme="majorHAnsi"/>
          <w:sz w:val="18"/>
          <w:szCs w:val="18"/>
          <w:bdr w:val="none" w:sz="0" w:space="0" w:color="auto" w:frame="1"/>
        </w:rPr>
        <w:t xml:space="preserve">to find </w:t>
      </w:r>
      <w:r w:rsidRPr="00A82FD7">
        <w:rPr>
          <w:rFonts w:asciiTheme="majorHAnsi" w:hAnsiTheme="majorHAnsi"/>
          <w:sz w:val="18"/>
          <w:szCs w:val="18"/>
          <w:bdr w:val="none" w:sz="0" w:space="0" w:color="auto" w:frame="1"/>
        </w:rPr>
        <w:t>a complete listing of all codes starting with 72 (Building and Facility Construction and Maintenance Services), enter ‘72%’ in the Search Code field. The result returned is five pages of possible codes within this Industry sector range. All codes resulting from this search will apply to MMR contracts.</w:t>
      </w:r>
    </w:p>
    <w:p w14:paraId="067D1685" w14:textId="77777777" w:rsidR="00C469D9" w:rsidRPr="00A82FD7" w:rsidRDefault="00C469D9" w:rsidP="00C469D9">
      <w:pPr>
        <w:pStyle w:val="EmphasisPanelBody"/>
        <w:rPr>
          <w:rFonts w:asciiTheme="majorHAnsi" w:hAnsiTheme="majorHAnsi"/>
          <w:sz w:val="18"/>
          <w:szCs w:val="18"/>
          <w:bdr w:val="none" w:sz="0" w:space="0" w:color="auto" w:frame="1"/>
        </w:rPr>
      </w:pPr>
      <w:r w:rsidRPr="00A82FD7">
        <w:rPr>
          <w:rFonts w:asciiTheme="majorHAnsi" w:hAnsiTheme="majorHAnsi"/>
          <w:sz w:val="18"/>
          <w:szCs w:val="18"/>
          <w:bdr w:val="none" w:sz="0" w:space="0" w:color="auto" w:frame="1"/>
        </w:rPr>
        <w:t xml:space="preserve">Searching the ‘Title’ field will find the most appropriate </w:t>
      </w:r>
      <w:proofErr w:type="gramStart"/>
      <w:r w:rsidRPr="00A82FD7">
        <w:rPr>
          <w:rFonts w:asciiTheme="majorHAnsi" w:hAnsiTheme="majorHAnsi"/>
          <w:sz w:val="18"/>
          <w:szCs w:val="18"/>
          <w:bdr w:val="none" w:sz="0" w:space="0" w:color="auto" w:frame="1"/>
        </w:rPr>
        <w:t>8 digit</w:t>
      </w:r>
      <w:proofErr w:type="gramEnd"/>
      <w:r w:rsidRPr="00A82FD7">
        <w:rPr>
          <w:rFonts w:asciiTheme="majorHAnsi" w:hAnsiTheme="majorHAnsi"/>
          <w:sz w:val="18"/>
          <w:szCs w:val="18"/>
          <w:bdr w:val="none" w:sz="0" w:space="0" w:color="auto" w:frame="1"/>
        </w:rPr>
        <w:t xml:space="preserve"> code to use for a particular good or service.</w:t>
      </w:r>
    </w:p>
    <w:p w14:paraId="07D59335" w14:textId="77777777" w:rsidR="00C469D9" w:rsidRPr="00A82FD7" w:rsidRDefault="00C469D9" w:rsidP="00C469D9">
      <w:pPr>
        <w:pStyle w:val="EmphasisPanelBody"/>
        <w:rPr>
          <w:rFonts w:asciiTheme="majorHAnsi" w:hAnsiTheme="majorHAnsi"/>
          <w:sz w:val="18"/>
          <w:szCs w:val="18"/>
          <w:bdr w:val="none" w:sz="0" w:space="0" w:color="auto" w:frame="1"/>
        </w:rPr>
      </w:pPr>
      <w:r w:rsidRPr="00A82FD7">
        <w:rPr>
          <w:rFonts w:asciiTheme="majorHAnsi" w:hAnsiTheme="majorHAnsi"/>
          <w:sz w:val="18"/>
          <w:szCs w:val="18"/>
          <w:bdr w:val="none" w:sz="0" w:space="0" w:color="auto" w:frame="1"/>
        </w:rPr>
        <w:t>Entering ‘building%’ in the title field returns a list of codes for goods or services that start with ‘building’. Note results from this search may include categories that are not applicable to MMRs.</w:t>
      </w:r>
    </w:p>
    <w:p w14:paraId="277D1626" w14:textId="0E9561C8" w:rsidR="00C469D9" w:rsidRPr="00A82FD7" w:rsidRDefault="00C469D9" w:rsidP="00C469D9">
      <w:pPr>
        <w:pStyle w:val="EmphasisPanelBody"/>
        <w:rPr>
          <w:rFonts w:asciiTheme="majorHAnsi" w:hAnsiTheme="majorHAnsi"/>
          <w:sz w:val="18"/>
          <w:szCs w:val="18"/>
          <w:bdr w:val="none" w:sz="0" w:space="0" w:color="auto" w:frame="1"/>
        </w:rPr>
      </w:pPr>
      <w:proofErr w:type="gramStart"/>
      <w:r w:rsidRPr="00A82FD7">
        <w:rPr>
          <w:rFonts w:asciiTheme="majorHAnsi" w:hAnsiTheme="majorHAnsi"/>
          <w:sz w:val="18"/>
          <w:szCs w:val="18"/>
          <w:bdr w:val="none" w:sz="0" w:space="0" w:color="auto" w:frame="1"/>
        </w:rPr>
        <w:t>Entering ‘%</w:t>
      </w:r>
      <w:proofErr w:type="gramEnd"/>
      <w:r w:rsidRPr="00A82FD7">
        <w:rPr>
          <w:rFonts w:asciiTheme="majorHAnsi" w:hAnsiTheme="majorHAnsi"/>
          <w:sz w:val="18"/>
          <w:szCs w:val="18"/>
          <w:bdr w:val="none" w:sz="0" w:space="0" w:color="auto" w:frame="1"/>
        </w:rPr>
        <w:t>building%’ in the title field returns a list of codes for goods and services that include ‘building’ in the title.  Note results from this search may include categories that are not applicable to MMRs</w:t>
      </w:r>
    </w:p>
    <w:p w14:paraId="04C764A2" w14:textId="77777777" w:rsidR="002B5CEE" w:rsidRPr="00A82FD7" w:rsidRDefault="002B5CEE" w:rsidP="00C469D9">
      <w:pPr>
        <w:pStyle w:val="EmphasisPanelBody"/>
        <w:rPr>
          <w:rFonts w:asciiTheme="majorHAnsi" w:hAnsiTheme="majorHAnsi"/>
        </w:rPr>
      </w:pPr>
    </w:p>
    <w:p w14:paraId="706C507F" w14:textId="77777777" w:rsidR="008D41D4" w:rsidRPr="00A82FD7" w:rsidRDefault="008D41D4" w:rsidP="008D41D4">
      <w:pPr>
        <w:pStyle w:val="BodyText"/>
        <w:rPr>
          <w:rFonts w:asciiTheme="majorHAnsi" w:hAnsiTheme="majorHAnsi"/>
        </w:rPr>
      </w:pPr>
    </w:p>
    <w:p w14:paraId="06591A71" w14:textId="77777777" w:rsidR="008D41D4" w:rsidRPr="00A82FD7" w:rsidRDefault="008D41D4" w:rsidP="008D41D4">
      <w:pPr>
        <w:pStyle w:val="BodyText"/>
        <w:rPr>
          <w:rFonts w:asciiTheme="majorHAnsi" w:hAnsiTheme="majorHAnsi"/>
        </w:rPr>
      </w:pPr>
    </w:p>
    <w:p w14:paraId="23580FBC" w14:textId="77777777" w:rsidR="008D41D4" w:rsidRPr="00A82FD7" w:rsidRDefault="008D41D4" w:rsidP="004F5953">
      <w:pPr>
        <w:pStyle w:val="BodyText"/>
        <w:rPr>
          <w:rFonts w:asciiTheme="majorHAnsi" w:hAnsiTheme="majorHAnsi"/>
        </w:rPr>
      </w:pPr>
    </w:p>
    <w:p w14:paraId="046058FF" w14:textId="77777777" w:rsidR="008D41D4" w:rsidRPr="00A82FD7" w:rsidRDefault="008D41D4" w:rsidP="004F5953">
      <w:pPr>
        <w:pStyle w:val="BodyText"/>
        <w:rPr>
          <w:rFonts w:asciiTheme="majorHAnsi" w:hAnsiTheme="majorHAnsi"/>
        </w:rPr>
      </w:pPr>
    </w:p>
    <w:p w14:paraId="7F42DCDD" w14:textId="77777777" w:rsidR="008D41D4" w:rsidRPr="00A82FD7" w:rsidRDefault="008D41D4" w:rsidP="004F5953">
      <w:pPr>
        <w:pStyle w:val="BodyText"/>
        <w:rPr>
          <w:rFonts w:asciiTheme="majorHAnsi" w:hAnsiTheme="majorHAnsi"/>
        </w:rPr>
      </w:pPr>
    </w:p>
    <w:p w14:paraId="43200D43" w14:textId="77777777" w:rsidR="008D41D4" w:rsidRPr="00A82FD7" w:rsidRDefault="008D41D4" w:rsidP="004F5953">
      <w:pPr>
        <w:pStyle w:val="BodyText"/>
        <w:rPr>
          <w:rFonts w:asciiTheme="majorHAnsi" w:hAnsiTheme="majorHAnsi"/>
        </w:rPr>
      </w:pPr>
    </w:p>
    <w:p w14:paraId="3FA98A4C" w14:textId="77777777" w:rsidR="008D41D4" w:rsidRPr="00A82FD7" w:rsidRDefault="008D41D4" w:rsidP="004F5953">
      <w:pPr>
        <w:pStyle w:val="BodyText"/>
        <w:rPr>
          <w:rFonts w:asciiTheme="majorHAnsi" w:hAnsiTheme="majorHAnsi"/>
        </w:rPr>
      </w:pPr>
    </w:p>
    <w:p w14:paraId="662B5FF9" w14:textId="77777777" w:rsidR="008D41D4" w:rsidRPr="00A82FD7" w:rsidRDefault="008D41D4" w:rsidP="004F5953">
      <w:pPr>
        <w:pStyle w:val="BodyText"/>
        <w:rPr>
          <w:rFonts w:asciiTheme="majorHAnsi" w:hAnsiTheme="majorHAnsi"/>
        </w:rPr>
      </w:pPr>
    </w:p>
    <w:p w14:paraId="290DAF8C" w14:textId="77777777" w:rsidR="008D41D4" w:rsidRPr="00A82FD7" w:rsidRDefault="008D41D4" w:rsidP="004F5953">
      <w:pPr>
        <w:pStyle w:val="BodyText"/>
        <w:rPr>
          <w:rFonts w:asciiTheme="majorHAnsi" w:hAnsiTheme="majorHAnsi"/>
        </w:rPr>
      </w:pPr>
    </w:p>
    <w:p w14:paraId="0D144A68" w14:textId="77777777" w:rsidR="00A05188" w:rsidRPr="00A82FD7" w:rsidRDefault="00A05188" w:rsidP="004F5953">
      <w:pPr>
        <w:pStyle w:val="BodyText"/>
        <w:rPr>
          <w:rFonts w:asciiTheme="majorHAnsi" w:hAnsiTheme="majorHAnsi"/>
        </w:rPr>
      </w:pPr>
    </w:p>
    <w:p w14:paraId="5E772244" w14:textId="77777777" w:rsidR="00A05188" w:rsidRPr="00A82FD7" w:rsidRDefault="00A05188" w:rsidP="004F5953">
      <w:pPr>
        <w:pStyle w:val="BodyText"/>
        <w:rPr>
          <w:rFonts w:asciiTheme="majorHAnsi" w:hAnsiTheme="majorHAnsi"/>
        </w:rPr>
      </w:pPr>
    </w:p>
    <w:p w14:paraId="1B6A642C" w14:textId="77777777" w:rsidR="00C469D9" w:rsidRPr="005F0FA0" w:rsidRDefault="00C469D9" w:rsidP="00C469D9">
      <w:pPr>
        <w:pStyle w:val="EmphasisPanelHeading"/>
        <w:rPr>
          <w:color w:val="6E3A00" w:themeColor="accent4" w:themeShade="80"/>
        </w:rPr>
      </w:pPr>
      <w:r w:rsidRPr="005F0FA0">
        <w:rPr>
          <w:color w:val="6E3A00" w:themeColor="accent4" w:themeShade="80"/>
        </w:rPr>
        <w:t>Example 1. Confirming whether goods and services fall within the 19 specified industry categories</w:t>
      </w:r>
    </w:p>
    <w:p w14:paraId="5B919AD0" w14:textId="77777777" w:rsidR="00C469D9" w:rsidRPr="00A82FD7" w:rsidRDefault="00C469D9" w:rsidP="00C469D9">
      <w:pPr>
        <w:pStyle w:val="EmphasisPanelBody"/>
        <w:rPr>
          <w:rFonts w:asciiTheme="majorHAnsi" w:hAnsiTheme="majorHAnsi"/>
        </w:rPr>
      </w:pPr>
      <w:r w:rsidRPr="00A82FD7">
        <w:rPr>
          <w:rFonts w:asciiTheme="majorHAnsi" w:hAnsiTheme="majorHAnsi"/>
        </w:rPr>
        <w:t>John was undertaking a procurement to acquire translation services.  On looking at the 19 specified Industry categories subject to the MMR, John was not sure that translation services would fall under a category.</w:t>
      </w:r>
    </w:p>
    <w:p w14:paraId="0E601C69" w14:textId="59167B05" w:rsidR="00E921C4" w:rsidRPr="00A82FD7" w:rsidRDefault="00C469D9" w:rsidP="00C469D9">
      <w:pPr>
        <w:pStyle w:val="EmphasisPanelBody"/>
        <w:rPr>
          <w:rFonts w:asciiTheme="majorHAnsi" w:hAnsiTheme="majorHAnsi"/>
        </w:rPr>
      </w:pPr>
      <w:r w:rsidRPr="00A82FD7">
        <w:rPr>
          <w:rFonts w:asciiTheme="majorHAnsi" w:hAnsiTheme="majorHAnsi"/>
        </w:rPr>
        <w:t xml:space="preserve">As John wanted to be sure, he undertook a search on the </w:t>
      </w:r>
      <w:r w:rsidR="0012364C">
        <w:rPr>
          <w:rFonts w:asciiTheme="majorHAnsi" w:hAnsiTheme="majorHAnsi"/>
        </w:rPr>
        <w:t>UNGM</w:t>
      </w:r>
      <w:r w:rsidR="0012364C" w:rsidRPr="0012364C" w:rsidDel="0012364C">
        <w:rPr>
          <w:rFonts w:asciiTheme="majorHAnsi" w:hAnsiTheme="majorHAnsi"/>
        </w:rPr>
        <w:t xml:space="preserve"> </w:t>
      </w:r>
      <w:hyperlink r:id="rId20" w:history="1">
        <w:r w:rsidRPr="005F0FA0">
          <w:rPr>
            <w:rStyle w:val="Hyperlink"/>
            <w:rFonts w:asciiTheme="majorHAnsi" w:hAnsiTheme="majorHAnsi"/>
            <w:color w:val="015E8A" w:themeColor="text2" w:themeTint="E6"/>
            <w:spacing w:val="5"/>
            <w:sz w:val="18"/>
            <w:szCs w:val="18"/>
            <w:lang w:val="en"/>
          </w:rPr>
          <w:t>website</w:t>
        </w:r>
      </w:hyperlink>
      <w:r w:rsidR="00077B35" w:rsidRPr="00134C33">
        <w:rPr>
          <w:rStyle w:val="Hyperlink"/>
          <w:rFonts w:asciiTheme="majorHAnsi" w:hAnsiTheme="majorHAnsi"/>
          <w:color w:val="015E8A" w:themeColor="text2" w:themeTint="E6"/>
          <w:spacing w:val="5"/>
          <w:sz w:val="18"/>
          <w:szCs w:val="18"/>
          <w:u w:val="none"/>
          <w:lang w:val="en"/>
        </w:rPr>
        <w:t>.</w:t>
      </w:r>
      <w:r w:rsidRPr="00A82FD7">
        <w:rPr>
          <w:rFonts w:asciiTheme="majorHAnsi" w:hAnsiTheme="majorHAnsi"/>
        </w:rPr>
        <w:t xml:space="preserve"> </w:t>
      </w:r>
      <w:r w:rsidR="00077B35">
        <w:rPr>
          <w:rFonts w:asciiTheme="majorHAnsi" w:hAnsiTheme="majorHAnsi"/>
        </w:rPr>
        <w:t>Using the “Title” field,</w:t>
      </w:r>
      <w:r w:rsidRPr="00A82FD7">
        <w:rPr>
          <w:rFonts w:asciiTheme="majorHAnsi" w:hAnsiTheme="majorHAnsi"/>
        </w:rPr>
        <w:t xml:space="preserve"> John searched </w:t>
      </w:r>
      <w:r w:rsidRPr="00A82FD7">
        <w:rPr>
          <w:rFonts w:asciiTheme="majorHAnsi" w:hAnsiTheme="majorHAnsi"/>
          <w:i/>
        </w:rPr>
        <w:t>translation services</w:t>
      </w:r>
      <w:r w:rsidRPr="00A82FD7">
        <w:rPr>
          <w:rFonts w:asciiTheme="majorHAnsi" w:hAnsiTheme="majorHAnsi"/>
        </w:rPr>
        <w:t xml:space="preserve"> and found that it fell under 82 – editorial and design and graphic and fine art </w:t>
      </w:r>
      <w:proofErr w:type="gramStart"/>
      <w:r w:rsidRPr="00A82FD7">
        <w:rPr>
          <w:rFonts w:asciiTheme="majorHAnsi" w:hAnsiTheme="majorHAnsi"/>
        </w:rPr>
        <w:t>services, and</w:t>
      </w:r>
      <w:proofErr w:type="gramEnd"/>
      <w:r w:rsidRPr="00A82FD7">
        <w:rPr>
          <w:rFonts w:asciiTheme="majorHAnsi" w:hAnsiTheme="majorHAnsi"/>
        </w:rPr>
        <w:t xml:space="preserve"> was therefore subject to the MMR.</w:t>
      </w:r>
    </w:p>
    <w:p w14:paraId="182EAF08" w14:textId="77777777" w:rsidR="00E921C4" w:rsidRPr="00A82FD7" w:rsidRDefault="00E921C4" w:rsidP="004F5953">
      <w:pPr>
        <w:pStyle w:val="BodyText"/>
        <w:rPr>
          <w:rFonts w:asciiTheme="majorHAnsi" w:hAnsiTheme="majorHAnsi"/>
        </w:rPr>
      </w:pPr>
    </w:p>
    <w:p w14:paraId="51FD72F0" w14:textId="77777777" w:rsidR="00C469D9" w:rsidRPr="00134C33" w:rsidRDefault="00E43360" w:rsidP="00C469D9">
      <w:pPr>
        <w:pStyle w:val="EmphasisPanelHeading"/>
        <w:rPr>
          <w:color w:val="6E3A00" w:themeColor="accent4" w:themeShade="80"/>
        </w:rPr>
      </w:pPr>
      <w:r w:rsidRPr="00134C33">
        <w:rPr>
          <w:color w:val="6E3A00" w:themeColor="accent4" w:themeShade="80"/>
        </w:rPr>
        <w:t xml:space="preserve">Figure 4. </w:t>
      </w:r>
      <w:proofErr w:type="spellStart"/>
      <w:r w:rsidR="00C469D9" w:rsidRPr="00134C33">
        <w:rPr>
          <w:color w:val="6E3A00" w:themeColor="accent4" w:themeShade="80"/>
        </w:rPr>
        <w:t>AusTender</w:t>
      </w:r>
      <w:proofErr w:type="spellEnd"/>
    </w:p>
    <w:p w14:paraId="032F4166" w14:textId="77777777" w:rsidR="00B36415" w:rsidRPr="00A82FD7" w:rsidRDefault="00FD24C4" w:rsidP="00B36415">
      <w:pPr>
        <w:pStyle w:val="EmphasisPanelBody"/>
        <w:rPr>
          <w:rFonts w:asciiTheme="majorHAnsi" w:hAnsiTheme="majorHAnsi"/>
        </w:rPr>
      </w:pPr>
      <w:r>
        <w:rPr>
          <w:rFonts w:asciiTheme="majorHAnsi" w:hAnsiTheme="majorHAnsi"/>
        </w:rPr>
        <w:t xml:space="preserve">A </w:t>
      </w:r>
      <w:r w:rsidR="00B36415" w:rsidRPr="00A82FD7">
        <w:rPr>
          <w:rFonts w:asciiTheme="majorHAnsi" w:hAnsiTheme="majorHAnsi"/>
        </w:rPr>
        <w:t>portfolio</w:t>
      </w:r>
      <w:r>
        <w:rPr>
          <w:rFonts w:asciiTheme="majorHAnsi" w:hAnsiTheme="majorHAnsi"/>
        </w:rPr>
        <w:t>’s</w:t>
      </w:r>
      <w:r w:rsidR="00D04313" w:rsidRPr="00A82FD7">
        <w:rPr>
          <w:rFonts w:asciiTheme="majorHAnsi" w:hAnsiTheme="majorHAnsi"/>
        </w:rPr>
        <w:t xml:space="preserve"> procurement team </w:t>
      </w:r>
      <w:r w:rsidR="00B36415" w:rsidRPr="00A82FD7">
        <w:rPr>
          <w:rFonts w:asciiTheme="majorHAnsi" w:hAnsiTheme="majorHAnsi"/>
        </w:rPr>
        <w:t xml:space="preserve">receives an alert </w:t>
      </w:r>
      <w:r w:rsidR="00166EC8" w:rsidRPr="00A82FD7">
        <w:rPr>
          <w:rFonts w:asciiTheme="majorHAnsi" w:hAnsiTheme="majorHAnsi"/>
        </w:rPr>
        <w:t xml:space="preserve">from the IPP Reporting System (IPPRS) </w:t>
      </w:r>
      <w:r w:rsidR="00B36415" w:rsidRPr="00A82FD7">
        <w:rPr>
          <w:rFonts w:asciiTheme="majorHAnsi" w:hAnsiTheme="majorHAnsi"/>
        </w:rPr>
        <w:t xml:space="preserve">when a contract published on </w:t>
      </w:r>
      <w:proofErr w:type="spellStart"/>
      <w:r w:rsidR="00B36415" w:rsidRPr="00A82FD7">
        <w:rPr>
          <w:rFonts w:asciiTheme="majorHAnsi" w:hAnsiTheme="majorHAnsi"/>
        </w:rPr>
        <w:t>AusTender</w:t>
      </w:r>
      <w:proofErr w:type="spellEnd"/>
      <w:r w:rsidR="00B36415" w:rsidRPr="00A82FD7">
        <w:rPr>
          <w:rFonts w:asciiTheme="majorHAnsi" w:hAnsiTheme="majorHAnsi"/>
        </w:rPr>
        <w:t xml:space="preserve"> fits the MMR criteria. It is important that information published on </w:t>
      </w:r>
      <w:proofErr w:type="spellStart"/>
      <w:r w:rsidR="00B36415" w:rsidRPr="00A82FD7">
        <w:rPr>
          <w:rFonts w:asciiTheme="majorHAnsi" w:hAnsiTheme="majorHAnsi"/>
        </w:rPr>
        <w:t>AusTender</w:t>
      </w:r>
      <w:proofErr w:type="spellEnd"/>
      <w:r w:rsidR="00B36415" w:rsidRPr="00A82FD7">
        <w:rPr>
          <w:rFonts w:asciiTheme="majorHAnsi" w:hAnsiTheme="majorHAnsi"/>
        </w:rPr>
        <w:t xml:space="preserve"> contains the correct fields to </w:t>
      </w:r>
      <w:r w:rsidR="0088493C" w:rsidRPr="00A82FD7">
        <w:rPr>
          <w:rFonts w:asciiTheme="majorHAnsi" w:hAnsiTheme="majorHAnsi"/>
        </w:rPr>
        <w:t xml:space="preserve">enable this </w:t>
      </w:r>
      <w:r w:rsidR="00B36415" w:rsidRPr="00A82FD7">
        <w:rPr>
          <w:rFonts w:asciiTheme="majorHAnsi" w:hAnsiTheme="majorHAnsi"/>
        </w:rPr>
        <w:t>team</w:t>
      </w:r>
      <w:r w:rsidR="0088493C" w:rsidRPr="00A82FD7">
        <w:rPr>
          <w:rFonts w:asciiTheme="majorHAnsi" w:hAnsiTheme="majorHAnsi"/>
        </w:rPr>
        <w:t xml:space="preserve"> to </w:t>
      </w:r>
      <w:r w:rsidR="00D04313" w:rsidRPr="00A82FD7">
        <w:rPr>
          <w:rFonts w:asciiTheme="majorHAnsi" w:hAnsiTheme="majorHAnsi"/>
        </w:rPr>
        <w:t xml:space="preserve">easily </w:t>
      </w:r>
      <w:r w:rsidR="0088493C" w:rsidRPr="00A82FD7">
        <w:rPr>
          <w:rFonts w:asciiTheme="majorHAnsi" w:hAnsiTheme="majorHAnsi"/>
        </w:rPr>
        <w:t xml:space="preserve">identify the area responsible for managing </w:t>
      </w:r>
      <w:r w:rsidR="00D04313" w:rsidRPr="00A82FD7">
        <w:rPr>
          <w:rFonts w:asciiTheme="majorHAnsi" w:hAnsiTheme="majorHAnsi"/>
        </w:rPr>
        <w:t xml:space="preserve">the contract. </w:t>
      </w:r>
    </w:p>
    <w:p w14:paraId="46ECA239" w14:textId="77777777" w:rsidR="005A6C4C" w:rsidRPr="00A82FD7" w:rsidRDefault="005A6C4C" w:rsidP="00C277B6">
      <w:pPr>
        <w:pStyle w:val="BodyText"/>
        <w:rPr>
          <w:rFonts w:asciiTheme="majorHAnsi" w:hAnsiTheme="majorHAnsi"/>
        </w:rPr>
      </w:pPr>
    </w:p>
    <w:p w14:paraId="7F183913" w14:textId="77777777" w:rsidR="00C469D9" w:rsidRPr="00134C33" w:rsidRDefault="00E43360" w:rsidP="00C469D9">
      <w:pPr>
        <w:pStyle w:val="EmphasisPanelHeading"/>
        <w:rPr>
          <w:color w:val="6E3A00" w:themeColor="accent4" w:themeShade="80"/>
        </w:rPr>
      </w:pPr>
      <w:r w:rsidRPr="00134C33">
        <w:rPr>
          <w:color w:val="6E3A00" w:themeColor="accent4" w:themeShade="80"/>
        </w:rPr>
        <w:t xml:space="preserve">Figure 5. </w:t>
      </w:r>
      <w:r w:rsidR="00C469D9" w:rsidRPr="00134C33">
        <w:rPr>
          <w:color w:val="6E3A00" w:themeColor="accent4" w:themeShade="80"/>
        </w:rPr>
        <w:t>Voluntarily applying the MMR</w:t>
      </w:r>
    </w:p>
    <w:p w14:paraId="5F5292F9" w14:textId="77777777" w:rsidR="00DA3941" w:rsidRPr="00A82FD7" w:rsidRDefault="00C469D9" w:rsidP="00A01101">
      <w:pPr>
        <w:pStyle w:val="EmphasisPanelBody"/>
        <w:rPr>
          <w:rFonts w:asciiTheme="majorHAnsi" w:hAnsiTheme="majorHAnsi"/>
        </w:rPr>
      </w:pPr>
      <w:r w:rsidRPr="00A82FD7">
        <w:rPr>
          <w:rFonts w:asciiTheme="majorHAnsi" w:hAnsiTheme="majorHAnsi"/>
        </w:rPr>
        <w:t xml:space="preserve">A Commonwealth </w:t>
      </w:r>
      <w:r w:rsidR="00FF4C74" w:rsidRPr="00A82FD7">
        <w:rPr>
          <w:rFonts w:asciiTheme="majorHAnsi" w:hAnsiTheme="majorHAnsi"/>
        </w:rPr>
        <w:t>entity may</w:t>
      </w:r>
      <w:r w:rsidR="005A6C4C" w:rsidRPr="00A82FD7">
        <w:rPr>
          <w:rFonts w:asciiTheme="majorHAnsi" w:hAnsiTheme="majorHAnsi"/>
        </w:rPr>
        <w:t xml:space="preserve"> choose to voluntarily apply</w:t>
      </w:r>
      <w:r w:rsidR="002E433A" w:rsidRPr="00A82FD7">
        <w:rPr>
          <w:rFonts w:asciiTheme="majorHAnsi" w:hAnsiTheme="majorHAnsi"/>
        </w:rPr>
        <w:t xml:space="preserve"> the</w:t>
      </w:r>
      <w:r w:rsidR="005A6C4C" w:rsidRPr="00A82FD7">
        <w:rPr>
          <w:rFonts w:asciiTheme="majorHAnsi" w:hAnsiTheme="majorHAnsi"/>
        </w:rPr>
        <w:t xml:space="preserve"> MMR to </w:t>
      </w:r>
      <w:r w:rsidR="0088493C" w:rsidRPr="00A82FD7">
        <w:rPr>
          <w:rFonts w:asciiTheme="majorHAnsi" w:hAnsiTheme="majorHAnsi"/>
        </w:rPr>
        <w:t xml:space="preserve">any </w:t>
      </w:r>
      <w:r w:rsidR="00E1613E" w:rsidRPr="00A82FD7">
        <w:rPr>
          <w:rFonts w:asciiTheme="majorHAnsi" w:hAnsiTheme="majorHAnsi"/>
        </w:rPr>
        <w:t>procurement</w:t>
      </w:r>
      <w:r w:rsidR="0088493C" w:rsidRPr="00A82FD7">
        <w:rPr>
          <w:rFonts w:asciiTheme="majorHAnsi" w:hAnsiTheme="majorHAnsi"/>
        </w:rPr>
        <w:t xml:space="preserve"> </w:t>
      </w:r>
      <w:r w:rsidR="00DA3941" w:rsidRPr="00A82FD7">
        <w:rPr>
          <w:rFonts w:asciiTheme="majorHAnsi" w:hAnsiTheme="majorHAnsi"/>
        </w:rPr>
        <w:t xml:space="preserve">and require </w:t>
      </w:r>
      <w:r w:rsidR="00E1613E" w:rsidRPr="00A82FD7">
        <w:rPr>
          <w:rFonts w:asciiTheme="majorHAnsi" w:hAnsiTheme="majorHAnsi"/>
        </w:rPr>
        <w:t xml:space="preserve">suppliers </w:t>
      </w:r>
      <w:r w:rsidR="00DA3941" w:rsidRPr="00A82FD7">
        <w:rPr>
          <w:rFonts w:asciiTheme="majorHAnsi" w:hAnsiTheme="majorHAnsi"/>
        </w:rPr>
        <w:t xml:space="preserve">to report </w:t>
      </w:r>
      <w:r w:rsidR="00A77B46" w:rsidRPr="00A82FD7">
        <w:rPr>
          <w:rFonts w:asciiTheme="majorHAnsi" w:hAnsiTheme="majorHAnsi"/>
        </w:rPr>
        <w:t>using the IPPRS</w:t>
      </w:r>
      <w:r w:rsidR="00E1613E" w:rsidRPr="00A82FD7">
        <w:rPr>
          <w:rFonts w:asciiTheme="majorHAnsi" w:hAnsiTheme="majorHAnsi"/>
        </w:rPr>
        <w:t xml:space="preserve">. </w:t>
      </w:r>
      <w:r w:rsidR="00643ACA" w:rsidRPr="00A82FD7">
        <w:rPr>
          <w:rFonts w:asciiTheme="majorHAnsi" w:hAnsiTheme="majorHAnsi"/>
        </w:rPr>
        <w:t xml:space="preserve">The </w:t>
      </w:r>
      <w:r w:rsidR="00FF4C74" w:rsidRPr="00A82FD7">
        <w:rPr>
          <w:rFonts w:asciiTheme="majorHAnsi" w:hAnsiTheme="majorHAnsi"/>
        </w:rPr>
        <w:t>entity representative</w:t>
      </w:r>
      <w:r w:rsidR="0031735B" w:rsidRPr="00A82FD7">
        <w:rPr>
          <w:rFonts w:asciiTheme="majorHAnsi" w:hAnsiTheme="majorHAnsi"/>
        </w:rPr>
        <w:t xml:space="preserve"> – such as the procuring official or contract manager – must</w:t>
      </w:r>
      <w:r w:rsidR="00FF4C74" w:rsidRPr="00A82FD7">
        <w:rPr>
          <w:rFonts w:asciiTheme="majorHAnsi" w:hAnsiTheme="majorHAnsi"/>
        </w:rPr>
        <w:t xml:space="preserve"> flag the contract as a voluntary MMR within the </w:t>
      </w:r>
      <w:r w:rsidR="00643ACA" w:rsidRPr="00A82FD7">
        <w:rPr>
          <w:rFonts w:asciiTheme="majorHAnsi" w:hAnsiTheme="majorHAnsi"/>
        </w:rPr>
        <w:t>IPPRS</w:t>
      </w:r>
      <w:r w:rsidR="00A247B4" w:rsidRPr="00A82FD7">
        <w:rPr>
          <w:rFonts w:asciiTheme="majorHAnsi" w:hAnsiTheme="majorHAnsi"/>
        </w:rPr>
        <w:t>.</w:t>
      </w:r>
      <w:r w:rsidR="00156EF8" w:rsidRPr="00A82FD7">
        <w:rPr>
          <w:rFonts w:asciiTheme="majorHAnsi" w:hAnsiTheme="majorHAnsi"/>
        </w:rPr>
        <w:t xml:space="preserve">  </w:t>
      </w:r>
      <w:r w:rsidR="002815B3" w:rsidRPr="00A82FD7">
        <w:rPr>
          <w:rFonts w:asciiTheme="majorHAnsi" w:hAnsiTheme="majorHAnsi"/>
        </w:rPr>
        <w:t>Making use of the</w:t>
      </w:r>
      <w:r w:rsidR="00DA3941" w:rsidRPr="00A82FD7">
        <w:rPr>
          <w:rFonts w:asciiTheme="majorHAnsi" w:hAnsiTheme="majorHAnsi"/>
        </w:rPr>
        <w:t xml:space="preserve"> </w:t>
      </w:r>
      <w:r w:rsidR="004A677E" w:rsidRPr="00A82FD7">
        <w:rPr>
          <w:rFonts w:asciiTheme="majorHAnsi" w:hAnsiTheme="majorHAnsi"/>
        </w:rPr>
        <w:t>IPP</w:t>
      </w:r>
      <w:r w:rsidR="00DA3941" w:rsidRPr="00A82FD7">
        <w:rPr>
          <w:rFonts w:asciiTheme="majorHAnsi" w:hAnsiTheme="majorHAnsi"/>
        </w:rPr>
        <w:t xml:space="preserve">RS will also ensure </w:t>
      </w:r>
      <w:r w:rsidR="0031735B" w:rsidRPr="00A82FD7">
        <w:rPr>
          <w:rFonts w:asciiTheme="majorHAnsi" w:hAnsiTheme="majorHAnsi"/>
        </w:rPr>
        <w:t xml:space="preserve">that </w:t>
      </w:r>
      <w:r w:rsidR="00DA3941" w:rsidRPr="00A82FD7">
        <w:rPr>
          <w:rFonts w:asciiTheme="majorHAnsi" w:hAnsiTheme="majorHAnsi"/>
        </w:rPr>
        <w:t>contracts reported by supplier</w:t>
      </w:r>
      <w:r w:rsidR="00FD24C4">
        <w:rPr>
          <w:rFonts w:asciiTheme="majorHAnsi" w:hAnsiTheme="majorHAnsi"/>
        </w:rPr>
        <w:t>s</w:t>
      </w:r>
      <w:r w:rsidR="00DA3941" w:rsidRPr="00A82FD7">
        <w:rPr>
          <w:rFonts w:asciiTheme="majorHAnsi" w:hAnsiTheme="majorHAnsi"/>
        </w:rPr>
        <w:t xml:space="preserve"> are counted aga</w:t>
      </w:r>
      <w:r w:rsidR="00156EF8" w:rsidRPr="00A82FD7">
        <w:rPr>
          <w:rFonts w:asciiTheme="majorHAnsi" w:hAnsiTheme="majorHAnsi"/>
        </w:rPr>
        <w:t xml:space="preserve">inst </w:t>
      </w:r>
      <w:r w:rsidR="00FD24C4">
        <w:rPr>
          <w:rFonts w:asciiTheme="majorHAnsi" w:hAnsiTheme="majorHAnsi"/>
        </w:rPr>
        <w:t>a</w:t>
      </w:r>
      <w:r w:rsidR="00156EF8" w:rsidRPr="00A82FD7">
        <w:rPr>
          <w:rFonts w:asciiTheme="majorHAnsi" w:hAnsiTheme="majorHAnsi"/>
        </w:rPr>
        <w:t xml:space="preserve"> portfolio</w:t>
      </w:r>
      <w:r w:rsidR="008D1CE0" w:rsidRPr="00A82FD7">
        <w:rPr>
          <w:rFonts w:asciiTheme="majorHAnsi" w:hAnsiTheme="majorHAnsi"/>
        </w:rPr>
        <w:t>’</w:t>
      </w:r>
      <w:r w:rsidR="00156EF8" w:rsidRPr="00A82FD7">
        <w:rPr>
          <w:rFonts w:asciiTheme="majorHAnsi" w:hAnsiTheme="majorHAnsi"/>
        </w:rPr>
        <w:t>s IPP target.</w:t>
      </w:r>
    </w:p>
    <w:p w14:paraId="7DDD4B12" w14:textId="77777777" w:rsidR="00296575" w:rsidRPr="00A82FD7" w:rsidRDefault="00931B4A" w:rsidP="00296575">
      <w:pPr>
        <w:pStyle w:val="Heading2"/>
      </w:pPr>
      <w:bookmarkStart w:id="34" w:name="_Toc223528532"/>
      <w:r w:rsidRPr="00A82FD7">
        <w:t>3</w:t>
      </w:r>
      <w:r w:rsidR="00296575" w:rsidRPr="00A82FD7">
        <w:t xml:space="preserve">.0 </w:t>
      </w:r>
      <w:r w:rsidR="00972906" w:rsidRPr="00A82FD7">
        <w:t>MMR target</w:t>
      </w:r>
      <w:r w:rsidR="00A53574" w:rsidRPr="00A82FD7">
        <w:t>s</w:t>
      </w:r>
      <w:bookmarkEnd w:id="34"/>
      <w:r w:rsidR="00972906" w:rsidRPr="00A82FD7">
        <w:t xml:space="preserve"> </w:t>
      </w:r>
    </w:p>
    <w:p w14:paraId="2D95F1F8" w14:textId="77777777" w:rsidR="00805687" w:rsidRPr="00A82FD7" w:rsidRDefault="002815B3" w:rsidP="00296575">
      <w:pPr>
        <w:pStyle w:val="BodyText"/>
        <w:rPr>
          <w:rFonts w:asciiTheme="majorHAnsi" w:hAnsiTheme="majorHAnsi"/>
        </w:rPr>
      </w:pPr>
      <w:r w:rsidRPr="00A82FD7">
        <w:rPr>
          <w:rFonts w:asciiTheme="majorHAnsi" w:hAnsiTheme="majorHAnsi"/>
        </w:rPr>
        <w:t>MMR t</w:t>
      </w:r>
      <w:r w:rsidR="00296575" w:rsidRPr="00A82FD7">
        <w:rPr>
          <w:rFonts w:asciiTheme="majorHAnsi" w:hAnsiTheme="majorHAnsi"/>
        </w:rPr>
        <w:t xml:space="preserve">argets </w:t>
      </w:r>
      <w:r w:rsidRPr="00A82FD7">
        <w:rPr>
          <w:rFonts w:asciiTheme="majorHAnsi" w:hAnsiTheme="majorHAnsi"/>
        </w:rPr>
        <w:t xml:space="preserve">for Indigenous employment or supply-use </w:t>
      </w:r>
      <w:r w:rsidR="00971823" w:rsidRPr="00A82FD7">
        <w:rPr>
          <w:rFonts w:asciiTheme="majorHAnsi" w:hAnsiTheme="majorHAnsi"/>
        </w:rPr>
        <w:t xml:space="preserve">are </w:t>
      </w:r>
      <w:r w:rsidR="00296575" w:rsidRPr="00A82FD7">
        <w:rPr>
          <w:rFonts w:asciiTheme="majorHAnsi" w:hAnsiTheme="majorHAnsi"/>
        </w:rPr>
        <w:t>applied to the</w:t>
      </w:r>
      <w:r w:rsidRPr="00A82FD7">
        <w:rPr>
          <w:rFonts w:asciiTheme="majorHAnsi" w:hAnsiTheme="majorHAnsi"/>
        </w:rPr>
        <w:t xml:space="preserve"> work associated with delivering the</w:t>
      </w:r>
      <w:r w:rsidR="00296575" w:rsidRPr="00A82FD7">
        <w:rPr>
          <w:rFonts w:asciiTheme="majorHAnsi" w:hAnsiTheme="majorHAnsi"/>
        </w:rPr>
        <w:t xml:space="preserve"> contract</w:t>
      </w:r>
      <w:r w:rsidRPr="00A82FD7">
        <w:rPr>
          <w:rFonts w:asciiTheme="majorHAnsi" w:hAnsiTheme="majorHAnsi"/>
        </w:rPr>
        <w:t xml:space="preserve"> (contract-based) or the supplier’s organisation (organisation-based). If a contract </w:t>
      </w:r>
      <w:r w:rsidR="00971823" w:rsidRPr="00A82FD7">
        <w:rPr>
          <w:rFonts w:asciiTheme="majorHAnsi" w:hAnsiTheme="majorHAnsi"/>
        </w:rPr>
        <w:t xml:space="preserve">is </w:t>
      </w:r>
      <w:r w:rsidRPr="00A82FD7">
        <w:rPr>
          <w:rFonts w:asciiTheme="majorHAnsi" w:hAnsiTheme="majorHAnsi"/>
        </w:rPr>
        <w:t>delivered in remote Australia, the targets must reflect a significant employment or supply-use outcome for</w:t>
      </w:r>
      <w:r w:rsidR="00971823" w:rsidRPr="00A82FD7">
        <w:rPr>
          <w:rFonts w:asciiTheme="majorHAnsi" w:hAnsiTheme="majorHAnsi"/>
        </w:rPr>
        <w:t xml:space="preserve"> Indigenous people in </w:t>
      </w:r>
      <w:r w:rsidRPr="00A82FD7">
        <w:rPr>
          <w:rFonts w:asciiTheme="majorHAnsi" w:hAnsiTheme="majorHAnsi"/>
        </w:rPr>
        <w:t xml:space="preserve">that area. </w:t>
      </w:r>
    </w:p>
    <w:p w14:paraId="6C707774" w14:textId="77777777" w:rsidR="00020CB5" w:rsidRPr="00A82FD7" w:rsidRDefault="003F20C7" w:rsidP="00020CB5">
      <w:pPr>
        <w:pStyle w:val="BodyText"/>
        <w:rPr>
          <w:rFonts w:asciiTheme="majorHAnsi" w:hAnsiTheme="majorHAnsi"/>
        </w:rPr>
      </w:pPr>
      <w:r w:rsidRPr="00A82FD7">
        <w:rPr>
          <w:rFonts w:asciiTheme="majorHAnsi" w:hAnsiTheme="majorHAnsi"/>
        </w:rPr>
        <w:t>Procuring o</w:t>
      </w:r>
      <w:r w:rsidR="00287A4A" w:rsidRPr="00A82FD7">
        <w:rPr>
          <w:rFonts w:asciiTheme="majorHAnsi" w:hAnsiTheme="majorHAnsi"/>
        </w:rPr>
        <w:t>fficials</w:t>
      </w:r>
      <w:r w:rsidR="00391EE1" w:rsidRPr="00A82FD7">
        <w:rPr>
          <w:rFonts w:asciiTheme="majorHAnsi" w:hAnsiTheme="majorHAnsi"/>
        </w:rPr>
        <w:t xml:space="preserve"> </w:t>
      </w:r>
      <w:r w:rsidR="00971823" w:rsidRPr="00A82FD7">
        <w:rPr>
          <w:rFonts w:asciiTheme="majorHAnsi" w:hAnsiTheme="majorHAnsi"/>
        </w:rPr>
        <w:t xml:space="preserve">must </w:t>
      </w:r>
      <w:r w:rsidR="00391EE1" w:rsidRPr="00A82FD7">
        <w:rPr>
          <w:rFonts w:asciiTheme="majorHAnsi" w:hAnsiTheme="majorHAnsi"/>
        </w:rPr>
        <w:t xml:space="preserve">advise all tenderers of their MMR obligations at the approach to market stage. </w:t>
      </w:r>
    </w:p>
    <w:p w14:paraId="31A39E78" w14:textId="77777777" w:rsidR="002E433A" w:rsidRPr="00A82FD7" w:rsidRDefault="00A77B46" w:rsidP="002E433A">
      <w:pPr>
        <w:pStyle w:val="CommentText"/>
        <w:rPr>
          <w:rFonts w:asciiTheme="majorHAnsi" w:hAnsiTheme="majorHAnsi"/>
        </w:rPr>
      </w:pPr>
      <w:r w:rsidRPr="00A82FD7">
        <w:rPr>
          <w:rFonts w:asciiTheme="majorHAnsi" w:hAnsiTheme="majorHAnsi"/>
        </w:rPr>
        <w:t>The Commonwealth entity</w:t>
      </w:r>
      <w:r w:rsidR="00971823" w:rsidRPr="00A82FD7">
        <w:rPr>
          <w:rFonts w:asciiTheme="majorHAnsi" w:hAnsiTheme="majorHAnsi"/>
        </w:rPr>
        <w:t xml:space="preserve"> has the option to:</w:t>
      </w:r>
    </w:p>
    <w:p w14:paraId="6D0328D9" w14:textId="77777777" w:rsidR="002E433A" w:rsidRPr="00A82FD7" w:rsidRDefault="00A77B46" w:rsidP="002E433A">
      <w:pPr>
        <w:pStyle w:val="BulletedListlvl1"/>
        <w:rPr>
          <w:rFonts w:asciiTheme="majorHAnsi" w:hAnsiTheme="majorHAnsi"/>
        </w:rPr>
      </w:pPr>
      <w:r w:rsidRPr="00A82FD7">
        <w:rPr>
          <w:rFonts w:asciiTheme="majorHAnsi" w:hAnsiTheme="majorHAnsi"/>
        </w:rPr>
        <w:t xml:space="preserve">determine </w:t>
      </w:r>
      <w:r w:rsidR="00971823" w:rsidRPr="00A82FD7">
        <w:rPr>
          <w:rFonts w:asciiTheme="majorHAnsi" w:hAnsiTheme="majorHAnsi"/>
        </w:rPr>
        <w:t xml:space="preserve">the MMR </w:t>
      </w:r>
      <w:r w:rsidRPr="00A82FD7">
        <w:rPr>
          <w:rFonts w:asciiTheme="majorHAnsi" w:hAnsiTheme="majorHAnsi"/>
        </w:rPr>
        <w:t xml:space="preserve">target </w:t>
      </w:r>
      <w:r w:rsidR="0031735B" w:rsidRPr="00A82FD7">
        <w:rPr>
          <w:rFonts w:asciiTheme="majorHAnsi" w:hAnsiTheme="majorHAnsi"/>
        </w:rPr>
        <w:t xml:space="preserve">before the approach to market </w:t>
      </w:r>
      <w:r w:rsidRPr="00A82FD7">
        <w:rPr>
          <w:rFonts w:asciiTheme="majorHAnsi" w:hAnsiTheme="majorHAnsi"/>
        </w:rPr>
        <w:t xml:space="preserve">and </w:t>
      </w:r>
      <w:r w:rsidR="0031735B" w:rsidRPr="00A82FD7">
        <w:rPr>
          <w:rFonts w:asciiTheme="majorHAnsi" w:hAnsiTheme="majorHAnsi"/>
        </w:rPr>
        <w:t xml:space="preserve">require </w:t>
      </w:r>
      <w:r w:rsidRPr="00A82FD7">
        <w:rPr>
          <w:rFonts w:asciiTheme="majorHAnsi" w:hAnsiTheme="majorHAnsi"/>
        </w:rPr>
        <w:t>tenderer</w:t>
      </w:r>
      <w:r w:rsidR="0031735B" w:rsidRPr="00A82FD7">
        <w:rPr>
          <w:rFonts w:asciiTheme="majorHAnsi" w:hAnsiTheme="majorHAnsi"/>
        </w:rPr>
        <w:t>s</w:t>
      </w:r>
      <w:r w:rsidRPr="00A82FD7">
        <w:rPr>
          <w:rFonts w:asciiTheme="majorHAnsi" w:hAnsiTheme="majorHAnsi"/>
        </w:rPr>
        <w:t xml:space="preserve"> to demonstrate their ability to meet the targets in thei</w:t>
      </w:r>
      <w:r w:rsidR="0031735B" w:rsidRPr="00A82FD7">
        <w:rPr>
          <w:rFonts w:asciiTheme="majorHAnsi" w:hAnsiTheme="majorHAnsi"/>
        </w:rPr>
        <w:t>r Indigenous Participation Plan</w:t>
      </w:r>
      <w:r w:rsidRPr="00A82FD7">
        <w:rPr>
          <w:rFonts w:asciiTheme="majorHAnsi" w:hAnsiTheme="majorHAnsi"/>
        </w:rPr>
        <w:t xml:space="preserve">; </w:t>
      </w:r>
      <w:r w:rsidR="00A92239" w:rsidRPr="00A82FD7">
        <w:rPr>
          <w:rFonts w:asciiTheme="majorHAnsi" w:hAnsiTheme="majorHAnsi"/>
        </w:rPr>
        <w:t xml:space="preserve">or </w:t>
      </w:r>
    </w:p>
    <w:p w14:paraId="2D430312" w14:textId="77777777" w:rsidR="00A77B46" w:rsidRDefault="0031735B" w:rsidP="002E433A">
      <w:pPr>
        <w:pStyle w:val="BulletedListlvl1"/>
        <w:rPr>
          <w:rFonts w:asciiTheme="majorHAnsi" w:hAnsiTheme="majorHAnsi"/>
        </w:rPr>
      </w:pPr>
      <w:r w:rsidRPr="00A82FD7">
        <w:rPr>
          <w:rFonts w:asciiTheme="majorHAnsi" w:hAnsiTheme="majorHAnsi"/>
        </w:rPr>
        <w:t xml:space="preserve">allow </w:t>
      </w:r>
      <w:r w:rsidR="00A77B46" w:rsidRPr="00A82FD7">
        <w:rPr>
          <w:rFonts w:asciiTheme="majorHAnsi" w:hAnsiTheme="majorHAnsi"/>
        </w:rPr>
        <w:t>tenderer</w:t>
      </w:r>
      <w:r w:rsidR="00A92239" w:rsidRPr="00A82FD7">
        <w:rPr>
          <w:rFonts w:asciiTheme="majorHAnsi" w:hAnsiTheme="majorHAnsi"/>
        </w:rPr>
        <w:t xml:space="preserve">s </w:t>
      </w:r>
      <w:r w:rsidRPr="00A82FD7">
        <w:rPr>
          <w:rFonts w:asciiTheme="majorHAnsi" w:hAnsiTheme="majorHAnsi"/>
        </w:rPr>
        <w:t xml:space="preserve">to </w:t>
      </w:r>
      <w:r w:rsidR="00B65A90">
        <w:rPr>
          <w:rFonts w:asciiTheme="majorHAnsi" w:hAnsiTheme="majorHAnsi"/>
        </w:rPr>
        <w:t>propose</w:t>
      </w:r>
      <w:r w:rsidR="00B65A90" w:rsidRPr="00A82FD7">
        <w:rPr>
          <w:rFonts w:asciiTheme="majorHAnsi" w:hAnsiTheme="majorHAnsi"/>
        </w:rPr>
        <w:t xml:space="preserve"> </w:t>
      </w:r>
      <w:r w:rsidR="00A77B46" w:rsidRPr="00A82FD7">
        <w:rPr>
          <w:rFonts w:asciiTheme="majorHAnsi" w:hAnsiTheme="majorHAnsi"/>
        </w:rPr>
        <w:t>the</w:t>
      </w:r>
      <w:r w:rsidRPr="00A82FD7">
        <w:rPr>
          <w:rFonts w:asciiTheme="majorHAnsi" w:hAnsiTheme="majorHAnsi"/>
        </w:rPr>
        <w:t>ir</w:t>
      </w:r>
      <w:r w:rsidR="00A77B46" w:rsidRPr="00A82FD7">
        <w:rPr>
          <w:rFonts w:asciiTheme="majorHAnsi" w:hAnsiTheme="majorHAnsi"/>
        </w:rPr>
        <w:t xml:space="preserve"> targets and</w:t>
      </w:r>
      <w:r w:rsidR="00A92239" w:rsidRPr="00A82FD7">
        <w:rPr>
          <w:rFonts w:asciiTheme="majorHAnsi" w:hAnsiTheme="majorHAnsi"/>
        </w:rPr>
        <w:t xml:space="preserve"> demonstrate</w:t>
      </w:r>
      <w:r w:rsidR="00A77B46" w:rsidRPr="00A82FD7">
        <w:rPr>
          <w:rFonts w:asciiTheme="majorHAnsi" w:hAnsiTheme="majorHAnsi"/>
        </w:rPr>
        <w:t xml:space="preserve"> </w:t>
      </w:r>
      <w:r w:rsidR="00A92239" w:rsidRPr="00A82FD7">
        <w:rPr>
          <w:rFonts w:asciiTheme="majorHAnsi" w:hAnsiTheme="majorHAnsi"/>
        </w:rPr>
        <w:t>their ability to meet the</w:t>
      </w:r>
      <w:r w:rsidRPr="00A82FD7">
        <w:rPr>
          <w:rFonts w:asciiTheme="majorHAnsi" w:hAnsiTheme="majorHAnsi"/>
        </w:rPr>
        <w:t>m</w:t>
      </w:r>
      <w:r w:rsidR="00A92239" w:rsidRPr="00A82FD7">
        <w:rPr>
          <w:rFonts w:asciiTheme="majorHAnsi" w:hAnsiTheme="majorHAnsi"/>
        </w:rPr>
        <w:t xml:space="preserve"> in their Indigenous Participation</w:t>
      </w:r>
      <w:r w:rsidRPr="00A82FD7">
        <w:rPr>
          <w:rFonts w:asciiTheme="majorHAnsi" w:hAnsiTheme="majorHAnsi"/>
        </w:rPr>
        <w:t xml:space="preserve"> Plan and assess these as part of the evaluation.</w:t>
      </w:r>
    </w:p>
    <w:p w14:paraId="7ED9954A" w14:textId="77777777" w:rsidR="001E4625" w:rsidRPr="00A82FD7" w:rsidRDefault="001E4625" w:rsidP="001E4625">
      <w:pPr>
        <w:pStyle w:val="BulletedListlvl1"/>
        <w:numPr>
          <w:ilvl w:val="0"/>
          <w:numId w:val="0"/>
        </w:numPr>
        <w:ind w:left="566"/>
        <w:rPr>
          <w:rFonts w:asciiTheme="majorHAnsi" w:hAnsiTheme="majorHAnsi"/>
        </w:rPr>
      </w:pPr>
    </w:p>
    <w:p w14:paraId="7C412A38" w14:textId="77777777" w:rsidR="001E4625" w:rsidRDefault="00E34D24" w:rsidP="00020CB5">
      <w:pPr>
        <w:pStyle w:val="BodyText"/>
        <w:rPr>
          <w:rFonts w:asciiTheme="majorHAnsi" w:hAnsiTheme="majorHAnsi"/>
        </w:rPr>
      </w:pPr>
      <w:r>
        <w:rPr>
          <w:rFonts w:asciiTheme="majorHAnsi" w:hAnsiTheme="majorHAnsi"/>
        </w:rPr>
        <w:t xml:space="preserve">To support this requirement, NIAA has developed </w:t>
      </w:r>
      <w:hyperlink r:id="rId21" w:history="1">
        <w:r w:rsidRPr="00134C33">
          <w:rPr>
            <w:rStyle w:val="Hyperlink"/>
            <w:rFonts w:asciiTheme="majorHAnsi" w:hAnsiTheme="majorHAnsi"/>
            <w:color w:val="015E8A" w:themeColor="text2" w:themeTint="E6"/>
          </w:rPr>
          <w:t>model clauses</w:t>
        </w:r>
      </w:hyperlink>
      <w:r>
        <w:rPr>
          <w:rFonts w:asciiTheme="majorHAnsi" w:hAnsiTheme="majorHAnsi"/>
        </w:rPr>
        <w:t xml:space="preserve"> - pre-drafted contract terms </w:t>
      </w:r>
      <w:r w:rsidRPr="00E34D24">
        <w:rPr>
          <w:rFonts w:asciiTheme="majorHAnsi" w:hAnsiTheme="majorHAnsi"/>
        </w:rPr>
        <w:t xml:space="preserve">that can be used within existing contract templates </w:t>
      </w:r>
      <w:r>
        <w:rPr>
          <w:rFonts w:asciiTheme="majorHAnsi" w:hAnsiTheme="majorHAnsi"/>
        </w:rPr>
        <w:t>as</w:t>
      </w:r>
      <w:r w:rsidRPr="00E34D24">
        <w:rPr>
          <w:rFonts w:asciiTheme="majorHAnsi" w:hAnsiTheme="majorHAnsi"/>
        </w:rPr>
        <w:t xml:space="preserve"> appropriate</w:t>
      </w:r>
      <w:r>
        <w:rPr>
          <w:rFonts w:asciiTheme="majorHAnsi" w:hAnsiTheme="majorHAnsi"/>
        </w:rPr>
        <w:t xml:space="preserve">. </w:t>
      </w:r>
    </w:p>
    <w:p w14:paraId="6AFDADBD" w14:textId="77777777" w:rsidR="00A77B46" w:rsidRPr="00A82FD7" w:rsidRDefault="00E34D24" w:rsidP="00020CB5">
      <w:pPr>
        <w:pStyle w:val="BodyText"/>
        <w:rPr>
          <w:rFonts w:asciiTheme="majorHAnsi" w:hAnsiTheme="majorHAnsi"/>
        </w:rPr>
      </w:pPr>
      <w:r>
        <w:rPr>
          <w:rFonts w:asciiTheme="majorHAnsi" w:hAnsiTheme="majorHAnsi"/>
        </w:rPr>
        <w:t>The</w:t>
      </w:r>
      <w:r w:rsidR="00A92239" w:rsidRPr="00A82FD7">
        <w:rPr>
          <w:rFonts w:asciiTheme="majorHAnsi" w:hAnsiTheme="majorHAnsi"/>
        </w:rPr>
        <w:t xml:space="preserve"> Department of Finance’s </w:t>
      </w:r>
      <w:r>
        <w:rPr>
          <w:rFonts w:asciiTheme="majorHAnsi" w:hAnsiTheme="majorHAnsi"/>
        </w:rPr>
        <w:t xml:space="preserve">also </w:t>
      </w:r>
      <w:r w:rsidR="00E43360">
        <w:rPr>
          <w:rFonts w:asciiTheme="majorHAnsi" w:hAnsiTheme="majorHAnsi"/>
        </w:rPr>
        <w:t xml:space="preserve">maintains a general </w:t>
      </w:r>
      <w:hyperlink r:id="rId22" w:history="1">
        <w:r w:rsidR="00E43360" w:rsidRPr="00134C33">
          <w:rPr>
            <w:rStyle w:val="Hyperlink"/>
            <w:rFonts w:asciiTheme="majorHAnsi" w:hAnsiTheme="majorHAnsi"/>
            <w:color w:val="015E8A" w:themeColor="text2" w:themeTint="E6"/>
          </w:rPr>
          <w:t>clause bank.</w:t>
        </w:r>
      </w:hyperlink>
    </w:p>
    <w:p w14:paraId="20FF0E31" w14:textId="77777777" w:rsidR="003F20C7" w:rsidRPr="00A82FD7" w:rsidRDefault="003F20C7" w:rsidP="00020CB5">
      <w:pPr>
        <w:pStyle w:val="BodyText"/>
        <w:rPr>
          <w:rFonts w:asciiTheme="majorHAnsi" w:hAnsiTheme="majorHAnsi"/>
        </w:rPr>
      </w:pPr>
    </w:p>
    <w:tbl>
      <w:tblPr>
        <w:tblStyle w:val="GridTable5Dark-Accent5"/>
        <w:tblW w:w="10201" w:type="dxa"/>
        <w:tblLook w:val="0420" w:firstRow="1" w:lastRow="0" w:firstColumn="0" w:lastColumn="0" w:noHBand="0" w:noVBand="1"/>
      </w:tblPr>
      <w:tblGrid>
        <w:gridCol w:w="10201"/>
      </w:tblGrid>
      <w:tr w:rsidR="00A82FD7" w:rsidRPr="00A82FD7" w14:paraId="1FF1F2F3" w14:textId="77777777" w:rsidTr="4CD1C992">
        <w:trPr>
          <w:cnfStyle w:val="100000000000" w:firstRow="1" w:lastRow="0" w:firstColumn="0" w:lastColumn="0" w:oddVBand="0" w:evenVBand="0" w:oddHBand="0" w:evenHBand="0" w:firstRowFirstColumn="0" w:firstRowLastColumn="0" w:lastRowFirstColumn="0" w:lastRowLastColumn="0"/>
          <w:trHeight w:val="249"/>
        </w:trPr>
        <w:tc>
          <w:tcPr>
            <w:tcW w:w="10201" w:type="dxa"/>
            <w:hideMark/>
          </w:tcPr>
          <w:p w14:paraId="73D0423E" w14:textId="77777777" w:rsidR="00A82FD7" w:rsidRPr="00A82FD7" w:rsidRDefault="00A82FD7" w:rsidP="00A82FD7">
            <w:pPr>
              <w:pStyle w:val="BodyText"/>
              <w:rPr>
                <w:rFonts w:asciiTheme="majorHAnsi" w:hAnsiTheme="majorHAnsi"/>
                <w:b w:val="0"/>
                <w:sz w:val="24"/>
                <w:szCs w:val="24"/>
                <w:bdr w:val="none" w:sz="0" w:space="0" w:color="auto" w:frame="1"/>
              </w:rPr>
            </w:pPr>
            <w:r w:rsidRPr="00134C33">
              <w:rPr>
                <w:rStyle w:val="Strong"/>
                <w:rFonts w:asciiTheme="majorHAnsi" w:hAnsiTheme="majorHAnsi"/>
                <w:b/>
                <w:color w:val="auto"/>
              </w:rPr>
              <w:t xml:space="preserve">Table </w:t>
            </w:r>
            <w:r w:rsidR="006C08A5" w:rsidRPr="00134C33">
              <w:rPr>
                <w:rStyle w:val="Strong"/>
                <w:rFonts w:asciiTheme="majorHAnsi" w:hAnsiTheme="majorHAnsi"/>
                <w:b/>
                <w:color w:val="auto"/>
              </w:rPr>
              <w:t>2</w:t>
            </w:r>
            <w:r w:rsidRPr="00134C33">
              <w:rPr>
                <w:rStyle w:val="Strong"/>
                <w:rFonts w:asciiTheme="majorHAnsi" w:hAnsiTheme="majorHAnsi"/>
                <w:b/>
                <w:color w:val="auto"/>
              </w:rPr>
              <w:t>. MMR Targets</w:t>
            </w:r>
          </w:p>
          <w:p w14:paraId="178A3990" w14:textId="77777777" w:rsidR="00A82FD7" w:rsidRPr="00A82FD7" w:rsidRDefault="00A82FD7" w:rsidP="00FF4C74">
            <w:pPr>
              <w:pStyle w:val="BodyText"/>
              <w:jc w:val="center"/>
              <w:rPr>
                <w:rFonts w:asciiTheme="majorHAnsi" w:hAnsiTheme="majorHAnsi"/>
                <w:lang w:val="en-US"/>
              </w:rPr>
            </w:pPr>
          </w:p>
          <w:p w14:paraId="2CCF18AA" w14:textId="77777777" w:rsidR="00A82FD7" w:rsidRPr="00A82FD7" w:rsidRDefault="00A82FD7" w:rsidP="00A82FD7">
            <w:pPr>
              <w:pStyle w:val="BodyText"/>
              <w:jc w:val="center"/>
              <w:rPr>
                <w:rFonts w:asciiTheme="majorHAnsi" w:hAnsiTheme="majorHAnsi"/>
              </w:rPr>
            </w:pPr>
          </w:p>
        </w:tc>
      </w:tr>
    </w:tbl>
    <w:p w14:paraId="2E7F750A" w14:textId="77777777" w:rsidR="00134C33" w:rsidRPr="00134C33" w:rsidRDefault="00134C33">
      <w:pPr>
        <w:rPr>
          <w:sz w:val="2"/>
          <w:szCs w:val="2"/>
        </w:rPr>
      </w:pPr>
    </w:p>
    <w:tbl>
      <w:tblPr>
        <w:tblStyle w:val="GridTable5Dark-Accent5"/>
        <w:tblW w:w="10201" w:type="dxa"/>
        <w:tblLook w:val="0420" w:firstRow="1" w:lastRow="0" w:firstColumn="0" w:lastColumn="0" w:noHBand="0" w:noVBand="1"/>
      </w:tblPr>
      <w:tblGrid>
        <w:gridCol w:w="2123"/>
        <w:gridCol w:w="2514"/>
        <w:gridCol w:w="2702"/>
        <w:gridCol w:w="2862"/>
      </w:tblGrid>
      <w:tr w:rsidR="00A82FD7" w:rsidRPr="00A82FD7" w14:paraId="00BA1C43" w14:textId="77777777" w:rsidTr="4CD1C992">
        <w:trPr>
          <w:cnfStyle w:val="100000000000" w:firstRow="1" w:lastRow="0" w:firstColumn="0" w:lastColumn="0" w:oddVBand="0" w:evenVBand="0" w:oddHBand="0" w:evenHBand="0" w:firstRowFirstColumn="0" w:firstRowLastColumn="0" w:lastRowFirstColumn="0" w:lastRowLastColumn="0"/>
          <w:trHeight w:val="248"/>
        </w:trPr>
        <w:tc>
          <w:tcPr>
            <w:tcW w:w="2123" w:type="dxa"/>
          </w:tcPr>
          <w:p w14:paraId="200208CE" w14:textId="77777777" w:rsidR="00A82FD7" w:rsidRPr="00A82FD7" w:rsidRDefault="00A82FD7" w:rsidP="00A82FD7">
            <w:pPr>
              <w:pStyle w:val="BodyText"/>
              <w:jc w:val="center"/>
              <w:rPr>
                <w:rStyle w:val="Strong"/>
                <w:rFonts w:asciiTheme="majorHAnsi" w:hAnsiTheme="majorHAnsi"/>
                <w:b/>
              </w:rPr>
            </w:pPr>
          </w:p>
        </w:tc>
        <w:tc>
          <w:tcPr>
            <w:tcW w:w="2514" w:type="dxa"/>
          </w:tcPr>
          <w:p w14:paraId="091886FA" w14:textId="77777777" w:rsidR="00A82FD7" w:rsidRPr="00134C33" w:rsidRDefault="00A82FD7" w:rsidP="00FF4C74">
            <w:pPr>
              <w:pStyle w:val="BodyText"/>
              <w:jc w:val="center"/>
              <w:rPr>
                <w:rFonts w:asciiTheme="majorHAnsi" w:hAnsiTheme="majorHAnsi"/>
                <w:b w:val="0"/>
                <w:color w:val="auto"/>
                <w:lang w:val="en-US"/>
              </w:rPr>
            </w:pPr>
            <w:r w:rsidRPr="00134C33">
              <w:rPr>
                <w:rFonts w:asciiTheme="majorHAnsi" w:hAnsiTheme="majorHAnsi"/>
                <w:color w:val="auto"/>
                <w:lang w:val="en-US"/>
              </w:rPr>
              <w:t>Employment</w:t>
            </w:r>
            <w:r w:rsidR="009B5E88" w:rsidRPr="00134C33">
              <w:rPr>
                <w:rFonts w:asciiTheme="majorHAnsi" w:hAnsiTheme="majorHAnsi"/>
                <w:color w:val="auto"/>
                <w:lang w:val="en-US"/>
              </w:rPr>
              <w:t xml:space="preserve"> </w:t>
            </w:r>
          </w:p>
          <w:p w14:paraId="0CFEEAE2" w14:textId="77777777" w:rsidR="00A82FD7" w:rsidRPr="00A82FD7" w:rsidRDefault="00A82FD7" w:rsidP="00FF4C74">
            <w:pPr>
              <w:pStyle w:val="BodyText"/>
              <w:jc w:val="center"/>
              <w:rPr>
                <w:rFonts w:asciiTheme="majorHAnsi" w:hAnsiTheme="majorHAnsi"/>
                <w:lang w:val="en-US"/>
              </w:rPr>
            </w:pPr>
          </w:p>
        </w:tc>
        <w:tc>
          <w:tcPr>
            <w:tcW w:w="2702" w:type="dxa"/>
          </w:tcPr>
          <w:p w14:paraId="2A858D36" w14:textId="77777777" w:rsidR="00A82FD7" w:rsidRPr="00134C33" w:rsidRDefault="00A82FD7" w:rsidP="00A92239">
            <w:pPr>
              <w:pStyle w:val="BodyText"/>
              <w:jc w:val="center"/>
              <w:rPr>
                <w:rFonts w:asciiTheme="majorHAnsi" w:hAnsiTheme="majorHAnsi"/>
                <w:b w:val="0"/>
                <w:color w:val="000000"/>
                <w:lang w:val="en-US"/>
              </w:rPr>
            </w:pPr>
            <w:r w:rsidRPr="00134C33">
              <w:rPr>
                <w:rFonts w:asciiTheme="majorHAnsi" w:hAnsiTheme="majorHAnsi"/>
                <w:color w:val="000000"/>
                <w:lang w:val="en-US"/>
              </w:rPr>
              <w:t>Supply</w:t>
            </w:r>
          </w:p>
        </w:tc>
        <w:tc>
          <w:tcPr>
            <w:tcW w:w="2862" w:type="dxa"/>
          </w:tcPr>
          <w:p w14:paraId="6087116E" w14:textId="77777777" w:rsidR="00A82FD7" w:rsidRPr="00134C33" w:rsidRDefault="00A82FD7" w:rsidP="00A82FD7">
            <w:pPr>
              <w:pStyle w:val="BodyText"/>
              <w:jc w:val="center"/>
              <w:rPr>
                <w:rFonts w:asciiTheme="majorHAnsi" w:hAnsiTheme="majorHAnsi"/>
                <w:b w:val="0"/>
                <w:color w:val="000000"/>
                <w:lang w:val="en-US"/>
              </w:rPr>
            </w:pPr>
            <w:r w:rsidRPr="00134C33">
              <w:rPr>
                <w:rFonts w:asciiTheme="majorHAnsi" w:hAnsiTheme="majorHAnsi"/>
                <w:color w:val="000000"/>
                <w:lang w:val="en-US"/>
              </w:rPr>
              <w:t>Combined</w:t>
            </w:r>
          </w:p>
          <w:p w14:paraId="38B4875F" w14:textId="77777777" w:rsidR="00A82FD7" w:rsidRPr="00134C33" w:rsidRDefault="00A82FD7" w:rsidP="00FF4C74">
            <w:pPr>
              <w:pStyle w:val="BodyText"/>
              <w:jc w:val="center"/>
              <w:rPr>
                <w:rFonts w:asciiTheme="majorHAnsi" w:hAnsiTheme="majorHAnsi"/>
                <w:b w:val="0"/>
                <w:color w:val="000000"/>
                <w:lang w:val="en-US"/>
              </w:rPr>
            </w:pPr>
          </w:p>
        </w:tc>
      </w:tr>
      <w:tr w:rsidR="003F20C7" w:rsidRPr="00A82FD7" w14:paraId="4AC52645" w14:textId="77777777" w:rsidTr="4CD1C992">
        <w:trPr>
          <w:cnfStyle w:val="000000100000" w:firstRow="0" w:lastRow="0" w:firstColumn="0" w:lastColumn="0" w:oddVBand="0" w:evenVBand="0" w:oddHBand="1" w:evenHBand="0" w:firstRowFirstColumn="0" w:firstRowLastColumn="0" w:lastRowFirstColumn="0" w:lastRowLastColumn="0"/>
          <w:trHeight w:val="616"/>
        </w:trPr>
        <w:tc>
          <w:tcPr>
            <w:tcW w:w="2123" w:type="dxa"/>
          </w:tcPr>
          <w:p w14:paraId="7EDAD428" w14:textId="77777777" w:rsidR="003F20C7" w:rsidRPr="00A82FD7" w:rsidRDefault="003F20C7" w:rsidP="00472D1D">
            <w:pPr>
              <w:pStyle w:val="BodyText"/>
              <w:rPr>
                <w:rFonts w:asciiTheme="majorHAnsi" w:hAnsiTheme="majorHAnsi"/>
                <w:b/>
                <w:lang w:val="en-US"/>
              </w:rPr>
            </w:pPr>
            <w:r w:rsidRPr="00A82FD7">
              <w:rPr>
                <w:rFonts w:asciiTheme="majorHAnsi" w:hAnsiTheme="majorHAnsi"/>
                <w:b/>
                <w:lang w:val="en-US"/>
              </w:rPr>
              <w:t>Remote contract-level target</w:t>
            </w:r>
          </w:p>
        </w:tc>
        <w:tc>
          <w:tcPr>
            <w:tcW w:w="2514" w:type="dxa"/>
          </w:tcPr>
          <w:p w14:paraId="2C0A0DFA" w14:textId="77777777" w:rsidR="00927A45" w:rsidRPr="00A82FD7" w:rsidRDefault="00971823" w:rsidP="00B55DFD">
            <w:pPr>
              <w:pStyle w:val="BodyText"/>
              <w:rPr>
                <w:rFonts w:asciiTheme="majorHAnsi" w:hAnsiTheme="majorHAnsi"/>
                <w:lang w:val="en-US"/>
              </w:rPr>
            </w:pPr>
            <w:r w:rsidRPr="00A82FD7">
              <w:rPr>
                <w:rFonts w:asciiTheme="majorHAnsi" w:hAnsiTheme="majorHAnsi"/>
                <w:b/>
                <w:lang w:val="en-US"/>
              </w:rPr>
              <w:t>A significant employment outcome</w:t>
            </w:r>
            <w:r w:rsidR="009B5E88">
              <w:rPr>
                <w:rFonts w:asciiTheme="majorHAnsi" w:hAnsiTheme="majorHAnsi"/>
                <w:b/>
                <w:lang w:val="en-US"/>
              </w:rPr>
              <w:t xml:space="preserve">. This must be </w:t>
            </w:r>
            <w:r w:rsidRPr="00A82FD7">
              <w:rPr>
                <w:rFonts w:asciiTheme="majorHAnsi" w:hAnsiTheme="majorHAnsi"/>
                <w:b/>
                <w:lang w:val="en-US"/>
              </w:rPr>
              <w:t>g</w:t>
            </w:r>
            <w:r w:rsidR="00A82FD7" w:rsidRPr="00A82FD7">
              <w:rPr>
                <w:rFonts w:asciiTheme="majorHAnsi" w:hAnsiTheme="majorHAnsi"/>
                <w:b/>
                <w:lang w:val="en-US"/>
              </w:rPr>
              <w:t xml:space="preserve">reater than </w:t>
            </w:r>
            <w:r w:rsidR="003F20C7" w:rsidRPr="00A82FD7">
              <w:rPr>
                <w:rFonts w:asciiTheme="majorHAnsi" w:hAnsiTheme="majorHAnsi"/>
                <w:b/>
                <w:lang w:val="en-US"/>
              </w:rPr>
              <w:t xml:space="preserve">4 per cent </w:t>
            </w:r>
            <w:r w:rsidR="003F20C7" w:rsidRPr="00A82FD7">
              <w:rPr>
                <w:rFonts w:asciiTheme="majorHAnsi" w:hAnsiTheme="majorHAnsi"/>
                <w:lang w:val="en-US"/>
              </w:rPr>
              <w:t>Indigenous employment (on average) of the full time equivalent Australian-based workforce deployed on the contracted project (by the end of the contract term).</w:t>
            </w:r>
            <w:r w:rsidRPr="00A82FD7">
              <w:rPr>
                <w:rFonts w:asciiTheme="majorHAnsi" w:hAnsiTheme="majorHAnsi"/>
                <w:lang w:val="en-US"/>
              </w:rPr>
              <w:t xml:space="preserve"> </w:t>
            </w:r>
            <w:r w:rsidR="00B55DFD">
              <w:rPr>
                <w:rFonts w:asciiTheme="majorHAnsi" w:hAnsiTheme="majorHAnsi"/>
                <w:lang w:val="en-US"/>
              </w:rPr>
              <w:t>See section 3.1 for more detail.</w:t>
            </w:r>
          </w:p>
        </w:tc>
        <w:tc>
          <w:tcPr>
            <w:tcW w:w="2702" w:type="dxa"/>
          </w:tcPr>
          <w:p w14:paraId="18C6F030" w14:textId="77777777" w:rsidR="003F20C7" w:rsidRPr="00A82FD7" w:rsidRDefault="00971823" w:rsidP="00472D1D">
            <w:pPr>
              <w:pStyle w:val="BodyText"/>
              <w:rPr>
                <w:rFonts w:asciiTheme="majorHAnsi" w:hAnsiTheme="majorHAnsi"/>
                <w:lang w:val="en-US"/>
              </w:rPr>
            </w:pPr>
            <w:r w:rsidRPr="00A82FD7">
              <w:rPr>
                <w:rFonts w:asciiTheme="majorHAnsi" w:hAnsiTheme="majorHAnsi"/>
                <w:b/>
                <w:lang w:val="en-US"/>
              </w:rPr>
              <w:t>A significant supply use outcome</w:t>
            </w:r>
            <w:r w:rsidR="009B5E88">
              <w:rPr>
                <w:rFonts w:asciiTheme="majorHAnsi" w:hAnsiTheme="majorHAnsi"/>
                <w:b/>
                <w:lang w:val="en-US"/>
              </w:rPr>
              <w:t>. This must be</w:t>
            </w:r>
            <w:r w:rsidRPr="00A82FD7">
              <w:rPr>
                <w:rFonts w:asciiTheme="majorHAnsi" w:hAnsiTheme="majorHAnsi"/>
                <w:b/>
                <w:lang w:val="en-US"/>
              </w:rPr>
              <w:t xml:space="preserve"> g</w:t>
            </w:r>
            <w:r w:rsidR="003F20C7" w:rsidRPr="00A82FD7">
              <w:rPr>
                <w:rFonts w:asciiTheme="majorHAnsi" w:hAnsiTheme="majorHAnsi"/>
                <w:b/>
                <w:lang w:val="en-US"/>
              </w:rPr>
              <w:t>reater than 4 per cent of</w:t>
            </w:r>
            <w:r w:rsidR="003F20C7" w:rsidRPr="00A82FD7">
              <w:rPr>
                <w:rFonts w:asciiTheme="majorHAnsi" w:hAnsiTheme="majorHAnsi"/>
                <w:lang w:val="en-US"/>
              </w:rPr>
              <w:t xml:space="preserve"> the value of the goods and services provided under the contract must be awarded to Indigenous enterprises (by the end of the contract term).</w:t>
            </w:r>
            <w:r w:rsidR="00CD641F">
              <w:rPr>
                <w:rFonts w:asciiTheme="majorHAnsi" w:hAnsiTheme="majorHAnsi"/>
                <w:lang w:val="en-US"/>
              </w:rPr>
              <w:t xml:space="preserve"> </w:t>
            </w:r>
            <w:r w:rsidR="00B55DFD" w:rsidRPr="00B55DFD">
              <w:rPr>
                <w:rFonts w:asciiTheme="majorHAnsi" w:hAnsiTheme="majorHAnsi"/>
                <w:lang w:val="en-US"/>
              </w:rPr>
              <w:t xml:space="preserve">See section 3.1 for more </w:t>
            </w:r>
            <w:proofErr w:type="gramStart"/>
            <w:r w:rsidR="00B55DFD" w:rsidRPr="00B55DFD">
              <w:rPr>
                <w:rFonts w:asciiTheme="majorHAnsi" w:hAnsiTheme="majorHAnsi"/>
                <w:lang w:val="en-US"/>
              </w:rPr>
              <w:t>detail</w:t>
            </w:r>
            <w:proofErr w:type="gramEnd"/>
            <w:r w:rsidR="00B55DFD" w:rsidRPr="00B55DFD">
              <w:rPr>
                <w:rFonts w:asciiTheme="majorHAnsi" w:hAnsiTheme="majorHAnsi"/>
                <w:lang w:val="en-US"/>
              </w:rPr>
              <w:t>.</w:t>
            </w:r>
          </w:p>
          <w:p w14:paraId="22F9160A" w14:textId="77777777" w:rsidR="003F20C7" w:rsidRPr="00A82FD7" w:rsidRDefault="003F20C7" w:rsidP="00472D1D">
            <w:pPr>
              <w:pStyle w:val="BodyText"/>
              <w:rPr>
                <w:rFonts w:asciiTheme="majorHAnsi" w:hAnsiTheme="majorHAnsi"/>
                <w:b/>
                <w:lang w:val="en-US"/>
              </w:rPr>
            </w:pPr>
          </w:p>
        </w:tc>
        <w:tc>
          <w:tcPr>
            <w:tcW w:w="2862" w:type="dxa"/>
          </w:tcPr>
          <w:p w14:paraId="48CF44BD" w14:textId="77777777" w:rsidR="003F20C7" w:rsidRPr="00A82FD7" w:rsidRDefault="00971823" w:rsidP="4CD1C992">
            <w:pPr>
              <w:pStyle w:val="BodyText"/>
              <w:rPr>
                <w:rFonts w:asciiTheme="majorHAnsi" w:hAnsiTheme="majorHAnsi"/>
                <w:b/>
                <w:bCs/>
              </w:rPr>
            </w:pPr>
            <w:r w:rsidRPr="4CD1C992">
              <w:rPr>
                <w:rFonts w:asciiTheme="majorHAnsi" w:hAnsiTheme="majorHAnsi"/>
                <w:b/>
                <w:bCs/>
              </w:rPr>
              <w:t>A significant Indigenous participation outcome</w:t>
            </w:r>
            <w:r w:rsidR="009B5E88" w:rsidRPr="4CD1C992">
              <w:rPr>
                <w:rFonts w:asciiTheme="majorHAnsi" w:hAnsiTheme="majorHAnsi"/>
                <w:b/>
                <w:bCs/>
              </w:rPr>
              <w:t xml:space="preserve">. This must be </w:t>
            </w:r>
            <w:r w:rsidRPr="4CD1C992">
              <w:rPr>
                <w:rFonts w:asciiTheme="majorHAnsi" w:hAnsiTheme="majorHAnsi"/>
                <w:b/>
                <w:bCs/>
              </w:rPr>
              <w:t>g</w:t>
            </w:r>
            <w:r w:rsidR="00B55DFD" w:rsidRPr="4CD1C992">
              <w:rPr>
                <w:rFonts w:asciiTheme="majorHAnsi" w:hAnsiTheme="majorHAnsi"/>
                <w:b/>
                <w:bCs/>
              </w:rPr>
              <w:t>reater than 4 per cent</w:t>
            </w:r>
            <w:r w:rsidR="009B5E88" w:rsidRPr="4CD1C992">
              <w:rPr>
                <w:rFonts w:asciiTheme="majorHAnsi" w:hAnsiTheme="majorHAnsi"/>
                <w:b/>
                <w:bCs/>
              </w:rPr>
              <w:t xml:space="preserve">. </w:t>
            </w:r>
            <w:r w:rsidRPr="4CD1C992">
              <w:rPr>
                <w:rFonts w:asciiTheme="majorHAnsi" w:hAnsiTheme="majorHAnsi"/>
                <w:b/>
                <w:bCs/>
              </w:rPr>
              <w:t xml:space="preserve"> </w:t>
            </w:r>
            <w:r w:rsidR="003F20C7" w:rsidRPr="4CD1C992">
              <w:rPr>
                <w:rFonts w:asciiTheme="majorHAnsi" w:hAnsiTheme="majorHAnsi"/>
                <w:b/>
                <w:bCs/>
              </w:rPr>
              <w:t xml:space="preserve"> </w:t>
            </w:r>
          </w:p>
          <w:p w14:paraId="528CEEF6" w14:textId="77777777" w:rsidR="00927A45" w:rsidRPr="00A82FD7" w:rsidRDefault="003F20C7" w:rsidP="00472D1D">
            <w:pPr>
              <w:pStyle w:val="BodyText"/>
              <w:rPr>
                <w:rFonts w:asciiTheme="majorHAnsi" w:hAnsiTheme="majorHAnsi"/>
                <w:sz w:val="6"/>
                <w:szCs w:val="6"/>
                <w:lang w:val="en-US"/>
              </w:rPr>
            </w:pPr>
            <w:r w:rsidRPr="00A82FD7">
              <w:rPr>
                <w:rFonts w:asciiTheme="majorHAnsi" w:hAnsiTheme="majorHAnsi"/>
                <w:lang w:val="en-US"/>
              </w:rPr>
              <w:t>The Employment and Suppl</w:t>
            </w:r>
            <w:r w:rsidR="00A92239" w:rsidRPr="00A82FD7">
              <w:rPr>
                <w:rFonts w:asciiTheme="majorHAnsi" w:hAnsiTheme="majorHAnsi"/>
                <w:lang w:val="en-US"/>
              </w:rPr>
              <w:t xml:space="preserve">y </w:t>
            </w:r>
            <w:r w:rsidRPr="00A82FD7">
              <w:rPr>
                <w:rFonts w:asciiTheme="majorHAnsi" w:hAnsiTheme="majorHAnsi"/>
                <w:lang w:val="en-US"/>
              </w:rPr>
              <w:t xml:space="preserve">target in total is greater than </w:t>
            </w:r>
            <w:r w:rsidRPr="00A82FD7">
              <w:rPr>
                <w:rFonts w:asciiTheme="majorHAnsi" w:hAnsiTheme="majorHAnsi"/>
                <w:b/>
                <w:lang w:val="en-US"/>
              </w:rPr>
              <w:t xml:space="preserve">4 per cent </w:t>
            </w:r>
            <w:r w:rsidRPr="00A82FD7">
              <w:rPr>
                <w:rFonts w:asciiTheme="majorHAnsi" w:hAnsiTheme="majorHAnsi"/>
                <w:lang w:val="en-US"/>
              </w:rPr>
              <w:t>(by the end of the contract term).</w:t>
            </w:r>
            <w:r w:rsidR="00CD641F">
              <w:rPr>
                <w:rFonts w:asciiTheme="majorHAnsi" w:hAnsiTheme="majorHAnsi"/>
                <w:lang w:val="en-US"/>
              </w:rPr>
              <w:t xml:space="preserve"> </w:t>
            </w:r>
            <w:r w:rsidR="00B55DFD" w:rsidRPr="00B55DFD">
              <w:rPr>
                <w:rFonts w:asciiTheme="majorHAnsi" w:hAnsiTheme="majorHAnsi"/>
                <w:lang w:val="en-US"/>
              </w:rPr>
              <w:t xml:space="preserve">See section 3.1 for more </w:t>
            </w:r>
            <w:proofErr w:type="gramStart"/>
            <w:r w:rsidR="00B55DFD" w:rsidRPr="00B55DFD">
              <w:rPr>
                <w:rFonts w:asciiTheme="majorHAnsi" w:hAnsiTheme="majorHAnsi"/>
                <w:lang w:val="en-US"/>
              </w:rPr>
              <w:t>detail</w:t>
            </w:r>
            <w:proofErr w:type="gramEnd"/>
            <w:r w:rsidR="00B55DFD" w:rsidRPr="00B55DFD">
              <w:rPr>
                <w:rFonts w:asciiTheme="majorHAnsi" w:hAnsiTheme="majorHAnsi"/>
                <w:lang w:val="en-US"/>
              </w:rPr>
              <w:t>.</w:t>
            </w:r>
          </w:p>
          <w:p w14:paraId="03B82737" w14:textId="77777777" w:rsidR="003F20C7" w:rsidRPr="00A82FD7" w:rsidRDefault="003F20C7" w:rsidP="00472D1D">
            <w:pPr>
              <w:pStyle w:val="BodyText"/>
              <w:rPr>
                <w:rFonts w:asciiTheme="majorHAnsi" w:hAnsiTheme="majorHAnsi"/>
                <w:b/>
                <w:lang w:val="en-US"/>
              </w:rPr>
            </w:pPr>
          </w:p>
        </w:tc>
      </w:tr>
      <w:tr w:rsidR="003F20C7" w:rsidRPr="00A82FD7" w14:paraId="6EDA1770" w14:textId="77777777" w:rsidTr="4CD1C992">
        <w:trPr>
          <w:trHeight w:val="616"/>
        </w:trPr>
        <w:tc>
          <w:tcPr>
            <w:tcW w:w="2123" w:type="dxa"/>
            <w:hideMark/>
          </w:tcPr>
          <w:p w14:paraId="085A153D" w14:textId="77777777" w:rsidR="003F20C7" w:rsidRPr="00A82FD7" w:rsidRDefault="003F20C7" w:rsidP="00472D1D">
            <w:pPr>
              <w:pStyle w:val="BodyText"/>
              <w:rPr>
                <w:rFonts w:asciiTheme="majorHAnsi" w:hAnsiTheme="majorHAnsi"/>
                <w:b/>
              </w:rPr>
            </w:pPr>
            <w:proofErr w:type="spellStart"/>
            <w:r w:rsidRPr="00A82FD7">
              <w:rPr>
                <w:rFonts w:asciiTheme="majorHAnsi" w:hAnsiTheme="majorHAnsi"/>
                <w:b/>
                <w:lang w:val="en-US"/>
              </w:rPr>
              <w:t>Organisation</w:t>
            </w:r>
            <w:proofErr w:type="spellEnd"/>
            <w:r w:rsidRPr="00A82FD7">
              <w:rPr>
                <w:rFonts w:asciiTheme="majorHAnsi" w:hAnsiTheme="majorHAnsi"/>
                <w:b/>
                <w:lang w:val="en-US"/>
              </w:rPr>
              <w:t>-level target</w:t>
            </w:r>
          </w:p>
        </w:tc>
        <w:tc>
          <w:tcPr>
            <w:tcW w:w="2514" w:type="dxa"/>
            <w:hideMark/>
          </w:tcPr>
          <w:p w14:paraId="02ED756B" w14:textId="77777777" w:rsidR="003F20C7" w:rsidRPr="00A82FD7" w:rsidRDefault="003F20C7" w:rsidP="008C54A1">
            <w:pPr>
              <w:pStyle w:val="BodyText"/>
              <w:rPr>
                <w:rFonts w:asciiTheme="majorHAnsi" w:hAnsiTheme="majorHAnsi"/>
              </w:rPr>
            </w:pPr>
            <w:r w:rsidRPr="00A82FD7">
              <w:rPr>
                <w:rFonts w:asciiTheme="majorHAnsi" w:hAnsiTheme="majorHAnsi"/>
                <w:b/>
                <w:lang w:val="en-US"/>
              </w:rPr>
              <w:t>3 per cent</w:t>
            </w:r>
            <w:r w:rsidRPr="00A82FD7">
              <w:rPr>
                <w:rFonts w:asciiTheme="majorHAnsi" w:hAnsiTheme="majorHAnsi"/>
                <w:lang w:val="en-US"/>
              </w:rPr>
              <w:t xml:space="preserve"> Indigenous employment (</w:t>
            </w:r>
            <w:r w:rsidR="008C54A1" w:rsidRPr="00A82FD7">
              <w:rPr>
                <w:rFonts w:asciiTheme="majorHAnsi" w:hAnsiTheme="majorHAnsi"/>
                <w:lang w:val="en-US"/>
              </w:rPr>
              <w:t xml:space="preserve">as a weighted </w:t>
            </w:r>
            <w:r w:rsidRPr="00A82FD7">
              <w:rPr>
                <w:rFonts w:asciiTheme="majorHAnsi" w:hAnsiTheme="majorHAnsi"/>
                <w:lang w:val="en-US"/>
              </w:rPr>
              <w:t>average) of the full time equivalent Australian-based workforce of the supplier (by the end of the contract term).</w:t>
            </w:r>
            <w:r w:rsidR="00B55DFD">
              <w:rPr>
                <w:rFonts w:asciiTheme="majorHAnsi" w:hAnsiTheme="majorHAnsi"/>
                <w:lang w:val="en-US"/>
              </w:rPr>
              <w:t xml:space="preserve"> See Section 3.2.2 for more details. </w:t>
            </w:r>
          </w:p>
        </w:tc>
        <w:tc>
          <w:tcPr>
            <w:tcW w:w="2702" w:type="dxa"/>
            <w:hideMark/>
          </w:tcPr>
          <w:p w14:paraId="6ABE3C72" w14:textId="77777777" w:rsidR="003F20C7" w:rsidRPr="00A82FD7" w:rsidRDefault="003F20C7" w:rsidP="00472D1D">
            <w:pPr>
              <w:pStyle w:val="BodyText"/>
              <w:rPr>
                <w:rFonts w:asciiTheme="majorHAnsi" w:hAnsiTheme="majorHAnsi"/>
              </w:rPr>
            </w:pPr>
            <w:r w:rsidRPr="00A82FD7">
              <w:rPr>
                <w:rFonts w:asciiTheme="majorHAnsi" w:hAnsiTheme="majorHAnsi"/>
                <w:b/>
                <w:lang w:val="en-US"/>
              </w:rPr>
              <w:t>3 per cent</w:t>
            </w:r>
            <w:r w:rsidRPr="00A82FD7">
              <w:rPr>
                <w:rFonts w:asciiTheme="majorHAnsi" w:hAnsiTheme="majorHAnsi"/>
                <w:lang w:val="en-US"/>
              </w:rPr>
              <w:t xml:space="preserve"> of the value of the supplier’s Australian supply chain must be awarded to Indigenous enterprises (by the end of the contract term).</w:t>
            </w:r>
            <w:r w:rsidR="00B55DFD">
              <w:rPr>
                <w:rFonts w:asciiTheme="majorHAnsi" w:hAnsiTheme="majorHAnsi"/>
                <w:lang w:val="en-US"/>
              </w:rPr>
              <w:t xml:space="preserve"> </w:t>
            </w:r>
            <w:r w:rsidR="00B55DFD" w:rsidRPr="00B55DFD">
              <w:rPr>
                <w:rFonts w:asciiTheme="majorHAnsi" w:hAnsiTheme="majorHAnsi"/>
                <w:lang w:val="en-US"/>
              </w:rPr>
              <w:t>See section 3.1 for more detail.</w:t>
            </w:r>
          </w:p>
        </w:tc>
        <w:tc>
          <w:tcPr>
            <w:tcW w:w="2862" w:type="dxa"/>
            <w:hideMark/>
          </w:tcPr>
          <w:p w14:paraId="1F21D28F" w14:textId="77777777" w:rsidR="003F20C7" w:rsidRPr="00A82FD7" w:rsidRDefault="003F20C7" w:rsidP="00472D1D">
            <w:pPr>
              <w:pStyle w:val="BodyText"/>
              <w:rPr>
                <w:rFonts w:asciiTheme="majorHAnsi" w:hAnsiTheme="majorHAnsi"/>
                <w:lang w:val="en-US"/>
              </w:rPr>
            </w:pPr>
            <w:r w:rsidRPr="00A82FD7">
              <w:rPr>
                <w:rFonts w:asciiTheme="majorHAnsi" w:hAnsiTheme="majorHAnsi"/>
                <w:lang w:val="en-US"/>
              </w:rPr>
              <w:t>Employment and Suppl</w:t>
            </w:r>
            <w:r w:rsidR="00A92239" w:rsidRPr="00A82FD7">
              <w:rPr>
                <w:rFonts w:asciiTheme="majorHAnsi" w:hAnsiTheme="majorHAnsi"/>
                <w:lang w:val="en-US"/>
              </w:rPr>
              <w:t>y target</w:t>
            </w:r>
            <w:r w:rsidRPr="00A82FD7">
              <w:rPr>
                <w:rFonts w:asciiTheme="majorHAnsi" w:hAnsiTheme="majorHAnsi"/>
                <w:lang w:val="en-US"/>
              </w:rPr>
              <w:t xml:space="preserve"> total in value to </w:t>
            </w:r>
            <w:r w:rsidRPr="00A82FD7">
              <w:rPr>
                <w:rFonts w:asciiTheme="majorHAnsi" w:hAnsiTheme="majorHAnsi"/>
                <w:b/>
                <w:lang w:val="en-US"/>
              </w:rPr>
              <w:t xml:space="preserve">3 per cent </w:t>
            </w:r>
            <w:r w:rsidRPr="00A82FD7">
              <w:rPr>
                <w:rFonts w:asciiTheme="majorHAnsi" w:hAnsiTheme="majorHAnsi"/>
                <w:lang w:val="en-US"/>
              </w:rPr>
              <w:t>(by the end of the contract term).</w:t>
            </w:r>
          </w:p>
          <w:p w14:paraId="6F978D11" w14:textId="77777777" w:rsidR="00927A45" w:rsidRPr="00A82FD7" w:rsidRDefault="00927A45" w:rsidP="00472D1D">
            <w:pPr>
              <w:pStyle w:val="BodyText"/>
              <w:rPr>
                <w:rFonts w:asciiTheme="majorHAnsi" w:hAnsiTheme="majorHAnsi"/>
                <w:sz w:val="6"/>
                <w:szCs w:val="6"/>
                <w:lang w:val="en-US"/>
              </w:rPr>
            </w:pPr>
          </w:p>
          <w:p w14:paraId="240BAC34" w14:textId="77777777" w:rsidR="00927A45" w:rsidRPr="00A82FD7" w:rsidRDefault="003F20C7" w:rsidP="00472D1D">
            <w:pPr>
              <w:pStyle w:val="BodyText"/>
              <w:rPr>
                <w:rFonts w:asciiTheme="majorHAnsi" w:hAnsiTheme="majorHAnsi"/>
              </w:rPr>
            </w:pPr>
            <w:r w:rsidRPr="00A82FD7">
              <w:rPr>
                <w:rFonts w:asciiTheme="majorHAnsi" w:hAnsiTheme="majorHAnsi"/>
                <w:lang w:val="en-US"/>
              </w:rPr>
              <w:t xml:space="preserve">For example: a 2 per cent Indigenous employment outcome and a 1 per cent Indigenous supplier-use outcome delivers a combined outcome </w:t>
            </w:r>
            <w:r w:rsidRPr="00A82FD7">
              <w:rPr>
                <w:rFonts w:asciiTheme="majorHAnsi" w:hAnsiTheme="majorHAnsi"/>
                <w:b/>
                <w:lang w:val="en-US"/>
              </w:rPr>
              <w:t>of 3 per cent</w:t>
            </w:r>
            <w:r w:rsidRPr="00B55DFD">
              <w:rPr>
                <w:rFonts w:asciiTheme="majorHAnsi" w:hAnsiTheme="majorHAnsi"/>
                <w:lang w:val="en-US"/>
              </w:rPr>
              <w:t>.</w:t>
            </w:r>
            <w:r w:rsidR="00B55DFD" w:rsidRPr="00B55DFD">
              <w:t xml:space="preserve"> </w:t>
            </w:r>
            <w:r w:rsidR="00B55DFD" w:rsidRPr="00B55DFD">
              <w:rPr>
                <w:rFonts w:asciiTheme="majorHAnsi" w:hAnsiTheme="majorHAnsi"/>
                <w:lang w:val="en-US"/>
              </w:rPr>
              <w:t>See section 3.1 for more detail.</w:t>
            </w:r>
          </w:p>
        </w:tc>
      </w:tr>
      <w:tr w:rsidR="003F20C7" w:rsidRPr="00A82FD7" w14:paraId="47A35518" w14:textId="77777777" w:rsidTr="4CD1C992">
        <w:trPr>
          <w:cnfStyle w:val="000000100000" w:firstRow="0" w:lastRow="0" w:firstColumn="0" w:lastColumn="0" w:oddVBand="0" w:evenVBand="0" w:oddHBand="1" w:evenHBand="0" w:firstRowFirstColumn="0" w:firstRowLastColumn="0" w:lastRowFirstColumn="0" w:lastRowLastColumn="0"/>
          <w:trHeight w:val="616"/>
        </w:trPr>
        <w:tc>
          <w:tcPr>
            <w:tcW w:w="2123" w:type="dxa"/>
            <w:hideMark/>
          </w:tcPr>
          <w:p w14:paraId="3FC207A4" w14:textId="77777777" w:rsidR="003F20C7" w:rsidRPr="00A82FD7" w:rsidRDefault="003F20C7" w:rsidP="00472D1D">
            <w:pPr>
              <w:pStyle w:val="BodyText"/>
              <w:rPr>
                <w:rFonts w:asciiTheme="majorHAnsi" w:hAnsiTheme="majorHAnsi"/>
                <w:b/>
                <w:lang w:val="en-US"/>
              </w:rPr>
            </w:pPr>
            <w:r w:rsidRPr="00A82FD7">
              <w:rPr>
                <w:rFonts w:asciiTheme="majorHAnsi" w:hAnsiTheme="majorHAnsi"/>
                <w:b/>
                <w:lang w:val="en-US"/>
              </w:rPr>
              <w:t>Non – remote contract-level target</w:t>
            </w:r>
          </w:p>
        </w:tc>
        <w:tc>
          <w:tcPr>
            <w:tcW w:w="2514" w:type="dxa"/>
            <w:hideMark/>
          </w:tcPr>
          <w:p w14:paraId="11AC0469" w14:textId="77777777" w:rsidR="003F20C7" w:rsidRPr="00A82FD7" w:rsidRDefault="003F20C7" w:rsidP="008C54A1">
            <w:pPr>
              <w:pStyle w:val="BodyText"/>
              <w:rPr>
                <w:rFonts w:asciiTheme="majorHAnsi" w:hAnsiTheme="majorHAnsi"/>
                <w:b/>
                <w:lang w:val="en-US"/>
              </w:rPr>
            </w:pPr>
            <w:r w:rsidRPr="00A82FD7">
              <w:rPr>
                <w:rFonts w:asciiTheme="majorHAnsi" w:hAnsiTheme="majorHAnsi"/>
                <w:b/>
                <w:lang w:val="en-US"/>
              </w:rPr>
              <w:t xml:space="preserve">4 per cent </w:t>
            </w:r>
            <w:r w:rsidRPr="00A82FD7">
              <w:rPr>
                <w:rFonts w:asciiTheme="majorHAnsi" w:hAnsiTheme="majorHAnsi"/>
                <w:lang w:val="en-US"/>
              </w:rPr>
              <w:t>Indigenous employment (</w:t>
            </w:r>
            <w:r w:rsidR="008C54A1" w:rsidRPr="00A82FD7">
              <w:rPr>
                <w:rFonts w:asciiTheme="majorHAnsi" w:hAnsiTheme="majorHAnsi"/>
                <w:lang w:val="en-US"/>
              </w:rPr>
              <w:t xml:space="preserve">as weighted </w:t>
            </w:r>
            <w:r w:rsidRPr="00A82FD7">
              <w:rPr>
                <w:rFonts w:asciiTheme="majorHAnsi" w:hAnsiTheme="majorHAnsi"/>
                <w:lang w:val="en-US"/>
              </w:rPr>
              <w:t>average) of the full time equivalent Australian-based workforce deployed on the contracted project (by the end of the contract term).</w:t>
            </w:r>
            <w:r w:rsidR="00B55DFD">
              <w:rPr>
                <w:rFonts w:asciiTheme="majorHAnsi" w:hAnsiTheme="majorHAnsi"/>
                <w:lang w:val="en-US"/>
              </w:rPr>
              <w:t xml:space="preserve"> See Section 3.2.1 for more detail.</w:t>
            </w:r>
          </w:p>
        </w:tc>
        <w:tc>
          <w:tcPr>
            <w:tcW w:w="2702" w:type="dxa"/>
            <w:hideMark/>
          </w:tcPr>
          <w:p w14:paraId="0F31DDDB" w14:textId="77777777" w:rsidR="003F20C7" w:rsidRPr="00A82FD7" w:rsidRDefault="003F20C7" w:rsidP="00A92239">
            <w:pPr>
              <w:pStyle w:val="BodyText"/>
              <w:rPr>
                <w:rFonts w:asciiTheme="majorHAnsi" w:hAnsiTheme="majorHAnsi"/>
                <w:b/>
                <w:lang w:val="en-US"/>
              </w:rPr>
            </w:pPr>
            <w:r w:rsidRPr="00A82FD7">
              <w:rPr>
                <w:rFonts w:asciiTheme="majorHAnsi" w:hAnsiTheme="majorHAnsi"/>
                <w:b/>
                <w:lang w:val="en-US"/>
              </w:rPr>
              <w:t xml:space="preserve">4 per cent </w:t>
            </w:r>
            <w:r w:rsidRPr="00A82FD7">
              <w:rPr>
                <w:rFonts w:asciiTheme="majorHAnsi" w:hAnsiTheme="majorHAnsi"/>
                <w:lang w:val="en-US"/>
              </w:rPr>
              <w:t>of the value of the goods and services provided under the contract must be awarded to Indigenous enterprises (by the end of the contract term)</w:t>
            </w:r>
            <w:r w:rsidR="00B55DFD">
              <w:rPr>
                <w:rFonts w:asciiTheme="majorHAnsi" w:hAnsiTheme="majorHAnsi"/>
                <w:lang w:val="en-US"/>
              </w:rPr>
              <w:t>. See Section 3.2.1 for more detail.</w:t>
            </w:r>
          </w:p>
        </w:tc>
        <w:tc>
          <w:tcPr>
            <w:tcW w:w="2862" w:type="dxa"/>
            <w:hideMark/>
          </w:tcPr>
          <w:p w14:paraId="0718C665" w14:textId="77777777" w:rsidR="003F20C7" w:rsidRPr="00A82FD7" w:rsidRDefault="003F20C7" w:rsidP="00472D1D">
            <w:pPr>
              <w:pStyle w:val="BodyText"/>
              <w:rPr>
                <w:rFonts w:asciiTheme="majorHAnsi" w:hAnsiTheme="majorHAnsi"/>
                <w:lang w:val="en-US"/>
              </w:rPr>
            </w:pPr>
            <w:r w:rsidRPr="00A82FD7">
              <w:rPr>
                <w:rFonts w:asciiTheme="majorHAnsi" w:hAnsiTheme="majorHAnsi"/>
                <w:lang w:val="en-US"/>
              </w:rPr>
              <w:t>The Employment and Supp</w:t>
            </w:r>
            <w:r w:rsidR="00A92239" w:rsidRPr="00A82FD7">
              <w:rPr>
                <w:rFonts w:asciiTheme="majorHAnsi" w:hAnsiTheme="majorHAnsi"/>
                <w:lang w:val="en-US"/>
              </w:rPr>
              <w:t xml:space="preserve">ly </w:t>
            </w:r>
            <w:r w:rsidRPr="00A82FD7">
              <w:rPr>
                <w:rFonts w:asciiTheme="majorHAnsi" w:hAnsiTheme="majorHAnsi"/>
                <w:lang w:val="en-US"/>
              </w:rPr>
              <w:t xml:space="preserve">target </w:t>
            </w:r>
            <w:r w:rsidRPr="00A82FD7">
              <w:rPr>
                <w:rFonts w:asciiTheme="majorHAnsi" w:hAnsiTheme="majorHAnsi"/>
                <w:b/>
                <w:lang w:val="en-US"/>
              </w:rPr>
              <w:t xml:space="preserve">total </w:t>
            </w:r>
            <w:proofErr w:type="gramStart"/>
            <w:r w:rsidRPr="00A82FD7">
              <w:rPr>
                <w:rFonts w:asciiTheme="majorHAnsi" w:hAnsiTheme="majorHAnsi"/>
                <w:b/>
                <w:lang w:val="en-US"/>
              </w:rPr>
              <w:t>4 per</w:t>
            </w:r>
            <w:proofErr w:type="gramEnd"/>
            <w:r w:rsidRPr="00A82FD7">
              <w:rPr>
                <w:rFonts w:asciiTheme="majorHAnsi" w:hAnsiTheme="majorHAnsi"/>
                <w:b/>
                <w:lang w:val="en-US"/>
              </w:rPr>
              <w:t xml:space="preserve"> cent</w:t>
            </w:r>
            <w:r w:rsidRPr="00A82FD7">
              <w:rPr>
                <w:rFonts w:asciiTheme="majorHAnsi" w:hAnsiTheme="majorHAnsi"/>
                <w:lang w:val="en-US"/>
              </w:rPr>
              <w:t xml:space="preserve"> (by the end of the contract term).</w:t>
            </w:r>
          </w:p>
          <w:p w14:paraId="5C7FCE22" w14:textId="77777777" w:rsidR="002E433A" w:rsidRPr="00A82FD7" w:rsidRDefault="002E433A" w:rsidP="00472D1D">
            <w:pPr>
              <w:pStyle w:val="BodyText"/>
              <w:rPr>
                <w:rFonts w:asciiTheme="majorHAnsi" w:hAnsiTheme="majorHAnsi"/>
                <w:sz w:val="6"/>
                <w:szCs w:val="6"/>
                <w:lang w:val="en-US"/>
              </w:rPr>
            </w:pPr>
          </w:p>
          <w:p w14:paraId="2E13C618" w14:textId="77777777" w:rsidR="003F20C7" w:rsidRPr="00A82FD7" w:rsidRDefault="003F20C7" w:rsidP="00A92239">
            <w:pPr>
              <w:pStyle w:val="BodyText"/>
              <w:spacing w:after="120"/>
              <w:rPr>
                <w:rFonts w:asciiTheme="majorHAnsi" w:hAnsiTheme="majorHAnsi"/>
                <w:lang w:val="en-US"/>
              </w:rPr>
            </w:pPr>
            <w:r w:rsidRPr="00A82FD7">
              <w:rPr>
                <w:rFonts w:asciiTheme="majorHAnsi" w:hAnsiTheme="majorHAnsi"/>
                <w:lang w:val="en-US"/>
              </w:rPr>
              <w:t>For example: a 1 per cent Indigenous employment outcome and a 3 per cent Indigenous suppl</w:t>
            </w:r>
            <w:r w:rsidR="00A92239" w:rsidRPr="00A82FD7">
              <w:rPr>
                <w:rFonts w:asciiTheme="majorHAnsi" w:hAnsiTheme="majorHAnsi"/>
                <w:lang w:val="en-US"/>
              </w:rPr>
              <w:t>y</w:t>
            </w:r>
            <w:r w:rsidRPr="00A82FD7">
              <w:rPr>
                <w:rFonts w:asciiTheme="majorHAnsi" w:hAnsiTheme="majorHAnsi"/>
                <w:lang w:val="en-US"/>
              </w:rPr>
              <w:t>-use outcome delivers a combined outcome of 4 per cent.</w:t>
            </w:r>
            <w:r w:rsidR="00B55DFD">
              <w:rPr>
                <w:rFonts w:asciiTheme="majorHAnsi" w:hAnsiTheme="majorHAnsi"/>
                <w:lang w:val="en-US"/>
              </w:rPr>
              <w:t xml:space="preserve"> </w:t>
            </w:r>
            <w:r w:rsidR="00B55DFD" w:rsidRPr="00B55DFD">
              <w:rPr>
                <w:rFonts w:asciiTheme="majorHAnsi" w:hAnsiTheme="majorHAnsi"/>
                <w:lang w:val="en-US"/>
              </w:rPr>
              <w:t>See Section 3.2.1 for more detail.</w:t>
            </w:r>
          </w:p>
        </w:tc>
      </w:tr>
    </w:tbl>
    <w:p w14:paraId="60045368" w14:textId="77777777" w:rsidR="00322305" w:rsidRPr="00A82FD7" w:rsidRDefault="00B80395" w:rsidP="00C0603C">
      <w:pPr>
        <w:pStyle w:val="Heading3"/>
      </w:pPr>
      <w:bookmarkStart w:id="35" w:name="_Toc223528533"/>
      <w:r w:rsidRPr="00134C33">
        <w:rPr>
          <w:color w:val="A55700" w:themeColor="accent4" w:themeShade="BF"/>
        </w:rPr>
        <w:t>3</w:t>
      </w:r>
      <w:r w:rsidR="00E83B3E" w:rsidRPr="00134C33">
        <w:rPr>
          <w:color w:val="A55700" w:themeColor="accent4" w:themeShade="BF"/>
        </w:rPr>
        <w:t xml:space="preserve">.1 Minimum targets for </w:t>
      </w:r>
      <w:r w:rsidR="00322305" w:rsidRPr="00A82FD7">
        <w:rPr>
          <w:b/>
          <w:u w:val="single"/>
        </w:rPr>
        <w:t xml:space="preserve">remote </w:t>
      </w:r>
      <w:r w:rsidR="00161F22" w:rsidRPr="00A82FD7">
        <w:rPr>
          <w:b/>
          <w:u w:val="single"/>
        </w:rPr>
        <w:t>procurements</w:t>
      </w:r>
      <w:bookmarkEnd w:id="35"/>
      <w:r w:rsidR="00161F22" w:rsidRPr="00A82FD7">
        <w:rPr>
          <w:b/>
          <w:u w:val="single"/>
        </w:rPr>
        <w:t xml:space="preserve"> </w:t>
      </w:r>
    </w:p>
    <w:p w14:paraId="2100A6E2" w14:textId="77777777" w:rsidR="00021282" w:rsidRPr="00A82FD7" w:rsidRDefault="00322305" w:rsidP="002E433A">
      <w:pPr>
        <w:pStyle w:val="BodyText"/>
        <w:rPr>
          <w:rFonts w:asciiTheme="majorHAnsi" w:hAnsiTheme="majorHAnsi"/>
        </w:rPr>
      </w:pPr>
      <w:r w:rsidRPr="00A82FD7">
        <w:rPr>
          <w:rFonts w:asciiTheme="majorHAnsi" w:hAnsiTheme="majorHAnsi"/>
        </w:rPr>
        <w:t xml:space="preserve">Where a component of a contract will be delivered in remote Australia, the MMR must deliver a </w:t>
      </w:r>
      <w:r w:rsidRPr="00A82FD7">
        <w:rPr>
          <w:rFonts w:asciiTheme="majorHAnsi" w:hAnsiTheme="majorHAnsi"/>
          <w:i/>
        </w:rPr>
        <w:t>significant</w:t>
      </w:r>
      <w:r w:rsidRPr="00A82FD7">
        <w:rPr>
          <w:rFonts w:asciiTheme="majorHAnsi" w:hAnsiTheme="majorHAnsi"/>
        </w:rPr>
        <w:t xml:space="preserve"> Indigenous employment or supply use outcome</w:t>
      </w:r>
      <w:r w:rsidR="00020CB5" w:rsidRPr="00A82FD7">
        <w:rPr>
          <w:rFonts w:asciiTheme="majorHAnsi" w:hAnsiTheme="majorHAnsi"/>
        </w:rPr>
        <w:t xml:space="preserve"> by the end of the contract term. </w:t>
      </w:r>
      <w:r w:rsidR="00020CB5" w:rsidRPr="00A82FD7">
        <w:rPr>
          <w:rFonts w:asciiTheme="majorHAnsi" w:hAnsiTheme="majorHAnsi"/>
          <w:b/>
        </w:rPr>
        <w:t>At a minimum, the target must exceed 4 per cent (4%) of the value of the contract</w:t>
      </w:r>
      <w:r w:rsidR="0003303C" w:rsidRPr="00A82FD7">
        <w:rPr>
          <w:rFonts w:asciiTheme="majorHAnsi" w:hAnsiTheme="majorHAnsi"/>
        </w:rPr>
        <w:t xml:space="preserve">. </w:t>
      </w:r>
      <w:r w:rsidR="0003303C" w:rsidRPr="00E43360">
        <w:rPr>
          <w:rFonts w:asciiTheme="majorHAnsi" w:hAnsiTheme="majorHAnsi"/>
        </w:rPr>
        <w:t>Section 3</w:t>
      </w:r>
      <w:r w:rsidR="00020CB5" w:rsidRPr="00E43360">
        <w:rPr>
          <w:rFonts w:asciiTheme="majorHAnsi" w:hAnsiTheme="majorHAnsi"/>
        </w:rPr>
        <w:t>.1.3</w:t>
      </w:r>
      <w:r w:rsidR="00020CB5" w:rsidRPr="00A82FD7">
        <w:rPr>
          <w:rFonts w:asciiTheme="majorHAnsi" w:hAnsiTheme="majorHAnsi"/>
        </w:rPr>
        <w:t xml:space="preserve"> will help determine an appropriate target for a remote contract</w:t>
      </w:r>
      <w:r w:rsidR="000932B6" w:rsidRPr="00A82FD7">
        <w:rPr>
          <w:rFonts w:asciiTheme="majorHAnsi" w:hAnsiTheme="majorHAnsi"/>
        </w:rPr>
        <w:t xml:space="preserve"> in line with MMR.</w:t>
      </w:r>
    </w:p>
    <w:p w14:paraId="310EE75F" w14:textId="77777777" w:rsidR="00322305" w:rsidRPr="00134C33" w:rsidRDefault="00B80395" w:rsidP="00D440EA">
      <w:pPr>
        <w:pStyle w:val="Heading4"/>
        <w:rPr>
          <w:color w:val="6E3A00" w:themeColor="accent4" w:themeShade="80"/>
        </w:rPr>
      </w:pPr>
      <w:r w:rsidRPr="00134C33">
        <w:rPr>
          <w:color w:val="6E3A00" w:themeColor="accent4" w:themeShade="80"/>
        </w:rPr>
        <w:lastRenderedPageBreak/>
        <w:t>3</w:t>
      </w:r>
      <w:r w:rsidR="00307BDF" w:rsidRPr="00134C33">
        <w:rPr>
          <w:color w:val="6E3A00" w:themeColor="accent4" w:themeShade="80"/>
        </w:rPr>
        <w:t>.</w:t>
      </w:r>
      <w:r w:rsidR="00020CB5" w:rsidRPr="00134C33">
        <w:rPr>
          <w:color w:val="6E3A00" w:themeColor="accent4" w:themeShade="80"/>
        </w:rPr>
        <w:t>1.1</w:t>
      </w:r>
      <w:r w:rsidR="00322305" w:rsidRPr="00134C33">
        <w:rPr>
          <w:color w:val="6E3A00" w:themeColor="accent4" w:themeShade="80"/>
        </w:rPr>
        <w:t xml:space="preserve"> Determining the remote component </w:t>
      </w:r>
      <w:r w:rsidR="000932B6" w:rsidRPr="00134C33">
        <w:rPr>
          <w:color w:val="6E3A00" w:themeColor="accent4" w:themeShade="80"/>
        </w:rPr>
        <w:t xml:space="preserve">of </w:t>
      </w:r>
      <w:r w:rsidR="00322305" w:rsidRPr="00134C33">
        <w:rPr>
          <w:color w:val="6E3A00" w:themeColor="accent4" w:themeShade="80"/>
        </w:rPr>
        <w:t xml:space="preserve">a contract </w:t>
      </w:r>
    </w:p>
    <w:p w14:paraId="23CEF4FD" w14:textId="77777777" w:rsidR="00307BDF" w:rsidRPr="00A82FD7" w:rsidRDefault="001E4625" w:rsidP="001E4625">
      <w:pPr>
        <w:pStyle w:val="BodyText"/>
        <w:rPr>
          <w:rFonts w:asciiTheme="majorHAnsi" w:hAnsiTheme="majorHAnsi"/>
        </w:rPr>
      </w:pPr>
      <w:r w:rsidRPr="001E4625">
        <w:rPr>
          <w:rFonts w:asciiTheme="majorHAnsi" w:hAnsiTheme="majorHAnsi"/>
        </w:rPr>
        <w:t xml:space="preserve">Remote Australia has a unique definition under the IPP, it includes highly populated cities and towns such as Darwin, Broome and Alice Springs as well as sparsely populated regions like Central Australia. The NIAA maintains an interactive map that allows users to search Australia by location to determine whether an area is remote: </w:t>
      </w:r>
      <w:hyperlink r:id="rId23" w:history="1">
        <w:r w:rsidRPr="00134C33">
          <w:rPr>
            <w:rStyle w:val="Hyperlink"/>
            <w:rFonts w:asciiTheme="majorHAnsi" w:hAnsiTheme="majorHAnsi"/>
            <w:color w:val="015E8A" w:themeColor="text2" w:themeTint="E6"/>
          </w:rPr>
          <w:t>www.niaa.gov.au/resource-centre/indigenous-affairs/ripp-map-data</w:t>
        </w:r>
      </w:hyperlink>
      <w:r w:rsidR="000932B6" w:rsidRPr="001E4625">
        <w:rPr>
          <w:rStyle w:val="BodyTextChar"/>
          <w:noProof/>
          <w:lang w:eastAsia="en-AU"/>
        </w:rPr>
        <w:drawing>
          <wp:anchor distT="0" distB="0" distL="114300" distR="114300" simplePos="0" relativeHeight="251658244" behindDoc="0" locked="0" layoutInCell="1" allowOverlap="1" wp14:anchorId="093B5AE0" wp14:editId="1D74EA45">
            <wp:simplePos x="0" y="0"/>
            <wp:positionH relativeFrom="margin">
              <wp:align>left</wp:align>
            </wp:positionH>
            <wp:positionV relativeFrom="paragraph">
              <wp:posOffset>85725</wp:posOffset>
            </wp:positionV>
            <wp:extent cx="3390265" cy="2974975"/>
            <wp:effectExtent l="0" t="0" r="635" b="0"/>
            <wp:wrapSquare wrapText="bothSides"/>
            <wp:docPr id="25" name="Picture 25" descr="Remote Australia has a unique definition under the IPP, it includes highly populated cities and towns such as Darwin, Broome and Alice Springs as well as sparsely populated regions like Central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Remote Australia has a unique definition under the IPP, it includes highly populated cities and towns such as Darwin, Broome and Alice Springs as well as sparsely populated regions like Central Austral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0265" cy="29749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rPr>
        <w:t xml:space="preserve">. </w:t>
      </w:r>
    </w:p>
    <w:p w14:paraId="559960B4" w14:textId="77777777" w:rsidR="00322305" w:rsidRPr="00134C33" w:rsidRDefault="00B80395" w:rsidP="00020CB5">
      <w:pPr>
        <w:pStyle w:val="Heading4"/>
        <w:rPr>
          <w:color w:val="A55700" w:themeColor="accent4" w:themeShade="BF"/>
        </w:rPr>
      </w:pPr>
      <w:r w:rsidRPr="00134C33">
        <w:rPr>
          <w:color w:val="A55700" w:themeColor="accent4" w:themeShade="BF"/>
        </w:rPr>
        <w:t>3</w:t>
      </w:r>
      <w:r w:rsidR="00307BDF" w:rsidRPr="00134C33">
        <w:rPr>
          <w:color w:val="A55700" w:themeColor="accent4" w:themeShade="BF"/>
        </w:rPr>
        <w:t>.</w:t>
      </w:r>
      <w:r w:rsidR="00020CB5" w:rsidRPr="00134C33">
        <w:rPr>
          <w:color w:val="A55700" w:themeColor="accent4" w:themeShade="BF"/>
        </w:rPr>
        <w:t>1.2</w:t>
      </w:r>
      <w:r w:rsidR="00307BDF" w:rsidRPr="00134C33">
        <w:rPr>
          <w:color w:val="A55700" w:themeColor="accent4" w:themeShade="BF"/>
        </w:rPr>
        <w:t xml:space="preserve"> </w:t>
      </w:r>
      <w:r w:rsidR="00322305" w:rsidRPr="00134C33">
        <w:rPr>
          <w:color w:val="A55700" w:themeColor="accent4" w:themeShade="BF"/>
        </w:rPr>
        <w:t>Identify</w:t>
      </w:r>
      <w:r w:rsidR="00307BDF" w:rsidRPr="00134C33">
        <w:rPr>
          <w:color w:val="A55700" w:themeColor="accent4" w:themeShade="BF"/>
        </w:rPr>
        <w:t>ing</w:t>
      </w:r>
      <w:r w:rsidR="00322305" w:rsidRPr="00134C33">
        <w:rPr>
          <w:color w:val="A55700" w:themeColor="accent4" w:themeShade="BF"/>
        </w:rPr>
        <w:t xml:space="preserve"> the delivery point </w:t>
      </w:r>
    </w:p>
    <w:p w14:paraId="781FCE93" w14:textId="77777777" w:rsidR="00B44F3B" w:rsidRPr="00A82FD7" w:rsidRDefault="00322305" w:rsidP="00322305">
      <w:pPr>
        <w:pStyle w:val="BodyText"/>
        <w:rPr>
          <w:rFonts w:asciiTheme="majorHAnsi" w:hAnsiTheme="majorHAnsi"/>
        </w:rPr>
      </w:pPr>
      <w:r w:rsidRPr="00A82FD7">
        <w:rPr>
          <w:rFonts w:asciiTheme="majorHAnsi" w:hAnsiTheme="majorHAnsi"/>
        </w:rPr>
        <w:t xml:space="preserve">To determine if a component of </w:t>
      </w:r>
      <w:r w:rsidR="00FD24C4">
        <w:rPr>
          <w:rFonts w:asciiTheme="majorHAnsi" w:hAnsiTheme="majorHAnsi"/>
        </w:rPr>
        <w:t xml:space="preserve">a </w:t>
      </w:r>
      <w:r w:rsidRPr="00A82FD7">
        <w:rPr>
          <w:rFonts w:asciiTheme="majorHAnsi" w:hAnsiTheme="majorHAnsi"/>
        </w:rPr>
        <w:t>procurement is rem</w:t>
      </w:r>
      <w:r w:rsidR="001E4625">
        <w:rPr>
          <w:rFonts w:asciiTheme="majorHAnsi" w:hAnsiTheme="majorHAnsi"/>
        </w:rPr>
        <w:t xml:space="preserve">ote </w:t>
      </w:r>
      <w:r w:rsidR="00FD24C4">
        <w:rPr>
          <w:rFonts w:asciiTheme="majorHAnsi" w:hAnsiTheme="majorHAnsi"/>
        </w:rPr>
        <w:t>the procuring official</w:t>
      </w:r>
      <w:r w:rsidR="001E4625">
        <w:rPr>
          <w:rFonts w:asciiTheme="majorHAnsi" w:hAnsiTheme="majorHAnsi"/>
        </w:rPr>
        <w:t xml:space="preserve"> will need to identify whether</w:t>
      </w:r>
      <w:r w:rsidRPr="00A82FD7">
        <w:rPr>
          <w:rFonts w:asciiTheme="majorHAnsi" w:hAnsiTheme="majorHAnsi"/>
        </w:rPr>
        <w:t xml:space="preserve"> </w:t>
      </w:r>
      <w:r w:rsidR="00156EF8" w:rsidRPr="00A82FD7">
        <w:rPr>
          <w:rFonts w:asciiTheme="majorHAnsi" w:hAnsiTheme="majorHAnsi"/>
        </w:rPr>
        <w:t xml:space="preserve">the </w:t>
      </w:r>
      <w:r w:rsidR="00307BDF" w:rsidRPr="00A82FD7">
        <w:rPr>
          <w:rFonts w:asciiTheme="majorHAnsi" w:hAnsiTheme="majorHAnsi"/>
        </w:rPr>
        <w:t>delivery point for t</w:t>
      </w:r>
      <w:r w:rsidRPr="00A82FD7">
        <w:rPr>
          <w:rFonts w:asciiTheme="majorHAnsi" w:hAnsiTheme="majorHAnsi"/>
        </w:rPr>
        <w:t>he goods and services fall</w:t>
      </w:r>
      <w:r w:rsidR="00156EF8" w:rsidRPr="00A82FD7">
        <w:rPr>
          <w:rFonts w:asciiTheme="majorHAnsi" w:hAnsiTheme="majorHAnsi"/>
        </w:rPr>
        <w:t>s</w:t>
      </w:r>
      <w:r w:rsidRPr="00A82FD7">
        <w:rPr>
          <w:rFonts w:asciiTheme="majorHAnsi" w:hAnsiTheme="majorHAnsi"/>
        </w:rPr>
        <w:t xml:space="preserve"> within the IPP remote boundary. </w:t>
      </w:r>
    </w:p>
    <w:p w14:paraId="7744E0E6" w14:textId="77777777" w:rsidR="002E433A" w:rsidRPr="00A82FD7" w:rsidRDefault="00156EF8" w:rsidP="00322305">
      <w:pPr>
        <w:pStyle w:val="BodyText"/>
        <w:rPr>
          <w:rFonts w:asciiTheme="majorHAnsi" w:hAnsiTheme="majorHAnsi"/>
        </w:rPr>
      </w:pPr>
      <w:r w:rsidRPr="00A82FD7">
        <w:rPr>
          <w:rFonts w:asciiTheme="majorHAnsi" w:hAnsiTheme="majorHAnsi"/>
        </w:rPr>
        <w:t xml:space="preserve">For goods, the </w:t>
      </w:r>
      <w:r w:rsidR="00322305" w:rsidRPr="00A82FD7">
        <w:rPr>
          <w:rFonts w:asciiTheme="majorHAnsi" w:hAnsiTheme="majorHAnsi"/>
        </w:rPr>
        <w:t xml:space="preserve">delivery point is where the </w:t>
      </w:r>
      <w:r w:rsidR="00B44F3B" w:rsidRPr="00A82FD7">
        <w:rPr>
          <w:rFonts w:asciiTheme="majorHAnsi" w:hAnsiTheme="majorHAnsi"/>
        </w:rPr>
        <w:t xml:space="preserve">procuring official </w:t>
      </w:r>
      <w:r w:rsidR="00322305" w:rsidRPr="00A82FD7">
        <w:rPr>
          <w:rFonts w:asciiTheme="majorHAnsi" w:hAnsiTheme="majorHAnsi"/>
        </w:rPr>
        <w:t>assumes control of the good</w:t>
      </w:r>
      <w:r w:rsidR="00307BDF" w:rsidRPr="00A82FD7">
        <w:rPr>
          <w:rFonts w:asciiTheme="majorHAnsi" w:hAnsiTheme="majorHAnsi"/>
        </w:rPr>
        <w:t>s</w:t>
      </w:r>
      <w:r w:rsidR="00322305" w:rsidRPr="00A82FD7">
        <w:rPr>
          <w:rFonts w:asciiTheme="majorHAnsi" w:hAnsiTheme="majorHAnsi"/>
        </w:rPr>
        <w:t xml:space="preserve">. For a service, the delivery point is where the </w:t>
      </w:r>
      <w:r w:rsidR="00B44F3B" w:rsidRPr="00A82FD7">
        <w:rPr>
          <w:rFonts w:asciiTheme="majorHAnsi" w:hAnsiTheme="majorHAnsi"/>
        </w:rPr>
        <w:t xml:space="preserve">procuring official </w:t>
      </w:r>
      <w:r w:rsidR="00322305" w:rsidRPr="00A82FD7">
        <w:rPr>
          <w:rFonts w:asciiTheme="majorHAnsi" w:hAnsiTheme="majorHAnsi"/>
        </w:rPr>
        <w:t>receives the service, even if the end user of the service is located elsewhere.</w:t>
      </w:r>
    </w:p>
    <w:p w14:paraId="2874CF5E" w14:textId="77777777" w:rsidR="002E433A" w:rsidRPr="00A82FD7" w:rsidRDefault="002E433A" w:rsidP="00322305">
      <w:pPr>
        <w:pStyle w:val="BodyText"/>
        <w:rPr>
          <w:rFonts w:asciiTheme="majorHAnsi" w:hAnsiTheme="majorHAnsi"/>
        </w:rPr>
      </w:pPr>
    </w:p>
    <w:p w14:paraId="24440DB6" w14:textId="77777777" w:rsidR="00322305" w:rsidRPr="00134C33" w:rsidRDefault="00B80395" w:rsidP="00020CB5">
      <w:pPr>
        <w:pStyle w:val="Heading4"/>
        <w:rPr>
          <w:color w:val="A55700" w:themeColor="accent4" w:themeShade="BF"/>
        </w:rPr>
      </w:pPr>
      <w:r w:rsidRPr="00134C33">
        <w:rPr>
          <w:color w:val="A55700" w:themeColor="accent4" w:themeShade="BF"/>
        </w:rPr>
        <w:t>3</w:t>
      </w:r>
      <w:r w:rsidR="00307BDF" w:rsidRPr="00134C33">
        <w:rPr>
          <w:color w:val="A55700" w:themeColor="accent4" w:themeShade="BF"/>
        </w:rPr>
        <w:t>.</w:t>
      </w:r>
      <w:r w:rsidR="00020CB5" w:rsidRPr="00134C33">
        <w:rPr>
          <w:color w:val="A55700" w:themeColor="accent4" w:themeShade="BF"/>
        </w:rPr>
        <w:t>1.3</w:t>
      </w:r>
      <w:r w:rsidR="00322305" w:rsidRPr="00134C33">
        <w:rPr>
          <w:color w:val="A55700" w:themeColor="accent4" w:themeShade="BF"/>
        </w:rPr>
        <w:t xml:space="preserve"> </w:t>
      </w:r>
      <w:r w:rsidR="000932B6" w:rsidRPr="00134C33">
        <w:rPr>
          <w:color w:val="A55700" w:themeColor="accent4" w:themeShade="BF"/>
        </w:rPr>
        <w:t xml:space="preserve">Determining </w:t>
      </w:r>
      <w:r w:rsidR="00322305" w:rsidRPr="00134C33">
        <w:rPr>
          <w:color w:val="A55700" w:themeColor="accent4" w:themeShade="BF"/>
        </w:rPr>
        <w:t xml:space="preserve">a </w:t>
      </w:r>
      <w:r w:rsidR="00322305" w:rsidRPr="00134C33">
        <w:rPr>
          <w:i/>
          <w:color w:val="A55700" w:themeColor="accent4" w:themeShade="BF"/>
        </w:rPr>
        <w:t>significant</w:t>
      </w:r>
      <w:r w:rsidR="00322305" w:rsidRPr="00134C33">
        <w:rPr>
          <w:color w:val="A55700" w:themeColor="accent4" w:themeShade="BF"/>
        </w:rPr>
        <w:t xml:space="preserve"> Indigenous outcome </w:t>
      </w:r>
      <w:r w:rsidR="002E4E52" w:rsidRPr="00134C33">
        <w:rPr>
          <w:color w:val="A55700" w:themeColor="accent4" w:themeShade="BF"/>
        </w:rPr>
        <w:t>in a remote contract</w:t>
      </w:r>
    </w:p>
    <w:p w14:paraId="61CEBA4F" w14:textId="77777777" w:rsidR="00322305" w:rsidRPr="00A82FD7" w:rsidRDefault="00FD24C4" w:rsidP="00322305">
      <w:pPr>
        <w:spacing w:after="200" w:line="276" w:lineRule="auto"/>
        <w:rPr>
          <w:rFonts w:asciiTheme="majorHAnsi" w:hAnsiTheme="majorHAnsi" w:cs="Arial"/>
        </w:rPr>
      </w:pPr>
      <w:r>
        <w:rPr>
          <w:rFonts w:asciiTheme="majorHAnsi" w:hAnsiTheme="majorHAnsi" w:cs="Arial"/>
        </w:rPr>
        <w:t>T</w:t>
      </w:r>
      <w:r w:rsidR="00156EF8" w:rsidRPr="00A82FD7">
        <w:rPr>
          <w:rFonts w:asciiTheme="majorHAnsi" w:hAnsiTheme="majorHAnsi" w:cs="Arial"/>
        </w:rPr>
        <w:t xml:space="preserve">he </w:t>
      </w:r>
      <w:r w:rsidR="002E433A" w:rsidRPr="00A82FD7">
        <w:rPr>
          <w:rFonts w:asciiTheme="majorHAnsi" w:hAnsiTheme="majorHAnsi" w:cs="Arial"/>
        </w:rPr>
        <w:t>procuring o</w:t>
      </w:r>
      <w:r w:rsidR="00BD7327" w:rsidRPr="00A82FD7">
        <w:rPr>
          <w:rFonts w:asciiTheme="majorHAnsi" w:hAnsiTheme="majorHAnsi" w:cs="Arial"/>
        </w:rPr>
        <w:t>fficial</w:t>
      </w:r>
      <w:r w:rsidR="00156EF8" w:rsidRPr="00A82FD7">
        <w:rPr>
          <w:rFonts w:asciiTheme="majorHAnsi" w:hAnsiTheme="majorHAnsi" w:cs="Arial"/>
        </w:rPr>
        <w:t xml:space="preserve"> must </w:t>
      </w:r>
      <w:r w:rsidR="00912676" w:rsidRPr="00A82FD7">
        <w:rPr>
          <w:rFonts w:asciiTheme="majorHAnsi" w:hAnsiTheme="majorHAnsi" w:cs="Arial"/>
        </w:rPr>
        <w:t xml:space="preserve">agree </w:t>
      </w:r>
      <w:proofErr w:type="gramStart"/>
      <w:r w:rsidR="00912676" w:rsidRPr="00A82FD7">
        <w:rPr>
          <w:rFonts w:asciiTheme="majorHAnsi" w:hAnsiTheme="majorHAnsi" w:cs="Arial"/>
        </w:rPr>
        <w:t>a</w:t>
      </w:r>
      <w:proofErr w:type="gramEnd"/>
      <w:r w:rsidR="00912676" w:rsidRPr="00A82FD7">
        <w:rPr>
          <w:rFonts w:asciiTheme="majorHAnsi" w:hAnsiTheme="majorHAnsi" w:cs="Arial"/>
        </w:rPr>
        <w:t xml:space="preserve"> MMR target </w:t>
      </w:r>
      <w:r w:rsidR="00156EF8" w:rsidRPr="00A82FD7">
        <w:rPr>
          <w:rFonts w:asciiTheme="majorHAnsi" w:hAnsiTheme="majorHAnsi" w:cs="Arial"/>
        </w:rPr>
        <w:t xml:space="preserve">with the preferred tenderer </w:t>
      </w:r>
      <w:r w:rsidR="00912676" w:rsidRPr="00A82FD7">
        <w:rPr>
          <w:rFonts w:asciiTheme="majorHAnsi" w:hAnsiTheme="majorHAnsi" w:cs="Arial"/>
        </w:rPr>
        <w:t xml:space="preserve">that will ensure a </w:t>
      </w:r>
      <w:r w:rsidR="00322305" w:rsidRPr="00A82FD7">
        <w:rPr>
          <w:rFonts w:asciiTheme="majorHAnsi" w:hAnsiTheme="majorHAnsi" w:cs="Arial"/>
          <w:i/>
        </w:rPr>
        <w:t>significant</w:t>
      </w:r>
      <w:r w:rsidR="00322305" w:rsidRPr="00A82FD7">
        <w:rPr>
          <w:rFonts w:asciiTheme="majorHAnsi" w:hAnsiTheme="majorHAnsi" w:cs="Arial"/>
        </w:rPr>
        <w:t xml:space="preserve"> Indigenous employment or supplier use outcome</w:t>
      </w:r>
      <w:r w:rsidR="003F20C7" w:rsidRPr="00A82FD7">
        <w:rPr>
          <w:rFonts w:asciiTheme="majorHAnsi" w:hAnsiTheme="majorHAnsi" w:cs="Arial"/>
        </w:rPr>
        <w:t>.  The contract manager may also wish to be part of this discussion</w:t>
      </w:r>
      <w:r w:rsidR="00912676" w:rsidRPr="00A82FD7">
        <w:rPr>
          <w:rFonts w:asciiTheme="majorHAnsi" w:hAnsiTheme="majorHAnsi" w:cs="Arial"/>
        </w:rPr>
        <w:t xml:space="preserve">. </w:t>
      </w:r>
      <w:r>
        <w:rPr>
          <w:rFonts w:asciiTheme="majorHAnsi" w:hAnsiTheme="majorHAnsi" w:cs="Arial"/>
        </w:rPr>
        <w:t xml:space="preserve">The procuring official and/or the contract manager may wish to </w:t>
      </w:r>
      <w:r w:rsidR="00912676" w:rsidRPr="00A82FD7">
        <w:rPr>
          <w:rFonts w:asciiTheme="majorHAnsi" w:hAnsiTheme="majorHAnsi" w:cs="Arial"/>
        </w:rPr>
        <w:t>consider:</w:t>
      </w:r>
    </w:p>
    <w:p w14:paraId="52CE5592" w14:textId="77777777" w:rsidR="00322305" w:rsidRPr="00A82FD7" w:rsidRDefault="00322305" w:rsidP="00D440EA">
      <w:pPr>
        <w:pStyle w:val="BulletedListlvl1"/>
        <w:rPr>
          <w:rFonts w:asciiTheme="majorHAnsi" w:hAnsiTheme="majorHAnsi"/>
        </w:rPr>
      </w:pPr>
      <w:r w:rsidRPr="00A82FD7">
        <w:rPr>
          <w:rFonts w:asciiTheme="majorHAnsi" w:hAnsiTheme="majorHAnsi"/>
          <w:b/>
        </w:rPr>
        <w:t>Local employment market conditions</w:t>
      </w:r>
      <w:r w:rsidRPr="00A82FD7">
        <w:rPr>
          <w:rFonts w:asciiTheme="majorHAnsi" w:hAnsiTheme="majorHAnsi"/>
        </w:rPr>
        <w:t xml:space="preserve"> such as the number of Indigenous businesses, workers and job seekers in the region and the relevant skills, qualifications and capabilities of the cohort. </w:t>
      </w:r>
    </w:p>
    <w:p w14:paraId="50B598F5" w14:textId="77777777" w:rsidR="00322305" w:rsidRPr="00A82FD7" w:rsidRDefault="00322305" w:rsidP="00D440EA">
      <w:pPr>
        <w:pStyle w:val="BulletedListlvl1"/>
        <w:rPr>
          <w:rFonts w:asciiTheme="majorHAnsi" w:hAnsiTheme="majorHAnsi"/>
        </w:rPr>
      </w:pPr>
      <w:r w:rsidRPr="00A82FD7">
        <w:rPr>
          <w:rFonts w:asciiTheme="majorHAnsi" w:hAnsiTheme="majorHAnsi"/>
          <w:b/>
        </w:rPr>
        <w:t>The requirements of the contract</w:t>
      </w:r>
      <w:r w:rsidRPr="00A82FD7">
        <w:rPr>
          <w:rFonts w:asciiTheme="majorHAnsi" w:hAnsiTheme="majorHAnsi"/>
        </w:rPr>
        <w:t xml:space="preserve"> such as the skills and capabilities required to deliver the goods and services including the value and scale and size of the contract. </w:t>
      </w:r>
    </w:p>
    <w:p w14:paraId="61B9BD74" w14:textId="77777777" w:rsidR="00322305" w:rsidRPr="00A82FD7" w:rsidRDefault="00322305" w:rsidP="00D440EA">
      <w:pPr>
        <w:pStyle w:val="BulletedListlvl1"/>
        <w:rPr>
          <w:rFonts w:asciiTheme="majorHAnsi" w:hAnsiTheme="majorHAnsi"/>
        </w:rPr>
      </w:pPr>
      <w:r w:rsidRPr="00A82FD7">
        <w:rPr>
          <w:rFonts w:asciiTheme="majorHAnsi" w:hAnsiTheme="majorHAnsi"/>
          <w:b/>
        </w:rPr>
        <w:t>The availability of supply services</w:t>
      </w:r>
      <w:r w:rsidRPr="00A82FD7">
        <w:rPr>
          <w:rFonts w:asciiTheme="majorHAnsi" w:hAnsiTheme="majorHAnsi"/>
        </w:rPr>
        <w:t xml:space="preserve"> to support the meeting of any targets and assist in building the capacity of Indigenous businesses and </w:t>
      </w:r>
      <w:proofErr w:type="gramStart"/>
      <w:r w:rsidRPr="00A82FD7">
        <w:rPr>
          <w:rFonts w:asciiTheme="majorHAnsi" w:hAnsiTheme="majorHAnsi"/>
        </w:rPr>
        <w:t>job-seekers</w:t>
      </w:r>
      <w:proofErr w:type="gramEnd"/>
      <w:r w:rsidRPr="00A82FD7">
        <w:rPr>
          <w:rFonts w:asciiTheme="majorHAnsi" w:hAnsiTheme="majorHAnsi"/>
        </w:rPr>
        <w:t xml:space="preserve"> to take up opportunities. </w:t>
      </w:r>
    </w:p>
    <w:p w14:paraId="2DA5EBCD" w14:textId="77777777" w:rsidR="003F3E55" w:rsidRPr="00CD641F" w:rsidRDefault="008C54A1" w:rsidP="00CD641F">
      <w:pPr>
        <w:pStyle w:val="BulletedListlvl1"/>
        <w:rPr>
          <w:rFonts w:asciiTheme="majorHAnsi" w:hAnsiTheme="majorHAnsi"/>
          <w:b/>
        </w:rPr>
      </w:pPr>
      <w:r w:rsidRPr="00A82FD7">
        <w:rPr>
          <w:rFonts w:asciiTheme="majorHAnsi" w:hAnsiTheme="majorHAnsi"/>
          <w:b/>
        </w:rPr>
        <w:t>Other government projects o</w:t>
      </w:r>
      <w:r w:rsidR="00322305" w:rsidRPr="00A82FD7">
        <w:rPr>
          <w:rFonts w:asciiTheme="majorHAnsi" w:hAnsiTheme="majorHAnsi"/>
          <w:b/>
        </w:rPr>
        <w:t xml:space="preserve">perating in the region that may impact on the capacity of Indigenous businesses and </w:t>
      </w:r>
      <w:proofErr w:type="gramStart"/>
      <w:r w:rsidR="00322305" w:rsidRPr="00A82FD7">
        <w:rPr>
          <w:rFonts w:asciiTheme="majorHAnsi" w:hAnsiTheme="majorHAnsi"/>
          <w:b/>
        </w:rPr>
        <w:t>job-seekers</w:t>
      </w:r>
      <w:proofErr w:type="gramEnd"/>
      <w:r w:rsidR="00322305" w:rsidRPr="00A82FD7">
        <w:rPr>
          <w:rFonts w:asciiTheme="majorHAnsi" w:hAnsiTheme="majorHAnsi"/>
          <w:b/>
        </w:rPr>
        <w:t xml:space="preserve"> to take up opportunities</w:t>
      </w:r>
      <w:r w:rsidRPr="00A82FD7">
        <w:rPr>
          <w:rFonts w:asciiTheme="majorHAnsi" w:hAnsiTheme="majorHAnsi"/>
          <w:b/>
        </w:rPr>
        <w:t xml:space="preserve"> over the contract term</w:t>
      </w:r>
      <w:r w:rsidR="00322305" w:rsidRPr="00A82FD7">
        <w:rPr>
          <w:rFonts w:asciiTheme="majorHAnsi" w:hAnsiTheme="majorHAnsi"/>
          <w:b/>
        </w:rPr>
        <w:t xml:space="preserve">. </w:t>
      </w:r>
      <w:r w:rsidR="00322305" w:rsidRPr="00A82FD7">
        <w:rPr>
          <w:rFonts w:asciiTheme="majorHAnsi" w:hAnsiTheme="majorHAnsi"/>
        </w:rPr>
        <w:t xml:space="preserve">Commonwealth contracts active in the region </w:t>
      </w:r>
      <w:r w:rsidR="00FD24C4">
        <w:rPr>
          <w:rFonts w:asciiTheme="majorHAnsi" w:hAnsiTheme="majorHAnsi"/>
        </w:rPr>
        <w:t xml:space="preserve">can be identified </w:t>
      </w:r>
      <w:r w:rsidR="00322305" w:rsidRPr="00A82FD7">
        <w:rPr>
          <w:rFonts w:asciiTheme="majorHAnsi" w:hAnsiTheme="majorHAnsi"/>
        </w:rPr>
        <w:t>through the IPPRS</w:t>
      </w:r>
      <w:r w:rsidRPr="00A82FD7">
        <w:rPr>
          <w:rFonts w:asciiTheme="majorHAnsi" w:hAnsiTheme="majorHAnsi"/>
        </w:rPr>
        <w:t xml:space="preserve">. </w:t>
      </w:r>
    </w:p>
    <w:p w14:paraId="5153D716" w14:textId="77777777" w:rsidR="0064147A" w:rsidRPr="00A82FD7" w:rsidRDefault="00B80395" w:rsidP="001E4625">
      <w:pPr>
        <w:pStyle w:val="Heading3"/>
      </w:pPr>
      <w:bookmarkStart w:id="36" w:name="_Toc223528534"/>
      <w:r w:rsidRPr="00134C33">
        <w:rPr>
          <w:color w:val="A55700" w:themeColor="accent4" w:themeShade="BF"/>
        </w:rPr>
        <w:t>3</w:t>
      </w:r>
      <w:r w:rsidR="005B43E4" w:rsidRPr="00134C33">
        <w:rPr>
          <w:color w:val="A55700" w:themeColor="accent4" w:themeShade="BF"/>
        </w:rPr>
        <w:t>.2</w:t>
      </w:r>
      <w:r w:rsidR="00E83B3E" w:rsidRPr="00134C33">
        <w:rPr>
          <w:color w:val="A55700" w:themeColor="accent4" w:themeShade="BF"/>
        </w:rPr>
        <w:t xml:space="preserve"> Minimum targets for </w:t>
      </w:r>
      <w:r w:rsidR="00600502" w:rsidRPr="00A82FD7">
        <w:rPr>
          <w:b/>
          <w:u w:val="single"/>
        </w:rPr>
        <w:t>non-</w:t>
      </w:r>
      <w:r w:rsidR="00296575" w:rsidRPr="00A82FD7">
        <w:rPr>
          <w:b/>
          <w:u w:val="single"/>
        </w:rPr>
        <w:t>remote</w:t>
      </w:r>
      <w:r w:rsidR="00161F22" w:rsidRPr="00A82FD7">
        <w:rPr>
          <w:b/>
          <w:u w:val="single"/>
        </w:rPr>
        <w:t xml:space="preserve"> procurements</w:t>
      </w:r>
      <w:bookmarkEnd w:id="36"/>
      <w:r w:rsidR="00296575" w:rsidRPr="00A82FD7">
        <w:t xml:space="preserve"> </w:t>
      </w:r>
    </w:p>
    <w:p w14:paraId="186F4900" w14:textId="77777777" w:rsidR="0098004D" w:rsidRDefault="0098004D" w:rsidP="004E2950">
      <w:pPr>
        <w:pStyle w:val="BodyText"/>
        <w:rPr>
          <w:rFonts w:asciiTheme="majorHAnsi" w:hAnsiTheme="majorHAnsi"/>
        </w:rPr>
      </w:pPr>
      <w:r w:rsidRPr="00A82FD7">
        <w:rPr>
          <w:rFonts w:asciiTheme="majorHAnsi" w:hAnsiTheme="majorHAnsi"/>
        </w:rPr>
        <w:t xml:space="preserve">The targets for non-remote procurements </w:t>
      </w:r>
      <w:r w:rsidR="00F110EC">
        <w:rPr>
          <w:rFonts w:asciiTheme="majorHAnsi" w:hAnsiTheme="majorHAnsi"/>
        </w:rPr>
        <w:t xml:space="preserve">may be </w:t>
      </w:r>
      <w:r w:rsidR="004D1347" w:rsidRPr="00A82FD7">
        <w:rPr>
          <w:rFonts w:asciiTheme="majorHAnsi" w:hAnsiTheme="majorHAnsi"/>
        </w:rPr>
        <w:t xml:space="preserve">determined by the Commonwealth entity </w:t>
      </w:r>
      <w:r w:rsidR="008C54A1" w:rsidRPr="00A82FD7">
        <w:rPr>
          <w:rFonts w:asciiTheme="majorHAnsi" w:hAnsiTheme="majorHAnsi"/>
        </w:rPr>
        <w:t xml:space="preserve">at the </w:t>
      </w:r>
      <w:r w:rsidR="001E4625">
        <w:rPr>
          <w:rFonts w:asciiTheme="majorHAnsi" w:hAnsiTheme="majorHAnsi"/>
        </w:rPr>
        <w:t>approach to market</w:t>
      </w:r>
      <w:r w:rsidR="008C54A1" w:rsidRPr="00A82FD7">
        <w:rPr>
          <w:rFonts w:asciiTheme="majorHAnsi" w:hAnsiTheme="majorHAnsi"/>
        </w:rPr>
        <w:t xml:space="preserve"> stage </w:t>
      </w:r>
      <w:r w:rsidR="004D1347" w:rsidRPr="00A82FD7">
        <w:rPr>
          <w:rFonts w:asciiTheme="majorHAnsi" w:hAnsiTheme="majorHAnsi"/>
        </w:rPr>
        <w:t xml:space="preserve">or negotiated </w:t>
      </w:r>
      <w:r w:rsidRPr="00A82FD7">
        <w:rPr>
          <w:rFonts w:asciiTheme="majorHAnsi" w:hAnsiTheme="majorHAnsi"/>
        </w:rPr>
        <w:t xml:space="preserve">by the </w:t>
      </w:r>
      <w:r w:rsidR="001E4625">
        <w:rPr>
          <w:rFonts w:asciiTheme="majorHAnsi" w:hAnsiTheme="majorHAnsi"/>
        </w:rPr>
        <w:t xml:space="preserve">procurement official or </w:t>
      </w:r>
      <w:r w:rsidR="00FC1819" w:rsidRPr="00A82FD7">
        <w:rPr>
          <w:rFonts w:asciiTheme="majorHAnsi" w:hAnsiTheme="majorHAnsi"/>
        </w:rPr>
        <w:t>contract manager</w:t>
      </w:r>
      <w:r w:rsidR="001E4625">
        <w:rPr>
          <w:rFonts w:asciiTheme="majorHAnsi" w:hAnsiTheme="majorHAnsi"/>
        </w:rPr>
        <w:t xml:space="preserve"> and the supplier during contract negotiations.</w:t>
      </w:r>
      <w:r w:rsidR="00F110EC">
        <w:rPr>
          <w:rFonts w:asciiTheme="majorHAnsi" w:hAnsiTheme="majorHAnsi"/>
        </w:rPr>
        <w:t xml:space="preserve"> </w:t>
      </w:r>
    </w:p>
    <w:p w14:paraId="00504EF5" w14:textId="77777777" w:rsidR="00E96C7F" w:rsidRPr="00A82FD7" w:rsidRDefault="00E96C7F" w:rsidP="004E2950">
      <w:pPr>
        <w:pStyle w:val="BodyText"/>
        <w:rPr>
          <w:rFonts w:asciiTheme="majorHAnsi" w:hAnsiTheme="majorHAnsi"/>
        </w:rPr>
      </w:pPr>
      <w:r w:rsidRPr="00E96C7F">
        <w:rPr>
          <w:rFonts w:asciiTheme="majorHAnsi" w:hAnsiTheme="majorHAnsi"/>
        </w:rPr>
        <w:t>Attachment A</w:t>
      </w:r>
      <w:r>
        <w:rPr>
          <w:rFonts w:asciiTheme="majorHAnsi" w:hAnsiTheme="majorHAnsi"/>
        </w:rPr>
        <w:t xml:space="preserve"> provides case studies for contract based and </w:t>
      </w:r>
      <w:proofErr w:type="gramStart"/>
      <w:r>
        <w:rPr>
          <w:rFonts w:asciiTheme="majorHAnsi" w:hAnsiTheme="majorHAnsi"/>
        </w:rPr>
        <w:t>organisation based</w:t>
      </w:r>
      <w:proofErr w:type="gramEnd"/>
      <w:r>
        <w:rPr>
          <w:rFonts w:asciiTheme="majorHAnsi" w:hAnsiTheme="majorHAnsi"/>
        </w:rPr>
        <w:t xml:space="preserve"> targets</w:t>
      </w:r>
    </w:p>
    <w:p w14:paraId="23F1CB32" w14:textId="77777777" w:rsidR="003F3E55" w:rsidRPr="00134C33" w:rsidRDefault="00B80395" w:rsidP="003F3E55">
      <w:pPr>
        <w:pStyle w:val="Heading4"/>
        <w:rPr>
          <w:color w:val="A55700" w:themeColor="accent4" w:themeShade="BF"/>
        </w:rPr>
      </w:pPr>
      <w:r w:rsidRPr="00134C33">
        <w:rPr>
          <w:color w:val="A55700" w:themeColor="accent4" w:themeShade="BF"/>
        </w:rPr>
        <w:t>3</w:t>
      </w:r>
      <w:r w:rsidR="005B43E4" w:rsidRPr="00134C33">
        <w:rPr>
          <w:color w:val="A55700" w:themeColor="accent4" w:themeShade="BF"/>
        </w:rPr>
        <w:t>.2</w:t>
      </w:r>
      <w:r w:rsidR="003F3E55" w:rsidRPr="00134C33">
        <w:rPr>
          <w:color w:val="A55700" w:themeColor="accent4" w:themeShade="BF"/>
        </w:rPr>
        <w:t>.1 Contract-based targets</w:t>
      </w:r>
    </w:p>
    <w:p w14:paraId="0E0D0DDE" w14:textId="77777777" w:rsidR="00EF3091" w:rsidRPr="00A82FD7" w:rsidRDefault="00CB298C" w:rsidP="002D11E4">
      <w:pPr>
        <w:pStyle w:val="BodyText"/>
        <w:rPr>
          <w:rFonts w:asciiTheme="majorHAnsi" w:hAnsiTheme="majorHAnsi"/>
        </w:rPr>
      </w:pPr>
      <w:r w:rsidRPr="00A82FD7">
        <w:rPr>
          <w:rFonts w:asciiTheme="majorHAnsi" w:hAnsiTheme="majorHAnsi"/>
        </w:rPr>
        <w:t>A</w:t>
      </w:r>
      <w:r w:rsidR="00EF3091" w:rsidRPr="00A82FD7">
        <w:rPr>
          <w:rFonts w:asciiTheme="majorHAnsi" w:hAnsiTheme="majorHAnsi"/>
        </w:rPr>
        <w:t xml:space="preserve"> </w:t>
      </w:r>
      <w:r w:rsidR="005F44FE" w:rsidRPr="00A82FD7">
        <w:rPr>
          <w:rFonts w:asciiTheme="majorHAnsi" w:hAnsiTheme="majorHAnsi"/>
        </w:rPr>
        <w:t xml:space="preserve">non-remote </w:t>
      </w:r>
      <w:r w:rsidR="00EF3091" w:rsidRPr="00A82FD7">
        <w:rPr>
          <w:rFonts w:asciiTheme="majorHAnsi" w:hAnsiTheme="majorHAnsi"/>
        </w:rPr>
        <w:t xml:space="preserve">contract-based target </w:t>
      </w:r>
      <w:r w:rsidR="00124F70" w:rsidRPr="00A82FD7">
        <w:rPr>
          <w:rFonts w:asciiTheme="majorHAnsi" w:hAnsiTheme="majorHAnsi"/>
        </w:rPr>
        <w:t xml:space="preserve">must </w:t>
      </w:r>
      <w:r w:rsidR="00EF3091" w:rsidRPr="00A82FD7">
        <w:rPr>
          <w:rFonts w:asciiTheme="majorHAnsi" w:hAnsiTheme="majorHAnsi"/>
        </w:rPr>
        <w:t>be</w:t>
      </w:r>
      <w:r w:rsidR="002D11E4" w:rsidRPr="00A82FD7">
        <w:rPr>
          <w:rFonts w:asciiTheme="majorHAnsi" w:hAnsiTheme="majorHAnsi"/>
        </w:rPr>
        <w:t>, by the end of the initial term of the contract</w:t>
      </w:r>
      <w:r w:rsidR="005F44FE" w:rsidRPr="00A82FD7">
        <w:rPr>
          <w:rFonts w:asciiTheme="majorHAnsi" w:hAnsiTheme="majorHAnsi"/>
        </w:rPr>
        <w:t xml:space="preserve">, </w:t>
      </w:r>
      <w:r w:rsidR="005F44FE" w:rsidRPr="00A82FD7">
        <w:rPr>
          <w:rFonts w:asciiTheme="majorHAnsi" w:hAnsiTheme="majorHAnsi"/>
          <w:b/>
        </w:rPr>
        <w:t>a minimum of 4 per cent (4%)</w:t>
      </w:r>
      <w:r w:rsidR="005F44FE" w:rsidRPr="00A82FD7">
        <w:rPr>
          <w:rFonts w:asciiTheme="majorHAnsi" w:hAnsiTheme="majorHAnsi"/>
        </w:rPr>
        <w:t>. This means that:</w:t>
      </w:r>
    </w:p>
    <w:p w14:paraId="25D9B133" w14:textId="77777777" w:rsidR="00EF3091" w:rsidRPr="00A82FD7" w:rsidRDefault="00EF3091" w:rsidP="00EF3091">
      <w:pPr>
        <w:pStyle w:val="BulletedListlvl1"/>
        <w:rPr>
          <w:rFonts w:asciiTheme="majorHAnsi" w:hAnsiTheme="majorHAnsi"/>
        </w:rPr>
      </w:pPr>
      <w:r w:rsidRPr="00A82FD7">
        <w:rPr>
          <w:rFonts w:asciiTheme="majorHAnsi" w:hAnsiTheme="majorHAnsi"/>
        </w:rPr>
        <w:lastRenderedPageBreak/>
        <w:t xml:space="preserve">4 per cent of the full-time employees deployed on the contract must be Indigenous workers; </w:t>
      </w:r>
      <w:r w:rsidRPr="00A82FD7">
        <w:rPr>
          <w:rFonts w:asciiTheme="majorHAnsi" w:hAnsiTheme="majorHAnsi"/>
          <w:i/>
        </w:rPr>
        <w:t>or</w:t>
      </w:r>
    </w:p>
    <w:p w14:paraId="2B6FCA2B" w14:textId="77777777" w:rsidR="00EF3091" w:rsidRPr="00A82FD7" w:rsidRDefault="00EF3091" w:rsidP="00EF3091">
      <w:pPr>
        <w:pStyle w:val="BulletedListlvl1"/>
        <w:rPr>
          <w:rFonts w:asciiTheme="majorHAnsi" w:hAnsiTheme="majorHAnsi"/>
        </w:rPr>
      </w:pPr>
      <w:r w:rsidRPr="00A82FD7">
        <w:rPr>
          <w:rFonts w:asciiTheme="majorHAnsi" w:hAnsiTheme="majorHAnsi"/>
        </w:rPr>
        <w:t xml:space="preserve">4 per cent of the value of the </w:t>
      </w:r>
      <w:r w:rsidR="00CB298C" w:rsidRPr="00A82FD7">
        <w:rPr>
          <w:rFonts w:asciiTheme="majorHAnsi" w:hAnsiTheme="majorHAnsi"/>
        </w:rPr>
        <w:t xml:space="preserve">contract </w:t>
      </w:r>
      <w:r w:rsidRPr="00A82FD7">
        <w:rPr>
          <w:rFonts w:asciiTheme="majorHAnsi" w:hAnsiTheme="majorHAnsi"/>
        </w:rPr>
        <w:t xml:space="preserve">must be awarded to Indigenous suppliers; </w:t>
      </w:r>
      <w:r w:rsidRPr="00A82FD7">
        <w:rPr>
          <w:rFonts w:asciiTheme="majorHAnsi" w:hAnsiTheme="majorHAnsi"/>
          <w:i/>
        </w:rPr>
        <w:t>or</w:t>
      </w:r>
    </w:p>
    <w:p w14:paraId="7AABA8E3" w14:textId="77777777" w:rsidR="00EF3091" w:rsidRPr="00A82FD7" w:rsidRDefault="0084306B" w:rsidP="00EF3091">
      <w:pPr>
        <w:pStyle w:val="BulletedListlvl1"/>
        <w:rPr>
          <w:rFonts w:asciiTheme="majorHAnsi" w:hAnsiTheme="majorHAnsi"/>
        </w:rPr>
      </w:pPr>
      <w:r>
        <w:rPr>
          <w:rFonts w:asciiTheme="majorHAnsi" w:hAnsiTheme="majorHAnsi"/>
        </w:rPr>
        <w:t>a</w:t>
      </w:r>
      <w:r w:rsidR="00CB298C" w:rsidRPr="00A82FD7">
        <w:rPr>
          <w:rFonts w:asciiTheme="majorHAnsi" w:hAnsiTheme="majorHAnsi"/>
        </w:rPr>
        <w:t>ny combination of the above that adds up to 4 per cent</w:t>
      </w:r>
      <w:r w:rsidR="008D1CE0" w:rsidRPr="00A82FD7">
        <w:rPr>
          <w:rFonts w:asciiTheme="majorHAnsi" w:hAnsiTheme="majorHAnsi"/>
        </w:rPr>
        <w:t xml:space="preserve"> (for example 3% employment and 1% supplier use)</w:t>
      </w:r>
      <w:r w:rsidR="00CB298C" w:rsidRPr="00A82FD7">
        <w:rPr>
          <w:rFonts w:asciiTheme="majorHAnsi" w:hAnsiTheme="majorHAnsi"/>
        </w:rPr>
        <w:t xml:space="preserve">. </w:t>
      </w:r>
    </w:p>
    <w:p w14:paraId="267B016E" w14:textId="77777777" w:rsidR="003F3E55" w:rsidRPr="00134C33" w:rsidRDefault="00B80395" w:rsidP="003F3E55">
      <w:pPr>
        <w:pStyle w:val="Heading4"/>
        <w:rPr>
          <w:color w:val="A55700" w:themeColor="accent4" w:themeShade="BF"/>
        </w:rPr>
      </w:pPr>
      <w:r w:rsidRPr="00134C33">
        <w:rPr>
          <w:color w:val="A55700" w:themeColor="accent4" w:themeShade="BF"/>
        </w:rPr>
        <w:t>3</w:t>
      </w:r>
      <w:r w:rsidR="005B43E4" w:rsidRPr="00134C33">
        <w:rPr>
          <w:color w:val="A55700" w:themeColor="accent4" w:themeShade="BF"/>
        </w:rPr>
        <w:t>.2</w:t>
      </w:r>
      <w:r w:rsidR="003F3E55" w:rsidRPr="00134C33">
        <w:rPr>
          <w:color w:val="A55700" w:themeColor="accent4" w:themeShade="BF"/>
        </w:rPr>
        <w:t>.2 Organisation-based targets</w:t>
      </w:r>
    </w:p>
    <w:p w14:paraId="57F2A144" w14:textId="77777777" w:rsidR="00EF3091" w:rsidRPr="00A82FD7" w:rsidRDefault="00620B1D" w:rsidP="003F3E55">
      <w:pPr>
        <w:pStyle w:val="BodyText"/>
        <w:rPr>
          <w:rFonts w:asciiTheme="majorHAnsi" w:hAnsiTheme="majorHAnsi"/>
        </w:rPr>
      </w:pPr>
      <w:r w:rsidRPr="00A82FD7">
        <w:rPr>
          <w:rFonts w:asciiTheme="majorHAnsi" w:hAnsiTheme="majorHAnsi"/>
        </w:rPr>
        <w:t xml:space="preserve">A </w:t>
      </w:r>
      <w:r w:rsidR="005F44FE" w:rsidRPr="00A82FD7">
        <w:rPr>
          <w:rFonts w:asciiTheme="majorHAnsi" w:hAnsiTheme="majorHAnsi"/>
        </w:rPr>
        <w:t xml:space="preserve">non-remote </w:t>
      </w:r>
      <w:r w:rsidR="00CB298C" w:rsidRPr="00A82FD7">
        <w:rPr>
          <w:rFonts w:asciiTheme="majorHAnsi" w:hAnsiTheme="majorHAnsi"/>
        </w:rPr>
        <w:t>o</w:t>
      </w:r>
      <w:r w:rsidR="005F44FE" w:rsidRPr="00A82FD7">
        <w:rPr>
          <w:rFonts w:asciiTheme="majorHAnsi" w:hAnsiTheme="majorHAnsi"/>
        </w:rPr>
        <w:t>rganisation-</w:t>
      </w:r>
      <w:r w:rsidR="00EF3091" w:rsidRPr="00A82FD7">
        <w:rPr>
          <w:rFonts w:asciiTheme="majorHAnsi" w:hAnsiTheme="majorHAnsi"/>
        </w:rPr>
        <w:t>based MMR</w:t>
      </w:r>
      <w:r w:rsidR="00CB298C" w:rsidRPr="00A82FD7">
        <w:rPr>
          <w:rFonts w:asciiTheme="majorHAnsi" w:hAnsiTheme="majorHAnsi"/>
        </w:rPr>
        <w:t xml:space="preserve"> </w:t>
      </w:r>
      <w:r w:rsidR="00124F70" w:rsidRPr="00A82FD7">
        <w:rPr>
          <w:rFonts w:asciiTheme="majorHAnsi" w:hAnsiTheme="majorHAnsi"/>
        </w:rPr>
        <w:t>must</w:t>
      </w:r>
      <w:r w:rsidR="00CB298C" w:rsidRPr="00A82FD7">
        <w:rPr>
          <w:rFonts w:asciiTheme="majorHAnsi" w:hAnsiTheme="majorHAnsi"/>
        </w:rPr>
        <w:t xml:space="preserve"> be</w:t>
      </w:r>
      <w:r w:rsidR="002D11E4" w:rsidRPr="00A82FD7">
        <w:rPr>
          <w:rFonts w:asciiTheme="majorHAnsi" w:hAnsiTheme="majorHAnsi"/>
        </w:rPr>
        <w:t>, by the end of the initial term of the contract</w:t>
      </w:r>
      <w:r w:rsidR="005F44FE" w:rsidRPr="00A82FD7">
        <w:rPr>
          <w:rFonts w:asciiTheme="majorHAnsi" w:hAnsiTheme="majorHAnsi"/>
        </w:rPr>
        <w:t xml:space="preserve">, </w:t>
      </w:r>
      <w:r w:rsidR="005F44FE" w:rsidRPr="00A82FD7">
        <w:rPr>
          <w:rFonts w:asciiTheme="majorHAnsi" w:hAnsiTheme="majorHAnsi"/>
          <w:b/>
        </w:rPr>
        <w:t>a minimum of 3 per cent (3%)</w:t>
      </w:r>
      <w:r w:rsidR="005F44FE" w:rsidRPr="00A82FD7">
        <w:rPr>
          <w:rFonts w:asciiTheme="majorHAnsi" w:hAnsiTheme="majorHAnsi"/>
        </w:rPr>
        <w:t>. This means that:</w:t>
      </w:r>
    </w:p>
    <w:p w14:paraId="12219269" w14:textId="77777777" w:rsidR="009558A3" w:rsidRPr="00A82FD7" w:rsidRDefault="009558A3" w:rsidP="00E814EE">
      <w:pPr>
        <w:pStyle w:val="BulletedListlvl1"/>
        <w:rPr>
          <w:rFonts w:asciiTheme="majorHAnsi" w:hAnsiTheme="majorHAnsi"/>
          <w:color w:val="000000"/>
        </w:rPr>
      </w:pPr>
      <w:r w:rsidRPr="00A82FD7">
        <w:rPr>
          <w:rFonts w:asciiTheme="majorHAnsi" w:hAnsiTheme="majorHAnsi"/>
        </w:rPr>
        <w:t>3 per cent of employment</w:t>
      </w:r>
      <w:r w:rsidRPr="00A82FD7">
        <w:rPr>
          <w:rFonts w:asciiTheme="majorHAnsi" w:hAnsiTheme="majorHAnsi"/>
          <w:spacing w:val="-15"/>
        </w:rPr>
        <w:t xml:space="preserve"> </w:t>
      </w:r>
      <w:r w:rsidRPr="00A82FD7">
        <w:rPr>
          <w:rFonts w:asciiTheme="majorHAnsi" w:hAnsiTheme="majorHAnsi"/>
          <w:spacing w:val="-1"/>
        </w:rPr>
        <w:t>(on average)</w:t>
      </w:r>
      <w:r w:rsidRPr="00A82FD7">
        <w:rPr>
          <w:rFonts w:asciiTheme="majorHAnsi" w:hAnsiTheme="majorHAnsi"/>
          <w:spacing w:val="-4"/>
        </w:rPr>
        <w:t xml:space="preserve"> </w:t>
      </w:r>
      <w:r w:rsidRPr="00A82FD7">
        <w:rPr>
          <w:rFonts w:asciiTheme="majorHAnsi" w:hAnsiTheme="majorHAnsi"/>
        </w:rPr>
        <w:t>of</w:t>
      </w:r>
      <w:r w:rsidRPr="00A82FD7">
        <w:rPr>
          <w:rFonts w:asciiTheme="majorHAnsi" w:hAnsiTheme="majorHAnsi"/>
          <w:spacing w:val="-5"/>
        </w:rPr>
        <w:t xml:space="preserve"> </w:t>
      </w:r>
      <w:r w:rsidRPr="00A82FD7">
        <w:rPr>
          <w:rFonts w:asciiTheme="majorHAnsi" w:hAnsiTheme="majorHAnsi"/>
        </w:rPr>
        <w:t>the</w:t>
      </w:r>
      <w:r w:rsidRPr="00A82FD7">
        <w:rPr>
          <w:rFonts w:asciiTheme="majorHAnsi" w:hAnsiTheme="majorHAnsi"/>
          <w:spacing w:val="-5"/>
        </w:rPr>
        <w:t xml:space="preserve"> </w:t>
      </w:r>
      <w:r w:rsidRPr="00A82FD7">
        <w:rPr>
          <w:rFonts w:asciiTheme="majorHAnsi" w:hAnsiTheme="majorHAnsi"/>
        </w:rPr>
        <w:t>full</w:t>
      </w:r>
      <w:r w:rsidRPr="00A82FD7">
        <w:rPr>
          <w:rFonts w:asciiTheme="majorHAnsi" w:hAnsiTheme="majorHAnsi"/>
          <w:spacing w:val="-5"/>
        </w:rPr>
        <w:t xml:space="preserve"> </w:t>
      </w:r>
      <w:r w:rsidRPr="00A82FD7">
        <w:rPr>
          <w:rFonts w:asciiTheme="majorHAnsi" w:hAnsiTheme="majorHAnsi"/>
        </w:rPr>
        <w:t>time</w:t>
      </w:r>
      <w:r w:rsidRPr="00A82FD7">
        <w:rPr>
          <w:rFonts w:asciiTheme="majorHAnsi" w:hAnsiTheme="majorHAnsi"/>
          <w:spacing w:val="22"/>
          <w:w w:val="99"/>
        </w:rPr>
        <w:t xml:space="preserve"> </w:t>
      </w:r>
      <w:r w:rsidRPr="00A82FD7">
        <w:rPr>
          <w:rFonts w:asciiTheme="majorHAnsi" w:hAnsiTheme="majorHAnsi"/>
        </w:rPr>
        <w:t>equivalent</w:t>
      </w:r>
      <w:r w:rsidRPr="00A82FD7">
        <w:rPr>
          <w:rFonts w:asciiTheme="majorHAnsi" w:hAnsiTheme="majorHAnsi"/>
          <w:spacing w:val="-10"/>
        </w:rPr>
        <w:t xml:space="preserve"> </w:t>
      </w:r>
      <w:r w:rsidRPr="00A82FD7">
        <w:rPr>
          <w:rFonts w:asciiTheme="majorHAnsi" w:hAnsiTheme="majorHAnsi"/>
        </w:rPr>
        <w:t>Australian-</w:t>
      </w:r>
      <w:r w:rsidRPr="00A82FD7">
        <w:rPr>
          <w:rFonts w:asciiTheme="majorHAnsi" w:hAnsiTheme="majorHAnsi"/>
          <w:w w:val="99"/>
        </w:rPr>
        <w:t xml:space="preserve"> </w:t>
      </w:r>
      <w:r w:rsidRPr="00A82FD7">
        <w:rPr>
          <w:rFonts w:asciiTheme="majorHAnsi" w:hAnsiTheme="majorHAnsi"/>
          <w:spacing w:val="-1"/>
        </w:rPr>
        <w:t>based</w:t>
      </w:r>
      <w:r w:rsidRPr="00A82FD7">
        <w:rPr>
          <w:rFonts w:asciiTheme="majorHAnsi" w:hAnsiTheme="majorHAnsi"/>
          <w:spacing w:val="-5"/>
        </w:rPr>
        <w:t xml:space="preserve"> </w:t>
      </w:r>
      <w:r w:rsidRPr="00A82FD7">
        <w:rPr>
          <w:rFonts w:asciiTheme="majorHAnsi" w:hAnsiTheme="majorHAnsi"/>
        </w:rPr>
        <w:t>workforce</w:t>
      </w:r>
      <w:r w:rsidRPr="00A82FD7">
        <w:rPr>
          <w:rFonts w:asciiTheme="majorHAnsi" w:hAnsiTheme="majorHAnsi"/>
          <w:spacing w:val="-4"/>
        </w:rPr>
        <w:t xml:space="preserve"> </w:t>
      </w:r>
      <w:r w:rsidRPr="00A82FD7">
        <w:rPr>
          <w:rFonts w:asciiTheme="majorHAnsi" w:hAnsiTheme="majorHAnsi"/>
        </w:rPr>
        <w:t>of</w:t>
      </w:r>
      <w:r w:rsidRPr="00A82FD7">
        <w:rPr>
          <w:rFonts w:asciiTheme="majorHAnsi" w:hAnsiTheme="majorHAnsi"/>
          <w:spacing w:val="-5"/>
        </w:rPr>
        <w:t xml:space="preserve"> </w:t>
      </w:r>
      <w:r w:rsidRPr="00A82FD7">
        <w:rPr>
          <w:rFonts w:asciiTheme="majorHAnsi" w:hAnsiTheme="majorHAnsi"/>
        </w:rPr>
        <w:t>the</w:t>
      </w:r>
      <w:r w:rsidRPr="00A82FD7">
        <w:rPr>
          <w:rFonts w:asciiTheme="majorHAnsi" w:hAnsiTheme="majorHAnsi"/>
          <w:spacing w:val="21"/>
          <w:w w:val="99"/>
        </w:rPr>
        <w:t xml:space="preserve"> </w:t>
      </w:r>
      <w:r w:rsidRPr="00A82FD7">
        <w:rPr>
          <w:rFonts w:asciiTheme="majorHAnsi" w:hAnsiTheme="majorHAnsi"/>
          <w:spacing w:val="-1"/>
        </w:rPr>
        <w:t>supplier</w:t>
      </w:r>
      <w:r w:rsidR="002E4E52" w:rsidRPr="00A82FD7">
        <w:rPr>
          <w:rFonts w:asciiTheme="majorHAnsi" w:hAnsiTheme="majorHAnsi"/>
          <w:spacing w:val="-1"/>
        </w:rPr>
        <w:t xml:space="preserve"> or</w:t>
      </w:r>
      <w:r w:rsidRPr="00A82FD7">
        <w:rPr>
          <w:rFonts w:asciiTheme="majorHAnsi" w:hAnsiTheme="majorHAnsi"/>
        </w:rPr>
        <w:t>.</w:t>
      </w:r>
    </w:p>
    <w:p w14:paraId="2CFA7E6B" w14:textId="77777777" w:rsidR="0084306B" w:rsidRPr="0084306B" w:rsidRDefault="009558A3" w:rsidP="0084306B">
      <w:pPr>
        <w:pStyle w:val="BulletedListlvl1"/>
        <w:rPr>
          <w:rFonts w:asciiTheme="majorHAnsi" w:hAnsiTheme="majorHAnsi"/>
          <w:color w:val="000000"/>
        </w:rPr>
      </w:pPr>
      <w:r w:rsidRPr="00A82FD7">
        <w:rPr>
          <w:rFonts w:asciiTheme="majorHAnsi" w:hAnsiTheme="majorHAnsi"/>
          <w:bCs/>
        </w:rPr>
        <w:t>3</w:t>
      </w:r>
      <w:r w:rsidRPr="00A82FD7">
        <w:rPr>
          <w:rFonts w:asciiTheme="majorHAnsi" w:hAnsiTheme="majorHAnsi"/>
          <w:bCs/>
          <w:spacing w:val="-1"/>
        </w:rPr>
        <w:t xml:space="preserve"> per cent</w:t>
      </w:r>
      <w:r w:rsidRPr="00A82FD7">
        <w:rPr>
          <w:rFonts w:asciiTheme="majorHAnsi" w:hAnsiTheme="majorHAnsi"/>
          <w:b/>
          <w:bCs/>
          <w:spacing w:val="-2"/>
        </w:rPr>
        <w:t xml:space="preserve"> </w:t>
      </w:r>
      <w:r w:rsidRPr="00A82FD7">
        <w:rPr>
          <w:rFonts w:asciiTheme="majorHAnsi" w:hAnsiTheme="majorHAnsi"/>
        </w:rPr>
        <w:t>of</w:t>
      </w:r>
      <w:r w:rsidRPr="00A82FD7">
        <w:rPr>
          <w:rFonts w:asciiTheme="majorHAnsi" w:hAnsiTheme="majorHAnsi"/>
          <w:spacing w:val="-2"/>
        </w:rPr>
        <w:t xml:space="preserve"> </w:t>
      </w:r>
      <w:r w:rsidRPr="00A82FD7">
        <w:rPr>
          <w:rFonts w:asciiTheme="majorHAnsi" w:hAnsiTheme="majorHAnsi"/>
        </w:rPr>
        <w:t>the</w:t>
      </w:r>
      <w:r w:rsidRPr="00A82FD7">
        <w:rPr>
          <w:rFonts w:asciiTheme="majorHAnsi" w:hAnsiTheme="majorHAnsi"/>
          <w:spacing w:val="-2"/>
        </w:rPr>
        <w:t xml:space="preserve"> </w:t>
      </w:r>
      <w:r w:rsidRPr="00A82FD7">
        <w:rPr>
          <w:rFonts w:asciiTheme="majorHAnsi" w:hAnsiTheme="majorHAnsi"/>
          <w:spacing w:val="-1"/>
        </w:rPr>
        <w:t xml:space="preserve">value </w:t>
      </w:r>
      <w:r w:rsidRPr="00A82FD7">
        <w:rPr>
          <w:rFonts w:asciiTheme="majorHAnsi" w:hAnsiTheme="majorHAnsi"/>
        </w:rPr>
        <w:t>of</w:t>
      </w:r>
      <w:r w:rsidRPr="00A82FD7">
        <w:rPr>
          <w:rFonts w:asciiTheme="majorHAnsi" w:hAnsiTheme="majorHAnsi"/>
          <w:spacing w:val="-4"/>
        </w:rPr>
        <w:t xml:space="preserve"> </w:t>
      </w:r>
      <w:r w:rsidRPr="00A82FD7">
        <w:rPr>
          <w:rFonts w:asciiTheme="majorHAnsi" w:hAnsiTheme="majorHAnsi"/>
        </w:rPr>
        <w:t>the</w:t>
      </w:r>
      <w:r w:rsidRPr="00A82FD7">
        <w:rPr>
          <w:rFonts w:asciiTheme="majorHAnsi" w:hAnsiTheme="majorHAnsi"/>
          <w:spacing w:val="-3"/>
        </w:rPr>
        <w:t xml:space="preserve"> </w:t>
      </w:r>
      <w:r w:rsidRPr="00A82FD7">
        <w:rPr>
          <w:rFonts w:asciiTheme="majorHAnsi" w:hAnsiTheme="majorHAnsi"/>
          <w:spacing w:val="-1"/>
        </w:rPr>
        <w:t>supplier’s</w:t>
      </w:r>
      <w:r w:rsidRPr="00A82FD7">
        <w:rPr>
          <w:rFonts w:asciiTheme="majorHAnsi" w:hAnsiTheme="majorHAnsi"/>
          <w:spacing w:val="20"/>
        </w:rPr>
        <w:t xml:space="preserve"> </w:t>
      </w:r>
      <w:r w:rsidRPr="00A82FD7">
        <w:rPr>
          <w:rFonts w:asciiTheme="majorHAnsi" w:hAnsiTheme="majorHAnsi"/>
        </w:rPr>
        <w:t>Australian</w:t>
      </w:r>
      <w:r w:rsidRPr="00A82FD7">
        <w:rPr>
          <w:rFonts w:asciiTheme="majorHAnsi" w:hAnsiTheme="majorHAnsi"/>
          <w:spacing w:val="-5"/>
        </w:rPr>
        <w:t xml:space="preserve"> </w:t>
      </w:r>
      <w:r w:rsidRPr="00A82FD7">
        <w:rPr>
          <w:rFonts w:asciiTheme="majorHAnsi" w:hAnsiTheme="majorHAnsi"/>
          <w:spacing w:val="-1"/>
        </w:rPr>
        <w:t>supply</w:t>
      </w:r>
      <w:r w:rsidRPr="00A82FD7">
        <w:rPr>
          <w:rFonts w:asciiTheme="majorHAnsi" w:hAnsiTheme="majorHAnsi"/>
          <w:spacing w:val="-5"/>
        </w:rPr>
        <w:t xml:space="preserve"> </w:t>
      </w:r>
      <w:r w:rsidRPr="00A82FD7">
        <w:rPr>
          <w:rFonts w:asciiTheme="majorHAnsi" w:hAnsiTheme="majorHAnsi"/>
        </w:rPr>
        <w:t>chain</w:t>
      </w:r>
      <w:r w:rsidRPr="00A82FD7">
        <w:rPr>
          <w:rFonts w:asciiTheme="majorHAnsi" w:hAnsiTheme="majorHAnsi"/>
          <w:spacing w:val="21"/>
        </w:rPr>
        <w:t xml:space="preserve"> </w:t>
      </w:r>
      <w:r w:rsidRPr="00A82FD7">
        <w:rPr>
          <w:rFonts w:asciiTheme="majorHAnsi" w:hAnsiTheme="majorHAnsi"/>
        </w:rPr>
        <w:t>must</w:t>
      </w:r>
      <w:r w:rsidRPr="00A82FD7">
        <w:rPr>
          <w:rFonts w:asciiTheme="majorHAnsi" w:hAnsiTheme="majorHAnsi"/>
          <w:spacing w:val="-2"/>
        </w:rPr>
        <w:t xml:space="preserve"> </w:t>
      </w:r>
      <w:r w:rsidRPr="00A82FD7">
        <w:rPr>
          <w:rFonts w:asciiTheme="majorHAnsi" w:hAnsiTheme="majorHAnsi"/>
          <w:spacing w:val="-1"/>
        </w:rPr>
        <w:t>be</w:t>
      </w:r>
      <w:r w:rsidRPr="00A82FD7">
        <w:rPr>
          <w:rFonts w:asciiTheme="majorHAnsi" w:hAnsiTheme="majorHAnsi"/>
          <w:spacing w:val="-2"/>
        </w:rPr>
        <w:t xml:space="preserve"> </w:t>
      </w:r>
      <w:r w:rsidRPr="00A82FD7">
        <w:rPr>
          <w:rFonts w:asciiTheme="majorHAnsi" w:hAnsiTheme="majorHAnsi"/>
          <w:spacing w:val="-1"/>
        </w:rPr>
        <w:t>awarded</w:t>
      </w:r>
      <w:r w:rsidRPr="00A82FD7">
        <w:rPr>
          <w:rFonts w:asciiTheme="majorHAnsi" w:hAnsiTheme="majorHAnsi"/>
          <w:spacing w:val="-2"/>
        </w:rPr>
        <w:t xml:space="preserve"> </w:t>
      </w:r>
      <w:r w:rsidRPr="00A82FD7">
        <w:rPr>
          <w:rFonts w:asciiTheme="majorHAnsi" w:hAnsiTheme="majorHAnsi"/>
        </w:rPr>
        <w:t>to</w:t>
      </w:r>
      <w:r w:rsidRPr="00A82FD7">
        <w:rPr>
          <w:rFonts w:asciiTheme="majorHAnsi" w:hAnsiTheme="majorHAnsi"/>
          <w:spacing w:val="23"/>
          <w:w w:val="99"/>
        </w:rPr>
        <w:t xml:space="preserve"> </w:t>
      </w:r>
      <w:r w:rsidRPr="00A82FD7">
        <w:rPr>
          <w:rFonts w:asciiTheme="majorHAnsi" w:hAnsiTheme="majorHAnsi"/>
          <w:spacing w:val="-1"/>
        </w:rPr>
        <w:t>Indigenous</w:t>
      </w:r>
      <w:r w:rsidRPr="00A82FD7">
        <w:rPr>
          <w:rFonts w:asciiTheme="majorHAnsi" w:hAnsiTheme="majorHAnsi"/>
          <w:spacing w:val="-18"/>
        </w:rPr>
        <w:t xml:space="preserve"> </w:t>
      </w:r>
      <w:r w:rsidRPr="00A82FD7">
        <w:rPr>
          <w:rFonts w:asciiTheme="majorHAnsi" w:hAnsiTheme="majorHAnsi"/>
        </w:rPr>
        <w:t>enterprises</w:t>
      </w:r>
      <w:r w:rsidR="002E4E52" w:rsidRPr="00A82FD7">
        <w:rPr>
          <w:rFonts w:asciiTheme="majorHAnsi" w:hAnsiTheme="majorHAnsi"/>
        </w:rPr>
        <w:t xml:space="preserve"> or </w:t>
      </w:r>
    </w:p>
    <w:p w14:paraId="20D09229" w14:textId="77777777" w:rsidR="0084306B" w:rsidRPr="0084306B" w:rsidRDefault="0084306B" w:rsidP="0084306B">
      <w:pPr>
        <w:pStyle w:val="BulletedListlvl1"/>
        <w:rPr>
          <w:rFonts w:asciiTheme="majorHAnsi" w:hAnsiTheme="majorHAnsi"/>
          <w:color w:val="000000"/>
        </w:rPr>
      </w:pPr>
      <w:r>
        <w:rPr>
          <w:rFonts w:asciiTheme="majorHAnsi" w:hAnsiTheme="majorHAnsi"/>
          <w:spacing w:val="-1"/>
        </w:rPr>
        <w:t>a</w:t>
      </w:r>
      <w:r w:rsidRPr="0084306B">
        <w:rPr>
          <w:rFonts w:asciiTheme="majorHAnsi" w:hAnsiTheme="majorHAnsi"/>
          <w:spacing w:val="-1"/>
        </w:rPr>
        <w:t>ny combinatio</w:t>
      </w:r>
      <w:r>
        <w:rPr>
          <w:rFonts w:asciiTheme="majorHAnsi" w:hAnsiTheme="majorHAnsi"/>
          <w:spacing w:val="-1"/>
        </w:rPr>
        <w:t>n of the above that adds up to 3</w:t>
      </w:r>
      <w:r w:rsidRPr="0084306B">
        <w:rPr>
          <w:rFonts w:asciiTheme="majorHAnsi" w:hAnsiTheme="majorHAnsi"/>
          <w:spacing w:val="-1"/>
        </w:rPr>
        <w:t xml:space="preserve"> per cent (for example </w:t>
      </w:r>
      <w:r>
        <w:rPr>
          <w:rFonts w:asciiTheme="majorHAnsi" w:hAnsiTheme="majorHAnsi"/>
          <w:spacing w:val="-1"/>
        </w:rPr>
        <w:t>2</w:t>
      </w:r>
      <w:r w:rsidRPr="0084306B">
        <w:rPr>
          <w:rFonts w:asciiTheme="majorHAnsi" w:hAnsiTheme="majorHAnsi"/>
          <w:spacing w:val="-1"/>
        </w:rPr>
        <w:t xml:space="preserve">% employment and 1% supplier use). </w:t>
      </w:r>
    </w:p>
    <w:p w14:paraId="7C83E6B6" w14:textId="77777777" w:rsidR="00E814EE" w:rsidRPr="00A82FD7" w:rsidRDefault="00E814EE" w:rsidP="00E814EE">
      <w:pPr>
        <w:pStyle w:val="BulletedListlvl1"/>
        <w:numPr>
          <w:ilvl w:val="0"/>
          <w:numId w:val="0"/>
        </w:numPr>
        <w:ind w:left="283"/>
        <w:rPr>
          <w:rFonts w:asciiTheme="majorHAnsi" w:hAnsiTheme="majorHAnsi"/>
        </w:rPr>
      </w:pPr>
    </w:p>
    <w:p w14:paraId="6B36E0AE" w14:textId="77777777" w:rsidR="00590796" w:rsidRPr="00A82FD7" w:rsidRDefault="005F44FE" w:rsidP="005F44FE">
      <w:pPr>
        <w:pStyle w:val="BulletedListlvl1"/>
        <w:numPr>
          <w:ilvl w:val="0"/>
          <w:numId w:val="0"/>
        </w:numPr>
        <w:rPr>
          <w:rFonts w:asciiTheme="majorHAnsi" w:hAnsiTheme="majorHAnsi"/>
          <w:noProof/>
          <w:lang w:eastAsia="en-AU"/>
        </w:rPr>
      </w:pPr>
      <w:r w:rsidRPr="00A82FD7">
        <w:rPr>
          <w:rFonts w:asciiTheme="majorHAnsi" w:hAnsiTheme="majorHAnsi"/>
          <w:noProof/>
          <w:lang w:eastAsia="en-AU"/>
        </w:rPr>
        <w:t xml:space="preserve">Organisations </w:t>
      </w:r>
      <w:r w:rsidR="004D1347" w:rsidRPr="00A82FD7">
        <w:rPr>
          <w:rFonts w:asciiTheme="majorHAnsi" w:hAnsiTheme="majorHAnsi"/>
          <w:noProof/>
          <w:lang w:eastAsia="en-AU"/>
        </w:rPr>
        <w:t xml:space="preserve">may have </w:t>
      </w:r>
      <w:r w:rsidRPr="00A82FD7">
        <w:rPr>
          <w:rFonts w:asciiTheme="majorHAnsi" w:hAnsiTheme="majorHAnsi"/>
          <w:noProof/>
          <w:lang w:eastAsia="en-AU"/>
        </w:rPr>
        <w:t>organisation-based MMR target</w:t>
      </w:r>
      <w:r w:rsidR="004D1347" w:rsidRPr="00A82FD7">
        <w:rPr>
          <w:rFonts w:asciiTheme="majorHAnsi" w:hAnsiTheme="majorHAnsi"/>
          <w:noProof/>
          <w:lang w:eastAsia="en-AU"/>
        </w:rPr>
        <w:t>s within</w:t>
      </w:r>
      <w:r w:rsidRPr="00A82FD7">
        <w:rPr>
          <w:rFonts w:asciiTheme="majorHAnsi" w:hAnsiTheme="majorHAnsi"/>
          <w:noProof/>
          <w:lang w:eastAsia="en-AU"/>
        </w:rPr>
        <w:t xml:space="preserve"> multiple contracts with Commonwealth </w:t>
      </w:r>
      <w:r w:rsidR="00B44F3B" w:rsidRPr="00A82FD7">
        <w:rPr>
          <w:rFonts w:asciiTheme="majorHAnsi" w:hAnsiTheme="majorHAnsi"/>
          <w:noProof/>
          <w:lang w:eastAsia="en-AU"/>
        </w:rPr>
        <w:t>entities</w:t>
      </w:r>
      <w:r w:rsidRPr="00A82FD7">
        <w:rPr>
          <w:rFonts w:asciiTheme="majorHAnsi" w:hAnsiTheme="majorHAnsi"/>
          <w:noProof/>
          <w:lang w:eastAsia="en-AU"/>
        </w:rPr>
        <w:t xml:space="preserve">. </w:t>
      </w:r>
      <w:r w:rsidR="004D1347" w:rsidRPr="00A82FD7">
        <w:rPr>
          <w:rFonts w:asciiTheme="majorHAnsi" w:hAnsiTheme="majorHAnsi"/>
          <w:noProof/>
          <w:lang w:eastAsia="en-AU"/>
        </w:rPr>
        <w:t>The organisation will only need to report their organsiation’s employment and supply ch</w:t>
      </w:r>
      <w:r w:rsidR="007A1F95" w:rsidRPr="00A82FD7">
        <w:rPr>
          <w:rFonts w:asciiTheme="majorHAnsi" w:hAnsiTheme="majorHAnsi"/>
          <w:noProof/>
          <w:lang w:eastAsia="en-AU"/>
        </w:rPr>
        <w:t xml:space="preserve">ain </w:t>
      </w:r>
      <w:r w:rsidR="004D1347" w:rsidRPr="00A82FD7">
        <w:rPr>
          <w:rFonts w:asciiTheme="majorHAnsi" w:hAnsiTheme="majorHAnsi"/>
          <w:noProof/>
          <w:lang w:eastAsia="en-AU"/>
        </w:rPr>
        <w:t xml:space="preserve">data once every quarter via the IPPRS. The IPPRS will automatically attribute this data against each contract to support contract managers and suppliers assess compliance against the IPP target. </w:t>
      </w:r>
    </w:p>
    <w:p w14:paraId="33566A20" w14:textId="77777777" w:rsidR="00CA54AD" w:rsidRPr="00134C33" w:rsidRDefault="00B80395" w:rsidP="00D23D67">
      <w:pPr>
        <w:pStyle w:val="Heading3"/>
        <w:rPr>
          <w:color w:val="A55700" w:themeColor="accent4" w:themeShade="BF"/>
        </w:rPr>
      </w:pPr>
      <w:bookmarkStart w:id="37" w:name="_Toc223528535"/>
      <w:r w:rsidRPr="00134C33">
        <w:rPr>
          <w:color w:val="A55700" w:themeColor="accent4" w:themeShade="BF"/>
        </w:rPr>
        <w:t>3</w:t>
      </w:r>
      <w:r w:rsidR="005B43E4" w:rsidRPr="00134C33">
        <w:rPr>
          <w:color w:val="A55700" w:themeColor="accent4" w:themeShade="BF"/>
        </w:rPr>
        <w:t>.3</w:t>
      </w:r>
      <w:r w:rsidR="00D23D67" w:rsidRPr="00134C33">
        <w:rPr>
          <w:color w:val="A55700" w:themeColor="accent4" w:themeShade="BF"/>
        </w:rPr>
        <w:t xml:space="preserve"> </w:t>
      </w:r>
      <w:r w:rsidR="00DA7DE9" w:rsidRPr="00134C33">
        <w:rPr>
          <w:color w:val="A55700" w:themeColor="accent4" w:themeShade="BF"/>
        </w:rPr>
        <w:t xml:space="preserve">Counting employment and supply-use against </w:t>
      </w:r>
      <w:r w:rsidR="00CA54AD" w:rsidRPr="00134C33">
        <w:rPr>
          <w:color w:val="A55700" w:themeColor="accent4" w:themeShade="BF"/>
        </w:rPr>
        <w:t>targets</w:t>
      </w:r>
      <w:bookmarkEnd w:id="37"/>
      <w:r w:rsidR="00CA54AD" w:rsidRPr="00134C33">
        <w:rPr>
          <w:color w:val="A55700" w:themeColor="accent4" w:themeShade="BF"/>
        </w:rPr>
        <w:t xml:space="preserve"> </w:t>
      </w:r>
    </w:p>
    <w:p w14:paraId="15320B4B" w14:textId="77777777" w:rsidR="00A17FD0" w:rsidRPr="00134C33" w:rsidRDefault="00A17FD0" w:rsidP="00A17FD0">
      <w:pPr>
        <w:pStyle w:val="Heading4"/>
        <w:rPr>
          <w:color w:val="A55700" w:themeColor="accent4" w:themeShade="BF"/>
        </w:rPr>
      </w:pPr>
      <w:r w:rsidRPr="00134C33">
        <w:rPr>
          <w:color w:val="A55700" w:themeColor="accent4" w:themeShade="BF"/>
        </w:rPr>
        <w:t>3.3.1 Employment</w:t>
      </w:r>
    </w:p>
    <w:p w14:paraId="3BE80288" w14:textId="77777777" w:rsidR="00A17FD0" w:rsidRPr="00134C33" w:rsidRDefault="00A17FD0" w:rsidP="00A17FD0">
      <w:pPr>
        <w:pStyle w:val="Subtitle"/>
        <w:spacing w:before="0" w:after="0" w:line="240" w:lineRule="auto"/>
        <w:rPr>
          <w:color w:val="A55700" w:themeColor="accent4" w:themeShade="BF"/>
        </w:rPr>
      </w:pPr>
      <w:r w:rsidRPr="00134C33">
        <w:rPr>
          <w:color w:val="A55700" w:themeColor="accent4" w:themeShade="BF"/>
        </w:rPr>
        <w:t>Contract</w:t>
      </w:r>
    </w:p>
    <w:p w14:paraId="4EB5DD6B" w14:textId="77777777" w:rsidR="00A17FD0" w:rsidRDefault="00A17FD0" w:rsidP="00A17FD0">
      <w:pPr>
        <w:pStyle w:val="BulletedListlvl1"/>
        <w:numPr>
          <w:ilvl w:val="0"/>
          <w:numId w:val="0"/>
        </w:numPr>
        <w:rPr>
          <w:rFonts w:asciiTheme="majorHAnsi" w:hAnsiTheme="majorHAnsi"/>
        </w:rPr>
      </w:pPr>
      <w:r>
        <w:rPr>
          <w:rFonts w:asciiTheme="majorHAnsi" w:hAnsiTheme="majorHAnsi"/>
        </w:rPr>
        <w:t>A supplier’s progress against e</w:t>
      </w:r>
      <w:r w:rsidRPr="00A82FD7">
        <w:rPr>
          <w:rFonts w:asciiTheme="majorHAnsi" w:hAnsiTheme="majorHAnsi"/>
        </w:rPr>
        <w:t xml:space="preserve">mployment targets </w:t>
      </w:r>
      <w:proofErr w:type="gramStart"/>
      <w:r w:rsidRPr="00A82FD7">
        <w:rPr>
          <w:rFonts w:asciiTheme="majorHAnsi" w:hAnsiTheme="majorHAnsi"/>
        </w:rPr>
        <w:t>are</w:t>
      </w:r>
      <w:proofErr w:type="gramEnd"/>
      <w:r w:rsidRPr="00A82FD7">
        <w:rPr>
          <w:rFonts w:asciiTheme="majorHAnsi" w:hAnsiTheme="majorHAnsi"/>
        </w:rPr>
        <w:t xml:space="preserve"> </w:t>
      </w:r>
      <w:r>
        <w:rPr>
          <w:rFonts w:asciiTheme="majorHAnsi" w:hAnsiTheme="majorHAnsi"/>
        </w:rPr>
        <w:t xml:space="preserve">assessed </w:t>
      </w:r>
      <w:r w:rsidRPr="00A82FD7">
        <w:rPr>
          <w:rFonts w:asciiTheme="majorHAnsi" w:hAnsiTheme="majorHAnsi"/>
        </w:rPr>
        <w:t xml:space="preserve">by the number of hours an Indigenous person works for the supplier over the term of the contract in relation to the supplier’s total workforce, expressed as full-time equivalent (FTE) and assessed as a weighted average. </w:t>
      </w:r>
      <w:r w:rsidRPr="0086008F">
        <w:rPr>
          <w:rFonts w:asciiTheme="majorHAnsi" w:hAnsiTheme="majorHAnsi"/>
        </w:rPr>
        <w:t xml:space="preserve">To calculate the average, suppliers report quarterly on the total number of Indigenous FTE deployed on the contract and the total number of </w:t>
      </w:r>
      <w:r w:rsidR="0084306B">
        <w:rPr>
          <w:rFonts w:asciiTheme="majorHAnsi" w:hAnsiTheme="majorHAnsi"/>
        </w:rPr>
        <w:t xml:space="preserve">non-Indigenous </w:t>
      </w:r>
      <w:r w:rsidRPr="0086008F">
        <w:rPr>
          <w:rFonts w:asciiTheme="majorHAnsi" w:hAnsiTheme="majorHAnsi"/>
        </w:rPr>
        <w:t xml:space="preserve">FTE deployed on the contract for that quarter. </w:t>
      </w:r>
      <w:r w:rsidRPr="00A82FD7">
        <w:rPr>
          <w:rFonts w:asciiTheme="majorHAnsi" w:hAnsiTheme="majorHAnsi"/>
        </w:rPr>
        <w:t xml:space="preserve">This ensures Indigenous Australians have access to meaningful employment over the life of the project. </w:t>
      </w:r>
    </w:p>
    <w:p w14:paraId="31FC2CAF" w14:textId="77777777" w:rsidR="00A17FD0" w:rsidRDefault="00A17FD0" w:rsidP="00A17FD0">
      <w:pPr>
        <w:pStyle w:val="BulletedListlvl1"/>
        <w:numPr>
          <w:ilvl w:val="0"/>
          <w:numId w:val="0"/>
        </w:numPr>
        <w:rPr>
          <w:rFonts w:asciiTheme="majorHAnsi" w:hAnsiTheme="majorHAnsi"/>
        </w:rPr>
      </w:pPr>
    </w:p>
    <w:p w14:paraId="324B151C" w14:textId="77777777" w:rsidR="00A17FD0" w:rsidRDefault="00A17FD0" w:rsidP="00A17FD0">
      <w:pPr>
        <w:pStyle w:val="BodyText"/>
        <w:rPr>
          <w:rFonts w:asciiTheme="majorHAnsi" w:hAnsiTheme="majorHAnsi"/>
        </w:rPr>
      </w:pPr>
      <w:r w:rsidRPr="00A82FD7">
        <w:rPr>
          <w:rFonts w:asciiTheme="majorHAnsi" w:hAnsiTheme="majorHAnsi"/>
        </w:rPr>
        <w:t xml:space="preserve">A supplier’s final performance against employment targets at the end of the contract term is calculated using the total number of Indigenous FTE </w:t>
      </w:r>
      <w:r>
        <w:rPr>
          <w:rFonts w:asciiTheme="majorHAnsi" w:hAnsiTheme="majorHAnsi"/>
        </w:rPr>
        <w:t>divided by the</w:t>
      </w:r>
      <w:r w:rsidRPr="00A82FD7">
        <w:rPr>
          <w:rFonts w:asciiTheme="majorHAnsi" w:hAnsiTheme="majorHAnsi"/>
        </w:rPr>
        <w:t xml:space="preserve"> total number </w:t>
      </w:r>
      <w:r>
        <w:rPr>
          <w:rFonts w:asciiTheme="majorHAnsi" w:hAnsiTheme="majorHAnsi"/>
        </w:rPr>
        <w:t>of FTE reported by the supplier</w:t>
      </w:r>
      <w:r w:rsidRPr="00A82FD7">
        <w:rPr>
          <w:rFonts w:asciiTheme="majorHAnsi" w:hAnsiTheme="majorHAnsi"/>
        </w:rPr>
        <w:t xml:space="preserve">. </w:t>
      </w:r>
    </w:p>
    <w:p w14:paraId="05759D5B" w14:textId="77777777" w:rsidR="00A17FD0" w:rsidRPr="00134C33" w:rsidRDefault="00A17FD0" w:rsidP="00A17FD0">
      <w:pPr>
        <w:pStyle w:val="Subtitle"/>
        <w:spacing w:before="0" w:after="0" w:line="240" w:lineRule="auto"/>
        <w:rPr>
          <w:color w:val="A55700" w:themeColor="accent4" w:themeShade="BF"/>
        </w:rPr>
      </w:pPr>
      <w:r w:rsidRPr="00134C33">
        <w:rPr>
          <w:color w:val="A55700" w:themeColor="accent4" w:themeShade="BF"/>
        </w:rPr>
        <w:t>Organisation</w:t>
      </w:r>
    </w:p>
    <w:p w14:paraId="0C2258CB" w14:textId="77777777" w:rsidR="00BB4361" w:rsidRDefault="00BB4361" w:rsidP="00A17FD0">
      <w:pPr>
        <w:pStyle w:val="BodyText"/>
        <w:rPr>
          <w:rFonts w:asciiTheme="majorHAnsi" w:hAnsiTheme="majorHAnsi"/>
        </w:rPr>
      </w:pPr>
    </w:p>
    <w:p w14:paraId="1CB52815" w14:textId="77777777" w:rsidR="00A17FD0" w:rsidRPr="00A82FD7" w:rsidRDefault="00A17FD0" w:rsidP="00A17FD0">
      <w:pPr>
        <w:pStyle w:val="BodyText"/>
        <w:rPr>
          <w:rFonts w:asciiTheme="majorHAnsi" w:hAnsiTheme="majorHAnsi"/>
        </w:rPr>
      </w:pPr>
      <w:r w:rsidRPr="00A82FD7">
        <w:rPr>
          <w:rFonts w:asciiTheme="majorHAnsi" w:hAnsiTheme="majorHAnsi"/>
        </w:rPr>
        <w:t xml:space="preserve">A supplier’s progress against organisation-based MMR employment targets is calculated using the average number of hours an Indigenous person has worked to deliver on the contract.  To calculate the weighted average, suppliers report quarterly on the total number of Indigenous FTE employed by the organisation and the total number of FTE employed by the organisation in Australia each quarter. </w:t>
      </w:r>
    </w:p>
    <w:p w14:paraId="6CCF7A47" w14:textId="77777777" w:rsidR="00A17FD0" w:rsidRPr="00A82FD7" w:rsidRDefault="00A17FD0" w:rsidP="00A17FD0">
      <w:pPr>
        <w:pStyle w:val="BodyText"/>
        <w:rPr>
          <w:rFonts w:asciiTheme="majorHAnsi" w:hAnsiTheme="majorHAnsi"/>
        </w:rPr>
      </w:pPr>
      <w:r w:rsidRPr="00A82FD7">
        <w:rPr>
          <w:rFonts w:asciiTheme="majorHAnsi" w:hAnsiTheme="majorHAnsi"/>
        </w:rPr>
        <w:t xml:space="preserve">At the </w:t>
      </w:r>
      <w:r w:rsidR="0084306B">
        <w:rPr>
          <w:rFonts w:asciiTheme="majorHAnsi" w:hAnsiTheme="majorHAnsi"/>
        </w:rPr>
        <w:t>end of the initial term the IPP</w:t>
      </w:r>
      <w:r w:rsidRPr="00A82FD7">
        <w:rPr>
          <w:rFonts w:asciiTheme="majorHAnsi" w:hAnsiTheme="majorHAnsi"/>
        </w:rPr>
        <w:t xml:space="preserve">RS will calculate the weighted average FTE by adding the total number of Indigenous FTE and the total number of </w:t>
      </w:r>
      <w:r w:rsidR="0084306B">
        <w:rPr>
          <w:rFonts w:asciiTheme="majorHAnsi" w:hAnsiTheme="majorHAnsi"/>
        </w:rPr>
        <w:t xml:space="preserve">non-Indigenous </w:t>
      </w:r>
      <w:r w:rsidRPr="00A82FD7">
        <w:rPr>
          <w:rFonts w:asciiTheme="majorHAnsi" w:hAnsiTheme="majorHAnsi"/>
        </w:rPr>
        <w:t xml:space="preserve">FTE reported by the supplier each quarter and dividing by the number of quarters over the initial term to find the weighted average.  </w:t>
      </w:r>
    </w:p>
    <w:p w14:paraId="6E92EF06" w14:textId="77777777" w:rsidR="00A17FD0" w:rsidRPr="00A82FD7" w:rsidRDefault="00A17FD0" w:rsidP="00A17FD0">
      <w:pPr>
        <w:pStyle w:val="BodyText"/>
        <w:rPr>
          <w:rFonts w:asciiTheme="majorHAnsi" w:hAnsiTheme="majorHAnsi"/>
        </w:rPr>
      </w:pPr>
      <w:r w:rsidRPr="00A82FD7">
        <w:rPr>
          <w:rFonts w:asciiTheme="majorHAnsi" w:hAnsiTheme="majorHAnsi"/>
        </w:rPr>
        <w:t xml:space="preserve">Where the supplier has multiple contracts that contain </w:t>
      </w:r>
      <w:proofErr w:type="gramStart"/>
      <w:r w:rsidRPr="00A82FD7">
        <w:rPr>
          <w:rFonts w:asciiTheme="majorHAnsi" w:hAnsiTheme="majorHAnsi"/>
        </w:rPr>
        <w:t>organisation based</w:t>
      </w:r>
      <w:proofErr w:type="gramEnd"/>
      <w:r w:rsidRPr="00A82FD7">
        <w:rPr>
          <w:rFonts w:asciiTheme="majorHAnsi" w:hAnsiTheme="majorHAnsi"/>
        </w:rPr>
        <w:t xml:space="preserve"> MMR contracts (that contain different start and end dates) the supplier will only need to report once each quarter. The IPPRS will use the date ranges of the quarterly report and the start and end date of associated contracts to allocate </w:t>
      </w:r>
      <w:r w:rsidRPr="00A82FD7">
        <w:rPr>
          <w:rFonts w:asciiTheme="majorHAnsi" w:hAnsiTheme="majorHAnsi"/>
        </w:rPr>
        <w:lastRenderedPageBreak/>
        <w:t xml:space="preserve">the workforce data accordingly. This is important as each contract is assessed against the average weighted FTE employed over the term of each individual contract. </w:t>
      </w:r>
    </w:p>
    <w:p w14:paraId="15E8B57D" w14:textId="77777777" w:rsidR="00A17FD0" w:rsidRPr="00A82FD7" w:rsidRDefault="00A17FD0" w:rsidP="00A17FD0">
      <w:pPr>
        <w:pStyle w:val="BulletedListlvl1"/>
        <w:numPr>
          <w:ilvl w:val="0"/>
          <w:numId w:val="0"/>
        </w:numPr>
        <w:rPr>
          <w:rFonts w:asciiTheme="majorHAnsi" w:hAnsiTheme="majorHAnsi"/>
        </w:rPr>
      </w:pPr>
    </w:p>
    <w:p w14:paraId="1B873D13" w14:textId="12C8230D" w:rsidR="00A17FD0" w:rsidRPr="00A82FD7" w:rsidRDefault="00A17FD0" w:rsidP="00A17FD0">
      <w:pPr>
        <w:pStyle w:val="BulletedListlvl1"/>
        <w:numPr>
          <w:ilvl w:val="0"/>
          <w:numId w:val="0"/>
        </w:numPr>
        <w:rPr>
          <w:rFonts w:asciiTheme="majorHAnsi" w:hAnsiTheme="majorHAnsi"/>
        </w:rPr>
      </w:pPr>
      <w:r w:rsidRPr="0086008F">
        <w:rPr>
          <w:rFonts w:asciiTheme="majorHAnsi" w:hAnsiTheme="majorHAnsi"/>
          <w:b/>
        </w:rPr>
        <w:t>It is important to note</w:t>
      </w:r>
      <w:r>
        <w:rPr>
          <w:rFonts w:asciiTheme="majorHAnsi" w:hAnsiTheme="majorHAnsi"/>
        </w:rPr>
        <w:t>:</w:t>
      </w:r>
      <w:r w:rsidRPr="00A82FD7">
        <w:rPr>
          <w:rFonts w:asciiTheme="majorHAnsi" w:hAnsiTheme="majorHAnsi"/>
        </w:rPr>
        <w:t xml:space="preserve"> the hours associated with an FTE will differ between industries. The supplier should </w:t>
      </w:r>
      <w:r>
        <w:rPr>
          <w:rFonts w:asciiTheme="majorHAnsi" w:hAnsiTheme="majorHAnsi"/>
        </w:rPr>
        <w:t xml:space="preserve">report </w:t>
      </w:r>
      <w:r w:rsidRPr="00A82FD7">
        <w:rPr>
          <w:rFonts w:asciiTheme="majorHAnsi" w:hAnsiTheme="majorHAnsi"/>
        </w:rPr>
        <w:t xml:space="preserve">the FTE as defined by their industry. If multiple awards are in place, the supplier should use the FTE rate that is most representative of their workforce. </w:t>
      </w:r>
    </w:p>
    <w:p w14:paraId="2E3ED260" w14:textId="77777777" w:rsidR="00A17FD0" w:rsidRPr="00134C33" w:rsidRDefault="00A17FD0" w:rsidP="00A17FD0">
      <w:pPr>
        <w:pStyle w:val="Heading4"/>
        <w:rPr>
          <w:color w:val="A55700" w:themeColor="accent4" w:themeShade="BF"/>
        </w:rPr>
      </w:pPr>
      <w:r w:rsidRPr="00134C33">
        <w:rPr>
          <w:color w:val="A55700" w:themeColor="accent4" w:themeShade="BF"/>
        </w:rPr>
        <w:t>3.3.2 Supply-use</w:t>
      </w:r>
    </w:p>
    <w:p w14:paraId="3B1989DD" w14:textId="77777777" w:rsidR="00A17FD0" w:rsidRPr="00134C33" w:rsidRDefault="00A17FD0" w:rsidP="00A17FD0">
      <w:pPr>
        <w:pStyle w:val="Subtitle"/>
        <w:spacing w:before="0" w:after="0" w:line="240" w:lineRule="auto"/>
        <w:rPr>
          <w:color w:val="A55700" w:themeColor="accent4" w:themeShade="BF"/>
        </w:rPr>
      </w:pPr>
      <w:r w:rsidRPr="00134C33">
        <w:rPr>
          <w:color w:val="A55700" w:themeColor="accent4" w:themeShade="BF"/>
        </w:rPr>
        <w:t>Contract-based</w:t>
      </w:r>
    </w:p>
    <w:p w14:paraId="5DCAA6B8" w14:textId="77777777" w:rsidR="00A17FD0" w:rsidRPr="00A17FD0" w:rsidRDefault="00A17FD0" w:rsidP="00A17FD0">
      <w:pPr>
        <w:pStyle w:val="BodyText"/>
        <w:rPr>
          <w:rStyle w:val="SubtitleChar"/>
          <w:color w:val="262626" w:themeColor="text1" w:themeTint="D9"/>
          <w:sz w:val="20"/>
          <w:szCs w:val="20"/>
        </w:rPr>
      </w:pPr>
      <w:r w:rsidRPr="00A17FD0">
        <w:rPr>
          <w:rFonts w:asciiTheme="majorHAnsi" w:hAnsiTheme="majorHAnsi"/>
        </w:rPr>
        <w:t xml:space="preserve">For contract-based MMR targets, the supplier may report any subcontract or purchase made with an Indigenous business that is directly related to delivery of the contract. </w:t>
      </w:r>
    </w:p>
    <w:p w14:paraId="426ACCF7" w14:textId="77777777" w:rsidR="00A17FD0" w:rsidRPr="00A82FD7" w:rsidRDefault="00A17FD0" w:rsidP="00A17FD0">
      <w:pPr>
        <w:pStyle w:val="BulletedListlvl1"/>
        <w:numPr>
          <w:ilvl w:val="0"/>
          <w:numId w:val="0"/>
        </w:numPr>
        <w:rPr>
          <w:rFonts w:asciiTheme="majorHAnsi" w:hAnsiTheme="majorHAnsi"/>
        </w:rPr>
      </w:pPr>
      <w:r w:rsidRPr="0086008F">
        <w:rPr>
          <w:rFonts w:asciiTheme="majorHAnsi" w:hAnsiTheme="majorHAnsi"/>
        </w:rPr>
        <w:t>Each quarter the supplier will report the details of the Indigenous business that they have contracted with or purchased with that quarter through the IPPRS. At the end of the contract term, the total value of contracts and purchases awarded to an Indigenous business will be measured as a percentage against the value of the</w:t>
      </w:r>
      <w:r w:rsidR="0084306B">
        <w:rPr>
          <w:rFonts w:asciiTheme="majorHAnsi" w:hAnsiTheme="majorHAnsi"/>
        </w:rPr>
        <w:t xml:space="preserve"> contract to determine if</w:t>
      </w:r>
      <w:r w:rsidRPr="0086008F">
        <w:rPr>
          <w:rFonts w:asciiTheme="majorHAnsi" w:hAnsiTheme="majorHAnsi"/>
        </w:rPr>
        <w:t xml:space="preserve"> the MMR target was met.  </w:t>
      </w:r>
    </w:p>
    <w:p w14:paraId="1645FDB2" w14:textId="77777777" w:rsidR="00A17FD0" w:rsidRPr="00A82FD7" w:rsidRDefault="00A17FD0" w:rsidP="00A17FD0">
      <w:pPr>
        <w:pStyle w:val="BulletedListlvl1"/>
        <w:numPr>
          <w:ilvl w:val="0"/>
          <w:numId w:val="0"/>
        </w:numPr>
        <w:rPr>
          <w:rFonts w:asciiTheme="majorHAnsi" w:hAnsiTheme="majorHAnsi"/>
        </w:rPr>
      </w:pPr>
    </w:p>
    <w:p w14:paraId="1622409A" w14:textId="77777777" w:rsidR="00A17FD0" w:rsidRPr="00A82FD7" w:rsidRDefault="00A17FD0" w:rsidP="00A17FD0">
      <w:pPr>
        <w:pStyle w:val="BulletedListlvl1"/>
        <w:numPr>
          <w:ilvl w:val="0"/>
          <w:numId w:val="0"/>
        </w:numPr>
        <w:rPr>
          <w:rFonts w:asciiTheme="majorHAnsi" w:hAnsiTheme="majorHAnsi"/>
        </w:rPr>
      </w:pPr>
      <w:r w:rsidRPr="00134C33">
        <w:rPr>
          <w:rStyle w:val="SubtitleChar"/>
          <w:color w:val="A55700" w:themeColor="accent4" w:themeShade="BF"/>
        </w:rPr>
        <w:t>Organisation-based</w:t>
      </w:r>
      <w:r>
        <w:rPr>
          <w:rFonts w:asciiTheme="majorHAnsi" w:hAnsiTheme="majorHAnsi"/>
          <w:b/>
        </w:rPr>
        <w:br/>
      </w:r>
      <w:r w:rsidRPr="00A82FD7">
        <w:rPr>
          <w:rFonts w:asciiTheme="majorHAnsi" w:hAnsiTheme="majorHAnsi"/>
        </w:rPr>
        <w:t xml:space="preserve">For organisation-based MMR supply use targets the supplier reports each quarter the total value of their Australian supply chain and value of contracts awarded to Indigenous businesses.  The IPPRS measures as a percentage against the organisation’s Australian supply chain.  </w:t>
      </w:r>
    </w:p>
    <w:p w14:paraId="3B150A7E" w14:textId="77777777" w:rsidR="00A17FD0" w:rsidRPr="00A82FD7" w:rsidRDefault="00A17FD0" w:rsidP="00A17FD0">
      <w:pPr>
        <w:pStyle w:val="BulletedListlvl1"/>
        <w:numPr>
          <w:ilvl w:val="0"/>
          <w:numId w:val="0"/>
        </w:numPr>
        <w:rPr>
          <w:rFonts w:asciiTheme="majorHAnsi" w:hAnsiTheme="majorHAnsi"/>
        </w:rPr>
      </w:pPr>
    </w:p>
    <w:p w14:paraId="3140669B" w14:textId="77777777" w:rsidR="00A17FD0" w:rsidRDefault="00A17FD0" w:rsidP="00A17FD0">
      <w:pPr>
        <w:pStyle w:val="BodyText"/>
        <w:rPr>
          <w:rFonts w:asciiTheme="majorHAnsi" w:hAnsiTheme="majorHAnsi"/>
        </w:rPr>
      </w:pPr>
      <w:r w:rsidRPr="00A82FD7">
        <w:rPr>
          <w:rFonts w:asciiTheme="majorHAnsi" w:hAnsiTheme="majorHAnsi"/>
        </w:rPr>
        <w:t xml:space="preserve">Where the supplier has multiple contracts that contain </w:t>
      </w:r>
      <w:proofErr w:type="gramStart"/>
      <w:r w:rsidRPr="00A82FD7">
        <w:rPr>
          <w:rFonts w:asciiTheme="majorHAnsi" w:hAnsiTheme="majorHAnsi"/>
        </w:rPr>
        <w:t>organisation based</w:t>
      </w:r>
      <w:proofErr w:type="gramEnd"/>
      <w:r w:rsidRPr="00A82FD7">
        <w:rPr>
          <w:rFonts w:asciiTheme="majorHAnsi" w:hAnsiTheme="majorHAnsi"/>
        </w:rPr>
        <w:t xml:space="preserve"> MMR contracts (that contain different start and end dates) the supplier will only need to report once each quarter. The IPPRS will use the date of the purchase and the start and end date of associated contracts to allocate the supply use data accordingly. This is important as each contract is assessed against the average value of Indigenous supply use against the value of the organisation’s total Australian supply chain over the term of that contract.</w:t>
      </w:r>
    </w:p>
    <w:p w14:paraId="0EAD1231" w14:textId="77777777" w:rsidR="00A17FD0" w:rsidRDefault="00A17FD0" w:rsidP="00A17FD0">
      <w:pPr>
        <w:pStyle w:val="BodyText"/>
      </w:pPr>
    </w:p>
    <w:p w14:paraId="25BE5000" w14:textId="77777777" w:rsidR="00002230" w:rsidRPr="00A82FD7" w:rsidRDefault="005B43E4" w:rsidP="00B075CE">
      <w:pPr>
        <w:pStyle w:val="Heading2"/>
      </w:pPr>
      <w:bookmarkStart w:id="38" w:name="_Toc223528536"/>
      <w:r w:rsidRPr="00A82FD7">
        <w:t>4</w:t>
      </w:r>
      <w:r w:rsidR="00B075CE" w:rsidRPr="00A82FD7">
        <w:t xml:space="preserve">.0 </w:t>
      </w:r>
      <w:r w:rsidR="009919A8">
        <w:t>Procurement documentation</w:t>
      </w:r>
      <w:bookmarkEnd w:id="38"/>
    </w:p>
    <w:p w14:paraId="110FDB28" w14:textId="77777777" w:rsidR="004F247D" w:rsidRDefault="009919A8" w:rsidP="001C24BF">
      <w:pPr>
        <w:pStyle w:val="NumberedListlvl1"/>
        <w:numPr>
          <w:ilvl w:val="0"/>
          <w:numId w:val="0"/>
        </w:numPr>
        <w:rPr>
          <w:rFonts w:asciiTheme="majorHAnsi" w:hAnsiTheme="majorHAnsi"/>
        </w:rPr>
      </w:pPr>
      <w:r>
        <w:rPr>
          <w:rFonts w:asciiTheme="majorHAnsi" w:hAnsiTheme="majorHAnsi"/>
        </w:rPr>
        <w:t>For procurements</w:t>
      </w:r>
      <w:r w:rsidR="004F247D">
        <w:rPr>
          <w:rFonts w:asciiTheme="majorHAnsi" w:hAnsiTheme="majorHAnsi"/>
        </w:rPr>
        <w:t xml:space="preserve"> subject to the MMR, procuring officials must inform potential suppliers of their </w:t>
      </w:r>
      <w:r>
        <w:rPr>
          <w:rFonts w:asciiTheme="majorHAnsi" w:hAnsiTheme="majorHAnsi"/>
        </w:rPr>
        <w:t xml:space="preserve">contractual </w:t>
      </w:r>
      <w:r w:rsidR="004F247D">
        <w:rPr>
          <w:rFonts w:asciiTheme="majorHAnsi" w:hAnsiTheme="majorHAnsi"/>
        </w:rPr>
        <w:t>obligations</w:t>
      </w:r>
      <w:r>
        <w:rPr>
          <w:rFonts w:asciiTheme="majorHAnsi" w:hAnsiTheme="majorHAnsi"/>
        </w:rPr>
        <w:t xml:space="preserve"> at the approach to market stage. This information will inform tender submission documents, which will be assessed in line with MMR requirements at the evaluation stage and then feature in the final contract. At each stage of the procurement process, procuring officials and/or contract managers should have regard to </w:t>
      </w:r>
      <w:r w:rsidR="002F1006">
        <w:rPr>
          <w:rFonts w:asciiTheme="majorHAnsi" w:hAnsiTheme="majorHAnsi"/>
        </w:rPr>
        <w:t xml:space="preserve">the conditions of the MMR. This section outlines the tools that will help procuring officials and suppliers comply with those conditions. </w:t>
      </w:r>
    </w:p>
    <w:p w14:paraId="28574820" w14:textId="77777777" w:rsidR="004F247D" w:rsidRDefault="004F247D" w:rsidP="001C24BF">
      <w:pPr>
        <w:pStyle w:val="NumberedListlvl1"/>
        <w:numPr>
          <w:ilvl w:val="0"/>
          <w:numId w:val="0"/>
        </w:numPr>
        <w:rPr>
          <w:rFonts w:asciiTheme="majorHAnsi" w:hAnsiTheme="majorHAnsi"/>
        </w:rPr>
      </w:pPr>
    </w:p>
    <w:p w14:paraId="3776CF1D" w14:textId="77777777" w:rsidR="00F54D84" w:rsidRPr="00134C33" w:rsidRDefault="00F54D84" w:rsidP="00F54D84">
      <w:pPr>
        <w:pStyle w:val="Heading3"/>
        <w:rPr>
          <w:color w:val="A55700" w:themeColor="accent4" w:themeShade="BF"/>
        </w:rPr>
      </w:pPr>
      <w:bookmarkStart w:id="39" w:name="_Toc223528537"/>
      <w:r w:rsidRPr="00134C33">
        <w:rPr>
          <w:color w:val="A55700" w:themeColor="accent4" w:themeShade="BF"/>
        </w:rPr>
        <w:t>4.1 Model Clauses</w:t>
      </w:r>
      <w:bookmarkEnd w:id="39"/>
    </w:p>
    <w:p w14:paraId="63F45D0E" w14:textId="77777777" w:rsidR="00045268" w:rsidRDefault="004F247D" w:rsidP="001C24BF">
      <w:pPr>
        <w:pStyle w:val="NumberedListlvl1"/>
        <w:numPr>
          <w:ilvl w:val="0"/>
          <w:numId w:val="0"/>
        </w:numPr>
        <w:rPr>
          <w:rFonts w:asciiTheme="majorHAnsi" w:hAnsiTheme="majorHAnsi"/>
        </w:rPr>
      </w:pPr>
      <w:r>
        <w:rPr>
          <w:rFonts w:asciiTheme="majorHAnsi" w:hAnsiTheme="majorHAnsi"/>
        </w:rPr>
        <w:t>The NIAA has prepared pre-drafted conte</w:t>
      </w:r>
      <w:r w:rsidR="00F54D84">
        <w:rPr>
          <w:rFonts w:asciiTheme="majorHAnsi" w:hAnsiTheme="majorHAnsi"/>
        </w:rPr>
        <w:t>nt (known as model clauses) for procuring offic</w:t>
      </w:r>
      <w:r w:rsidR="00E70DE9">
        <w:rPr>
          <w:rFonts w:asciiTheme="majorHAnsi" w:hAnsiTheme="majorHAnsi"/>
        </w:rPr>
        <w:t>i</w:t>
      </w:r>
      <w:r w:rsidR="00F54D84">
        <w:rPr>
          <w:rFonts w:asciiTheme="majorHAnsi" w:hAnsiTheme="majorHAnsi"/>
        </w:rPr>
        <w:t>als and/or contract managers to</w:t>
      </w:r>
      <w:r>
        <w:rPr>
          <w:rFonts w:asciiTheme="majorHAnsi" w:hAnsiTheme="majorHAnsi"/>
        </w:rPr>
        <w:t xml:space="preserve"> include in the approach to market document and draft contract (if</w:t>
      </w:r>
      <w:r w:rsidR="0084306B">
        <w:rPr>
          <w:rFonts w:asciiTheme="majorHAnsi" w:hAnsiTheme="majorHAnsi"/>
        </w:rPr>
        <w:t xml:space="preserve"> applicable) to ensure tenderer</w:t>
      </w:r>
      <w:r>
        <w:rPr>
          <w:rFonts w:asciiTheme="majorHAnsi" w:hAnsiTheme="majorHAnsi"/>
        </w:rPr>
        <w:t xml:space="preserve">s are </w:t>
      </w:r>
      <w:r w:rsidR="000053C7">
        <w:rPr>
          <w:rFonts w:asciiTheme="majorHAnsi" w:hAnsiTheme="majorHAnsi"/>
        </w:rPr>
        <w:t xml:space="preserve">accountable to </w:t>
      </w:r>
      <w:r w:rsidR="00E51255">
        <w:rPr>
          <w:rFonts w:asciiTheme="majorHAnsi" w:hAnsiTheme="majorHAnsi"/>
        </w:rPr>
        <w:t xml:space="preserve">the </w:t>
      </w:r>
      <w:r w:rsidR="000053C7">
        <w:rPr>
          <w:rFonts w:asciiTheme="majorHAnsi" w:hAnsiTheme="majorHAnsi"/>
        </w:rPr>
        <w:t>requirements</w:t>
      </w:r>
      <w:r w:rsidR="00E51255">
        <w:rPr>
          <w:rFonts w:asciiTheme="majorHAnsi" w:hAnsiTheme="majorHAnsi"/>
        </w:rPr>
        <w:t xml:space="preserve"> of the IPP</w:t>
      </w:r>
      <w:r w:rsidR="000053C7">
        <w:rPr>
          <w:rFonts w:asciiTheme="majorHAnsi" w:hAnsiTheme="majorHAnsi"/>
        </w:rPr>
        <w:t xml:space="preserve"> </w:t>
      </w:r>
      <w:r w:rsidR="00F54D84">
        <w:rPr>
          <w:rFonts w:asciiTheme="majorHAnsi" w:hAnsiTheme="majorHAnsi"/>
        </w:rPr>
        <w:t xml:space="preserve">should they be successful in winning the contract. </w:t>
      </w:r>
      <w:r w:rsidR="000053C7">
        <w:rPr>
          <w:rFonts w:asciiTheme="majorHAnsi" w:hAnsiTheme="majorHAnsi"/>
        </w:rPr>
        <w:t xml:space="preserve">This </w:t>
      </w:r>
      <w:r w:rsidR="00F54D84">
        <w:rPr>
          <w:rFonts w:asciiTheme="majorHAnsi" w:hAnsiTheme="majorHAnsi"/>
        </w:rPr>
        <w:t>information must also be</w:t>
      </w:r>
      <w:r w:rsidR="000053C7">
        <w:rPr>
          <w:rFonts w:asciiTheme="majorHAnsi" w:hAnsiTheme="majorHAnsi"/>
        </w:rPr>
        <w:t xml:space="preserve"> included in the final contract, subject to any negotiations.</w:t>
      </w:r>
    </w:p>
    <w:p w14:paraId="30A2D3E7" w14:textId="77777777" w:rsidR="00F54D84" w:rsidRDefault="00F54D84" w:rsidP="001C24BF">
      <w:pPr>
        <w:pStyle w:val="NumberedListlvl1"/>
        <w:numPr>
          <w:ilvl w:val="0"/>
          <w:numId w:val="0"/>
        </w:numPr>
        <w:rPr>
          <w:rFonts w:asciiTheme="majorHAnsi" w:hAnsiTheme="majorHAnsi"/>
        </w:rPr>
      </w:pPr>
    </w:p>
    <w:p w14:paraId="71A81B62" w14:textId="77777777" w:rsidR="00F54D84" w:rsidRDefault="00F54D84" w:rsidP="001C24BF">
      <w:pPr>
        <w:pStyle w:val="NumberedListlvl1"/>
        <w:numPr>
          <w:ilvl w:val="0"/>
          <w:numId w:val="0"/>
        </w:numPr>
        <w:rPr>
          <w:rFonts w:asciiTheme="majorHAnsi" w:hAnsiTheme="majorHAnsi"/>
        </w:rPr>
      </w:pPr>
      <w:r>
        <w:rPr>
          <w:rFonts w:asciiTheme="majorHAnsi" w:hAnsiTheme="majorHAnsi"/>
        </w:rPr>
        <w:lastRenderedPageBreak/>
        <w:t xml:space="preserve">The IPP </w:t>
      </w:r>
      <w:hyperlink r:id="rId25" w:history="1">
        <w:r w:rsidR="00096FA2" w:rsidRPr="00134C33">
          <w:rPr>
            <w:rStyle w:val="Hyperlink"/>
            <w:rFonts w:asciiTheme="majorHAnsi" w:hAnsiTheme="majorHAnsi"/>
            <w:color w:val="015E8A" w:themeColor="text2" w:themeTint="E6"/>
          </w:rPr>
          <w:t>model clauses</w:t>
        </w:r>
      </w:hyperlink>
      <w:r>
        <w:rPr>
          <w:rFonts w:asciiTheme="majorHAnsi" w:hAnsiTheme="majorHAnsi"/>
        </w:rPr>
        <w:t xml:space="preserve"> </w:t>
      </w:r>
      <w:r w:rsidR="00BE7BB6">
        <w:rPr>
          <w:rFonts w:asciiTheme="majorHAnsi" w:hAnsiTheme="majorHAnsi"/>
        </w:rPr>
        <w:t>provide</w:t>
      </w:r>
      <w:r w:rsidR="000053C7">
        <w:rPr>
          <w:rFonts w:asciiTheme="majorHAnsi" w:hAnsiTheme="majorHAnsi"/>
        </w:rPr>
        <w:t xml:space="preserve"> the following content:</w:t>
      </w:r>
    </w:p>
    <w:p w14:paraId="592F6FF8" w14:textId="77777777" w:rsidR="00F54D84" w:rsidRDefault="00F54D84" w:rsidP="001C24BF">
      <w:pPr>
        <w:pStyle w:val="NumberedListlvl1"/>
        <w:numPr>
          <w:ilvl w:val="0"/>
          <w:numId w:val="0"/>
        </w:numPr>
        <w:rPr>
          <w:rFonts w:asciiTheme="majorHAnsi" w:hAnsiTheme="majorHAnsi"/>
        </w:rPr>
      </w:pPr>
    </w:p>
    <w:p w14:paraId="0BE75031" w14:textId="77777777" w:rsidR="00F54D84" w:rsidRPr="00BE06DA" w:rsidRDefault="00F54D84" w:rsidP="00BE06DA">
      <w:pPr>
        <w:pStyle w:val="BulletedListlvl1"/>
        <w:rPr>
          <w:rFonts w:asciiTheme="majorHAnsi" w:hAnsiTheme="majorHAnsi"/>
        </w:rPr>
      </w:pPr>
      <w:r w:rsidRPr="00BE06DA">
        <w:rPr>
          <w:rFonts w:asciiTheme="majorHAnsi" w:hAnsiTheme="majorHAnsi"/>
        </w:rPr>
        <w:t>MMR employment an</w:t>
      </w:r>
      <w:r w:rsidR="000053C7" w:rsidRPr="00BE06DA">
        <w:rPr>
          <w:rFonts w:asciiTheme="majorHAnsi" w:hAnsiTheme="majorHAnsi"/>
        </w:rPr>
        <w:t>d supply-use targets as determined by the policy</w:t>
      </w:r>
    </w:p>
    <w:p w14:paraId="43FC2C23" w14:textId="77777777" w:rsidR="000053C7" w:rsidRPr="00BE06DA" w:rsidRDefault="000053C7" w:rsidP="00BE06DA">
      <w:pPr>
        <w:pStyle w:val="BulletedListlvl1"/>
        <w:rPr>
          <w:rFonts w:asciiTheme="majorHAnsi" w:hAnsiTheme="majorHAnsi"/>
        </w:rPr>
      </w:pPr>
      <w:r w:rsidRPr="00BE06DA">
        <w:rPr>
          <w:rFonts w:asciiTheme="majorHAnsi" w:hAnsiTheme="majorHAnsi"/>
        </w:rPr>
        <w:t>the tenderer’s obligation to prepare</w:t>
      </w:r>
      <w:r w:rsidR="00BE06DA">
        <w:rPr>
          <w:rFonts w:asciiTheme="majorHAnsi" w:hAnsiTheme="majorHAnsi"/>
        </w:rPr>
        <w:t xml:space="preserve"> </w:t>
      </w:r>
      <w:r w:rsidRPr="00BE06DA">
        <w:rPr>
          <w:rFonts w:asciiTheme="majorHAnsi" w:hAnsiTheme="majorHAnsi"/>
        </w:rPr>
        <w:t>an Indigenous Participation Plan</w:t>
      </w:r>
      <w:r w:rsidR="00BE06DA">
        <w:rPr>
          <w:rFonts w:asciiTheme="majorHAnsi" w:hAnsiTheme="majorHAnsi"/>
        </w:rPr>
        <w:t xml:space="preserve"> (see 4.2)</w:t>
      </w:r>
      <w:r w:rsidRPr="00BE06DA">
        <w:rPr>
          <w:rFonts w:asciiTheme="majorHAnsi" w:hAnsiTheme="majorHAnsi"/>
        </w:rPr>
        <w:t>, including the plan to achieve significant Indigenous participation outcomes in remote Australia (as appropriate)</w:t>
      </w:r>
    </w:p>
    <w:p w14:paraId="3C36075E" w14:textId="77777777" w:rsidR="00F54D84" w:rsidRPr="00BE06DA" w:rsidRDefault="00F54D84" w:rsidP="00BE06DA">
      <w:pPr>
        <w:pStyle w:val="BulletedListlvl1"/>
        <w:rPr>
          <w:rFonts w:asciiTheme="majorHAnsi" w:hAnsiTheme="majorHAnsi"/>
        </w:rPr>
      </w:pPr>
      <w:r w:rsidRPr="00BE06DA">
        <w:rPr>
          <w:rFonts w:asciiTheme="majorHAnsi" w:hAnsiTheme="majorHAnsi"/>
        </w:rPr>
        <w:t xml:space="preserve">the supplier’s obligation to report via </w:t>
      </w:r>
      <w:r w:rsidR="000053C7" w:rsidRPr="00BE06DA">
        <w:rPr>
          <w:rFonts w:asciiTheme="majorHAnsi" w:hAnsiTheme="majorHAnsi"/>
        </w:rPr>
        <w:t>the IPPRS on a quarterly basis</w:t>
      </w:r>
    </w:p>
    <w:p w14:paraId="7FC57404" w14:textId="77777777" w:rsidR="000053C7" w:rsidRPr="00BE06DA" w:rsidRDefault="005E37E4" w:rsidP="00BE06DA">
      <w:pPr>
        <w:pStyle w:val="BulletedListlvl1"/>
        <w:rPr>
          <w:rFonts w:asciiTheme="majorHAnsi" w:hAnsiTheme="majorHAnsi"/>
        </w:rPr>
      </w:pPr>
      <w:r w:rsidRPr="00A82FD7">
        <w:rPr>
          <w:rFonts w:asciiTheme="majorHAnsi" w:hAnsiTheme="majorHAnsi"/>
        </w:rPr>
        <w:t xml:space="preserve">notification that information related to the MMR is not subject to the confidentiality provision and </w:t>
      </w:r>
      <w:r w:rsidR="000053C7" w:rsidRPr="00BE06DA">
        <w:rPr>
          <w:rFonts w:asciiTheme="majorHAnsi" w:hAnsiTheme="majorHAnsi"/>
        </w:rPr>
        <w:t xml:space="preserve">details of the contract </w:t>
      </w:r>
      <w:r>
        <w:rPr>
          <w:rFonts w:asciiTheme="majorHAnsi" w:hAnsiTheme="majorHAnsi"/>
        </w:rPr>
        <w:t>may be published</w:t>
      </w:r>
      <w:r w:rsidR="000053C7" w:rsidRPr="00BE06DA">
        <w:rPr>
          <w:rFonts w:asciiTheme="majorHAnsi" w:hAnsiTheme="majorHAnsi"/>
        </w:rPr>
        <w:t xml:space="preserve"> on the NIAA website. </w:t>
      </w:r>
    </w:p>
    <w:p w14:paraId="5500B99C" w14:textId="77777777" w:rsidR="000C1962" w:rsidRPr="00A82FD7" w:rsidRDefault="000C1962" w:rsidP="005D03D9">
      <w:pPr>
        <w:pStyle w:val="NumberedListlvl1"/>
        <w:numPr>
          <w:ilvl w:val="0"/>
          <w:numId w:val="0"/>
        </w:numPr>
        <w:rPr>
          <w:rFonts w:asciiTheme="majorHAnsi" w:hAnsiTheme="majorHAnsi"/>
        </w:rPr>
      </w:pPr>
    </w:p>
    <w:p w14:paraId="17DD6EC4" w14:textId="77777777" w:rsidR="005948C9" w:rsidRPr="00A82FD7" w:rsidRDefault="000C1962" w:rsidP="005D03D9">
      <w:pPr>
        <w:pStyle w:val="NumberedListlvl1"/>
        <w:numPr>
          <w:ilvl w:val="0"/>
          <w:numId w:val="0"/>
        </w:numPr>
        <w:rPr>
          <w:rFonts w:asciiTheme="majorHAnsi" w:hAnsiTheme="majorHAnsi"/>
        </w:rPr>
      </w:pPr>
      <w:r w:rsidRPr="006C6252">
        <w:rPr>
          <w:rFonts w:asciiTheme="majorHAnsi" w:hAnsiTheme="majorHAnsi"/>
        </w:rPr>
        <w:t xml:space="preserve">If </w:t>
      </w:r>
      <w:r w:rsidR="00FD24C4" w:rsidRPr="006C6252">
        <w:rPr>
          <w:rFonts w:asciiTheme="majorHAnsi" w:hAnsiTheme="majorHAnsi"/>
        </w:rPr>
        <w:t>a procuring official plans to approach</w:t>
      </w:r>
      <w:r w:rsidRPr="006C6252">
        <w:rPr>
          <w:rFonts w:asciiTheme="majorHAnsi" w:hAnsiTheme="majorHAnsi"/>
        </w:rPr>
        <w:t xml:space="preserve"> an Indigenous businesses using Exemption 16 of the CPR</w:t>
      </w:r>
      <w:r w:rsidR="00173910" w:rsidRPr="006C6252">
        <w:rPr>
          <w:rFonts w:asciiTheme="majorHAnsi" w:hAnsiTheme="majorHAnsi"/>
        </w:rPr>
        <w:t>s</w:t>
      </w:r>
      <w:r w:rsidRPr="006C6252">
        <w:rPr>
          <w:rFonts w:asciiTheme="majorHAnsi" w:hAnsiTheme="majorHAnsi"/>
        </w:rPr>
        <w:t xml:space="preserve">, </w:t>
      </w:r>
      <w:r w:rsidR="001F59E7" w:rsidRPr="006C6252">
        <w:rPr>
          <w:rFonts w:asciiTheme="majorHAnsi" w:hAnsiTheme="majorHAnsi"/>
        </w:rPr>
        <w:t xml:space="preserve">the approach to market documentation should </w:t>
      </w:r>
      <w:r w:rsidRPr="006C6252">
        <w:rPr>
          <w:rFonts w:asciiTheme="majorHAnsi" w:hAnsiTheme="majorHAnsi"/>
        </w:rPr>
        <w:t xml:space="preserve">include clauses that require the business to declare </w:t>
      </w:r>
      <w:r w:rsidR="001F59E7" w:rsidRPr="006C6252">
        <w:rPr>
          <w:rFonts w:asciiTheme="majorHAnsi" w:hAnsiTheme="majorHAnsi"/>
        </w:rPr>
        <w:t>themselves as an</w:t>
      </w:r>
      <w:r w:rsidRPr="006C6252">
        <w:rPr>
          <w:rFonts w:asciiTheme="majorHAnsi" w:hAnsiTheme="majorHAnsi"/>
        </w:rPr>
        <w:t xml:space="preserve"> Ind</w:t>
      </w:r>
      <w:r w:rsidR="001F59E7" w:rsidRPr="006C6252">
        <w:rPr>
          <w:rFonts w:asciiTheme="majorHAnsi" w:hAnsiTheme="majorHAnsi"/>
        </w:rPr>
        <w:t>igenous business and require that</w:t>
      </w:r>
      <w:r w:rsidRPr="006C6252">
        <w:rPr>
          <w:rFonts w:asciiTheme="majorHAnsi" w:hAnsiTheme="majorHAnsi"/>
        </w:rPr>
        <w:t xml:space="preserve"> business to notify the </w:t>
      </w:r>
      <w:r w:rsidR="00173910" w:rsidRPr="006C6252">
        <w:rPr>
          <w:rFonts w:asciiTheme="majorHAnsi" w:hAnsiTheme="majorHAnsi"/>
        </w:rPr>
        <w:t>c</w:t>
      </w:r>
      <w:r w:rsidRPr="006C6252">
        <w:rPr>
          <w:rFonts w:asciiTheme="majorHAnsi" w:hAnsiTheme="majorHAnsi"/>
        </w:rPr>
        <w:t xml:space="preserve">ontract </w:t>
      </w:r>
      <w:r w:rsidR="00173910" w:rsidRPr="006C6252">
        <w:rPr>
          <w:rFonts w:asciiTheme="majorHAnsi" w:hAnsiTheme="majorHAnsi"/>
        </w:rPr>
        <w:t>m</w:t>
      </w:r>
      <w:r w:rsidRPr="006C6252">
        <w:rPr>
          <w:rFonts w:asciiTheme="majorHAnsi" w:hAnsiTheme="majorHAnsi"/>
        </w:rPr>
        <w:t xml:space="preserve">anager in the event that ownership of the business changes during the term of the contract. </w:t>
      </w:r>
      <w:r w:rsidR="00096FA2" w:rsidRPr="006C6252">
        <w:rPr>
          <w:rFonts w:asciiTheme="majorHAnsi" w:hAnsiTheme="majorHAnsi"/>
        </w:rPr>
        <w:t>There is a model clause to assist with this</w:t>
      </w:r>
      <w:r w:rsidR="005920EF" w:rsidRPr="006C6252">
        <w:rPr>
          <w:rFonts w:asciiTheme="majorHAnsi" w:hAnsiTheme="majorHAnsi"/>
        </w:rPr>
        <w:t>.</w:t>
      </w:r>
    </w:p>
    <w:p w14:paraId="24EF078F" w14:textId="77777777" w:rsidR="005948C9" w:rsidRPr="00A82FD7" w:rsidRDefault="005948C9" w:rsidP="005D03D9">
      <w:pPr>
        <w:pStyle w:val="NumberedListlvl1"/>
        <w:numPr>
          <w:ilvl w:val="0"/>
          <w:numId w:val="0"/>
        </w:numPr>
        <w:rPr>
          <w:rFonts w:asciiTheme="majorHAnsi" w:hAnsiTheme="majorHAnsi"/>
        </w:rPr>
      </w:pPr>
    </w:p>
    <w:p w14:paraId="0101AED4" w14:textId="77777777" w:rsidR="00AC1DAC" w:rsidRPr="00134C33" w:rsidRDefault="00BE06DA" w:rsidP="00BE06DA">
      <w:pPr>
        <w:pStyle w:val="Heading3"/>
        <w:rPr>
          <w:color w:val="A55700" w:themeColor="accent4" w:themeShade="BF"/>
        </w:rPr>
      </w:pPr>
      <w:bookmarkStart w:id="40" w:name="_Toc223528538"/>
      <w:r w:rsidRPr="00134C33">
        <w:rPr>
          <w:color w:val="A55700" w:themeColor="accent4" w:themeShade="BF"/>
        </w:rPr>
        <w:t xml:space="preserve">4.2 </w:t>
      </w:r>
      <w:r w:rsidR="00AC1DAC" w:rsidRPr="00134C33">
        <w:rPr>
          <w:color w:val="A55700" w:themeColor="accent4" w:themeShade="BF"/>
        </w:rPr>
        <w:t>Indigenous Participation Plan</w:t>
      </w:r>
      <w:bookmarkEnd w:id="40"/>
    </w:p>
    <w:p w14:paraId="389C9F22" w14:textId="77777777" w:rsidR="001423F8" w:rsidRPr="00A82FD7" w:rsidRDefault="00AC1DAC" w:rsidP="00AC1DAC">
      <w:pPr>
        <w:pStyle w:val="BodyText"/>
        <w:rPr>
          <w:rFonts w:asciiTheme="majorHAnsi" w:hAnsiTheme="majorHAnsi"/>
        </w:rPr>
      </w:pPr>
      <w:r w:rsidRPr="00A82FD7">
        <w:rPr>
          <w:rFonts w:asciiTheme="majorHAnsi" w:hAnsiTheme="majorHAnsi"/>
        </w:rPr>
        <w:t xml:space="preserve">The Indigenous Participation Plan, prepared as part of </w:t>
      </w:r>
      <w:r w:rsidR="00D37F6F" w:rsidRPr="00A82FD7">
        <w:rPr>
          <w:rFonts w:asciiTheme="majorHAnsi" w:hAnsiTheme="majorHAnsi"/>
        </w:rPr>
        <w:t xml:space="preserve">a potential </w:t>
      </w:r>
      <w:r w:rsidR="00173910" w:rsidRPr="00A82FD7">
        <w:rPr>
          <w:rFonts w:asciiTheme="majorHAnsi" w:hAnsiTheme="majorHAnsi"/>
        </w:rPr>
        <w:t>s</w:t>
      </w:r>
      <w:r w:rsidRPr="00A82FD7">
        <w:rPr>
          <w:rFonts w:asciiTheme="majorHAnsi" w:hAnsiTheme="majorHAnsi"/>
        </w:rPr>
        <w:t>upplier’s tender submission, should outline how the</w:t>
      </w:r>
      <w:r w:rsidR="001423F8" w:rsidRPr="00A82FD7">
        <w:rPr>
          <w:rFonts w:asciiTheme="majorHAnsi" w:hAnsiTheme="majorHAnsi"/>
        </w:rPr>
        <w:t>y intend</w:t>
      </w:r>
      <w:r w:rsidR="00E70DE9">
        <w:rPr>
          <w:rFonts w:asciiTheme="majorHAnsi" w:hAnsiTheme="majorHAnsi"/>
        </w:rPr>
        <w:t xml:space="preserve"> </w:t>
      </w:r>
      <w:r w:rsidR="001423F8" w:rsidRPr="00A82FD7">
        <w:rPr>
          <w:rFonts w:asciiTheme="majorHAnsi" w:hAnsiTheme="majorHAnsi"/>
        </w:rPr>
        <w:t xml:space="preserve">to </w:t>
      </w:r>
      <w:r w:rsidRPr="00A82FD7">
        <w:rPr>
          <w:rFonts w:asciiTheme="majorHAnsi" w:hAnsiTheme="majorHAnsi"/>
        </w:rPr>
        <w:t xml:space="preserve">meet the </w:t>
      </w:r>
      <w:r w:rsidR="00912BE9" w:rsidRPr="00A82FD7">
        <w:rPr>
          <w:rFonts w:asciiTheme="majorHAnsi" w:hAnsiTheme="majorHAnsi"/>
        </w:rPr>
        <w:t xml:space="preserve">MMR </w:t>
      </w:r>
      <w:r w:rsidRPr="00A82FD7">
        <w:rPr>
          <w:rFonts w:asciiTheme="majorHAnsi" w:hAnsiTheme="majorHAnsi"/>
        </w:rPr>
        <w:t>over the life of the contrac</w:t>
      </w:r>
      <w:r w:rsidR="001423F8" w:rsidRPr="00A82FD7">
        <w:rPr>
          <w:rFonts w:asciiTheme="majorHAnsi" w:hAnsiTheme="majorHAnsi"/>
        </w:rPr>
        <w:t xml:space="preserve">t. </w:t>
      </w:r>
    </w:p>
    <w:p w14:paraId="6B91A3F5" w14:textId="77777777" w:rsidR="00AC1DAC" w:rsidRDefault="00367D88" w:rsidP="00AC1DAC">
      <w:pPr>
        <w:pStyle w:val="BodyText"/>
        <w:rPr>
          <w:rFonts w:asciiTheme="majorHAnsi" w:hAnsiTheme="majorHAnsi"/>
        </w:rPr>
      </w:pPr>
      <w:r>
        <w:rPr>
          <w:rFonts w:asciiTheme="majorHAnsi" w:hAnsiTheme="majorHAnsi"/>
        </w:rPr>
        <w:t xml:space="preserve">Procuring officials undertaking procurement from a standing offer or panel arrangement (where MMR have been identified in the Deed of Standing Offer) must ask the supplier/panel member to provide an Indigenous Participation Plan and details of their organisation’s past compliance with MMR when the value of the contract meets MMR criteria. </w:t>
      </w:r>
      <w:r w:rsidR="001423F8" w:rsidRPr="00A82FD7">
        <w:rPr>
          <w:rFonts w:asciiTheme="majorHAnsi" w:hAnsiTheme="majorHAnsi"/>
        </w:rPr>
        <w:t>For all other procurements</w:t>
      </w:r>
      <w:r w:rsidR="00E70DE9">
        <w:rPr>
          <w:rFonts w:asciiTheme="majorHAnsi" w:hAnsiTheme="majorHAnsi"/>
        </w:rPr>
        <w:t>,</w:t>
      </w:r>
      <w:r w:rsidR="001423F8" w:rsidRPr="00A82FD7">
        <w:rPr>
          <w:rFonts w:asciiTheme="majorHAnsi" w:hAnsiTheme="majorHAnsi"/>
        </w:rPr>
        <w:t xml:space="preserve"> the plan must be requested as part of the </w:t>
      </w:r>
      <w:r w:rsidR="00E70DE9">
        <w:rPr>
          <w:rFonts w:asciiTheme="majorHAnsi" w:hAnsiTheme="majorHAnsi"/>
        </w:rPr>
        <w:t>approach to market</w:t>
      </w:r>
      <w:r w:rsidR="00AA1C65">
        <w:rPr>
          <w:rFonts w:asciiTheme="majorHAnsi" w:hAnsiTheme="majorHAnsi"/>
        </w:rPr>
        <w:t xml:space="preserve"> process. </w:t>
      </w:r>
    </w:p>
    <w:p w14:paraId="4F7B5122" w14:textId="77777777" w:rsidR="004209ED" w:rsidRPr="00A82FD7" w:rsidRDefault="004209ED" w:rsidP="00AC1DAC">
      <w:pPr>
        <w:pStyle w:val="BodyText"/>
        <w:rPr>
          <w:rFonts w:asciiTheme="majorHAnsi" w:hAnsiTheme="majorHAnsi"/>
        </w:rPr>
      </w:pPr>
    </w:p>
    <w:tbl>
      <w:tblPr>
        <w:tblStyle w:val="NIAADefaultTableStyle1"/>
        <w:tblW w:w="10206" w:type="dxa"/>
        <w:tblLook w:val="0620" w:firstRow="1" w:lastRow="0" w:firstColumn="0" w:lastColumn="0" w:noHBand="1" w:noVBand="1"/>
      </w:tblPr>
      <w:tblGrid>
        <w:gridCol w:w="4820"/>
        <w:gridCol w:w="5386"/>
      </w:tblGrid>
      <w:tr w:rsidR="00AC1DAC" w:rsidRPr="00A82FD7" w14:paraId="7A2B9A8B" w14:textId="77777777" w:rsidTr="00AC1DAC">
        <w:trPr>
          <w:cnfStyle w:val="100000000000" w:firstRow="1" w:lastRow="0" w:firstColumn="0" w:lastColumn="0" w:oddVBand="0" w:evenVBand="0" w:oddHBand="0" w:evenHBand="0" w:firstRowFirstColumn="0" w:firstRowLastColumn="0" w:lastRowFirstColumn="0" w:lastRowLastColumn="0"/>
          <w:trHeight w:val="350"/>
        </w:trPr>
        <w:tc>
          <w:tcPr>
            <w:tcW w:w="4820" w:type="dxa"/>
          </w:tcPr>
          <w:p w14:paraId="4D4BD3AE" w14:textId="77777777" w:rsidR="00AC1DAC" w:rsidRPr="00A82FD7" w:rsidRDefault="00AA1C65" w:rsidP="00AC1DAC">
            <w:pPr>
              <w:rPr>
                <w:bCs/>
                <w:sz w:val="24"/>
                <w:szCs w:val="24"/>
                <w:bdr w:val="none" w:sz="0" w:space="0" w:color="auto" w:frame="1"/>
              </w:rPr>
            </w:pPr>
            <w:r>
              <w:rPr>
                <w:bCs/>
                <w:sz w:val="24"/>
                <w:szCs w:val="24"/>
                <w:bdr w:val="none" w:sz="0" w:space="0" w:color="auto" w:frame="1"/>
              </w:rPr>
              <w:t xml:space="preserve">Table </w:t>
            </w:r>
            <w:r w:rsidR="006C08A5">
              <w:rPr>
                <w:bCs/>
                <w:sz w:val="24"/>
                <w:szCs w:val="24"/>
                <w:bdr w:val="none" w:sz="0" w:space="0" w:color="auto" w:frame="1"/>
              </w:rPr>
              <w:t>3</w:t>
            </w:r>
          </w:p>
          <w:p w14:paraId="7104A6C8" w14:textId="77777777" w:rsidR="00AC1DAC" w:rsidRPr="00A82FD7" w:rsidRDefault="00AC1DAC" w:rsidP="00AC1DAC">
            <w:r w:rsidRPr="00A82FD7">
              <w:t>The Indigenous Participation Plan should include:</w:t>
            </w:r>
          </w:p>
        </w:tc>
        <w:tc>
          <w:tcPr>
            <w:tcW w:w="5386" w:type="dxa"/>
          </w:tcPr>
          <w:p w14:paraId="5A7F2810" w14:textId="77777777" w:rsidR="00AC1DAC" w:rsidRPr="00A82FD7" w:rsidRDefault="00AC1DAC" w:rsidP="00AC1DAC"/>
          <w:p w14:paraId="5B30CCBF" w14:textId="77777777" w:rsidR="00AC1DAC" w:rsidRPr="00A82FD7" w:rsidRDefault="00AC1DAC" w:rsidP="00AC1DAC">
            <w:r w:rsidRPr="00A82FD7">
              <w:t>Notes</w:t>
            </w:r>
          </w:p>
        </w:tc>
      </w:tr>
      <w:tr w:rsidR="00AC1DAC" w:rsidRPr="00A82FD7" w14:paraId="66979413" w14:textId="77777777" w:rsidTr="00AC1DAC">
        <w:trPr>
          <w:trHeight w:val="350"/>
        </w:trPr>
        <w:tc>
          <w:tcPr>
            <w:tcW w:w="4820" w:type="dxa"/>
          </w:tcPr>
          <w:p w14:paraId="75D4BA8F" w14:textId="77777777" w:rsidR="00AC1DAC" w:rsidRPr="00A82FD7" w:rsidRDefault="00AC1DAC" w:rsidP="00AC1DAC">
            <w:pPr>
              <w:rPr>
                <w:rFonts w:asciiTheme="majorHAnsi" w:hAnsiTheme="majorHAnsi"/>
              </w:rPr>
            </w:pPr>
            <w:r w:rsidRPr="00A82FD7">
              <w:rPr>
                <w:rFonts w:asciiTheme="majorHAnsi" w:hAnsiTheme="majorHAnsi"/>
              </w:rPr>
              <w:t>Clear indication of whether the supplier will meet contract-based (4%), organisation-based (3%) or remote contract-based participation requirements (&gt;4%).</w:t>
            </w:r>
          </w:p>
        </w:tc>
        <w:tc>
          <w:tcPr>
            <w:tcW w:w="5386" w:type="dxa"/>
          </w:tcPr>
          <w:p w14:paraId="7D05E7B9" w14:textId="77777777" w:rsidR="00AC1DAC" w:rsidRPr="00A82FD7" w:rsidRDefault="00BB4361" w:rsidP="00BB4361">
            <w:pPr>
              <w:spacing w:before="40" w:after="40"/>
              <w:rPr>
                <w:rFonts w:asciiTheme="majorHAnsi" w:hAnsiTheme="majorHAnsi"/>
                <w:color w:val="000000" w:themeColor="text1"/>
              </w:rPr>
            </w:pPr>
            <w:r w:rsidRPr="00A82FD7">
              <w:rPr>
                <w:rFonts w:asciiTheme="majorHAnsi" w:hAnsiTheme="majorHAnsi"/>
              </w:rPr>
              <w:t>The supplier may choose any of these options or the awarding entity may provide direction on the target in the ATM documents</w:t>
            </w:r>
            <w:r>
              <w:rPr>
                <w:rFonts w:asciiTheme="majorHAnsi" w:hAnsiTheme="majorHAnsi"/>
                <w:color w:val="000000" w:themeColor="text1"/>
              </w:rPr>
              <w:t xml:space="preserve">, </w:t>
            </w:r>
          </w:p>
        </w:tc>
      </w:tr>
      <w:tr w:rsidR="00AC1DAC" w:rsidRPr="00A82FD7" w14:paraId="5D6A9756" w14:textId="77777777" w:rsidTr="00AC1DAC">
        <w:trPr>
          <w:trHeight w:val="350"/>
        </w:trPr>
        <w:tc>
          <w:tcPr>
            <w:tcW w:w="4820" w:type="dxa"/>
          </w:tcPr>
          <w:p w14:paraId="60187E15" w14:textId="77777777" w:rsidR="00AC1DAC" w:rsidRPr="00A82FD7" w:rsidRDefault="00AC1DAC" w:rsidP="00AC1DAC">
            <w:pPr>
              <w:rPr>
                <w:rFonts w:asciiTheme="majorHAnsi" w:hAnsiTheme="majorHAnsi"/>
              </w:rPr>
            </w:pPr>
            <w:r w:rsidRPr="00A82FD7">
              <w:rPr>
                <w:rFonts w:asciiTheme="majorHAnsi" w:hAnsiTheme="majorHAnsi"/>
              </w:rPr>
              <w:t xml:space="preserve">Clear indication of whether the percentage target for Indigenous participation will be met through employment or supply use or a combination of employment and supply use. </w:t>
            </w:r>
            <w:r w:rsidR="001423F8" w:rsidRPr="00A82FD7">
              <w:rPr>
                <w:rFonts w:asciiTheme="majorHAnsi" w:hAnsiTheme="majorHAnsi"/>
              </w:rPr>
              <w:t xml:space="preserve"> </w:t>
            </w:r>
          </w:p>
        </w:tc>
        <w:tc>
          <w:tcPr>
            <w:tcW w:w="5386" w:type="dxa"/>
          </w:tcPr>
          <w:p w14:paraId="26A9DC06" w14:textId="77777777" w:rsidR="00AC1DAC" w:rsidRPr="00A82FD7" w:rsidRDefault="00AC1DAC" w:rsidP="00A40C8E">
            <w:pPr>
              <w:rPr>
                <w:rFonts w:asciiTheme="majorHAnsi" w:hAnsiTheme="majorHAnsi"/>
              </w:rPr>
            </w:pPr>
            <w:r w:rsidRPr="00A82FD7">
              <w:rPr>
                <w:rFonts w:asciiTheme="majorHAnsi" w:hAnsiTheme="majorHAnsi"/>
              </w:rPr>
              <w:t>The supplier may choose any of these options</w:t>
            </w:r>
            <w:r w:rsidR="00A40C8E" w:rsidRPr="00A82FD7">
              <w:rPr>
                <w:rFonts w:asciiTheme="majorHAnsi" w:hAnsiTheme="majorHAnsi"/>
              </w:rPr>
              <w:t xml:space="preserve"> or the awarding entity may provide direction on </w:t>
            </w:r>
            <w:r w:rsidR="00F1293B" w:rsidRPr="00A82FD7">
              <w:rPr>
                <w:rFonts w:asciiTheme="majorHAnsi" w:hAnsiTheme="majorHAnsi"/>
              </w:rPr>
              <w:t xml:space="preserve">the </w:t>
            </w:r>
            <w:r w:rsidR="00A40C8E" w:rsidRPr="00A82FD7">
              <w:rPr>
                <w:rFonts w:asciiTheme="majorHAnsi" w:hAnsiTheme="majorHAnsi"/>
              </w:rPr>
              <w:t xml:space="preserve">target in the ATM documents. </w:t>
            </w:r>
            <w:r w:rsidRPr="00A82FD7">
              <w:rPr>
                <w:rFonts w:asciiTheme="majorHAnsi" w:hAnsiTheme="majorHAnsi"/>
              </w:rPr>
              <w:t xml:space="preserve"> </w:t>
            </w:r>
          </w:p>
        </w:tc>
      </w:tr>
      <w:tr w:rsidR="00AC1DAC" w:rsidRPr="00A82FD7" w14:paraId="1F3E99FA" w14:textId="77777777" w:rsidTr="00AC1DAC">
        <w:trPr>
          <w:trHeight w:val="350"/>
        </w:trPr>
        <w:tc>
          <w:tcPr>
            <w:tcW w:w="4820" w:type="dxa"/>
          </w:tcPr>
          <w:p w14:paraId="3025B8AF" w14:textId="77777777" w:rsidR="002D407E" w:rsidRDefault="00AC1DAC" w:rsidP="004423D9">
            <w:pPr>
              <w:rPr>
                <w:rFonts w:asciiTheme="majorHAnsi" w:hAnsiTheme="majorHAnsi"/>
              </w:rPr>
            </w:pPr>
            <w:r w:rsidRPr="00A82FD7">
              <w:rPr>
                <w:rFonts w:asciiTheme="majorHAnsi" w:hAnsiTheme="majorHAnsi"/>
              </w:rPr>
              <w:t xml:space="preserve">A </w:t>
            </w:r>
            <w:proofErr w:type="spellStart"/>
            <w:r w:rsidRPr="00A82FD7">
              <w:rPr>
                <w:rFonts w:asciiTheme="majorHAnsi" w:hAnsiTheme="majorHAnsi"/>
              </w:rPr>
              <w:t>commitmen</w:t>
            </w:r>
            <w:proofErr w:type="spellEnd"/>
            <w:r w:rsidR="002D407E">
              <w:rPr>
                <w:rFonts w:asciiTheme="majorHAnsi" w:hAnsiTheme="majorHAnsi"/>
              </w:rPr>
              <w:t>\</w:t>
            </w:r>
          </w:p>
          <w:p w14:paraId="5D3CB12E" w14:textId="4DBEEA0C" w:rsidR="00AC1DAC" w:rsidRPr="00A82FD7" w:rsidRDefault="00AC1DAC" w:rsidP="004423D9">
            <w:pPr>
              <w:rPr>
                <w:rFonts w:asciiTheme="majorHAnsi" w:hAnsiTheme="majorHAnsi"/>
              </w:rPr>
            </w:pPr>
            <w:r w:rsidRPr="00A82FD7">
              <w:rPr>
                <w:rFonts w:asciiTheme="majorHAnsi" w:hAnsiTheme="majorHAnsi"/>
              </w:rPr>
              <w:t>t to Indigenous employment</w:t>
            </w:r>
            <w:r w:rsidR="004423D9">
              <w:rPr>
                <w:rFonts w:asciiTheme="majorHAnsi" w:hAnsiTheme="majorHAnsi"/>
              </w:rPr>
              <w:t>.</w:t>
            </w:r>
          </w:p>
        </w:tc>
        <w:tc>
          <w:tcPr>
            <w:tcW w:w="5386" w:type="dxa"/>
          </w:tcPr>
          <w:p w14:paraId="7C6623F9" w14:textId="77777777" w:rsidR="00AC1DAC" w:rsidRPr="005920EF" w:rsidRDefault="00AC1DAC" w:rsidP="004423D9">
            <w:pPr>
              <w:pStyle w:val="BulletedListlvl1"/>
              <w:ind w:left="175" w:hanging="141"/>
              <w:rPr>
                <w:rFonts w:asciiTheme="majorHAnsi" w:hAnsiTheme="majorHAnsi"/>
              </w:rPr>
            </w:pPr>
            <w:r w:rsidRPr="005920EF">
              <w:rPr>
                <w:rFonts w:asciiTheme="majorHAnsi" w:hAnsiTheme="majorHAnsi"/>
              </w:rPr>
              <w:t>Clearly identify roles for Indigenous Australians and the skills required for these roles.</w:t>
            </w:r>
            <w:r w:rsidR="001906B3" w:rsidRPr="005920EF">
              <w:rPr>
                <w:rFonts w:asciiTheme="majorHAnsi" w:hAnsiTheme="majorHAnsi"/>
              </w:rPr>
              <w:t xml:space="preserve"> </w:t>
            </w:r>
            <w:r w:rsidRPr="005920EF">
              <w:rPr>
                <w:rFonts w:asciiTheme="majorHAnsi" w:hAnsiTheme="majorHAnsi"/>
              </w:rPr>
              <w:t xml:space="preserve">Where possible, </w:t>
            </w:r>
            <w:proofErr w:type="gramStart"/>
            <w:r w:rsidRPr="005920EF">
              <w:rPr>
                <w:rFonts w:asciiTheme="majorHAnsi" w:hAnsiTheme="majorHAnsi"/>
              </w:rPr>
              <w:t>the majority of</w:t>
            </w:r>
            <w:proofErr w:type="gramEnd"/>
            <w:r w:rsidRPr="005920EF">
              <w:rPr>
                <w:rFonts w:asciiTheme="majorHAnsi" w:hAnsiTheme="majorHAnsi"/>
              </w:rPr>
              <w:t xml:space="preserve"> the roles should be central to the goods/services being delivered </w:t>
            </w:r>
            <w:r w:rsidR="005511E8" w:rsidRPr="005920EF">
              <w:rPr>
                <w:rFonts w:asciiTheme="majorHAnsi" w:hAnsiTheme="majorHAnsi"/>
              </w:rPr>
              <w:t xml:space="preserve">and located </w:t>
            </w:r>
            <w:r w:rsidRPr="005920EF">
              <w:rPr>
                <w:rFonts w:asciiTheme="majorHAnsi" w:hAnsiTheme="majorHAnsi"/>
              </w:rPr>
              <w:t xml:space="preserve">within </w:t>
            </w:r>
            <w:r w:rsidR="00F1293B" w:rsidRPr="005920EF">
              <w:rPr>
                <w:rFonts w:asciiTheme="majorHAnsi" w:hAnsiTheme="majorHAnsi"/>
              </w:rPr>
              <w:t xml:space="preserve">local </w:t>
            </w:r>
            <w:r w:rsidRPr="005920EF">
              <w:rPr>
                <w:rFonts w:asciiTheme="majorHAnsi" w:hAnsiTheme="majorHAnsi"/>
              </w:rPr>
              <w:t>communities</w:t>
            </w:r>
          </w:p>
          <w:p w14:paraId="757F07BB" w14:textId="22F9D0A1" w:rsidR="00241A8E" w:rsidRPr="005920EF" w:rsidRDefault="00AC1DAC" w:rsidP="004423D9">
            <w:pPr>
              <w:pStyle w:val="BulletedListlvl1"/>
              <w:ind w:left="175" w:hanging="141"/>
              <w:rPr>
                <w:rFonts w:asciiTheme="majorHAnsi" w:hAnsiTheme="majorHAnsi"/>
              </w:rPr>
            </w:pPr>
            <w:r w:rsidRPr="005920EF">
              <w:rPr>
                <w:rFonts w:asciiTheme="majorHAnsi" w:hAnsiTheme="majorHAnsi"/>
              </w:rPr>
              <w:t xml:space="preserve">Identify ways to source suitable Indigenous candidates where needed, for example though collaboration or memoranda of understanding with </w:t>
            </w:r>
            <w:r w:rsidR="00A40C8E" w:rsidRPr="005920EF">
              <w:rPr>
                <w:rFonts w:asciiTheme="majorHAnsi" w:hAnsiTheme="majorHAnsi"/>
              </w:rPr>
              <w:t xml:space="preserve">Commonwealth </w:t>
            </w:r>
            <w:r w:rsidRPr="005920EF">
              <w:rPr>
                <w:rFonts w:asciiTheme="majorHAnsi" w:hAnsiTheme="majorHAnsi"/>
              </w:rPr>
              <w:t xml:space="preserve">employment service providers such as </w:t>
            </w:r>
            <w:r w:rsidR="00B43268">
              <w:rPr>
                <w:rFonts w:asciiTheme="majorHAnsi" w:hAnsiTheme="majorHAnsi"/>
              </w:rPr>
              <w:t>Remote Aus</w:t>
            </w:r>
            <w:r w:rsidR="00B421A7">
              <w:rPr>
                <w:rFonts w:asciiTheme="majorHAnsi" w:hAnsiTheme="majorHAnsi"/>
              </w:rPr>
              <w:t>tralia Employment Service (RAES)</w:t>
            </w:r>
            <w:r w:rsidRPr="005920EF">
              <w:rPr>
                <w:rFonts w:asciiTheme="majorHAnsi" w:hAnsiTheme="majorHAnsi"/>
              </w:rPr>
              <w:t xml:space="preserve"> and </w:t>
            </w:r>
            <w:r w:rsidR="00E830BD">
              <w:rPr>
                <w:rFonts w:asciiTheme="majorHAnsi" w:hAnsiTheme="majorHAnsi"/>
              </w:rPr>
              <w:t>Workforce Australia</w:t>
            </w:r>
            <w:r w:rsidR="00583503" w:rsidRPr="005920EF">
              <w:rPr>
                <w:rFonts w:asciiTheme="majorHAnsi" w:hAnsiTheme="majorHAnsi"/>
              </w:rPr>
              <w:t xml:space="preserve"> available at  </w:t>
            </w:r>
            <w:hyperlink r:id="rId26" w:history="1">
              <w:r w:rsidR="00583503" w:rsidRPr="005920EF">
                <w:rPr>
                  <w:rFonts w:asciiTheme="majorHAnsi" w:hAnsiTheme="majorHAnsi"/>
                </w:rPr>
                <w:t>jobsearch.gov.au</w:t>
              </w:r>
            </w:hyperlink>
            <w:r w:rsidR="005511E8" w:rsidRPr="005920EF">
              <w:rPr>
                <w:rFonts w:asciiTheme="majorHAnsi" w:hAnsiTheme="majorHAnsi"/>
              </w:rPr>
              <w:t>;</w:t>
            </w:r>
            <w:r w:rsidR="00A40C8E" w:rsidRPr="005920EF">
              <w:rPr>
                <w:rFonts w:asciiTheme="majorHAnsi" w:hAnsiTheme="majorHAnsi"/>
              </w:rPr>
              <w:t xml:space="preserve"> consulting with local </w:t>
            </w:r>
            <w:r w:rsidR="005511E8" w:rsidRPr="005920EF">
              <w:rPr>
                <w:rFonts w:asciiTheme="majorHAnsi" w:hAnsiTheme="majorHAnsi"/>
              </w:rPr>
              <w:t xml:space="preserve">Indigenous </w:t>
            </w:r>
            <w:r w:rsidR="00A40C8E" w:rsidRPr="005920EF">
              <w:rPr>
                <w:rFonts w:asciiTheme="majorHAnsi" w:hAnsiTheme="majorHAnsi"/>
              </w:rPr>
              <w:t>community controlled organisations</w:t>
            </w:r>
            <w:r w:rsidR="00F1293B" w:rsidRPr="005920EF">
              <w:rPr>
                <w:rFonts w:asciiTheme="majorHAnsi" w:hAnsiTheme="majorHAnsi"/>
              </w:rPr>
              <w:t xml:space="preserve"> available at </w:t>
            </w:r>
            <w:r w:rsidR="00733BCC">
              <w:rPr>
                <w:rFonts w:asciiTheme="majorHAnsi" w:hAnsiTheme="majorHAnsi"/>
              </w:rPr>
              <w:t>the</w:t>
            </w:r>
            <w:r w:rsidR="005511E8" w:rsidRPr="005920EF">
              <w:rPr>
                <w:rFonts w:asciiTheme="majorHAnsi" w:hAnsiTheme="majorHAnsi"/>
              </w:rPr>
              <w:t xml:space="preserve"> </w:t>
            </w:r>
            <w:r w:rsidR="00241A8E" w:rsidRPr="005920EF">
              <w:rPr>
                <w:rFonts w:asciiTheme="majorHAnsi" w:hAnsiTheme="majorHAnsi"/>
              </w:rPr>
              <w:t xml:space="preserve">ORIC </w:t>
            </w:r>
            <w:hyperlink r:id="rId27" w:history="1">
              <w:r w:rsidR="00241A8E" w:rsidRPr="005920EF">
                <w:rPr>
                  <w:rFonts w:asciiTheme="majorHAnsi" w:hAnsiTheme="majorHAnsi"/>
                </w:rPr>
                <w:t>database</w:t>
              </w:r>
            </w:hyperlink>
            <w:r w:rsidR="005511E8" w:rsidRPr="005920EF">
              <w:rPr>
                <w:rFonts w:asciiTheme="majorHAnsi" w:hAnsiTheme="majorHAnsi"/>
              </w:rPr>
              <w:t xml:space="preserve">; </w:t>
            </w:r>
            <w:r w:rsidR="00F1293B" w:rsidRPr="005920EF">
              <w:rPr>
                <w:rFonts w:asciiTheme="majorHAnsi" w:hAnsiTheme="majorHAnsi"/>
              </w:rPr>
              <w:t xml:space="preserve">and/or </w:t>
            </w:r>
            <w:r w:rsidR="005511E8" w:rsidRPr="005920EF">
              <w:rPr>
                <w:rFonts w:asciiTheme="majorHAnsi" w:hAnsiTheme="majorHAnsi"/>
              </w:rPr>
              <w:t xml:space="preserve">advertising through </w:t>
            </w:r>
            <w:r w:rsidR="005511E8" w:rsidRPr="005920EF">
              <w:rPr>
                <w:rFonts w:asciiTheme="majorHAnsi" w:hAnsiTheme="majorHAnsi"/>
              </w:rPr>
              <w:lastRenderedPageBreak/>
              <w:t xml:space="preserve">Indigenous owned media outlets, and/or hosting community information sessions.  </w:t>
            </w:r>
          </w:p>
          <w:p w14:paraId="25588FF0" w14:textId="64C5751F" w:rsidR="00AC1DAC" w:rsidRPr="005920EF" w:rsidRDefault="00F1293B" w:rsidP="004423D9">
            <w:pPr>
              <w:pStyle w:val="BulletedListlvl1"/>
              <w:ind w:left="175" w:hanging="141"/>
              <w:rPr>
                <w:rFonts w:asciiTheme="majorHAnsi" w:hAnsiTheme="majorHAnsi"/>
              </w:rPr>
            </w:pPr>
            <w:r w:rsidRPr="005920EF">
              <w:rPr>
                <w:rFonts w:asciiTheme="majorHAnsi" w:hAnsiTheme="majorHAnsi"/>
              </w:rPr>
              <w:t>Identify</w:t>
            </w:r>
            <w:r w:rsidR="00AC1DAC" w:rsidRPr="005920EF">
              <w:rPr>
                <w:rFonts w:asciiTheme="majorHAnsi" w:hAnsiTheme="majorHAnsi"/>
              </w:rPr>
              <w:t xml:space="preserve"> ways to retain and train Indigenous candidates for the role </w:t>
            </w:r>
            <w:r w:rsidRPr="005920EF">
              <w:rPr>
                <w:rFonts w:asciiTheme="majorHAnsi" w:hAnsiTheme="majorHAnsi"/>
              </w:rPr>
              <w:t>and</w:t>
            </w:r>
            <w:r w:rsidR="00AC1DAC" w:rsidRPr="005920EF">
              <w:rPr>
                <w:rFonts w:asciiTheme="majorHAnsi" w:hAnsiTheme="majorHAnsi"/>
              </w:rPr>
              <w:t xml:space="preserve"> ongoing development, for example a mentoring</w:t>
            </w:r>
            <w:r w:rsidR="00A40C8E" w:rsidRPr="005920EF">
              <w:rPr>
                <w:rFonts w:asciiTheme="majorHAnsi" w:hAnsiTheme="majorHAnsi"/>
              </w:rPr>
              <w:t xml:space="preserve"> or professional development </w:t>
            </w:r>
            <w:r w:rsidR="00AC1DAC" w:rsidRPr="005920EF">
              <w:rPr>
                <w:rFonts w:asciiTheme="majorHAnsi" w:hAnsiTheme="majorHAnsi"/>
              </w:rPr>
              <w:t>programme</w:t>
            </w:r>
            <w:r w:rsidR="00A40C8E" w:rsidRPr="005920EF">
              <w:rPr>
                <w:rFonts w:asciiTheme="majorHAnsi" w:hAnsiTheme="majorHAnsi"/>
              </w:rPr>
              <w:t xml:space="preserve"> for Indigenous employees and </w:t>
            </w:r>
            <w:r w:rsidR="005511E8" w:rsidRPr="005920EF">
              <w:rPr>
                <w:rFonts w:asciiTheme="majorHAnsi" w:hAnsiTheme="majorHAnsi"/>
              </w:rPr>
              <w:t xml:space="preserve">a </w:t>
            </w:r>
            <w:r w:rsidR="00A40C8E" w:rsidRPr="005920EF">
              <w:rPr>
                <w:rFonts w:asciiTheme="majorHAnsi" w:hAnsiTheme="majorHAnsi"/>
              </w:rPr>
              <w:t>commitment to building a cultural capability within the workplace</w:t>
            </w:r>
            <w:r w:rsidR="005511E8" w:rsidRPr="005920EF">
              <w:rPr>
                <w:rFonts w:asciiTheme="majorHAnsi" w:hAnsiTheme="majorHAnsi"/>
              </w:rPr>
              <w:t xml:space="preserve">, which may include working with Reconciliation Australia to agree a Reconciliation Action Plan. </w:t>
            </w:r>
            <w:r w:rsidR="00A40C8E" w:rsidRPr="005920EF">
              <w:rPr>
                <w:rFonts w:asciiTheme="majorHAnsi" w:hAnsiTheme="majorHAnsi"/>
              </w:rPr>
              <w:t xml:space="preserve"> </w:t>
            </w:r>
            <w:r w:rsidR="00AC1DAC" w:rsidRPr="005920EF">
              <w:rPr>
                <w:rFonts w:asciiTheme="majorHAnsi" w:hAnsiTheme="majorHAnsi"/>
              </w:rPr>
              <w:t xml:space="preserve"> </w:t>
            </w:r>
          </w:p>
          <w:p w14:paraId="5196BF88" w14:textId="77777777" w:rsidR="00AC1DAC" w:rsidRPr="005920EF" w:rsidRDefault="00AC1DAC" w:rsidP="004423D9">
            <w:pPr>
              <w:pStyle w:val="BulletedListlvl1"/>
              <w:numPr>
                <w:ilvl w:val="0"/>
                <w:numId w:val="0"/>
              </w:numPr>
              <w:ind w:left="175" w:hanging="141"/>
              <w:rPr>
                <w:rFonts w:asciiTheme="majorHAnsi" w:hAnsiTheme="majorHAnsi"/>
              </w:rPr>
            </w:pPr>
          </w:p>
        </w:tc>
      </w:tr>
      <w:tr w:rsidR="00AC1DAC" w:rsidRPr="00A82FD7" w14:paraId="29AEE51A" w14:textId="77777777" w:rsidTr="00AC1DAC">
        <w:trPr>
          <w:trHeight w:val="350"/>
        </w:trPr>
        <w:tc>
          <w:tcPr>
            <w:tcW w:w="4820" w:type="dxa"/>
          </w:tcPr>
          <w:p w14:paraId="3FA5CFEE" w14:textId="77777777" w:rsidR="00AC1DAC" w:rsidRPr="00A82FD7" w:rsidRDefault="00AC1DAC" w:rsidP="00E70DE9">
            <w:pPr>
              <w:rPr>
                <w:rFonts w:asciiTheme="majorHAnsi" w:hAnsiTheme="majorHAnsi"/>
              </w:rPr>
            </w:pPr>
            <w:r w:rsidRPr="00A82FD7">
              <w:rPr>
                <w:rFonts w:asciiTheme="majorHAnsi" w:hAnsiTheme="majorHAnsi"/>
              </w:rPr>
              <w:lastRenderedPageBreak/>
              <w:t>A commitment to Indigenous supply use</w:t>
            </w:r>
            <w:r w:rsidR="00E70DE9">
              <w:rPr>
                <w:rFonts w:asciiTheme="majorHAnsi" w:hAnsiTheme="majorHAnsi"/>
              </w:rPr>
              <w:t>.</w:t>
            </w:r>
          </w:p>
        </w:tc>
        <w:tc>
          <w:tcPr>
            <w:tcW w:w="5386" w:type="dxa"/>
          </w:tcPr>
          <w:p w14:paraId="5726BB92" w14:textId="77777777" w:rsidR="00AC1DAC" w:rsidRPr="00A82FD7" w:rsidRDefault="00AC1DAC" w:rsidP="00DC4823">
            <w:pPr>
              <w:pStyle w:val="BulletedListlvl1"/>
              <w:ind w:left="175" w:hanging="141"/>
              <w:rPr>
                <w:rFonts w:asciiTheme="majorHAnsi" w:hAnsiTheme="majorHAnsi"/>
              </w:rPr>
            </w:pPr>
            <w:r w:rsidRPr="00A82FD7">
              <w:rPr>
                <w:rFonts w:asciiTheme="majorHAnsi" w:hAnsiTheme="majorHAnsi"/>
              </w:rPr>
              <w:t xml:space="preserve">Clearly identify opportunities for Indigenous businesses </w:t>
            </w:r>
            <w:r w:rsidR="00587572" w:rsidRPr="00A82FD7">
              <w:rPr>
                <w:rFonts w:asciiTheme="majorHAnsi" w:hAnsiTheme="majorHAnsi"/>
              </w:rPr>
              <w:t>in their supply</w:t>
            </w:r>
            <w:r w:rsidRPr="00A82FD7">
              <w:rPr>
                <w:rFonts w:asciiTheme="majorHAnsi" w:hAnsiTheme="majorHAnsi"/>
              </w:rPr>
              <w:t xml:space="preserve"> chain.</w:t>
            </w:r>
          </w:p>
          <w:p w14:paraId="03F6AF47" w14:textId="77777777" w:rsidR="00AC1DAC" w:rsidRPr="00A82FD7" w:rsidRDefault="003E291D" w:rsidP="004423D9">
            <w:pPr>
              <w:pStyle w:val="BulletedListlvl1"/>
              <w:ind w:left="175" w:hanging="141"/>
              <w:rPr>
                <w:rFonts w:asciiTheme="majorHAnsi" w:hAnsiTheme="majorHAnsi"/>
              </w:rPr>
            </w:pPr>
            <w:r>
              <w:rPr>
                <w:rFonts w:asciiTheme="majorHAnsi" w:hAnsiTheme="majorHAnsi"/>
              </w:rPr>
              <w:t>M</w:t>
            </w:r>
            <w:r w:rsidR="00AC1DAC" w:rsidRPr="00A82FD7">
              <w:rPr>
                <w:rFonts w:asciiTheme="majorHAnsi" w:hAnsiTheme="majorHAnsi"/>
              </w:rPr>
              <w:t xml:space="preserve">ethods for identifying Indigenous businesses and </w:t>
            </w:r>
            <w:r w:rsidR="00F1293B" w:rsidRPr="00A82FD7">
              <w:rPr>
                <w:rFonts w:asciiTheme="majorHAnsi" w:hAnsiTheme="majorHAnsi"/>
              </w:rPr>
              <w:t>c</w:t>
            </w:r>
            <w:r w:rsidR="00B44F3B" w:rsidRPr="00A82FD7">
              <w:rPr>
                <w:rFonts w:asciiTheme="majorHAnsi" w:hAnsiTheme="majorHAnsi"/>
              </w:rPr>
              <w:t xml:space="preserve">lear </w:t>
            </w:r>
            <w:r w:rsidR="00AC1DAC" w:rsidRPr="00A82FD7">
              <w:rPr>
                <w:rFonts w:asciiTheme="majorHAnsi" w:hAnsiTheme="majorHAnsi"/>
              </w:rPr>
              <w:t xml:space="preserve">communicating opportunities, </w:t>
            </w:r>
            <w:proofErr w:type="gramStart"/>
            <w:r w:rsidR="00AC1DAC" w:rsidRPr="00A82FD7">
              <w:rPr>
                <w:rFonts w:asciiTheme="majorHAnsi" w:hAnsiTheme="majorHAnsi"/>
              </w:rPr>
              <w:t>including:</w:t>
            </w:r>
            <w:proofErr w:type="gramEnd"/>
            <w:r w:rsidR="00AC1DAC" w:rsidRPr="00A82FD7">
              <w:rPr>
                <w:rFonts w:asciiTheme="majorHAnsi" w:hAnsiTheme="majorHAnsi"/>
              </w:rPr>
              <w:t xml:space="preserve"> supplier diversity programs, business mentoring programs; assessing local Indigenous capability; consulting </w:t>
            </w:r>
            <w:r w:rsidR="00587572" w:rsidRPr="00A82FD7">
              <w:rPr>
                <w:rFonts w:asciiTheme="majorHAnsi" w:hAnsiTheme="majorHAnsi"/>
              </w:rPr>
              <w:t xml:space="preserve">Supply Nation’s </w:t>
            </w:r>
            <w:r w:rsidR="00AC1DAC" w:rsidRPr="00A82FD7">
              <w:rPr>
                <w:rFonts w:asciiTheme="majorHAnsi" w:hAnsiTheme="majorHAnsi"/>
              </w:rPr>
              <w:t xml:space="preserve">Indigenous </w:t>
            </w:r>
            <w:r w:rsidR="00587572" w:rsidRPr="00A82FD7">
              <w:rPr>
                <w:rFonts w:asciiTheme="majorHAnsi" w:hAnsiTheme="majorHAnsi"/>
              </w:rPr>
              <w:t>Business Direct and other Indigenous business databases</w:t>
            </w:r>
            <w:r w:rsidR="00AC1DAC" w:rsidRPr="00A82FD7">
              <w:rPr>
                <w:rFonts w:asciiTheme="majorHAnsi" w:hAnsiTheme="majorHAnsi"/>
              </w:rPr>
              <w:t>; hosting community information sessions.</w:t>
            </w:r>
          </w:p>
        </w:tc>
      </w:tr>
      <w:tr w:rsidR="00AC1DAC" w:rsidRPr="00A82FD7" w14:paraId="4850B0E0" w14:textId="77777777" w:rsidTr="00AC1DAC">
        <w:trPr>
          <w:trHeight w:val="350"/>
        </w:trPr>
        <w:tc>
          <w:tcPr>
            <w:tcW w:w="4820" w:type="dxa"/>
          </w:tcPr>
          <w:p w14:paraId="3597D3AA" w14:textId="77777777" w:rsidR="00B44F3B" w:rsidRPr="00A82FD7" w:rsidRDefault="00AC1DAC" w:rsidP="00AC1DAC">
            <w:pPr>
              <w:rPr>
                <w:rFonts w:asciiTheme="majorHAnsi" w:hAnsiTheme="majorHAnsi"/>
              </w:rPr>
            </w:pPr>
            <w:r w:rsidRPr="00A82FD7">
              <w:rPr>
                <w:rFonts w:asciiTheme="majorHAnsi" w:hAnsiTheme="majorHAnsi"/>
              </w:rPr>
              <w:t>A commitment to</w:t>
            </w:r>
            <w:r w:rsidR="001423F8" w:rsidRPr="00A82FD7">
              <w:rPr>
                <w:rFonts w:asciiTheme="majorHAnsi" w:hAnsiTheme="majorHAnsi"/>
              </w:rPr>
              <w:t xml:space="preserve"> significant participation of </w:t>
            </w:r>
            <w:r w:rsidRPr="00A82FD7">
              <w:rPr>
                <w:rFonts w:asciiTheme="majorHAnsi" w:hAnsiTheme="majorHAnsi"/>
              </w:rPr>
              <w:t xml:space="preserve">Indigenous workers and businesses in </w:t>
            </w:r>
            <w:r w:rsidR="001423F8" w:rsidRPr="00A82FD7">
              <w:rPr>
                <w:rFonts w:asciiTheme="majorHAnsi" w:hAnsiTheme="majorHAnsi"/>
              </w:rPr>
              <w:t xml:space="preserve">contacts delivered in </w:t>
            </w:r>
            <w:r w:rsidRPr="00A82FD7">
              <w:rPr>
                <w:rFonts w:asciiTheme="majorHAnsi" w:hAnsiTheme="majorHAnsi"/>
              </w:rPr>
              <w:t xml:space="preserve">remote Australia. </w:t>
            </w:r>
          </w:p>
          <w:p w14:paraId="1C9FE399" w14:textId="77777777" w:rsidR="00B44F3B" w:rsidRPr="00A82FD7" w:rsidRDefault="00B44F3B" w:rsidP="00B44F3B">
            <w:pPr>
              <w:rPr>
                <w:rFonts w:asciiTheme="majorHAnsi" w:hAnsiTheme="majorHAnsi"/>
              </w:rPr>
            </w:pPr>
          </w:p>
          <w:p w14:paraId="3CEB18F5" w14:textId="77777777" w:rsidR="00B44F3B" w:rsidRPr="00A82FD7" w:rsidRDefault="00B44F3B" w:rsidP="00B44F3B">
            <w:pPr>
              <w:rPr>
                <w:rFonts w:asciiTheme="majorHAnsi" w:hAnsiTheme="majorHAnsi"/>
              </w:rPr>
            </w:pPr>
          </w:p>
          <w:p w14:paraId="22294792" w14:textId="77777777" w:rsidR="00B44F3B" w:rsidRPr="00A82FD7" w:rsidRDefault="00B44F3B" w:rsidP="00B44F3B">
            <w:pPr>
              <w:rPr>
                <w:rFonts w:asciiTheme="majorHAnsi" w:hAnsiTheme="majorHAnsi"/>
              </w:rPr>
            </w:pPr>
          </w:p>
          <w:p w14:paraId="24AB7A57" w14:textId="77777777" w:rsidR="00B44F3B" w:rsidRPr="00A82FD7" w:rsidRDefault="00B44F3B" w:rsidP="00B44F3B">
            <w:pPr>
              <w:rPr>
                <w:rFonts w:asciiTheme="majorHAnsi" w:hAnsiTheme="majorHAnsi"/>
              </w:rPr>
            </w:pPr>
          </w:p>
          <w:p w14:paraId="61812E53" w14:textId="77777777" w:rsidR="00B44F3B" w:rsidRPr="00A82FD7" w:rsidRDefault="00B44F3B" w:rsidP="00B44F3B">
            <w:pPr>
              <w:rPr>
                <w:rFonts w:asciiTheme="majorHAnsi" w:hAnsiTheme="majorHAnsi"/>
              </w:rPr>
            </w:pPr>
          </w:p>
          <w:p w14:paraId="33DB145F" w14:textId="77777777" w:rsidR="00B44F3B" w:rsidRPr="00A82FD7" w:rsidRDefault="00B44F3B" w:rsidP="00B44F3B">
            <w:pPr>
              <w:rPr>
                <w:rFonts w:asciiTheme="majorHAnsi" w:hAnsiTheme="majorHAnsi"/>
              </w:rPr>
            </w:pPr>
          </w:p>
          <w:p w14:paraId="76A961C4" w14:textId="77777777" w:rsidR="00B44F3B" w:rsidRPr="00A82FD7" w:rsidRDefault="00B44F3B" w:rsidP="00B44F3B">
            <w:pPr>
              <w:rPr>
                <w:rFonts w:asciiTheme="majorHAnsi" w:hAnsiTheme="majorHAnsi"/>
              </w:rPr>
            </w:pPr>
          </w:p>
          <w:p w14:paraId="5B189390" w14:textId="77777777" w:rsidR="00B44F3B" w:rsidRPr="00A82FD7" w:rsidRDefault="00B44F3B" w:rsidP="00B44F3B">
            <w:pPr>
              <w:rPr>
                <w:rFonts w:asciiTheme="majorHAnsi" w:hAnsiTheme="majorHAnsi"/>
              </w:rPr>
            </w:pPr>
          </w:p>
          <w:p w14:paraId="58E1E2CA" w14:textId="77777777" w:rsidR="00B44F3B" w:rsidRPr="00A82FD7" w:rsidRDefault="00B44F3B" w:rsidP="00B44F3B">
            <w:pPr>
              <w:rPr>
                <w:rFonts w:asciiTheme="majorHAnsi" w:hAnsiTheme="majorHAnsi"/>
              </w:rPr>
            </w:pPr>
          </w:p>
          <w:p w14:paraId="6CC6334D" w14:textId="77777777" w:rsidR="00B44F3B" w:rsidRPr="00A82FD7" w:rsidRDefault="00B44F3B" w:rsidP="00B44F3B">
            <w:pPr>
              <w:rPr>
                <w:rFonts w:asciiTheme="majorHAnsi" w:hAnsiTheme="majorHAnsi"/>
              </w:rPr>
            </w:pPr>
          </w:p>
          <w:p w14:paraId="0AAAFB99" w14:textId="77777777" w:rsidR="00B44F3B" w:rsidRPr="00A82FD7" w:rsidRDefault="00B44F3B" w:rsidP="00B44F3B">
            <w:pPr>
              <w:rPr>
                <w:rFonts w:asciiTheme="majorHAnsi" w:hAnsiTheme="majorHAnsi"/>
              </w:rPr>
            </w:pPr>
          </w:p>
          <w:p w14:paraId="5C82E257" w14:textId="77777777" w:rsidR="00AC1DAC" w:rsidRPr="00A82FD7" w:rsidRDefault="00AC1DAC" w:rsidP="00DC4823">
            <w:pPr>
              <w:jc w:val="center"/>
              <w:rPr>
                <w:rFonts w:asciiTheme="majorHAnsi" w:hAnsiTheme="majorHAnsi"/>
              </w:rPr>
            </w:pPr>
          </w:p>
        </w:tc>
        <w:tc>
          <w:tcPr>
            <w:tcW w:w="5386" w:type="dxa"/>
          </w:tcPr>
          <w:p w14:paraId="24320191" w14:textId="77777777" w:rsidR="00587572" w:rsidRPr="00A82FD7" w:rsidRDefault="00AC1DAC" w:rsidP="00DC4823">
            <w:pPr>
              <w:pStyle w:val="BulletedListlvl1"/>
              <w:ind w:left="175" w:hanging="141"/>
              <w:rPr>
                <w:rFonts w:asciiTheme="majorHAnsi" w:hAnsiTheme="majorHAnsi"/>
              </w:rPr>
            </w:pPr>
            <w:r w:rsidRPr="00A82FD7">
              <w:rPr>
                <w:rFonts w:asciiTheme="majorHAnsi" w:hAnsiTheme="majorHAnsi"/>
              </w:rPr>
              <w:t xml:space="preserve">Where the contract will be delivered in a remote area/s, clearly identify ways to achieve 'significant' (as a percentage) Indigenous employment and/or supplier use </w:t>
            </w:r>
            <w:proofErr w:type="gramStart"/>
            <w:r w:rsidRPr="00A82FD7">
              <w:rPr>
                <w:rFonts w:asciiTheme="majorHAnsi" w:hAnsiTheme="majorHAnsi"/>
              </w:rPr>
              <w:t>with regard to</w:t>
            </w:r>
            <w:proofErr w:type="gramEnd"/>
            <w:r w:rsidRPr="00A82FD7">
              <w:rPr>
                <w:rFonts w:asciiTheme="majorHAnsi" w:hAnsiTheme="majorHAnsi"/>
              </w:rPr>
              <w:t xml:space="preserve"> local Indigenous business sector and employment market</w:t>
            </w:r>
            <w:r w:rsidR="000D4115" w:rsidRPr="00A82FD7">
              <w:rPr>
                <w:rFonts w:asciiTheme="majorHAnsi" w:hAnsiTheme="majorHAnsi"/>
              </w:rPr>
              <w:t xml:space="preserve">. </w:t>
            </w:r>
          </w:p>
          <w:p w14:paraId="2D72E8F9" w14:textId="77777777" w:rsidR="00F1293B" w:rsidRPr="00A82FD7" w:rsidRDefault="00F1293B" w:rsidP="00DC4823">
            <w:pPr>
              <w:pStyle w:val="BulletedListlvl1"/>
              <w:ind w:left="175" w:hanging="141"/>
              <w:rPr>
                <w:rFonts w:asciiTheme="majorHAnsi" w:hAnsiTheme="majorHAnsi"/>
              </w:rPr>
            </w:pPr>
            <w:r w:rsidRPr="00A82FD7">
              <w:rPr>
                <w:rFonts w:asciiTheme="majorHAnsi" w:hAnsiTheme="majorHAnsi"/>
              </w:rPr>
              <w:t xml:space="preserve">The plan should specify an employment target considerate of the proportion of working age Indigenous people in the area (using the Australian Bureau of Statistics as a guide)  </w:t>
            </w:r>
          </w:p>
          <w:p w14:paraId="2C60755F" w14:textId="062B0ECA" w:rsidR="00F1293B" w:rsidRPr="00A82FD7" w:rsidRDefault="007D0B8A" w:rsidP="00DC4823">
            <w:pPr>
              <w:pStyle w:val="BulletedListlvl1"/>
              <w:ind w:left="175" w:hanging="141"/>
              <w:rPr>
                <w:rFonts w:asciiTheme="majorHAnsi" w:hAnsiTheme="majorHAnsi"/>
              </w:rPr>
            </w:pPr>
            <w:r>
              <w:rPr>
                <w:rFonts w:asciiTheme="majorHAnsi" w:hAnsiTheme="majorHAnsi"/>
              </w:rPr>
              <w:t>Supply t</w:t>
            </w:r>
            <w:r w:rsidR="00F1293B" w:rsidRPr="00A82FD7">
              <w:rPr>
                <w:rFonts w:asciiTheme="majorHAnsi" w:hAnsiTheme="majorHAnsi"/>
              </w:rPr>
              <w:t xml:space="preserve">arget: This could include identifying </w:t>
            </w:r>
            <w:r w:rsidR="002F06C3">
              <w:rPr>
                <w:rFonts w:asciiTheme="majorHAnsi" w:hAnsiTheme="majorHAnsi"/>
              </w:rPr>
              <w:t>I</w:t>
            </w:r>
            <w:r w:rsidR="002F06C3" w:rsidRPr="00A82FD7">
              <w:rPr>
                <w:rFonts w:asciiTheme="majorHAnsi" w:hAnsiTheme="majorHAnsi"/>
              </w:rPr>
              <w:t xml:space="preserve">ndigenous </w:t>
            </w:r>
            <w:r w:rsidR="00F1293B" w:rsidRPr="00A82FD7">
              <w:rPr>
                <w:rFonts w:asciiTheme="majorHAnsi" w:hAnsiTheme="majorHAnsi"/>
              </w:rPr>
              <w:t xml:space="preserve">businesses that they will sub-contract in the delivery of the project. </w:t>
            </w:r>
          </w:p>
          <w:p w14:paraId="0B8379FB" w14:textId="77777777" w:rsidR="00283469" w:rsidRPr="00A82FD7" w:rsidRDefault="000D4115" w:rsidP="00DC4823">
            <w:pPr>
              <w:pStyle w:val="BulletedListlvl1"/>
              <w:ind w:left="175" w:hanging="141"/>
              <w:rPr>
                <w:rFonts w:asciiTheme="majorHAnsi" w:hAnsiTheme="majorHAnsi"/>
              </w:rPr>
            </w:pPr>
            <w:r w:rsidRPr="00A82FD7">
              <w:rPr>
                <w:rFonts w:asciiTheme="majorHAnsi" w:hAnsiTheme="majorHAnsi"/>
              </w:rPr>
              <w:t>F</w:t>
            </w:r>
            <w:r w:rsidR="00587572" w:rsidRPr="00A82FD7">
              <w:rPr>
                <w:rFonts w:asciiTheme="majorHAnsi" w:hAnsiTheme="majorHAnsi"/>
              </w:rPr>
              <w:t>or large procurements with multiple tenders, it is important to consider the impos</w:t>
            </w:r>
            <w:r w:rsidR="00927A45" w:rsidRPr="00A82FD7">
              <w:rPr>
                <w:rFonts w:asciiTheme="majorHAnsi" w:hAnsiTheme="majorHAnsi"/>
              </w:rPr>
              <w:t>t</w:t>
            </w:r>
            <w:r w:rsidR="00587572" w:rsidRPr="00A82FD7">
              <w:rPr>
                <w:rFonts w:asciiTheme="majorHAnsi" w:hAnsiTheme="majorHAnsi"/>
              </w:rPr>
              <w:t xml:space="preserve"> </w:t>
            </w:r>
            <w:r w:rsidR="00283469" w:rsidRPr="00A82FD7">
              <w:rPr>
                <w:rFonts w:asciiTheme="majorHAnsi" w:hAnsiTheme="majorHAnsi"/>
              </w:rPr>
              <w:t xml:space="preserve">posed </w:t>
            </w:r>
            <w:r w:rsidR="00587572" w:rsidRPr="00A82FD7">
              <w:rPr>
                <w:rFonts w:asciiTheme="majorHAnsi" w:hAnsiTheme="majorHAnsi"/>
              </w:rPr>
              <w:t xml:space="preserve">on small organisations to agree </w:t>
            </w:r>
            <w:proofErr w:type="spellStart"/>
            <w:r w:rsidR="00587572" w:rsidRPr="00A82FD7">
              <w:rPr>
                <w:rFonts w:asciiTheme="majorHAnsi" w:hAnsiTheme="majorHAnsi"/>
              </w:rPr>
              <w:t>MoU</w:t>
            </w:r>
            <w:r w:rsidR="00927A45" w:rsidRPr="00A82FD7">
              <w:rPr>
                <w:rFonts w:asciiTheme="majorHAnsi" w:hAnsiTheme="majorHAnsi"/>
              </w:rPr>
              <w:t>s</w:t>
            </w:r>
            <w:proofErr w:type="spellEnd"/>
            <w:r w:rsidR="00587572" w:rsidRPr="00A82FD7">
              <w:rPr>
                <w:rFonts w:asciiTheme="majorHAnsi" w:hAnsiTheme="majorHAnsi"/>
              </w:rPr>
              <w:t xml:space="preserve"> and </w:t>
            </w:r>
            <w:r w:rsidR="00283469" w:rsidRPr="00A82FD7">
              <w:rPr>
                <w:rFonts w:asciiTheme="majorHAnsi" w:hAnsiTheme="majorHAnsi"/>
              </w:rPr>
              <w:t>collaborative agreements</w:t>
            </w:r>
            <w:r w:rsidR="00587572" w:rsidRPr="00A82FD7">
              <w:rPr>
                <w:rFonts w:asciiTheme="majorHAnsi" w:hAnsiTheme="majorHAnsi"/>
              </w:rPr>
              <w:t xml:space="preserve"> with multiple </w:t>
            </w:r>
            <w:r w:rsidR="00022C55" w:rsidRPr="00A82FD7">
              <w:rPr>
                <w:rFonts w:asciiTheme="majorHAnsi" w:hAnsiTheme="majorHAnsi"/>
              </w:rPr>
              <w:t>tenderers</w:t>
            </w:r>
            <w:r w:rsidR="00587572" w:rsidRPr="00A82FD7">
              <w:rPr>
                <w:rFonts w:asciiTheme="majorHAnsi" w:hAnsiTheme="majorHAnsi"/>
              </w:rPr>
              <w:t xml:space="preserve"> where only one will ultimately be contracted. </w:t>
            </w:r>
          </w:p>
          <w:p w14:paraId="4DEB5C10" w14:textId="60F3F3D9" w:rsidR="00AC1DAC" w:rsidRPr="00A82FD7" w:rsidRDefault="00587572" w:rsidP="00DC4823">
            <w:pPr>
              <w:pStyle w:val="BulletedListlvl1"/>
              <w:ind w:left="175" w:hanging="141"/>
              <w:rPr>
                <w:rFonts w:asciiTheme="majorHAnsi" w:hAnsiTheme="majorHAnsi"/>
              </w:rPr>
            </w:pPr>
            <w:r w:rsidRPr="00A82FD7">
              <w:rPr>
                <w:rFonts w:asciiTheme="majorHAnsi" w:hAnsiTheme="majorHAnsi"/>
              </w:rPr>
              <w:t>The tender</w:t>
            </w:r>
            <w:r w:rsidR="00927A45" w:rsidRPr="00A82FD7">
              <w:rPr>
                <w:rFonts w:asciiTheme="majorHAnsi" w:hAnsiTheme="majorHAnsi"/>
              </w:rPr>
              <w:t>er</w:t>
            </w:r>
            <w:r w:rsidRPr="00A82FD7">
              <w:rPr>
                <w:rFonts w:asciiTheme="majorHAnsi" w:hAnsiTheme="majorHAnsi"/>
              </w:rPr>
              <w:t xml:space="preserve"> could demonstrate an existing relationship wit</w:t>
            </w:r>
            <w:r w:rsidR="00283469" w:rsidRPr="00A82FD7">
              <w:rPr>
                <w:rFonts w:asciiTheme="majorHAnsi" w:hAnsiTheme="majorHAnsi"/>
              </w:rPr>
              <w:t>h the</w:t>
            </w:r>
            <w:r w:rsidRPr="00A82FD7">
              <w:rPr>
                <w:rFonts w:asciiTheme="majorHAnsi" w:hAnsiTheme="majorHAnsi"/>
              </w:rPr>
              <w:t xml:space="preserve"> local stakeholder groups such as </w:t>
            </w:r>
            <w:hyperlink r:id="rId28" w:history="1">
              <w:r w:rsidR="00CA6454" w:rsidRPr="00134C33">
                <w:rPr>
                  <w:rStyle w:val="Hyperlink"/>
                  <w:rFonts w:asciiTheme="majorHAnsi" w:hAnsiTheme="majorHAnsi"/>
                  <w:color w:val="015E8A" w:themeColor="text2" w:themeTint="E6"/>
                </w:rPr>
                <w:t>RAES providers</w:t>
              </w:r>
            </w:hyperlink>
            <w:r w:rsidRPr="00A82FD7">
              <w:rPr>
                <w:rFonts w:asciiTheme="majorHAnsi" w:hAnsiTheme="majorHAnsi"/>
              </w:rPr>
              <w:t xml:space="preserve">, </w:t>
            </w:r>
            <w:hyperlink r:id="rId29" w:history="1">
              <w:r w:rsidRPr="00134C33">
                <w:rPr>
                  <w:rStyle w:val="Hyperlink"/>
                  <w:rFonts w:asciiTheme="majorHAnsi" w:hAnsiTheme="majorHAnsi"/>
                  <w:color w:val="015E8A" w:themeColor="text2" w:themeTint="E6"/>
                </w:rPr>
                <w:t>Land</w:t>
              </w:r>
              <w:r w:rsidR="001A4FC1" w:rsidRPr="00134C33">
                <w:rPr>
                  <w:rStyle w:val="Hyperlink"/>
                  <w:rFonts w:asciiTheme="majorHAnsi" w:hAnsiTheme="majorHAnsi"/>
                  <w:color w:val="015E8A" w:themeColor="text2" w:themeTint="E6"/>
                </w:rPr>
                <w:t xml:space="preserve"> and Sea</w:t>
              </w:r>
              <w:r w:rsidRPr="00134C33">
                <w:rPr>
                  <w:rStyle w:val="Hyperlink"/>
                  <w:rFonts w:asciiTheme="majorHAnsi" w:hAnsiTheme="majorHAnsi"/>
                  <w:color w:val="015E8A" w:themeColor="text2" w:themeTint="E6"/>
                </w:rPr>
                <w:t xml:space="preserve"> Council</w:t>
              </w:r>
              <w:r w:rsidR="001A4FC1" w:rsidRPr="00134C33">
                <w:rPr>
                  <w:rStyle w:val="Hyperlink"/>
                  <w:rFonts w:asciiTheme="majorHAnsi" w:hAnsiTheme="majorHAnsi"/>
                  <w:color w:val="015E8A" w:themeColor="text2" w:themeTint="E6"/>
                </w:rPr>
                <w:t>s</w:t>
              </w:r>
            </w:hyperlink>
            <w:r w:rsidRPr="00A82FD7">
              <w:rPr>
                <w:rFonts w:asciiTheme="majorHAnsi" w:hAnsiTheme="majorHAnsi"/>
              </w:rPr>
              <w:t>, and local Indigenous community controlled organisations</w:t>
            </w:r>
            <w:r w:rsidR="008D6490" w:rsidRPr="00A82FD7">
              <w:rPr>
                <w:rFonts w:asciiTheme="majorHAnsi" w:hAnsiTheme="majorHAnsi"/>
              </w:rPr>
              <w:t xml:space="preserve"> (see tip box below)</w:t>
            </w:r>
            <w:r w:rsidRPr="00A82FD7">
              <w:rPr>
                <w:rFonts w:asciiTheme="majorHAnsi" w:hAnsiTheme="majorHAnsi"/>
              </w:rPr>
              <w:t xml:space="preserve"> or </w:t>
            </w:r>
            <w:r w:rsidR="00283469" w:rsidRPr="00A82FD7">
              <w:rPr>
                <w:rFonts w:asciiTheme="majorHAnsi" w:hAnsiTheme="majorHAnsi"/>
              </w:rPr>
              <w:t>commit to develop a</w:t>
            </w:r>
            <w:r w:rsidR="00F1293B" w:rsidRPr="00A82FD7">
              <w:rPr>
                <w:rFonts w:asciiTheme="majorHAnsi" w:hAnsiTheme="majorHAnsi"/>
              </w:rPr>
              <w:t xml:space="preserve"> work relationship </w:t>
            </w:r>
            <w:r w:rsidR="00283469" w:rsidRPr="00A82FD7">
              <w:rPr>
                <w:rFonts w:asciiTheme="majorHAnsi" w:hAnsiTheme="majorHAnsi"/>
              </w:rPr>
              <w:t>with specified stakeholders by a certain date if successful</w:t>
            </w:r>
            <w:r w:rsidR="00F1293B" w:rsidRPr="00A82FD7">
              <w:rPr>
                <w:rFonts w:asciiTheme="majorHAnsi" w:hAnsiTheme="majorHAnsi"/>
              </w:rPr>
              <w:t>.</w:t>
            </w:r>
            <w:r w:rsidR="000D4115" w:rsidRPr="00A82FD7">
              <w:rPr>
                <w:rFonts w:asciiTheme="majorHAnsi" w:hAnsiTheme="majorHAnsi"/>
              </w:rPr>
              <w:t xml:space="preserve">  </w:t>
            </w:r>
          </w:p>
          <w:p w14:paraId="5937AF66" w14:textId="77777777" w:rsidR="00085D76" w:rsidRPr="00A82FD7" w:rsidRDefault="007D0B8A" w:rsidP="00DC4823">
            <w:pPr>
              <w:pStyle w:val="BulletedListlvl1"/>
              <w:ind w:left="175" w:hanging="141"/>
              <w:rPr>
                <w:rFonts w:asciiTheme="majorHAnsi" w:hAnsiTheme="majorHAnsi"/>
              </w:rPr>
            </w:pPr>
            <w:r>
              <w:rPr>
                <w:rFonts w:asciiTheme="majorHAnsi" w:hAnsiTheme="majorHAnsi"/>
              </w:rPr>
              <w:t>Supply t</w:t>
            </w:r>
            <w:r w:rsidR="00085D76" w:rsidRPr="00A82FD7">
              <w:rPr>
                <w:rFonts w:asciiTheme="majorHAnsi" w:hAnsiTheme="majorHAnsi"/>
              </w:rPr>
              <w:t xml:space="preserve">arget: This could include identifying indigenous businesses that they will sub-contract in the delivery of the project. </w:t>
            </w:r>
          </w:p>
        </w:tc>
      </w:tr>
    </w:tbl>
    <w:tbl>
      <w:tblPr>
        <w:tblStyle w:val="NIAADefaultTableStyle"/>
        <w:tblpPr w:leftFromText="180" w:rightFromText="180" w:vertAnchor="text" w:tblpY="1"/>
        <w:tblOverlap w:val="never"/>
        <w:tblW w:w="10206" w:type="dxa"/>
        <w:tblLook w:val="0620" w:firstRow="1" w:lastRow="0" w:firstColumn="0" w:lastColumn="0" w:noHBand="1" w:noVBand="1"/>
      </w:tblPr>
      <w:tblGrid>
        <w:gridCol w:w="4820"/>
        <w:gridCol w:w="5386"/>
      </w:tblGrid>
      <w:tr w:rsidR="00AC1DAC" w:rsidRPr="00A82FD7" w14:paraId="18A1B37D" w14:textId="77777777" w:rsidTr="00AC1DAC">
        <w:trPr>
          <w:cnfStyle w:val="100000000000" w:firstRow="1" w:lastRow="0" w:firstColumn="0" w:lastColumn="0" w:oddVBand="0" w:evenVBand="0" w:oddHBand="0" w:evenHBand="0" w:firstRowFirstColumn="0" w:firstRowLastColumn="0" w:lastRowFirstColumn="0" w:lastRowLastColumn="0"/>
          <w:trHeight w:val="350"/>
        </w:trPr>
        <w:tc>
          <w:tcPr>
            <w:tcW w:w="4820" w:type="dxa"/>
          </w:tcPr>
          <w:p w14:paraId="5A9E4C87" w14:textId="77777777" w:rsidR="00AC1DAC" w:rsidRPr="00A82FD7" w:rsidRDefault="00AC1DAC" w:rsidP="00AC1DAC">
            <w:pPr>
              <w:pStyle w:val="BodyText"/>
            </w:pPr>
          </w:p>
        </w:tc>
        <w:tc>
          <w:tcPr>
            <w:tcW w:w="5386" w:type="dxa"/>
          </w:tcPr>
          <w:p w14:paraId="05EAB801" w14:textId="77777777" w:rsidR="00AC1DAC" w:rsidRPr="00A82FD7" w:rsidRDefault="00AC1DAC" w:rsidP="00AC1DAC">
            <w:pPr>
              <w:pStyle w:val="BodyText"/>
            </w:pPr>
          </w:p>
        </w:tc>
      </w:tr>
    </w:tbl>
    <w:p w14:paraId="15099143" w14:textId="0C135E8E" w:rsidR="00B44F3B" w:rsidRPr="00A82FD7" w:rsidRDefault="00B44F3B" w:rsidP="00DC4823">
      <w:pPr>
        <w:pStyle w:val="BodyText"/>
        <w:rPr>
          <w:rFonts w:asciiTheme="majorHAnsi" w:hAnsiTheme="majorHAnsi"/>
        </w:rPr>
      </w:pPr>
    </w:p>
    <w:p w14:paraId="2B168258" w14:textId="77777777" w:rsidR="00B075CE" w:rsidRPr="00134C33" w:rsidRDefault="005B43E4" w:rsidP="00B075CE">
      <w:pPr>
        <w:pStyle w:val="Heading3"/>
        <w:rPr>
          <w:color w:val="A55700" w:themeColor="accent4" w:themeShade="BF"/>
        </w:rPr>
      </w:pPr>
      <w:bookmarkStart w:id="41" w:name="_Toc223528539"/>
      <w:r w:rsidRPr="00134C33">
        <w:rPr>
          <w:color w:val="A55700" w:themeColor="accent4" w:themeShade="BF"/>
        </w:rPr>
        <w:lastRenderedPageBreak/>
        <w:t>4</w:t>
      </w:r>
      <w:r w:rsidR="00BE06DA" w:rsidRPr="00134C33">
        <w:rPr>
          <w:color w:val="A55700" w:themeColor="accent4" w:themeShade="BF"/>
        </w:rPr>
        <w:t>.3</w:t>
      </w:r>
      <w:r w:rsidR="00B075CE" w:rsidRPr="00134C33">
        <w:rPr>
          <w:color w:val="A55700" w:themeColor="accent4" w:themeShade="BF"/>
        </w:rPr>
        <w:t xml:space="preserve"> </w:t>
      </w:r>
      <w:r w:rsidR="00DA7DE9" w:rsidRPr="00134C33">
        <w:rPr>
          <w:color w:val="A55700" w:themeColor="accent4" w:themeShade="BF"/>
        </w:rPr>
        <w:t>Tender submission documents</w:t>
      </w:r>
      <w:bookmarkEnd w:id="41"/>
    </w:p>
    <w:p w14:paraId="19933CFE" w14:textId="77777777" w:rsidR="001E27C5" w:rsidRPr="00A82FD7" w:rsidRDefault="001E27C5" w:rsidP="005D323C">
      <w:pPr>
        <w:pStyle w:val="CommentText"/>
        <w:rPr>
          <w:rFonts w:asciiTheme="majorHAnsi" w:hAnsiTheme="majorHAnsi"/>
        </w:rPr>
      </w:pPr>
      <w:r w:rsidRPr="00A82FD7">
        <w:rPr>
          <w:rFonts w:asciiTheme="majorHAnsi" w:hAnsiTheme="majorHAnsi"/>
        </w:rPr>
        <w:t>T</w:t>
      </w:r>
      <w:r w:rsidR="00D4195E" w:rsidRPr="00A82FD7">
        <w:rPr>
          <w:rFonts w:asciiTheme="majorHAnsi" w:hAnsiTheme="majorHAnsi"/>
        </w:rPr>
        <w:t>o demonstrate their awareness of</w:t>
      </w:r>
      <w:r w:rsidR="009919A8">
        <w:rPr>
          <w:rFonts w:asciiTheme="majorHAnsi" w:hAnsiTheme="majorHAnsi"/>
        </w:rPr>
        <w:t>,</w:t>
      </w:r>
      <w:r w:rsidR="00D4195E" w:rsidRPr="00A82FD7">
        <w:rPr>
          <w:rFonts w:asciiTheme="majorHAnsi" w:hAnsiTheme="majorHAnsi"/>
        </w:rPr>
        <w:t xml:space="preserve"> </w:t>
      </w:r>
      <w:r w:rsidR="006D1E20" w:rsidRPr="00A82FD7">
        <w:rPr>
          <w:rFonts w:asciiTheme="majorHAnsi" w:hAnsiTheme="majorHAnsi"/>
        </w:rPr>
        <w:t>and ability to meet</w:t>
      </w:r>
      <w:r w:rsidR="003352F9">
        <w:rPr>
          <w:rFonts w:asciiTheme="majorHAnsi" w:hAnsiTheme="majorHAnsi"/>
        </w:rPr>
        <w:t xml:space="preserve"> </w:t>
      </w:r>
      <w:r w:rsidR="00BE06DA">
        <w:rPr>
          <w:rFonts w:asciiTheme="majorHAnsi" w:hAnsiTheme="majorHAnsi"/>
        </w:rPr>
        <w:t>the MMR</w:t>
      </w:r>
      <w:r w:rsidR="00E70DE9">
        <w:rPr>
          <w:rFonts w:asciiTheme="majorHAnsi" w:hAnsiTheme="majorHAnsi"/>
        </w:rPr>
        <w:t xml:space="preserve"> as outlined in the approach to market documentation, </w:t>
      </w:r>
      <w:r w:rsidR="00D4195E" w:rsidRPr="00A82FD7">
        <w:rPr>
          <w:rFonts w:asciiTheme="majorHAnsi" w:hAnsiTheme="majorHAnsi"/>
        </w:rPr>
        <w:t xml:space="preserve">tenderers must include </w:t>
      </w:r>
      <w:r w:rsidR="00E70DE9">
        <w:rPr>
          <w:rFonts w:asciiTheme="majorHAnsi" w:hAnsiTheme="majorHAnsi"/>
        </w:rPr>
        <w:t>the following information in their</w:t>
      </w:r>
      <w:r w:rsidR="00D4195E" w:rsidRPr="00A82FD7">
        <w:rPr>
          <w:rFonts w:asciiTheme="majorHAnsi" w:hAnsiTheme="majorHAnsi"/>
        </w:rPr>
        <w:t xml:space="preserve"> </w:t>
      </w:r>
      <w:r w:rsidRPr="00A82FD7">
        <w:rPr>
          <w:rFonts w:asciiTheme="majorHAnsi" w:hAnsiTheme="majorHAnsi"/>
        </w:rPr>
        <w:t>tender submission</w:t>
      </w:r>
      <w:r w:rsidR="006D1E20" w:rsidRPr="00A82FD7">
        <w:rPr>
          <w:rFonts w:asciiTheme="majorHAnsi" w:hAnsiTheme="majorHAnsi"/>
        </w:rPr>
        <w:t>:</w:t>
      </w:r>
    </w:p>
    <w:p w14:paraId="409799A4" w14:textId="77777777" w:rsidR="007B3034" w:rsidRPr="00A82FD7" w:rsidRDefault="00BE06DA" w:rsidP="00B42D16">
      <w:pPr>
        <w:pStyle w:val="BulletedListlvl1"/>
        <w:rPr>
          <w:rFonts w:asciiTheme="majorHAnsi" w:hAnsiTheme="majorHAnsi"/>
        </w:rPr>
      </w:pPr>
      <w:r>
        <w:rPr>
          <w:rFonts w:asciiTheme="majorHAnsi" w:hAnsiTheme="majorHAnsi"/>
        </w:rPr>
        <w:t>d</w:t>
      </w:r>
      <w:r w:rsidR="007B3034" w:rsidRPr="00A82FD7">
        <w:rPr>
          <w:rFonts w:asciiTheme="majorHAnsi" w:hAnsiTheme="majorHAnsi"/>
        </w:rPr>
        <w:t xml:space="preserve">etails of the current levels of Indigenous participation (employment or supply-use) in their Australian-based organisation </w:t>
      </w:r>
    </w:p>
    <w:p w14:paraId="12EDF95B" w14:textId="5E1F28DA" w:rsidR="001E27C5" w:rsidRPr="00A82FD7" w:rsidRDefault="00B42D16" w:rsidP="00B42D16">
      <w:pPr>
        <w:pStyle w:val="BulletedListlvl1"/>
        <w:rPr>
          <w:rFonts w:asciiTheme="majorHAnsi" w:hAnsiTheme="majorHAnsi"/>
        </w:rPr>
      </w:pPr>
      <w:r w:rsidRPr="00A82FD7">
        <w:rPr>
          <w:rFonts w:asciiTheme="majorHAnsi" w:hAnsiTheme="majorHAnsi"/>
        </w:rPr>
        <w:t>a</w:t>
      </w:r>
      <w:r w:rsidR="006D1E20" w:rsidRPr="00A82FD7">
        <w:rPr>
          <w:rFonts w:asciiTheme="majorHAnsi" w:hAnsiTheme="majorHAnsi"/>
        </w:rPr>
        <w:t xml:space="preserve"> declaration of</w:t>
      </w:r>
      <w:r w:rsidR="005D323C" w:rsidRPr="00A82FD7">
        <w:rPr>
          <w:rFonts w:asciiTheme="majorHAnsi" w:hAnsiTheme="majorHAnsi"/>
        </w:rPr>
        <w:t xml:space="preserve"> their </w:t>
      </w:r>
      <w:r w:rsidR="001E27C5" w:rsidRPr="00A82FD7">
        <w:rPr>
          <w:rFonts w:asciiTheme="majorHAnsi" w:hAnsiTheme="majorHAnsi"/>
        </w:rPr>
        <w:t>performance against targets for any previous contracts that included MMRs</w:t>
      </w:r>
      <w:r w:rsidR="002B5797">
        <w:rPr>
          <w:rFonts w:asciiTheme="majorHAnsi" w:hAnsiTheme="majorHAnsi"/>
        </w:rPr>
        <w:t>*</w:t>
      </w:r>
      <w:r w:rsidR="006C08A5">
        <w:rPr>
          <w:rFonts w:asciiTheme="majorHAnsi" w:hAnsiTheme="majorHAnsi"/>
        </w:rPr>
        <w:t xml:space="preserve">; </w:t>
      </w:r>
      <w:r w:rsidR="006D1E20" w:rsidRPr="00A82FD7">
        <w:rPr>
          <w:rFonts w:asciiTheme="majorHAnsi" w:hAnsiTheme="majorHAnsi"/>
        </w:rPr>
        <w:t xml:space="preserve">and </w:t>
      </w:r>
    </w:p>
    <w:p w14:paraId="4E83C431" w14:textId="77777777" w:rsidR="007B3034" w:rsidRPr="00A82FD7" w:rsidRDefault="00B42D16" w:rsidP="00B42D16">
      <w:pPr>
        <w:pStyle w:val="BulletedListlvl1"/>
        <w:rPr>
          <w:rFonts w:asciiTheme="majorHAnsi" w:hAnsiTheme="majorHAnsi"/>
        </w:rPr>
      </w:pPr>
      <w:r w:rsidRPr="00A82FD7">
        <w:rPr>
          <w:rFonts w:asciiTheme="majorHAnsi" w:hAnsiTheme="majorHAnsi"/>
        </w:rPr>
        <w:t>a</w:t>
      </w:r>
      <w:r w:rsidR="006D1E20" w:rsidRPr="00A82FD7">
        <w:rPr>
          <w:rFonts w:asciiTheme="majorHAnsi" w:hAnsiTheme="majorHAnsi"/>
        </w:rPr>
        <w:t>n</w:t>
      </w:r>
      <w:r w:rsidR="001E27C5" w:rsidRPr="00A82FD7">
        <w:rPr>
          <w:rFonts w:asciiTheme="majorHAnsi" w:hAnsiTheme="majorHAnsi"/>
        </w:rPr>
        <w:t xml:space="preserve"> </w:t>
      </w:r>
      <w:r w:rsidR="005D323C" w:rsidRPr="00A82FD7">
        <w:rPr>
          <w:rFonts w:asciiTheme="majorHAnsi" w:hAnsiTheme="majorHAnsi"/>
        </w:rPr>
        <w:t xml:space="preserve">Indigenous Participation Plan </w:t>
      </w:r>
      <w:r w:rsidR="00D4195E" w:rsidRPr="00A82FD7">
        <w:rPr>
          <w:rFonts w:asciiTheme="majorHAnsi" w:hAnsiTheme="majorHAnsi"/>
        </w:rPr>
        <w:t>detai</w:t>
      </w:r>
      <w:r w:rsidR="00415C20" w:rsidRPr="00A82FD7">
        <w:rPr>
          <w:rFonts w:asciiTheme="majorHAnsi" w:hAnsiTheme="majorHAnsi"/>
        </w:rPr>
        <w:t>l</w:t>
      </w:r>
      <w:r w:rsidR="006D1E20" w:rsidRPr="00A82FD7">
        <w:rPr>
          <w:rFonts w:asciiTheme="majorHAnsi" w:hAnsiTheme="majorHAnsi"/>
        </w:rPr>
        <w:t>ing</w:t>
      </w:r>
      <w:r w:rsidR="00415C20" w:rsidRPr="00A82FD7">
        <w:rPr>
          <w:rFonts w:asciiTheme="majorHAnsi" w:hAnsiTheme="majorHAnsi"/>
        </w:rPr>
        <w:t xml:space="preserve"> </w:t>
      </w:r>
      <w:r w:rsidR="002B5797">
        <w:rPr>
          <w:rFonts w:asciiTheme="majorHAnsi" w:hAnsiTheme="majorHAnsi"/>
        </w:rPr>
        <w:t xml:space="preserve">the </w:t>
      </w:r>
      <w:r w:rsidR="00F1293B" w:rsidRPr="00A82FD7">
        <w:rPr>
          <w:rFonts w:asciiTheme="majorHAnsi" w:hAnsiTheme="majorHAnsi"/>
        </w:rPr>
        <w:t xml:space="preserve">MMR target that they will achieve over the life of the contract and </w:t>
      </w:r>
      <w:r w:rsidR="00D4195E" w:rsidRPr="00A82FD7">
        <w:rPr>
          <w:rFonts w:asciiTheme="majorHAnsi" w:hAnsiTheme="majorHAnsi"/>
        </w:rPr>
        <w:t xml:space="preserve">their strategy for </w:t>
      </w:r>
      <w:r w:rsidR="00565E3D">
        <w:rPr>
          <w:rFonts w:asciiTheme="majorHAnsi" w:hAnsiTheme="majorHAnsi"/>
        </w:rPr>
        <w:t xml:space="preserve">achieving this. </w:t>
      </w:r>
      <w:r w:rsidR="00AA1C65" w:rsidRPr="00E43360">
        <w:rPr>
          <w:rFonts w:asciiTheme="majorHAnsi" w:hAnsiTheme="majorHAnsi"/>
        </w:rPr>
        <w:t xml:space="preserve">Table </w:t>
      </w:r>
      <w:r w:rsidR="00233B73">
        <w:rPr>
          <w:rFonts w:asciiTheme="majorHAnsi" w:hAnsiTheme="majorHAnsi"/>
        </w:rPr>
        <w:t>3</w:t>
      </w:r>
      <w:r w:rsidR="00D4195E" w:rsidRPr="00E43360">
        <w:rPr>
          <w:rFonts w:asciiTheme="majorHAnsi" w:hAnsiTheme="majorHAnsi"/>
        </w:rPr>
        <w:t xml:space="preserve"> </w:t>
      </w:r>
      <w:r w:rsidR="002B5797">
        <w:rPr>
          <w:rFonts w:asciiTheme="majorHAnsi" w:hAnsiTheme="majorHAnsi"/>
        </w:rPr>
        <w:t xml:space="preserve">outlines the information that </w:t>
      </w:r>
      <w:r w:rsidR="006D1E20" w:rsidRPr="00A82FD7">
        <w:rPr>
          <w:rFonts w:asciiTheme="majorHAnsi" w:hAnsiTheme="majorHAnsi"/>
        </w:rPr>
        <w:t xml:space="preserve">tenderers should include in an Indigenous Participation Plan. </w:t>
      </w:r>
    </w:p>
    <w:p w14:paraId="300A651E" w14:textId="77777777" w:rsidR="00B42D16" w:rsidRPr="00A82FD7" w:rsidRDefault="00B42D16" w:rsidP="00B42D16">
      <w:pPr>
        <w:pStyle w:val="BulletedListlvl1"/>
        <w:numPr>
          <w:ilvl w:val="0"/>
          <w:numId w:val="0"/>
        </w:numPr>
        <w:ind w:left="566"/>
        <w:rPr>
          <w:rFonts w:asciiTheme="majorHAnsi" w:hAnsiTheme="majorHAnsi"/>
        </w:rPr>
      </w:pPr>
    </w:p>
    <w:p w14:paraId="19D5F728" w14:textId="77777777" w:rsidR="00B42D16" w:rsidRPr="00A82FD7" w:rsidRDefault="002B5797" w:rsidP="00DC4823">
      <w:pPr>
        <w:pStyle w:val="BulletedListlvl1"/>
        <w:numPr>
          <w:ilvl w:val="0"/>
          <w:numId w:val="0"/>
        </w:numPr>
        <w:rPr>
          <w:rFonts w:asciiTheme="majorHAnsi" w:hAnsiTheme="majorHAnsi"/>
        </w:rPr>
      </w:pPr>
      <w:r>
        <w:rPr>
          <w:rFonts w:asciiTheme="majorHAnsi" w:hAnsiTheme="majorHAnsi"/>
        </w:rPr>
        <w:t>*</w:t>
      </w:r>
      <w:r w:rsidR="006D1E20" w:rsidRPr="00A82FD7">
        <w:rPr>
          <w:rFonts w:asciiTheme="majorHAnsi" w:hAnsiTheme="majorHAnsi"/>
        </w:rPr>
        <w:t xml:space="preserve">Commonwealth entities </w:t>
      </w:r>
      <w:r w:rsidR="00565E3D">
        <w:rPr>
          <w:rFonts w:asciiTheme="majorHAnsi" w:hAnsiTheme="majorHAnsi"/>
        </w:rPr>
        <w:t xml:space="preserve">should </w:t>
      </w:r>
      <w:r>
        <w:rPr>
          <w:rFonts w:asciiTheme="majorHAnsi" w:hAnsiTheme="majorHAnsi"/>
        </w:rPr>
        <w:t>search the IPP</w:t>
      </w:r>
      <w:r w:rsidR="00F1293B" w:rsidRPr="00A82FD7">
        <w:rPr>
          <w:rFonts w:asciiTheme="majorHAnsi" w:hAnsiTheme="majorHAnsi"/>
        </w:rPr>
        <w:t>RS fo</w:t>
      </w:r>
      <w:r>
        <w:rPr>
          <w:rFonts w:asciiTheme="majorHAnsi" w:hAnsiTheme="majorHAnsi"/>
        </w:rPr>
        <w:t>r a tenderer’s</w:t>
      </w:r>
      <w:r w:rsidR="00F1293B" w:rsidRPr="00A82FD7">
        <w:rPr>
          <w:rFonts w:asciiTheme="majorHAnsi" w:hAnsiTheme="majorHAnsi"/>
        </w:rPr>
        <w:t xml:space="preserve"> past performance information. </w:t>
      </w:r>
    </w:p>
    <w:p w14:paraId="40778968" w14:textId="77777777" w:rsidR="00C13C3C" w:rsidRPr="00134C33" w:rsidRDefault="003A2ADF" w:rsidP="003A2ADF">
      <w:pPr>
        <w:pStyle w:val="Heading3"/>
        <w:rPr>
          <w:color w:val="A55700" w:themeColor="accent4" w:themeShade="BF"/>
        </w:rPr>
      </w:pPr>
      <w:bookmarkStart w:id="42" w:name="_Toc223528540"/>
      <w:r w:rsidRPr="00134C33">
        <w:rPr>
          <w:color w:val="A55700" w:themeColor="accent4" w:themeShade="BF"/>
        </w:rPr>
        <w:t>4.4</w:t>
      </w:r>
      <w:r w:rsidR="00147E70" w:rsidRPr="00134C33">
        <w:rPr>
          <w:color w:val="A55700" w:themeColor="accent4" w:themeShade="BF"/>
        </w:rPr>
        <w:tab/>
        <w:t>Approaches t</w:t>
      </w:r>
      <w:r w:rsidRPr="00134C33">
        <w:rPr>
          <w:color w:val="A55700" w:themeColor="accent4" w:themeShade="BF"/>
        </w:rPr>
        <w:t>o m</w:t>
      </w:r>
      <w:r w:rsidR="00147E70" w:rsidRPr="00134C33">
        <w:rPr>
          <w:color w:val="A55700" w:themeColor="accent4" w:themeShade="BF"/>
        </w:rPr>
        <w:t xml:space="preserve">arket </w:t>
      </w:r>
      <w:r w:rsidR="002A3A5B" w:rsidRPr="00134C33">
        <w:rPr>
          <w:color w:val="A55700" w:themeColor="accent4" w:themeShade="BF"/>
        </w:rPr>
        <w:t>for contract</w:t>
      </w:r>
      <w:r w:rsidR="00565E3D" w:rsidRPr="00134C33">
        <w:rPr>
          <w:color w:val="A55700" w:themeColor="accent4" w:themeShade="BF"/>
        </w:rPr>
        <w:t>s</w:t>
      </w:r>
      <w:r w:rsidR="002A3A5B" w:rsidRPr="00134C33">
        <w:rPr>
          <w:color w:val="A55700" w:themeColor="accent4" w:themeShade="BF"/>
        </w:rPr>
        <w:t xml:space="preserve"> of varying value</w:t>
      </w:r>
      <w:bookmarkEnd w:id="42"/>
    </w:p>
    <w:p w14:paraId="44DF2662" w14:textId="77777777" w:rsidR="00DD36A4" w:rsidRPr="00DD36A4" w:rsidRDefault="00DD36A4" w:rsidP="00DD36A4">
      <w:pPr>
        <w:pStyle w:val="BodyText"/>
        <w:rPr>
          <w:rFonts w:asciiTheme="majorHAnsi" w:hAnsiTheme="majorHAnsi"/>
        </w:rPr>
      </w:pPr>
      <w:r w:rsidRPr="00DD36A4">
        <w:rPr>
          <w:rFonts w:asciiTheme="majorHAnsi" w:hAnsiTheme="majorHAnsi"/>
        </w:rPr>
        <w:t>If a procurement may result in multiple contracts of varying value</w:t>
      </w:r>
      <w:r w:rsidR="00E45975">
        <w:rPr>
          <w:rFonts w:asciiTheme="majorHAnsi" w:hAnsiTheme="majorHAnsi"/>
        </w:rPr>
        <w:t xml:space="preserve"> </w:t>
      </w:r>
      <w:r w:rsidR="00077B35">
        <w:rPr>
          <w:rFonts w:asciiTheme="majorHAnsi" w:hAnsiTheme="majorHAnsi"/>
        </w:rPr>
        <w:t>–</w:t>
      </w:r>
      <w:r w:rsidR="00E45975">
        <w:rPr>
          <w:rFonts w:asciiTheme="majorHAnsi" w:hAnsiTheme="majorHAnsi"/>
        </w:rPr>
        <w:t xml:space="preserve"> </w:t>
      </w:r>
      <w:r w:rsidR="00077B35">
        <w:rPr>
          <w:rFonts w:asciiTheme="majorHAnsi" w:hAnsiTheme="majorHAnsi"/>
        </w:rPr>
        <w:t>with the initial contract lower or higher than the</w:t>
      </w:r>
      <w:r w:rsidRPr="00DD36A4">
        <w:rPr>
          <w:rFonts w:asciiTheme="majorHAnsi" w:hAnsiTheme="majorHAnsi"/>
        </w:rPr>
        <w:t xml:space="preserve"> $7.5 million threshold</w:t>
      </w:r>
      <w:r w:rsidR="00E45975">
        <w:rPr>
          <w:rFonts w:asciiTheme="majorHAnsi" w:hAnsiTheme="majorHAnsi"/>
        </w:rPr>
        <w:t xml:space="preserve"> - </w:t>
      </w:r>
      <w:r w:rsidRPr="00DD36A4">
        <w:rPr>
          <w:rFonts w:asciiTheme="majorHAnsi" w:hAnsiTheme="majorHAnsi"/>
        </w:rPr>
        <w:t xml:space="preserve">it is recommended the approach to market documentation (including draft contract where applicable) includes a clause that grants tenderers </w:t>
      </w:r>
      <w:r w:rsidR="00077B35">
        <w:rPr>
          <w:rFonts w:asciiTheme="majorHAnsi" w:hAnsiTheme="majorHAnsi"/>
        </w:rPr>
        <w:t xml:space="preserve">the option to </w:t>
      </w:r>
      <w:r w:rsidRPr="00DD36A4">
        <w:rPr>
          <w:rFonts w:asciiTheme="majorHAnsi" w:hAnsiTheme="majorHAnsi"/>
          <w:u w:val="single"/>
        </w:rPr>
        <w:t>not</w:t>
      </w:r>
      <w:r w:rsidRPr="00DD36A4">
        <w:rPr>
          <w:rFonts w:asciiTheme="majorHAnsi" w:hAnsiTheme="majorHAnsi"/>
        </w:rPr>
        <w:t xml:space="preserve"> submit an</w:t>
      </w:r>
      <w:r w:rsidR="00077B35">
        <w:rPr>
          <w:rFonts w:asciiTheme="majorHAnsi" w:hAnsiTheme="majorHAnsi"/>
        </w:rPr>
        <w:t xml:space="preserve"> Indigenous Participation Plan if they are not </w:t>
      </w:r>
      <w:r w:rsidR="00077B35" w:rsidRPr="00077B35">
        <w:rPr>
          <w:rFonts w:asciiTheme="majorHAnsi" w:hAnsiTheme="majorHAnsi"/>
        </w:rPr>
        <w:t>intending to accept a c</w:t>
      </w:r>
      <w:r w:rsidR="00077B35">
        <w:rPr>
          <w:rFonts w:asciiTheme="majorHAnsi" w:hAnsiTheme="majorHAnsi"/>
        </w:rPr>
        <w:t>ontract above the MMR threshold.</w:t>
      </w:r>
    </w:p>
    <w:p w14:paraId="3FD06201" w14:textId="77777777" w:rsidR="00DD36A4" w:rsidRPr="00DD36A4" w:rsidRDefault="00DD36A4" w:rsidP="00DD36A4">
      <w:pPr>
        <w:pStyle w:val="BodyText"/>
        <w:rPr>
          <w:rFonts w:asciiTheme="majorHAnsi" w:hAnsiTheme="majorHAnsi"/>
        </w:rPr>
      </w:pPr>
      <w:r w:rsidRPr="00DD36A4">
        <w:rPr>
          <w:rFonts w:asciiTheme="majorHAnsi" w:hAnsiTheme="majorHAnsi"/>
        </w:rPr>
        <w:t xml:space="preserve">The clause, </w:t>
      </w:r>
      <w:r w:rsidRPr="00A17FD0">
        <w:rPr>
          <w:rFonts w:asciiTheme="majorHAnsi" w:hAnsiTheme="majorHAnsi"/>
        </w:rPr>
        <w:t>available on NIAA’s website,</w:t>
      </w:r>
      <w:r w:rsidRPr="00DD36A4">
        <w:rPr>
          <w:rFonts w:asciiTheme="majorHAnsi" w:hAnsiTheme="majorHAnsi"/>
        </w:rPr>
        <w:t xml:space="preserve"> will only require the supplier to submit an Indigenous</w:t>
      </w:r>
      <w:r w:rsidR="004F0E22">
        <w:rPr>
          <w:rFonts w:asciiTheme="majorHAnsi" w:hAnsiTheme="majorHAnsi"/>
        </w:rPr>
        <w:t xml:space="preserve"> Participation </w:t>
      </w:r>
      <w:r w:rsidR="00913EEE">
        <w:rPr>
          <w:rFonts w:asciiTheme="majorHAnsi" w:hAnsiTheme="majorHAnsi"/>
        </w:rPr>
        <w:t xml:space="preserve">Plan </w:t>
      </w:r>
      <w:r w:rsidR="004F0E22">
        <w:rPr>
          <w:rFonts w:asciiTheme="majorHAnsi" w:hAnsiTheme="majorHAnsi"/>
        </w:rPr>
        <w:t>in the event the</w:t>
      </w:r>
      <w:r w:rsidRPr="00DD36A4">
        <w:rPr>
          <w:rFonts w:asciiTheme="majorHAnsi" w:hAnsiTheme="majorHAnsi"/>
        </w:rPr>
        <w:t xml:space="preserve"> contract value increase</w:t>
      </w:r>
      <w:r w:rsidR="004F0E22">
        <w:rPr>
          <w:rFonts w:asciiTheme="majorHAnsi" w:hAnsiTheme="majorHAnsi"/>
        </w:rPr>
        <w:t>s</w:t>
      </w:r>
      <w:r w:rsidR="00491AE2">
        <w:rPr>
          <w:rFonts w:asciiTheme="majorHAnsi" w:hAnsiTheme="majorHAnsi"/>
        </w:rPr>
        <w:t xml:space="preserve"> </w:t>
      </w:r>
      <w:r w:rsidRPr="00DD36A4">
        <w:rPr>
          <w:rFonts w:asciiTheme="majorHAnsi" w:hAnsiTheme="majorHAnsi"/>
        </w:rPr>
        <w:t>a</w:t>
      </w:r>
      <w:r w:rsidR="00B55DFD">
        <w:rPr>
          <w:rFonts w:asciiTheme="majorHAnsi" w:hAnsiTheme="majorHAnsi"/>
        </w:rPr>
        <w:t xml:space="preserve">bove the $7.5 million threshold. The clause </w:t>
      </w:r>
      <w:r w:rsidR="00491AE2">
        <w:rPr>
          <w:rFonts w:asciiTheme="majorHAnsi" w:hAnsiTheme="majorHAnsi"/>
        </w:rPr>
        <w:t xml:space="preserve">will </w:t>
      </w:r>
      <w:r w:rsidR="00B55DFD">
        <w:rPr>
          <w:rFonts w:asciiTheme="majorHAnsi" w:hAnsiTheme="majorHAnsi"/>
        </w:rPr>
        <w:t xml:space="preserve">also </w:t>
      </w:r>
      <w:r w:rsidRPr="00DD36A4">
        <w:rPr>
          <w:rFonts w:asciiTheme="majorHAnsi" w:hAnsiTheme="majorHAnsi"/>
        </w:rPr>
        <w:t>encourage the use of best endeavours to informally increase Indigenous participation in the delivery of the contract.</w:t>
      </w:r>
    </w:p>
    <w:p w14:paraId="384CA97D" w14:textId="77777777" w:rsidR="00DD36A4" w:rsidRPr="00DD36A4" w:rsidRDefault="00DD36A4" w:rsidP="00DD36A4">
      <w:pPr>
        <w:pStyle w:val="BodyText"/>
        <w:rPr>
          <w:rFonts w:asciiTheme="majorHAnsi" w:hAnsiTheme="majorHAnsi"/>
        </w:rPr>
      </w:pPr>
      <w:r w:rsidRPr="00DD36A4">
        <w:rPr>
          <w:rFonts w:asciiTheme="majorHAnsi" w:hAnsiTheme="majorHAnsi"/>
        </w:rPr>
        <w:t xml:space="preserve">For information on varying contracts, refer to Section 10. </w:t>
      </w:r>
      <w:bookmarkStart w:id="43" w:name="A._how_the_Contractor_intends_on_meeting"/>
      <w:bookmarkStart w:id="44" w:name="B._the_Contractor's_current_rate_of_Indi"/>
      <w:bookmarkStart w:id="45" w:name="C._the_Contractor's_commitment_to_Indige"/>
      <w:bookmarkStart w:id="46" w:name="D._if_any_part_of_the_Contract_is_being_"/>
      <w:bookmarkEnd w:id="43"/>
      <w:bookmarkEnd w:id="44"/>
      <w:bookmarkEnd w:id="45"/>
      <w:bookmarkEnd w:id="46"/>
    </w:p>
    <w:p w14:paraId="700EF42D" w14:textId="77777777" w:rsidR="00F360EC" w:rsidRPr="00A82FD7" w:rsidRDefault="00F360EC" w:rsidP="00F360EC">
      <w:pPr>
        <w:pStyle w:val="BodyText"/>
        <w:rPr>
          <w:rFonts w:asciiTheme="majorHAnsi" w:hAnsiTheme="majorHAnsi"/>
        </w:rPr>
      </w:pPr>
    </w:p>
    <w:p w14:paraId="08BA6567" w14:textId="77777777" w:rsidR="00D064B2" w:rsidRPr="00134C33" w:rsidRDefault="00B60ACD" w:rsidP="00B60ACD">
      <w:pPr>
        <w:pStyle w:val="EmphasisPanelHeading"/>
        <w:rPr>
          <w:color w:val="6E3A00" w:themeColor="accent4" w:themeShade="80"/>
        </w:rPr>
      </w:pPr>
      <w:r w:rsidRPr="00134C33">
        <w:rPr>
          <w:color w:val="6E3A00" w:themeColor="accent4" w:themeShade="80"/>
        </w:rPr>
        <w:t>Example 2. Procurements with unknown values</w:t>
      </w:r>
    </w:p>
    <w:p w14:paraId="71D0C80D" w14:textId="77777777" w:rsidR="00D064B2" w:rsidRPr="00D064B2" w:rsidRDefault="00D064B2" w:rsidP="00D064B2">
      <w:pPr>
        <w:pStyle w:val="EmphasisPanelBody"/>
      </w:pPr>
      <w:r w:rsidRPr="00D064B2">
        <w:t xml:space="preserve">The Department of Veteran Affairs approaches the market to engage potential suppliers to provide hearing devices to eligible veterans on demand over a </w:t>
      </w:r>
      <w:proofErr w:type="gramStart"/>
      <w:r w:rsidRPr="00D064B2">
        <w:t>5 year</w:t>
      </w:r>
      <w:proofErr w:type="gramEnd"/>
      <w:r w:rsidRPr="00D064B2">
        <w:t xml:space="preserve"> period across the country.  At the time of the approach to market, DVA estimates the total value of</w:t>
      </w:r>
      <w:r w:rsidR="00DD36A4">
        <w:t xml:space="preserve"> this procurement will be $15 </w:t>
      </w:r>
      <w:r w:rsidRPr="00D064B2">
        <w:t xml:space="preserve">million but is unsure what the demand from veterans for new hearing devices will be in regional and remote locations over the </w:t>
      </w:r>
      <w:proofErr w:type="gramStart"/>
      <w:r w:rsidRPr="00D064B2">
        <w:t>5 year</w:t>
      </w:r>
      <w:proofErr w:type="gramEnd"/>
      <w:r w:rsidRPr="00D064B2">
        <w:t xml:space="preserve"> period </w:t>
      </w:r>
      <w:r w:rsidR="00B948DD">
        <w:t>or</w:t>
      </w:r>
      <w:r w:rsidRPr="00D064B2">
        <w:t xml:space="preserve"> how many tenderers will submit competitive bids.  It is expected that the value of the contract will exceed $7.5 million in some urban areas but could be as low as $180,000 in regional areas. </w:t>
      </w:r>
    </w:p>
    <w:p w14:paraId="71979E4B" w14:textId="77777777" w:rsidR="00D064B2" w:rsidRPr="00D064B2" w:rsidRDefault="00D064B2" w:rsidP="00D064B2">
      <w:pPr>
        <w:pStyle w:val="EmphasisPanelBody"/>
        <w:rPr>
          <w:rStyle w:val="Strong"/>
        </w:rPr>
      </w:pPr>
      <w:r w:rsidRPr="00D064B2">
        <w:rPr>
          <w:rStyle w:val="Strong"/>
        </w:rPr>
        <w:t>TENDERER 1</w:t>
      </w:r>
    </w:p>
    <w:p w14:paraId="60A0A1F3" w14:textId="77777777" w:rsidR="00D064B2" w:rsidRPr="00D064B2" w:rsidRDefault="00D064B2" w:rsidP="00D064B2">
      <w:pPr>
        <w:pStyle w:val="EmphasisPanelBody"/>
      </w:pPr>
      <w:r w:rsidRPr="00D064B2">
        <w:t xml:space="preserve">Tenderer 1 is a small business that is interested in a contract to service a small region in NSW.  The </w:t>
      </w:r>
      <w:proofErr w:type="gramStart"/>
      <w:r w:rsidRPr="00D064B2">
        <w:t>tenderer</w:t>
      </w:r>
      <w:proofErr w:type="gramEnd"/>
      <w:r w:rsidRPr="00D064B2">
        <w:t xml:space="preserve"> does not expect to be able to supply more than $1.2 million in hearing equipment and services over the </w:t>
      </w:r>
      <w:proofErr w:type="gramStart"/>
      <w:r w:rsidRPr="00D064B2">
        <w:t>5 year</w:t>
      </w:r>
      <w:proofErr w:type="gramEnd"/>
      <w:r w:rsidRPr="00D064B2">
        <w:t xml:space="preserve"> period.  The tenderer elects not to be considered for more than $7.5 million in work and does not submit an Indigenous Participation Plan at the time of tender.  </w:t>
      </w:r>
    </w:p>
    <w:p w14:paraId="0D71C71D" w14:textId="6C6F2708" w:rsidR="00D064B2" w:rsidRPr="00D064B2" w:rsidRDefault="00D064B2" w:rsidP="00D064B2">
      <w:pPr>
        <w:pStyle w:val="EmphasisPanelBody"/>
      </w:pPr>
      <w:r w:rsidRPr="00D064B2">
        <w:t xml:space="preserve">Tenderer 1 is awarded a contract valued at $1 million and signs the contract agreeing to use their best </w:t>
      </w:r>
      <w:r w:rsidR="00512C11" w:rsidRPr="00D064B2">
        <w:t>endeavors</w:t>
      </w:r>
      <w:r w:rsidRPr="00D064B2">
        <w:t xml:space="preserve"> to increase Indigenous participation in the delivery of the contract. The tenderer contacts the local </w:t>
      </w:r>
      <w:r w:rsidR="00E830BD">
        <w:t xml:space="preserve">RAES or Workforce Australia </w:t>
      </w:r>
      <w:r w:rsidRPr="00D064B2">
        <w:t xml:space="preserve">provider to express an interest in hiring Indigenous job seekers and searches Supply Nation database for businesses they could engage with in the future work. </w:t>
      </w:r>
    </w:p>
    <w:p w14:paraId="60F06339" w14:textId="77777777" w:rsidR="00D064B2" w:rsidRPr="00D064B2" w:rsidRDefault="00D064B2" w:rsidP="00D064B2">
      <w:pPr>
        <w:pStyle w:val="EmphasisPanelBody"/>
        <w:rPr>
          <w:rStyle w:val="Strong"/>
        </w:rPr>
      </w:pPr>
      <w:r w:rsidRPr="00D064B2">
        <w:rPr>
          <w:rStyle w:val="Strong"/>
        </w:rPr>
        <w:t>TENDERER 2</w:t>
      </w:r>
    </w:p>
    <w:p w14:paraId="011B6AB0" w14:textId="77777777" w:rsidR="00D064B2" w:rsidRPr="00D064B2" w:rsidRDefault="00D064B2" w:rsidP="00D064B2">
      <w:pPr>
        <w:pStyle w:val="EmphasisPanelBody"/>
      </w:pPr>
      <w:r w:rsidRPr="00D064B2">
        <w:lastRenderedPageBreak/>
        <w:t xml:space="preserve">Tenderer 2 is a </w:t>
      </w:r>
      <w:proofErr w:type="gramStart"/>
      <w:r w:rsidRPr="00D064B2">
        <w:t>medium sized</w:t>
      </w:r>
      <w:proofErr w:type="gramEnd"/>
      <w:r w:rsidRPr="00D064B2">
        <w:t xml:space="preserve"> business based in Townsville and is keen to win as much work as possible through the tender. </w:t>
      </w:r>
    </w:p>
    <w:p w14:paraId="13D88169" w14:textId="77777777" w:rsidR="00D064B2" w:rsidRPr="00D064B2" w:rsidRDefault="00D064B2" w:rsidP="00D064B2">
      <w:pPr>
        <w:pStyle w:val="EmphasisPanelBody"/>
      </w:pPr>
      <w:r w:rsidRPr="00D064B2">
        <w:t>Tenderer 2 is awarded a contract valued at $6 million (GST inclusive)</w:t>
      </w:r>
      <w:r w:rsidR="007B0B4E">
        <w:t>.</w:t>
      </w:r>
      <w:r w:rsidRPr="00D064B2">
        <w:t xml:space="preserve"> </w:t>
      </w:r>
    </w:p>
    <w:p w14:paraId="73E957B5" w14:textId="022A4CEF" w:rsidR="00D064B2" w:rsidRPr="00D064B2" w:rsidRDefault="00D064B2" w:rsidP="00D064B2">
      <w:pPr>
        <w:pStyle w:val="EmphasisPanelBody"/>
      </w:pPr>
      <w:r w:rsidRPr="00D064B2">
        <w:t xml:space="preserve">The contract contains best </w:t>
      </w:r>
      <w:r w:rsidR="00E52383" w:rsidRPr="00D064B2">
        <w:t>endeavors</w:t>
      </w:r>
      <w:r w:rsidRPr="00D064B2">
        <w:t xml:space="preserve"> clauses for Indigenous participation. During the first year of the contract, </w:t>
      </w:r>
      <w:proofErr w:type="gramStart"/>
      <w:r w:rsidRPr="00D064B2">
        <w:t>tenderer</w:t>
      </w:r>
      <w:proofErr w:type="gramEnd"/>
      <w:r w:rsidRPr="00D064B2">
        <w:t xml:space="preserve"> 2 accepts a contract variation that increases the total value of the contract to $7.8 million (GST inclusive). </w:t>
      </w:r>
    </w:p>
    <w:p w14:paraId="59D6B9CB" w14:textId="7F395710" w:rsidR="00D064B2" w:rsidRPr="00D064B2" w:rsidRDefault="00D064B2" w:rsidP="00D064B2">
      <w:pPr>
        <w:pStyle w:val="EmphasisPanelBody"/>
      </w:pPr>
      <w:r w:rsidRPr="00D064B2">
        <w:t>The contract manager does not request the supplier to submit an Indigenous Participation Plan, noting that the variation has only brought the total value of the contract to a value marginally above the $7.5 million threshold. However</w:t>
      </w:r>
      <w:r w:rsidR="00D163A6">
        <w:t>,</w:t>
      </w:r>
      <w:r w:rsidRPr="00D064B2">
        <w:t xml:space="preserve"> the contract manager and supplier discuss options to encourage Indigenous participation, including ways to involve Townsville’s Indigenous business sector in the </w:t>
      </w:r>
      <w:r w:rsidR="001753A8">
        <w:t xml:space="preserve">operations of Tender 2’s business. </w:t>
      </w:r>
      <w:r w:rsidRPr="00D064B2">
        <w:t xml:space="preserve"> </w:t>
      </w:r>
    </w:p>
    <w:p w14:paraId="1DA28CB8" w14:textId="77777777" w:rsidR="00D064B2" w:rsidRPr="00D064B2" w:rsidRDefault="00D064B2" w:rsidP="00D064B2">
      <w:pPr>
        <w:pStyle w:val="EmphasisPanelBody"/>
        <w:rPr>
          <w:rStyle w:val="Strong"/>
        </w:rPr>
      </w:pPr>
      <w:r w:rsidRPr="00D064B2">
        <w:rPr>
          <w:rStyle w:val="Strong"/>
        </w:rPr>
        <w:t>TENDERER 3</w:t>
      </w:r>
    </w:p>
    <w:p w14:paraId="7FFD3EDD" w14:textId="77777777" w:rsidR="00D064B2" w:rsidRPr="00D064B2" w:rsidRDefault="00D064B2" w:rsidP="00D064B2">
      <w:pPr>
        <w:pStyle w:val="EmphasisPanelBody"/>
      </w:pPr>
      <w:r w:rsidRPr="00D064B2">
        <w:t xml:space="preserve">Tenderer 3 is a small business in a metro area and is also keen to win as much work as possible through the tender. The tenderer submits an Indigenous Participation Plan. The tenderer is awarded a contract valued at $5 million (GST inclusive). </w:t>
      </w:r>
    </w:p>
    <w:p w14:paraId="3161A430" w14:textId="5AB2BE82" w:rsidR="00F360EC" w:rsidRPr="00A82FD7" w:rsidRDefault="00D064B2" w:rsidP="00D064B2">
      <w:pPr>
        <w:pStyle w:val="EmphasisPanelBody"/>
      </w:pPr>
      <w:r w:rsidRPr="00D064B2">
        <w:t xml:space="preserve">The contract contains best </w:t>
      </w:r>
      <w:r w:rsidR="005D5504" w:rsidRPr="00D064B2">
        <w:t>endeavors</w:t>
      </w:r>
      <w:r w:rsidRPr="00D064B2">
        <w:t xml:space="preserve"> clauses for Indigenous participation.  In the second year of the contract, the tenderer accepts a contract variation that increases the total value of the contract to $9 million (GST inclusive). The contract manager notes that, as the value of the contract is now above the $7.5 million threshold, they want to discuss with the supplier opportunities for Indigenous participation over the next 4 years. Through an Indigenous Participation Plan they agree to set a target </w:t>
      </w:r>
      <w:r w:rsidR="001753A8">
        <w:t xml:space="preserve">of </w:t>
      </w:r>
      <w:r w:rsidRPr="00D064B2">
        <w:t xml:space="preserve">4% of the value of the goods or services provided under the contract from the point of the </w:t>
      </w:r>
      <w:r w:rsidR="0084306B" w:rsidRPr="00D064B2">
        <w:t>variation to</w:t>
      </w:r>
      <w:r w:rsidRPr="00D064B2">
        <w:t xml:space="preserve"> Indigenous businesses.</w:t>
      </w:r>
    </w:p>
    <w:p w14:paraId="09E4A1AE" w14:textId="77777777" w:rsidR="00002230" w:rsidRPr="00A82FD7" w:rsidRDefault="005B43E4" w:rsidP="00B075CE">
      <w:pPr>
        <w:pStyle w:val="Heading2"/>
      </w:pPr>
      <w:bookmarkStart w:id="47" w:name="_Toc223528541"/>
      <w:r w:rsidRPr="00A82FD7">
        <w:t>5</w:t>
      </w:r>
      <w:r w:rsidR="00B075CE" w:rsidRPr="00A82FD7">
        <w:t xml:space="preserve">.0 </w:t>
      </w:r>
      <w:r w:rsidR="00012597" w:rsidRPr="00A82FD7">
        <w:t>E</w:t>
      </w:r>
      <w:r w:rsidR="00002230" w:rsidRPr="00A82FD7">
        <w:t>valuat</w:t>
      </w:r>
      <w:r w:rsidR="00012597" w:rsidRPr="00A82FD7">
        <w:t xml:space="preserve">ing </w:t>
      </w:r>
      <w:r w:rsidR="0062699A" w:rsidRPr="00A82FD7">
        <w:t>tender</w:t>
      </w:r>
      <w:r w:rsidR="00002230" w:rsidRPr="00A82FD7">
        <w:t xml:space="preserve"> responses to the MMR</w:t>
      </w:r>
      <w:bookmarkEnd w:id="47"/>
      <w:r w:rsidR="00002230" w:rsidRPr="00A82FD7">
        <w:t xml:space="preserve"> </w:t>
      </w:r>
    </w:p>
    <w:p w14:paraId="231B3454" w14:textId="77777777" w:rsidR="005D323C" w:rsidRPr="00A82FD7" w:rsidRDefault="00F343F5" w:rsidP="00D440EA">
      <w:pPr>
        <w:pStyle w:val="BodyText"/>
        <w:rPr>
          <w:rFonts w:asciiTheme="majorHAnsi" w:hAnsiTheme="majorHAnsi"/>
          <w:lang w:val="en-US"/>
        </w:rPr>
      </w:pPr>
      <w:r w:rsidRPr="00A82FD7">
        <w:rPr>
          <w:rFonts w:asciiTheme="majorHAnsi" w:hAnsiTheme="majorHAnsi"/>
          <w:lang w:val="en-US"/>
        </w:rPr>
        <w:t xml:space="preserve">When evaluating tender submissions, </w:t>
      </w:r>
      <w:r w:rsidR="007E28D2" w:rsidRPr="00A82FD7">
        <w:rPr>
          <w:rFonts w:asciiTheme="majorHAnsi" w:hAnsiTheme="majorHAnsi"/>
          <w:lang w:val="en-US"/>
        </w:rPr>
        <w:t>procuring o</w:t>
      </w:r>
      <w:r w:rsidR="00F77BD3" w:rsidRPr="00A82FD7">
        <w:rPr>
          <w:rFonts w:asciiTheme="majorHAnsi" w:hAnsiTheme="majorHAnsi"/>
          <w:lang w:val="en-US"/>
        </w:rPr>
        <w:t>fficials</w:t>
      </w:r>
      <w:r w:rsidRPr="00A82FD7">
        <w:rPr>
          <w:rFonts w:asciiTheme="majorHAnsi" w:hAnsiTheme="majorHAnsi"/>
          <w:lang w:val="en-US"/>
        </w:rPr>
        <w:t xml:space="preserve"> should </w:t>
      </w:r>
      <w:r w:rsidR="005D323C" w:rsidRPr="00A82FD7">
        <w:rPr>
          <w:rFonts w:asciiTheme="majorHAnsi" w:hAnsiTheme="majorHAnsi"/>
          <w:lang w:val="en-US"/>
        </w:rPr>
        <w:t xml:space="preserve">consider each </w:t>
      </w:r>
      <w:r w:rsidR="00576275" w:rsidRPr="00A82FD7">
        <w:rPr>
          <w:rFonts w:asciiTheme="majorHAnsi" w:hAnsiTheme="majorHAnsi"/>
          <w:lang w:val="en-US"/>
        </w:rPr>
        <w:t>tenderer’s</w:t>
      </w:r>
      <w:r w:rsidR="00DF628B" w:rsidRPr="00A82FD7">
        <w:rPr>
          <w:rFonts w:asciiTheme="majorHAnsi" w:hAnsiTheme="majorHAnsi"/>
          <w:lang w:val="en-US"/>
        </w:rPr>
        <w:t xml:space="preserve"> </w:t>
      </w:r>
      <w:r w:rsidR="005D323C" w:rsidRPr="00A82FD7">
        <w:rPr>
          <w:rFonts w:asciiTheme="majorHAnsi" w:hAnsiTheme="majorHAnsi"/>
          <w:lang w:val="en-US"/>
        </w:rPr>
        <w:t xml:space="preserve">efforts to implement workforce and supply chain management strategies that support sustained engagement with Indigenous Australians.  </w:t>
      </w:r>
    </w:p>
    <w:p w14:paraId="65B3431F" w14:textId="77777777" w:rsidR="005D323C" w:rsidRPr="00A82FD7" w:rsidRDefault="005D323C" w:rsidP="00D440EA">
      <w:pPr>
        <w:pStyle w:val="BodyText"/>
        <w:rPr>
          <w:rFonts w:asciiTheme="majorHAnsi" w:hAnsiTheme="majorHAnsi"/>
          <w:lang w:val="en-US"/>
        </w:rPr>
      </w:pPr>
      <w:r w:rsidRPr="006C08A5">
        <w:rPr>
          <w:rFonts w:asciiTheme="majorHAnsi" w:hAnsiTheme="majorHAnsi"/>
          <w:lang w:val="en-US"/>
        </w:rPr>
        <w:t>Tender responses that do not include</w:t>
      </w:r>
      <w:r w:rsidRPr="00A82FD7">
        <w:rPr>
          <w:rFonts w:asciiTheme="majorHAnsi" w:hAnsiTheme="majorHAnsi"/>
          <w:lang w:val="en-US"/>
        </w:rPr>
        <w:t xml:space="preserve"> an Indigenous </w:t>
      </w:r>
      <w:r w:rsidR="00DF628B" w:rsidRPr="00A82FD7">
        <w:rPr>
          <w:rFonts w:asciiTheme="majorHAnsi" w:hAnsiTheme="majorHAnsi"/>
          <w:lang w:val="en-US"/>
        </w:rPr>
        <w:t xml:space="preserve">Participation </w:t>
      </w:r>
      <w:r w:rsidRPr="00A82FD7">
        <w:rPr>
          <w:rFonts w:asciiTheme="majorHAnsi" w:hAnsiTheme="majorHAnsi"/>
          <w:lang w:val="en-US"/>
        </w:rPr>
        <w:t>Plan</w:t>
      </w:r>
      <w:r w:rsidR="00DF628B" w:rsidRPr="00A82FD7">
        <w:rPr>
          <w:rFonts w:asciiTheme="majorHAnsi" w:hAnsiTheme="majorHAnsi"/>
          <w:lang w:val="en-US"/>
        </w:rPr>
        <w:t xml:space="preserve">, </w:t>
      </w:r>
      <w:r w:rsidRPr="00A82FD7">
        <w:rPr>
          <w:rFonts w:asciiTheme="majorHAnsi" w:hAnsiTheme="majorHAnsi"/>
          <w:lang w:val="en-US"/>
        </w:rPr>
        <w:t>data on the</w:t>
      </w:r>
      <w:r w:rsidR="00DF628B" w:rsidRPr="00A82FD7">
        <w:rPr>
          <w:rFonts w:asciiTheme="majorHAnsi" w:hAnsiTheme="majorHAnsi"/>
          <w:lang w:val="en-US"/>
        </w:rPr>
        <w:t xml:space="preserve"> tenderer</w:t>
      </w:r>
      <w:r w:rsidR="007B3034" w:rsidRPr="00A82FD7">
        <w:rPr>
          <w:rFonts w:asciiTheme="majorHAnsi" w:hAnsiTheme="majorHAnsi"/>
          <w:lang w:val="en-US"/>
        </w:rPr>
        <w:t>’</w:t>
      </w:r>
      <w:r w:rsidR="00DF628B" w:rsidRPr="00A82FD7">
        <w:rPr>
          <w:rFonts w:asciiTheme="majorHAnsi" w:hAnsiTheme="majorHAnsi"/>
          <w:lang w:val="en-US"/>
        </w:rPr>
        <w:t>s</w:t>
      </w:r>
      <w:r w:rsidRPr="00A82FD7">
        <w:rPr>
          <w:rFonts w:asciiTheme="majorHAnsi" w:hAnsiTheme="majorHAnsi"/>
          <w:lang w:val="en-US"/>
        </w:rPr>
        <w:t xml:space="preserve"> current level of Indigenous participation rates in their Australian</w:t>
      </w:r>
      <w:r w:rsidR="00F343F5" w:rsidRPr="00A82FD7">
        <w:rPr>
          <w:rFonts w:asciiTheme="majorHAnsi" w:hAnsiTheme="majorHAnsi"/>
          <w:lang w:val="en-US"/>
        </w:rPr>
        <w:t>-</w:t>
      </w:r>
      <w:r w:rsidRPr="00A82FD7">
        <w:rPr>
          <w:rFonts w:asciiTheme="majorHAnsi" w:hAnsiTheme="majorHAnsi"/>
          <w:lang w:val="en-US"/>
        </w:rPr>
        <w:t xml:space="preserve">based </w:t>
      </w:r>
      <w:proofErr w:type="spellStart"/>
      <w:r w:rsidRPr="00A82FD7">
        <w:rPr>
          <w:rFonts w:asciiTheme="majorHAnsi" w:hAnsiTheme="majorHAnsi"/>
          <w:lang w:val="en-US"/>
        </w:rPr>
        <w:t>organisation</w:t>
      </w:r>
      <w:proofErr w:type="spellEnd"/>
      <w:r w:rsidRPr="00A82FD7">
        <w:rPr>
          <w:rFonts w:asciiTheme="majorHAnsi" w:hAnsiTheme="majorHAnsi"/>
          <w:lang w:val="en-US"/>
        </w:rPr>
        <w:t xml:space="preserve"> </w:t>
      </w:r>
      <w:r w:rsidR="00F77BD3" w:rsidRPr="005352DD">
        <w:rPr>
          <w:rFonts w:asciiTheme="majorHAnsi" w:hAnsiTheme="majorHAnsi"/>
          <w:u w:val="single"/>
          <w:lang w:val="en-US"/>
        </w:rPr>
        <w:t>do not comply</w:t>
      </w:r>
      <w:r w:rsidR="00F77BD3" w:rsidRPr="00A82FD7">
        <w:rPr>
          <w:rFonts w:asciiTheme="majorHAnsi" w:hAnsiTheme="majorHAnsi"/>
          <w:lang w:val="en-US"/>
        </w:rPr>
        <w:t xml:space="preserve"> with </w:t>
      </w:r>
      <w:r w:rsidR="002957AC">
        <w:rPr>
          <w:rFonts w:asciiTheme="majorHAnsi" w:hAnsiTheme="majorHAnsi"/>
          <w:lang w:val="en-US"/>
        </w:rPr>
        <w:t xml:space="preserve">the IPP. </w:t>
      </w:r>
    </w:p>
    <w:p w14:paraId="2922D67A" w14:textId="77777777" w:rsidR="005D323C" w:rsidRPr="00A82FD7" w:rsidRDefault="005D323C" w:rsidP="00D440EA">
      <w:pPr>
        <w:pStyle w:val="BodyText"/>
        <w:rPr>
          <w:rFonts w:asciiTheme="majorHAnsi" w:hAnsiTheme="majorHAnsi"/>
          <w:lang w:val="en-US"/>
        </w:rPr>
      </w:pPr>
      <w:r w:rsidRPr="00A82FD7">
        <w:rPr>
          <w:rFonts w:asciiTheme="majorHAnsi" w:hAnsiTheme="majorHAnsi"/>
          <w:lang w:val="en-US"/>
        </w:rPr>
        <w:t xml:space="preserve">A </w:t>
      </w:r>
      <w:proofErr w:type="gramStart"/>
      <w:r w:rsidRPr="00A82FD7">
        <w:rPr>
          <w:rFonts w:asciiTheme="majorHAnsi" w:hAnsiTheme="majorHAnsi"/>
          <w:lang w:val="en-US"/>
        </w:rPr>
        <w:t>tenderer</w:t>
      </w:r>
      <w:proofErr w:type="gramEnd"/>
      <w:r w:rsidRPr="00A82FD7">
        <w:rPr>
          <w:rFonts w:asciiTheme="majorHAnsi" w:hAnsiTheme="majorHAnsi"/>
          <w:lang w:val="en-US"/>
        </w:rPr>
        <w:t xml:space="preserve"> that has no </w:t>
      </w:r>
      <w:proofErr w:type="gramStart"/>
      <w:r w:rsidRPr="00A82FD7">
        <w:rPr>
          <w:rFonts w:asciiTheme="majorHAnsi" w:hAnsiTheme="majorHAnsi"/>
          <w:lang w:val="en-US"/>
        </w:rPr>
        <w:t>past experience</w:t>
      </w:r>
      <w:proofErr w:type="gramEnd"/>
      <w:r w:rsidRPr="00A82FD7">
        <w:rPr>
          <w:rFonts w:asciiTheme="majorHAnsi" w:hAnsiTheme="majorHAnsi"/>
          <w:lang w:val="en-US"/>
        </w:rPr>
        <w:t xml:space="preserve"> with </w:t>
      </w:r>
      <w:r w:rsidR="00DF628B" w:rsidRPr="00A82FD7">
        <w:rPr>
          <w:rFonts w:asciiTheme="majorHAnsi" w:hAnsiTheme="majorHAnsi"/>
          <w:lang w:val="en-US"/>
        </w:rPr>
        <w:t xml:space="preserve">MMR </w:t>
      </w:r>
      <w:r w:rsidRPr="00A82FD7">
        <w:rPr>
          <w:rFonts w:asciiTheme="majorHAnsi" w:hAnsiTheme="majorHAnsi"/>
          <w:lang w:val="en-US"/>
        </w:rPr>
        <w:t xml:space="preserve">will not be disadvantaged by this. </w:t>
      </w:r>
      <w:r w:rsidR="007B3034" w:rsidRPr="00A82FD7">
        <w:rPr>
          <w:rFonts w:asciiTheme="majorHAnsi" w:hAnsiTheme="majorHAnsi"/>
          <w:lang w:val="en-US"/>
        </w:rPr>
        <w:t xml:space="preserve">Their </w:t>
      </w:r>
      <w:r w:rsidRPr="00A82FD7">
        <w:rPr>
          <w:rFonts w:asciiTheme="majorHAnsi" w:hAnsiTheme="majorHAnsi"/>
          <w:lang w:val="en-US"/>
        </w:rPr>
        <w:t xml:space="preserve">response will be assessed on </w:t>
      </w:r>
      <w:r w:rsidR="00576275" w:rsidRPr="00A82FD7">
        <w:rPr>
          <w:rFonts w:asciiTheme="majorHAnsi" w:hAnsiTheme="majorHAnsi"/>
          <w:lang w:val="en-US"/>
        </w:rPr>
        <w:t xml:space="preserve">other actions it has taken in the past to increase Indigenous participation and on its </w:t>
      </w:r>
      <w:r w:rsidRPr="00A82FD7">
        <w:rPr>
          <w:rFonts w:asciiTheme="majorHAnsi" w:hAnsiTheme="majorHAnsi"/>
          <w:lang w:val="en-US"/>
        </w:rPr>
        <w:t>proposed Indigenous Participation Plan.</w:t>
      </w:r>
    </w:p>
    <w:p w14:paraId="388AD479" w14:textId="77777777" w:rsidR="005D323C" w:rsidRPr="00A82FD7" w:rsidRDefault="005D323C" w:rsidP="00D440EA">
      <w:pPr>
        <w:pStyle w:val="BodyText"/>
        <w:rPr>
          <w:rFonts w:asciiTheme="majorHAnsi" w:hAnsiTheme="majorHAnsi"/>
        </w:rPr>
      </w:pPr>
      <w:bookmarkStart w:id="48" w:name="(i)_the_[Tenderer]'s_past_performance_an"/>
      <w:bookmarkStart w:id="49" w:name="(ii)_the_extent_to_which_the_[Tenderer]'"/>
      <w:bookmarkEnd w:id="48"/>
      <w:bookmarkEnd w:id="49"/>
      <w:r w:rsidRPr="00A82FD7">
        <w:rPr>
          <w:rFonts w:asciiTheme="majorHAnsi" w:hAnsiTheme="majorHAnsi"/>
        </w:rPr>
        <w:t xml:space="preserve">It is important </w:t>
      </w:r>
      <w:r w:rsidR="00FD24C4">
        <w:rPr>
          <w:rFonts w:asciiTheme="majorHAnsi" w:hAnsiTheme="majorHAnsi"/>
        </w:rPr>
        <w:t>that procuring officials and/or contract managers talk to their</w:t>
      </w:r>
      <w:r w:rsidRPr="00A82FD7">
        <w:rPr>
          <w:rFonts w:asciiTheme="majorHAnsi" w:hAnsiTheme="majorHAnsi"/>
        </w:rPr>
        <w:t xml:space="preserve"> procurement team</w:t>
      </w:r>
      <w:r w:rsidR="00FD24C4">
        <w:rPr>
          <w:rFonts w:asciiTheme="majorHAnsi" w:hAnsiTheme="majorHAnsi"/>
        </w:rPr>
        <w:t>s</w:t>
      </w:r>
      <w:r w:rsidRPr="00A82FD7">
        <w:rPr>
          <w:rFonts w:asciiTheme="majorHAnsi" w:hAnsiTheme="majorHAnsi"/>
        </w:rPr>
        <w:t xml:space="preserve"> for specific advice on how </w:t>
      </w:r>
      <w:r w:rsidR="00FD24C4">
        <w:rPr>
          <w:rFonts w:asciiTheme="majorHAnsi" w:hAnsiTheme="majorHAnsi"/>
        </w:rPr>
        <w:t>their</w:t>
      </w:r>
      <w:r w:rsidRPr="00A82FD7">
        <w:rPr>
          <w:rFonts w:asciiTheme="majorHAnsi" w:hAnsiTheme="majorHAnsi"/>
        </w:rPr>
        <w:t xml:space="preserve"> entity evaluates tenders including any weighting </w:t>
      </w:r>
      <w:r w:rsidR="00FD24C4">
        <w:rPr>
          <w:rFonts w:asciiTheme="majorHAnsi" w:hAnsiTheme="majorHAnsi"/>
        </w:rPr>
        <w:t>that should apply.</w:t>
      </w:r>
      <w:r w:rsidRPr="00A82FD7">
        <w:rPr>
          <w:rFonts w:asciiTheme="majorHAnsi" w:hAnsiTheme="majorHAnsi"/>
        </w:rPr>
        <w:t xml:space="preserve"> </w:t>
      </w:r>
    </w:p>
    <w:p w14:paraId="4105EABE" w14:textId="77777777" w:rsidR="005A276D" w:rsidRPr="00134C33" w:rsidRDefault="005B43E4" w:rsidP="002E1AAC">
      <w:pPr>
        <w:pStyle w:val="Heading3"/>
        <w:rPr>
          <w:color w:val="A55700" w:themeColor="accent4" w:themeShade="BF"/>
        </w:rPr>
      </w:pPr>
      <w:bookmarkStart w:id="50" w:name="_Toc223528542"/>
      <w:r w:rsidRPr="00134C33">
        <w:rPr>
          <w:color w:val="A55700" w:themeColor="accent4" w:themeShade="BF"/>
        </w:rPr>
        <w:t>5</w:t>
      </w:r>
      <w:r w:rsidR="005A276D" w:rsidRPr="00134C33">
        <w:rPr>
          <w:color w:val="A55700" w:themeColor="accent4" w:themeShade="BF"/>
        </w:rPr>
        <w:t>.1 Assessing a significant outcome in remote Australia.</w:t>
      </w:r>
      <w:bookmarkEnd w:id="50"/>
      <w:r w:rsidR="005A276D" w:rsidRPr="00134C33">
        <w:rPr>
          <w:color w:val="A55700" w:themeColor="accent4" w:themeShade="BF"/>
        </w:rPr>
        <w:t xml:space="preserve">   </w:t>
      </w:r>
    </w:p>
    <w:p w14:paraId="1B0B4B20" w14:textId="77777777" w:rsidR="007E28D2" w:rsidRPr="00A82FD7" w:rsidRDefault="0062699A" w:rsidP="005A276D">
      <w:pPr>
        <w:pStyle w:val="BodyText"/>
        <w:rPr>
          <w:rFonts w:asciiTheme="majorHAnsi" w:hAnsiTheme="majorHAnsi"/>
          <w:lang w:val="en-US"/>
        </w:rPr>
      </w:pPr>
      <w:r w:rsidRPr="00A82FD7">
        <w:rPr>
          <w:rFonts w:asciiTheme="majorHAnsi" w:hAnsiTheme="majorHAnsi"/>
          <w:lang w:val="en-US"/>
        </w:rPr>
        <w:t xml:space="preserve">Indigenous people and businesses based in remote locations </w:t>
      </w:r>
      <w:r w:rsidR="005A276D" w:rsidRPr="00A82FD7">
        <w:rPr>
          <w:rFonts w:asciiTheme="majorHAnsi" w:hAnsiTheme="majorHAnsi"/>
          <w:lang w:val="en-US"/>
        </w:rPr>
        <w:t xml:space="preserve">have less frequent access to the benefits of Commonwealth procurement. It is therefore important that </w:t>
      </w:r>
      <w:r w:rsidR="00FD24C4">
        <w:rPr>
          <w:rFonts w:asciiTheme="majorHAnsi" w:hAnsiTheme="majorHAnsi"/>
          <w:lang w:val="en-US"/>
        </w:rPr>
        <w:t xml:space="preserve">procuring officials and/or contract managers </w:t>
      </w:r>
      <w:r w:rsidR="00FB0ABF" w:rsidRPr="00A82FD7">
        <w:rPr>
          <w:rFonts w:asciiTheme="majorHAnsi" w:hAnsiTheme="majorHAnsi"/>
          <w:lang w:val="en-US"/>
        </w:rPr>
        <w:t xml:space="preserve">require </w:t>
      </w:r>
      <w:r w:rsidR="005A276D" w:rsidRPr="00A82FD7">
        <w:rPr>
          <w:rFonts w:asciiTheme="majorHAnsi" w:hAnsiTheme="majorHAnsi"/>
          <w:lang w:val="en-US"/>
        </w:rPr>
        <w:t>more from Indigenous Participation Plans, including higher targets</w:t>
      </w:r>
      <w:r w:rsidR="00FB0ABF" w:rsidRPr="00A82FD7">
        <w:rPr>
          <w:rFonts w:asciiTheme="majorHAnsi" w:hAnsiTheme="majorHAnsi"/>
          <w:lang w:val="en-US"/>
        </w:rPr>
        <w:t>,</w:t>
      </w:r>
      <w:r w:rsidR="005A276D" w:rsidRPr="00A82FD7">
        <w:rPr>
          <w:rFonts w:asciiTheme="majorHAnsi" w:hAnsiTheme="majorHAnsi"/>
          <w:lang w:val="en-US"/>
        </w:rPr>
        <w:t xml:space="preserve"> when </w:t>
      </w:r>
      <w:r w:rsidR="00FB0ABF" w:rsidRPr="00A82FD7">
        <w:rPr>
          <w:rFonts w:asciiTheme="majorHAnsi" w:hAnsiTheme="majorHAnsi"/>
          <w:lang w:val="en-US"/>
        </w:rPr>
        <w:t xml:space="preserve">a contract is </w:t>
      </w:r>
      <w:r w:rsidR="005A276D" w:rsidRPr="00A82FD7">
        <w:rPr>
          <w:rFonts w:asciiTheme="majorHAnsi" w:hAnsiTheme="majorHAnsi"/>
          <w:lang w:val="en-US"/>
        </w:rPr>
        <w:t xml:space="preserve">delivered in remote Australia. </w:t>
      </w:r>
    </w:p>
    <w:p w14:paraId="1B4DC4C6" w14:textId="77777777" w:rsidR="005A276D" w:rsidRPr="00A82FD7" w:rsidRDefault="005A276D" w:rsidP="005A276D">
      <w:pPr>
        <w:pStyle w:val="BodyText"/>
        <w:rPr>
          <w:rFonts w:asciiTheme="majorHAnsi" w:hAnsiTheme="majorHAnsi"/>
          <w:lang w:val="en-US"/>
        </w:rPr>
      </w:pPr>
      <w:r w:rsidRPr="00A82FD7">
        <w:rPr>
          <w:rFonts w:asciiTheme="majorHAnsi" w:hAnsiTheme="majorHAnsi"/>
          <w:lang w:val="en-US"/>
        </w:rPr>
        <w:t>To ensure that the benefit</w:t>
      </w:r>
      <w:r w:rsidR="00D54E91" w:rsidRPr="00A82FD7">
        <w:rPr>
          <w:rFonts w:asciiTheme="majorHAnsi" w:hAnsiTheme="majorHAnsi"/>
          <w:lang w:val="en-US"/>
        </w:rPr>
        <w:t>s of Commonwealth procurement</w:t>
      </w:r>
      <w:r w:rsidRPr="00A82FD7">
        <w:rPr>
          <w:rFonts w:asciiTheme="majorHAnsi" w:hAnsiTheme="majorHAnsi"/>
          <w:lang w:val="en-US"/>
        </w:rPr>
        <w:t xml:space="preserve"> reach </w:t>
      </w:r>
      <w:r w:rsidR="00D54E91" w:rsidRPr="00A82FD7">
        <w:rPr>
          <w:rFonts w:asciiTheme="majorHAnsi" w:hAnsiTheme="majorHAnsi"/>
          <w:lang w:val="en-US"/>
        </w:rPr>
        <w:t xml:space="preserve">a </w:t>
      </w:r>
      <w:r w:rsidRPr="00A82FD7">
        <w:rPr>
          <w:rFonts w:asciiTheme="majorHAnsi" w:hAnsiTheme="majorHAnsi"/>
          <w:lang w:val="en-US"/>
        </w:rPr>
        <w:t>remote area</w:t>
      </w:r>
      <w:r w:rsidR="00D54E91" w:rsidRPr="00A82FD7">
        <w:rPr>
          <w:rFonts w:asciiTheme="majorHAnsi" w:hAnsiTheme="majorHAnsi"/>
          <w:lang w:val="en-US"/>
        </w:rPr>
        <w:t>,</w:t>
      </w:r>
      <w:r w:rsidRPr="00A82FD7">
        <w:rPr>
          <w:rFonts w:asciiTheme="majorHAnsi" w:hAnsiTheme="majorHAnsi"/>
          <w:lang w:val="en-US"/>
        </w:rPr>
        <w:t xml:space="preserve"> t</w:t>
      </w:r>
      <w:r w:rsidR="00FB0ABF" w:rsidRPr="00A82FD7">
        <w:rPr>
          <w:rFonts w:asciiTheme="majorHAnsi" w:hAnsiTheme="majorHAnsi"/>
          <w:lang w:val="en-US"/>
        </w:rPr>
        <w:t>argets</w:t>
      </w:r>
      <w:r w:rsidRPr="00A82FD7">
        <w:rPr>
          <w:rFonts w:asciiTheme="majorHAnsi" w:hAnsiTheme="majorHAnsi"/>
          <w:lang w:val="en-US"/>
        </w:rPr>
        <w:t xml:space="preserve"> should be applied to the contract rather than the supplier</w:t>
      </w:r>
      <w:r w:rsidR="00DF628B" w:rsidRPr="00A82FD7">
        <w:rPr>
          <w:rFonts w:asciiTheme="majorHAnsi" w:hAnsiTheme="majorHAnsi"/>
          <w:lang w:val="en-US"/>
        </w:rPr>
        <w:t>’</w:t>
      </w:r>
      <w:r w:rsidRPr="00A82FD7">
        <w:rPr>
          <w:rFonts w:asciiTheme="majorHAnsi" w:hAnsiTheme="majorHAnsi"/>
          <w:lang w:val="en-US"/>
        </w:rPr>
        <w:t>s Australian</w:t>
      </w:r>
      <w:r w:rsidR="00D54E91" w:rsidRPr="00A82FD7">
        <w:rPr>
          <w:rFonts w:asciiTheme="majorHAnsi" w:hAnsiTheme="majorHAnsi"/>
          <w:lang w:val="en-US"/>
        </w:rPr>
        <w:t>-</w:t>
      </w:r>
      <w:r w:rsidRPr="00A82FD7">
        <w:rPr>
          <w:rFonts w:asciiTheme="majorHAnsi" w:hAnsiTheme="majorHAnsi"/>
          <w:lang w:val="en-US"/>
        </w:rPr>
        <w:t xml:space="preserve">based </w:t>
      </w:r>
      <w:proofErr w:type="spellStart"/>
      <w:r w:rsidRPr="00A82FD7">
        <w:rPr>
          <w:rFonts w:asciiTheme="majorHAnsi" w:hAnsiTheme="majorHAnsi"/>
          <w:lang w:val="en-US"/>
        </w:rPr>
        <w:t>organisation</w:t>
      </w:r>
      <w:proofErr w:type="spellEnd"/>
      <w:r w:rsidRPr="00A82FD7">
        <w:rPr>
          <w:rFonts w:asciiTheme="majorHAnsi" w:hAnsiTheme="majorHAnsi"/>
          <w:lang w:val="en-US"/>
        </w:rPr>
        <w:t xml:space="preserve"> (</w:t>
      </w:r>
      <w:r w:rsidR="00D54E91" w:rsidRPr="00A82FD7">
        <w:rPr>
          <w:rFonts w:asciiTheme="majorHAnsi" w:hAnsiTheme="majorHAnsi"/>
          <w:lang w:val="en-US"/>
        </w:rPr>
        <w:t xml:space="preserve">as typically an </w:t>
      </w:r>
      <w:proofErr w:type="spellStart"/>
      <w:r w:rsidR="00FB0ABF" w:rsidRPr="00A82FD7">
        <w:rPr>
          <w:rFonts w:asciiTheme="majorHAnsi" w:hAnsiTheme="majorHAnsi"/>
          <w:lang w:val="en-US"/>
        </w:rPr>
        <w:t>o</w:t>
      </w:r>
      <w:r w:rsidR="00D54E91" w:rsidRPr="00A82FD7">
        <w:rPr>
          <w:rFonts w:asciiTheme="majorHAnsi" w:hAnsiTheme="majorHAnsi"/>
          <w:lang w:val="en-US"/>
        </w:rPr>
        <w:t>rganisation’s</w:t>
      </w:r>
      <w:proofErr w:type="spellEnd"/>
      <w:r w:rsidR="00D54E91" w:rsidRPr="00A82FD7">
        <w:rPr>
          <w:rFonts w:asciiTheme="majorHAnsi" w:hAnsiTheme="majorHAnsi"/>
          <w:lang w:val="en-US"/>
        </w:rPr>
        <w:t xml:space="preserve"> </w:t>
      </w:r>
      <w:r w:rsidRPr="00A82FD7">
        <w:rPr>
          <w:rFonts w:asciiTheme="majorHAnsi" w:hAnsiTheme="majorHAnsi"/>
          <w:lang w:val="en-US"/>
        </w:rPr>
        <w:t>footprint is large</w:t>
      </w:r>
      <w:r w:rsidR="004423D9">
        <w:rPr>
          <w:rFonts w:asciiTheme="majorHAnsi" w:hAnsiTheme="majorHAnsi"/>
          <w:lang w:val="en-US"/>
        </w:rPr>
        <w:t xml:space="preserve">r outside remote </w:t>
      </w:r>
      <w:r w:rsidRPr="00A82FD7">
        <w:rPr>
          <w:rFonts w:asciiTheme="majorHAnsi" w:hAnsiTheme="majorHAnsi"/>
          <w:lang w:val="en-US"/>
        </w:rPr>
        <w:t xml:space="preserve">Australia).   </w:t>
      </w:r>
    </w:p>
    <w:p w14:paraId="1182919C" w14:textId="77777777" w:rsidR="005D323C" w:rsidRPr="00A82FD7" w:rsidRDefault="005D323C" w:rsidP="005D323C">
      <w:pPr>
        <w:rPr>
          <w:rFonts w:asciiTheme="majorHAnsi" w:hAnsiTheme="majorHAnsi"/>
          <w:lang w:val="en-US"/>
        </w:rPr>
      </w:pPr>
      <w:r w:rsidRPr="00A82FD7">
        <w:rPr>
          <w:rFonts w:asciiTheme="majorHAnsi" w:hAnsiTheme="majorHAnsi"/>
          <w:lang w:val="en-US"/>
        </w:rPr>
        <w:lastRenderedPageBreak/>
        <w:t>When assessing the quality of an Indigenous Participati</w:t>
      </w:r>
      <w:r w:rsidR="0062699A" w:rsidRPr="00A82FD7">
        <w:rPr>
          <w:rFonts w:asciiTheme="majorHAnsi" w:hAnsiTheme="majorHAnsi"/>
          <w:lang w:val="en-US"/>
        </w:rPr>
        <w:t xml:space="preserve">on Plan with a remote component, </w:t>
      </w:r>
      <w:r w:rsidR="00FD24C4">
        <w:rPr>
          <w:rFonts w:asciiTheme="majorHAnsi" w:hAnsiTheme="majorHAnsi"/>
          <w:lang w:val="en-US"/>
        </w:rPr>
        <w:t xml:space="preserve">the procuring official and/or contract manager </w:t>
      </w:r>
      <w:r w:rsidRPr="00A82FD7">
        <w:rPr>
          <w:rFonts w:asciiTheme="majorHAnsi" w:hAnsiTheme="majorHAnsi"/>
          <w:lang w:val="en-US"/>
        </w:rPr>
        <w:t>should review the extent to which f</w:t>
      </w:r>
      <w:r w:rsidR="006E58C4" w:rsidRPr="00A82FD7">
        <w:rPr>
          <w:rFonts w:asciiTheme="majorHAnsi" w:hAnsiTheme="majorHAnsi"/>
          <w:lang w:val="en-US"/>
        </w:rPr>
        <w:t xml:space="preserve">actors detailed in </w:t>
      </w:r>
      <w:r w:rsidR="0003303C" w:rsidRPr="00E43360">
        <w:rPr>
          <w:rFonts w:asciiTheme="majorHAnsi" w:hAnsiTheme="majorHAnsi"/>
          <w:lang w:val="en-US"/>
        </w:rPr>
        <w:t>Section 3.1.3</w:t>
      </w:r>
      <w:r w:rsidR="0062699A" w:rsidRPr="00A82FD7">
        <w:rPr>
          <w:rFonts w:asciiTheme="majorHAnsi" w:hAnsiTheme="majorHAnsi"/>
          <w:lang w:val="en-US"/>
        </w:rPr>
        <w:t xml:space="preserve"> </w:t>
      </w:r>
      <w:r w:rsidRPr="00A82FD7">
        <w:rPr>
          <w:rFonts w:asciiTheme="majorHAnsi" w:hAnsiTheme="majorHAnsi"/>
          <w:lang w:val="en-US"/>
        </w:rPr>
        <w:t xml:space="preserve">have been </w:t>
      </w:r>
      <w:r w:rsidR="004423D9">
        <w:rPr>
          <w:rFonts w:asciiTheme="majorHAnsi" w:hAnsiTheme="majorHAnsi"/>
          <w:lang w:val="en-US"/>
        </w:rPr>
        <w:t>demonstrated</w:t>
      </w:r>
      <w:r w:rsidRPr="00A82FD7">
        <w:rPr>
          <w:rFonts w:asciiTheme="majorHAnsi" w:hAnsiTheme="majorHAnsi"/>
          <w:lang w:val="en-US"/>
        </w:rPr>
        <w:t xml:space="preserve">, and look to ensure: </w:t>
      </w:r>
    </w:p>
    <w:p w14:paraId="5918D18E" w14:textId="59661B15" w:rsidR="005A276D" w:rsidRPr="00A82FD7" w:rsidRDefault="00D54E91" w:rsidP="000D4115">
      <w:pPr>
        <w:pStyle w:val="BulletedListlvl1"/>
        <w:rPr>
          <w:rFonts w:asciiTheme="majorHAnsi" w:hAnsiTheme="majorHAnsi"/>
        </w:rPr>
      </w:pPr>
      <w:r w:rsidRPr="00A82FD7">
        <w:rPr>
          <w:rFonts w:asciiTheme="majorHAnsi" w:hAnsiTheme="majorHAnsi"/>
        </w:rPr>
        <w:t>t</w:t>
      </w:r>
      <w:r w:rsidR="005A276D" w:rsidRPr="00A82FD7">
        <w:rPr>
          <w:rFonts w:asciiTheme="majorHAnsi" w:hAnsiTheme="majorHAnsi"/>
        </w:rPr>
        <w:t xml:space="preserve">he </w:t>
      </w:r>
      <w:r w:rsidR="005A276D" w:rsidRPr="00A82FD7">
        <w:rPr>
          <w:rFonts w:asciiTheme="majorHAnsi" w:hAnsiTheme="majorHAnsi"/>
          <w:lang w:val="en-US"/>
        </w:rPr>
        <w:t>MMR target</w:t>
      </w:r>
      <w:r w:rsidR="000D4115" w:rsidRPr="00A82FD7">
        <w:rPr>
          <w:rFonts w:asciiTheme="majorHAnsi" w:hAnsiTheme="majorHAnsi"/>
          <w:lang w:val="en-US"/>
        </w:rPr>
        <w:t xml:space="preserve"> is considerate of proportion of I</w:t>
      </w:r>
      <w:r w:rsidRPr="00A82FD7">
        <w:rPr>
          <w:rFonts w:asciiTheme="majorHAnsi" w:hAnsiTheme="majorHAnsi"/>
          <w:lang w:val="en-US"/>
        </w:rPr>
        <w:t xml:space="preserve">ndigenous people </w:t>
      </w:r>
      <w:r w:rsidR="000D4115" w:rsidRPr="00A82FD7">
        <w:rPr>
          <w:rFonts w:asciiTheme="majorHAnsi" w:hAnsiTheme="majorHAnsi"/>
          <w:lang w:val="en-US"/>
        </w:rPr>
        <w:t xml:space="preserve">in the area (using the Australian Bureau of Statistics as a </w:t>
      </w:r>
      <w:r w:rsidR="00D34908" w:rsidRPr="00A82FD7">
        <w:rPr>
          <w:rFonts w:asciiTheme="majorHAnsi" w:hAnsiTheme="majorHAnsi"/>
          <w:lang w:val="en-US"/>
        </w:rPr>
        <w:t>guide) in</w:t>
      </w:r>
      <w:r w:rsidRPr="00A82FD7">
        <w:rPr>
          <w:rFonts w:asciiTheme="majorHAnsi" w:hAnsiTheme="majorHAnsi"/>
          <w:lang w:val="en-US"/>
        </w:rPr>
        <w:t xml:space="preserve"> the local </w:t>
      </w:r>
      <w:r w:rsidR="005A276D" w:rsidRPr="00A82FD7">
        <w:rPr>
          <w:rFonts w:asciiTheme="majorHAnsi" w:hAnsiTheme="majorHAnsi"/>
          <w:lang w:val="en-US"/>
        </w:rPr>
        <w:t>population</w:t>
      </w:r>
      <w:r w:rsidRPr="00A82FD7">
        <w:rPr>
          <w:rFonts w:asciiTheme="majorHAnsi" w:hAnsiTheme="majorHAnsi"/>
          <w:lang w:val="en-US"/>
        </w:rPr>
        <w:t xml:space="preserve"> (and exceeds</w:t>
      </w:r>
      <w:r w:rsidR="004423D9">
        <w:rPr>
          <w:rFonts w:asciiTheme="majorHAnsi" w:hAnsiTheme="majorHAnsi"/>
          <w:lang w:val="en-US"/>
        </w:rPr>
        <w:t>,</w:t>
      </w:r>
      <w:r w:rsidR="00491FC7" w:rsidRPr="00A82FD7">
        <w:rPr>
          <w:rFonts w:asciiTheme="majorHAnsi" w:hAnsiTheme="majorHAnsi"/>
          <w:lang w:val="en-US"/>
        </w:rPr>
        <w:t xml:space="preserve"> at the very least</w:t>
      </w:r>
      <w:r w:rsidR="004423D9">
        <w:rPr>
          <w:rFonts w:asciiTheme="majorHAnsi" w:hAnsiTheme="majorHAnsi"/>
          <w:lang w:val="en-US"/>
        </w:rPr>
        <w:t>,</w:t>
      </w:r>
      <w:r w:rsidR="00491FC7" w:rsidRPr="00A82FD7">
        <w:rPr>
          <w:rFonts w:asciiTheme="majorHAnsi" w:hAnsiTheme="majorHAnsi"/>
          <w:lang w:val="en-US"/>
        </w:rPr>
        <w:t xml:space="preserve"> </w:t>
      </w:r>
      <w:r w:rsidRPr="00A82FD7">
        <w:rPr>
          <w:rFonts w:asciiTheme="majorHAnsi" w:hAnsiTheme="majorHAnsi"/>
          <w:lang w:val="en-US"/>
        </w:rPr>
        <w:t>4 per cent</w:t>
      </w:r>
      <w:r w:rsidR="00E72D51" w:rsidRPr="00A82FD7">
        <w:rPr>
          <w:rFonts w:asciiTheme="majorHAnsi" w:hAnsiTheme="majorHAnsi"/>
          <w:lang w:val="en-US"/>
        </w:rPr>
        <w:t xml:space="preserve"> for </w:t>
      </w:r>
      <w:proofErr w:type="gramStart"/>
      <w:r w:rsidR="00E72D51" w:rsidRPr="00A82FD7">
        <w:rPr>
          <w:rFonts w:asciiTheme="majorHAnsi" w:hAnsiTheme="majorHAnsi"/>
          <w:lang w:val="en-US"/>
        </w:rPr>
        <w:t>contract based</w:t>
      </w:r>
      <w:proofErr w:type="gramEnd"/>
      <w:r w:rsidR="00E72D51" w:rsidRPr="00A82FD7">
        <w:rPr>
          <w:rFonts w:asciiTheme="majorHAnsi" w:hAnsiTheme="majorHAnsi"/>
          <w:lang w:val="en-US"/>
        </w:rPr>
        <w:t xml:space="preserve"> targets</w:t>
      </w:r>
      <w:r w:rsidRPr="00A82FD7">
        <w:rPr>
          <w:rFonts w:asciiTheme="majorHAnsi" w:hAnsiTheme="majorHAnsi"/>
          <w:lang w:val="en-US"/>
        </w:rPr>
        <w:t>)</w:t>
      </w:r>
    </w:p>
    <w:p w14:paraId="282C2428" w14:textId="77777777" w:rsidR="000D4115" w:rsidRPr="00A82FD7" w:rsidRDefault="000D4115" w:rsidP="000D4115">
      <w:pPr>
        <w:pStyle w:val="BulletedListlvl1"/>
        <w:rPr>
          <w:rFonts w:asciiTheme="majorHAnsi" w:hAnsiTheme="majorHAnsi"/>
        </w:rPr>
      </w:pPr>
      <w:r w:rsidRPr="00A82FD7">
        <w:rPr>
          <w:rFonts w:asciiTheme="majorHAnsi" w:hAnsiTheme="majorHAnsi"/>
        </w:rPr>
        <w:t xml:space="preserve">the </w:t>
      </w:r>
      <w:r w:rsidR="007E28D2" w:rsidRPr="00A82FD7">
        <w:rPr>
          <w:rFonts w:asciiTheme="majorHAnsi" w:hAnsiTheme="majorHAnsi"/>
        </w:rPr>
        <w:t>t</w:t>
      </w:r>
      <w:r w:rsidRPr="00A82FD7">
        <w:rPr>
          <w:rFonts w:asciiTheme="majorHAnsi" w:hAnsiTheme="majorHAnsi"/>
        </w:rPr>
        <w:t>ender</w:t>
      </w:r>
      <w:r w:rsidR="007E28D2" w:rsidRPr="00A82FD7">
        <w:rPr>
          <w:rFonts w:asciiTheme="majorHAnsi" w:hAnsiTheme="majorHAnsi"/>
        </w:rPr>
        <w:t>er</w:t>
      </w:r>
      <w:r w:rsidRPr="00A82FD7">
        <w:rPr>
          <w:rFonts w:asciiTheme="majorHAnsi" w:hAnsiTheme="majorHAnsi"/>
        </w:rPr>
        <w:t xml:space="preserve"> has identified key stakeholder groups relevant to achieving employment and supply use outcomes in the delivery of the program</w:t>
      </w:r>
    </w:p>
    <w:p w14:paraId="4073D7C4" w14:textId="77777777" w:rsidR="00BD7327" w:rsidRPr="0031150F" w:rsidRDefault="0031150F" w:rsidP="0031150F">
      <w:pPr>
        <w:pStyle w:val="BulletedListlvl1"/>
        <w:rPr>
          <w:rFonts w:asciiTheme="majorHAnsi" w:hAnsiTheme="majorHAnsi"/>
        </w:rPr>
      </w:pPr>
      <w:r w:rsidRPr="0031150F">
        <w:rPr>
          <w:rFonts w:asciiTheme="majorHAnsi" w:hAnsiTheme="majorHAnsi"/>
        </w:rPr>
        <w:t>if they intend to apply employment targets</w:t>
      </w:r>
      <w:r>
        <w:rPr>
          <w:rFonts w:asciiTheme="majorHAnsi" w:hAnsiTheme="majorHAnsi"/>
        </w:rPr>
        <w:t xml:space="preserve">, </w:t>
      </w:r>
      <w:r w:rsidR="00D54E91" w:rsidRPr="0031150F">
        <w:rPr>
          <w:rFonts w:asciiTheme="majorHAnsi" w:hAnsiTheme="majorHAnsi"/>
        </w:rPr>
        <w:t>t</w:t>
      </w:r>
      <w:r w:rsidR="0062699A" w:rsidRPr="0031150F">
        <w:rPr>
          <w:rFonts w:asciiTheme="majorHAnsi" w:hAnsiTheme="majorHAnsi"/>
        </w:rPr>
        <w:t>he t</w:t>
      </w:r>
      <w:r w:rsidR="005A276D" w:rsidRPr="0031150F">
        <w:rPr>
          <w:rFonts w:asciiTheme="majorHAnsi" w:hAnsiTheme="majorHAnsi"/>
        </w:rPr>
        <w:t>ender</w:t>
      </w:r>
      <w:r w:rsidR="0062699A" w:rsidRPr="0031150F">
        <w:rPr>
          <w:rFonts w:asciiTheme="majorHAnsi" w:hAnsiTheme="majorHAnsi"/>
        </w:rPr>
        <w:t>er</w:t>
      </w:r>
      <w:r w:rsidR="005A276D" w:rsidRPr="0031150F">
        <w:rPr>
          <w:rFonts w:asciiTheme="majorHAnsi" w:hAnsiTheme="majorHAnsi"/>
        </w:rPr>
        <w:t xml:space="preserve"> plan</w:t>
      </w:r>
      <w:r w:rsidRPr="0031150F">
        <w:rPr>
          <w:rFonts w:asciiTheme="majorHAnsi" w:hAnsiTheme="majorHAnsi"/>
        </w:rPr>
        <w:t>s</w:t>
      </w:r>
      <w:r w:rsidR="005A276D" w:rsidRPr="0031150F">
        <w:rPr>
          <w:rFonts w:asciiTheme="majorHAnsi" w:hAnsiTheme="majorHAnsi"/>
        </w:rPr>
        <w:t xml:space="preserve"> to connect with </w:t>
      </w:r>
      <w:r w:rsidR="0062699A" w:rsidRPr="0031150F">
        <w:rPr>
          <w:rFonts w:asciiTheme="majorHAnsi" w:hAnsiTheme="majorHAnsi"/>
        </w:rPr>
        <w:t xml:space="preserve">a </w:t>
      </w:r>
      <w:r w:rsidR="005A276D" w:rsidRPr="0031150F">
        <w:rPr>
          <w:rFonts w:asciiTheme="majorHAnsi" w:hAnsiTheme="majorHAnsi"/>
        </w:rPr>
        <w:t xml:space="preserve">local </w:t>
      </w:r>
      <w:r w:rsidR="0062699A" w:rsidRPr="0031150F">
        <w:rPr>
          <w:rFonts w:asciiTheme="majorHAnsi" w:hAnsiTheme="majorHAnsi"/>
        </w:rPr>
        <w:t>community development p</w:t>
      </w:r>
      <w:r w:rsidR="005A276D" w:rsidRPr="0031150F">
        <w:rPr>
          <w:rFonts w:asciiTheme="majorHAnsi" w:hAnsiTheme="majorHAnsi"/>
        </w:rPr>
        <w:t>rovider</w:t>
      </w:r>
      <w:r>
        <w:rPr>
          <w:rFonts w:asciiTheme="majorHAnsi" w:hAnsiTheme="majorHAnsi"/>
        </w:rPr>
        <w:t xml:space="preserve">, or, if they intend to subcontract to Indigenous businesses, the </w:t>
      </w:r>
      <w:r w:rsidR="007E28D2" w:rsidRPr="0031150F">
        <w:rPr>
          <w:rFonts w:asciiTheme="majorHAnsi" w:hAnsiTheme="majorHAnsi"/>
        </w:rPr>
        <w:t>t</w:t>
      </w:r>
      <w:r w:rsidR="00625C67" w:rsidRPr="0031150F">
        <w:rPr>
          <w:rFonts w:asciiTheme="majorHAnsi" w:hAnsiTheme="majorHAnsi"/>
        </w:rPr>
        <w:t>ender</w:t>
      </w:r>
      <w:r w:rsidR="007E28D2" w:rsidRPr="0031150F">
        <w:rPr>
          <w:rFonts w:asciiTheme="majorHAnsi" w:hAnsiTheme="majorHAnsi"/>
        </w:rPr>
        <w:t>er</w:t>
      </w:r>
      <w:r>
        <w:rPr>
          <w:rFonts w:asciiTheme="majorHAnsi" w:hAnsiTheme="majorHAnsi"/>
        </w:rPr>
        <w:t xml:space="preserve"> plans to </w:t>
      </w:r>
      <w:r w:rsidR="00625C67" w:rsidRPr="0031150F">
        <w:rPr>
          <w:rFonts w:asciiTheme="majorHAnsi" w:hAnsiTheme="majorHAnsi"/>
        </w:rPr>
        <w:t>connect with local business chamb</w:t>
      </w:r>
      <w:r>
        <w:rPr>
          <w:rFonts w:asciiTheme="majorHAnsi" w:hAnsiTheme="majorHAnsi"/>
        </w:rPr>
        <w:t>ers, land councils and councils</w:t>
      </w:r>
    </w:p>
    <w:p w14:paraId="37294DC0" w14:textId="77777777" w:rsidR="000D4115" w:rsidRPr="00A82FD7" w:rsidRDefault="0031150F" w:rsidP="000D4115">
      <w:pPr>
        <w:pStyle w:val="BulletedListlvl1"/>
        <w:rPr>
          <w:rFonts w:asciiTheme="majorHAnsi" w:hAnsiTheme="majorHAnsi"/>
        </w:rPr>
      </w:pPr>
      <w:r>
        <w:rPr>
          <w:rFonts w:asciiTheme="majorHAnsi" w:hAnsiTheme="majorHAnsi"/>
        </w:rPr>
        <w:t>t</w:t>
      </w:r>
      <w:r w:rsidR="000D4115" w:rsidRPr="00A82FD7">
        <w:rPr>
          <w:rFonts w:asciiTheme="majorHAnsi" w:hAnsiTheme="majorHAnsi"/>
        </w:rPr>
        <w:t xml:space="preserve">he </w:t>
      </w:r>
      <w:r w:rsidR="007E28D2" w:rsidRPr="00A82FD7">
        <w:rPr>
          <w:rFonts w:asciiTheme="majorHAnsi" w:hAnsiTheme="majorHAnsi"/>
        </w:rPr>
        <w:t>t</w:t>
      </w:r>
      <w:r w:rsidR="000D4115" w:rsidRPr="00A82FD7">
        <w:rPr>
          <w:rFonts w:asciiTheme="majorHAnsi" w:hAnsiTheme="majorHAnsi"/>
        </w:rPr>
        <w:t>ender</w:t>
      </w:r>
      <w:r w:rsidR="007E28D2" w:rsidRPr="00A82FD7">
        <w:rPr>
          <w:rFonts w:asciiTheme="majorHAnsi" w:hAnsiTheme="majorHAnsi"/>
        </w:rPr>
        <w:t>er</w:t>
      </w:r>
      <w:r w:rsidR="000D4115" w:rsidRPr="00A82FD7">
        <w:rPr>
          <w:rFonts w:asciiTheme="majorHAnsi" w:hAnsiTheme="majorHAnsi"/>
        </w:rPr>
        <w:t xml:space="preserve">’s commitment to building a culturally inclusive organisation demonstrated </w:t>
      </w:r>
      <w:r>
        <w:rPr>
          <w:rFonts w:asciiTheme="majorHAnsi" w:hAnsiTheme="majorHAnsi"/>
        </w:rPr>
        <w:t xml:space="preserve">through a </w:t>
      </w:r>
      <w:r w:rsidR="00DE22C5">
        <w:rPr>
          <w:rFonts w:asciiTheme="majorHAnsi" w:hAnsiTheme="majorHAnsi"/>
        </w:rPr>
        <w:t xml:space="preserve">commitment such as a </w:t>
      </w:r>
      <w:r w:rsidR="000D4115" w:rsidRPr="00A82FD7">
        <w:rPr>
          <w:rFonts w:asciiTheme="majorHAnsi" w:hAnsiTheme="majorHAnsi"/>
        </w:rPr>
        <w:t>Reconciliation Action Pla</w:t>
      </w:r>
      <w:r w:rsidR="00DE22C5">
        <w:rPr>
          <w:rFonts w:asciiTheme="majorHAnsi" w:hAnsiTheme="majorHAnsi"/>
        </w:rPr>
        <w:t>n</w:t>
      </w:r>
      <w:r w:rsidR="00491AE2">
        <w:rPr>
          <w:rFonts w:asciiTheme="majorHAnsi" w:hAnsiTheme="majorHAnsi"/>
        </w:rPr>
        <w:t>.</w:t>
      </w:r>
      <w:r w:rsidR="00DE22C5">
        <w:rPr>
          <w:rFonts w:asciiTheme="majorHAnsi" w:hAnsiTheme="majorHAnsi"/>
        </w:rPr>
        <w:t xml:space="preserve"> </w:t>
      </w:r>
    </w:p>
    <w:p w14:paraId="46988688" w14:textId="77777777" w:rsidR="00BD7327" w:rsidRPr="00A82FD7" w:rsidRDefault="00BD7327" w:rsidP="00CE4488">
      <w:pPr>
        <w:pStyle w:val="BulletedListlvl1"/>
        <w:numPr>
          <w:ilvl w:val="0"/>
          <w:numId w:val="0"/>
        </w:numPr>
        <w:ind w:left="567" w:hanging="283"/>
        <w:rPr>
          <w:rFonts w:asciiTheme="majorHAnsi" w:hAnsiTheme="majorHAnsi"/>
          <w:lang w:val="en-US"/>
        </w:rPr>
      </w:pPr>
    </w:p>
    <w:p w14:paraId="646DE9B1" w14:textId="77777777" w:rsidR="00BD7327" w:rsidRPr="00A82FD7" w:rsidRDefault="00B55DFD" w:rsidP="00CE4488">
      <w:pPr>
        <w:pStyle w:val="BulletedListlvl1"/>
        <w:numPr>
          <w:ilvl w:val="0"/>
          <w:numId w:val="0"/>
        </w:numPr>
        <w:rPr>
          <w:rFonts w:asciiTheme="majorHAnsi" w:hAnsiTheme="majorHAnsi"/>
          <w:lang w:val="en-US"/>
        </w:rPr>
      </w:pPr>
      <w:r>
        <w:rPr>
          <w:rFonts w:asciiTheme="majorHAnsi" w:hAnsiTheme="majorHAnsi"/>
          <w:lang w:val="en-US"/>
        </w:rPr>
        <w:t>Information on the</w:t>
      </w:r>
      <w:r w:rsidR="00BD7327" w:rsidRPr="00A82FD7">
        <w:rPr>
          <w:rFonts w:asciiTheme="majorHAnsi" w:hAnsiTheme="majorHAnsi"/>
          <w:lang w:val="en-US"/>
        </w:rPr>
        <w:t xml:space="preserve"> </w:t>
      </w:r>
      <w:r>
        <w:rPr>
          <w:rFonts w:asciiTheme="majorHAnsi" w:hAnsiTheme="majorHAnsi"/>
          <w:lang w:val="en-US"/>
        </w:rPr>
        <w:t>Indigenous population percentages is</w:t>
      </w:r>
      <w:r w:rsidR="00BD7327" w:rsidRPr="00A82FD7">
        <w:rPr>
          <w:rFonts w:asciiTheme="majorHAnsi" w:hAnsiTheme="majorHAnsi"/>
          <w:lang w:val="en-US"/>
        </w:rPr>
        <w:t xml:space="preserve"> available on the </w:t>
      </w:r>
      <w:hyperlink r:id="rId30" w:history="1">
        <w:r w:rsidR="00BD7327" w:rsidRPr="00134C33">
          <w:rPr>
            <w:rStyle w:val="Hyperlink"/>
            <w:rFonts w:asciiTheme="majorHAnsi" w:hAnsiTheme="majorHAnsi"/>
            <w:color w:val="015E8A" w:themeColor="text2" w:themeTint="E6"/>
            <w:lang w:val="en-US"/>
          </w:rPr>
          <w:t>Australian Bur</w:t>
        </w:r>
        <w:r w:rsidR="0031150F" w:rsidRPr="00134C33">
          <w:rPr>
            <w:rStyle w:val="Hyperlink"/>
            <w:rFonts w:asciiTheme="majorHAnsi" w:hAnsiTheme="majorHAnsi"/>
            <w:color w:val="015E8A" w:themeColor="text2" w:themeTint="E6"/>
            <w:lang w:val="en-US"/>
          </w:rPr>
          <w:t>eau of Statistics website</w:t>
        </w:r>
      </w:hyperlink>
      <w:r w:rsidR="0031150F">
        <w:rPr>
          <w:rFonts w:asciiTheme="majorHAnsi" w:hAnsiTheme="majorHAnsi"/>
          <w:lang w:val="en-US"/>
        </w:rPr>
        <w:t xml:space="preserve">. </w:t>
      </w:r>
      <w:r w:rsidR="00BD7327" w:rsidRPr="00A82FD7">
        <w:rPr>
          <w:rFonts w:asciiTheme="majorHAnsi" w:hAnsiTheme="majorHAnsi"/>
          <w:lang w:val="en-US"/>
        </w:rPr>
        <w:t xml:space="preserve">The NIAA regional office network may also be of assistance.  Details </w:t>
      </w:r>
      <w:proofErr w:type="gramStart"/>
      <w:r w:rsidR="00BD7327" w:rsidRPr="00A82FD7">
        <w:rPr>
          <w:rFonts w:asciiTheme="majorHAnsi" w:hAnsiTheme="majorHAnsi"/>
          <w:lang w:val="en-US"/>
        </w:rPr>
        <w:t>are located in</w:t>
      </w:r>
      <w:proofErr w:type="gramEnd"/>
      <w:r w:rsidR="00BD7327" w:rsidRPr="00A82FD7">
        <w:rPr>
          <w:rFonts w:asciiTheme="majorHAnsi" w:hAnsiTheme="majorHAnsi"/>
          <w:lang w:val="en-US"/>
        </w:rPr>
        <w:t xml:space="preserve"> the Resources Section </w:t>
      </w:r>
      <w:r w:rsidR="002B05D9" w:rsidRPr="002B05D9">
        <w:rPr>
          <w:rFonts w:asciiTheme="majorHAnsi" w:hAnsiTheme="majorHAnsi"/>
          <w:lang w:val="en-US"/>
        </w:rPr>
        <w:t>at 12.0</w:t>
      </w:r>
      <w:r w:rsidR="0031150F" w:rsidRPr="002B05D9">
        <w:rPr>
          <w:rFonts w:asciiTheme="majorHAnsi" w:hAnsiTheme="majorHAnsi"/>
          <w:lang w:val="en-US"/>
        </w:rPr>
        <w:t>.</w:t>
      </w:r>
    </w:p>
    <w:p w14:paraId="67AB26C8" w14:textId="77777777" w:rsidR="00002230" w:rsidRPr="00134C33" w:rsidRDefault="005B43E4" w:rsidP="00B075CE">
      <w:pPr>
        <w:pStyle w:val="Heading3"/>
        <w:rPr>
          <w:color w:val="A55700" w:themeColor="accent4" w:themeShade="BF"/>
        </w:rPr>
      </w:pPr>
      <w:bookmarkStart w:id="51" w:name="_Toc223528543"/>
      <w:r w:rsidRPr="00134C33">
        <w:rPr>
          <w:color w:val="A55700" w:themeColor="accent4" w:themeShade="BF"/>
        </w:rPr>
        <w:t>5</w:t>
      </w:r>
      <w:r w:rsidR="005A276D" w:rsidRPr="00134C33">
        <w:rPr>
          <w:color w:val="A55700" w:themeColor="accent4" w:themeShade="BF"/>
        </w:rPr>
        <w:t>.</w:t>
      </w:r>
      <w:r w:rsidR="005D323C" w:rsidRPr="00134C33">
        <w:rPr>
          <w:color w:val="A55700" w:themeColor="accent4" w:themeShade="BF"/>
        </w:rPr>
        <w:t>2</w:t>
      </w:r>
      <w:r w:rsidR="005A276D" w:rsidRPr="00134C33">
        <w:rPr>
          <w:color w:val="A55700" w:themeColor="accent4" w:themeShade="BF"/>
        </w:rPr>
        <w:t xml:space="preserve"> Assessing an </w:t>
      </w:r>
      <w:r w:rsidR="0001428E" w:rsidRPr="00134C33">
        <w:rPr>
          <w:color w:val="A55700" w:themeColor="accent4" w:themeShade="BF"/>
        </w:rPr>
        <w:t>Indigenous Participation Plan</w:t>
      </w:r>
      <w:bookmarkEnd w:id="51"/>
      <w:r w:rsidR="0001428E" w:rsidRPr="00134C33">
        <w:rPr>
          <w:color w:val="A55700" w:themeColor="accent4" w:themeShade="BF"/>
        </w:rPr>
        <w:t xml:space="preserve"> </w:t>
      </w:r>
    </w:p>
    <w:p w14:paraId="2BFBADAF" w14:textId="77777777" w:rsidR="00ED21BF" w:rsidRPr="00A82FD7" w:rsidRDefault="00D54E91" w:rsidP="006E58C4">
      <w:pPr>
        <w:spacing w:after="200" w:line="276" w:lineRule="auto"/>
        <w:rPr>
          <w:rFonts w:asciiTheme="majorHAnsi" w:hAnsiTheme="majorHAnsi"/>
          <w:lang w:val="en-US"/>
        </w:rPr>
      </w:pPr>
      <w:r w:rsidRPr="00A82FD7">
        <w:rPr>
          <w:rFonts w:asciiTheme="majorHAnsi" w:hAnsiTheme="majorHAnsi"/>
          <w:lang w:val="en-US"/>
        </w:rPr>
        <w:t>A</w:t>
      </w:r>
      <w:r w:rsidR="00ED21BF" w:rsidRPr="00A82FD7">
        <w:rPr>
          <w:rFonts w:asciiTheme="majorHAnsi" w:hAnsiTheme="majorHAnsi"/>
          <w:lang w:val="en-US"/>
        </w:rPr>
        <w:t>n</w:t>
      </w:r>
      <w:r w:rsidR="006E58C4" w:rsidRPr="00A82FD7">
        <w:rPr>
          <w:rFonts w:asciiTheme="majorHAnsi" w:hAnsiTheme="majorHAnsi"/>
          <w:lang w:val="en-US"/>
        </w:rPr>
        <w:t xml:space="preserve"> Indigenous Participation Plan is </w:t>
      </w:r>
      <w:r w:rsidR="00ED21BF" w:rsidRPr="00A82FD7">
        <w:rPr>
          <w:rFonts w:asciiTheme="majorHAnsi" w:hAnsiTheme="majorHAnsi"/>
          <w:lang w:val="en-US"/>
        </w:rPr>
        <w:t xml:space="preserve">a </w:t>
      </w:r>
      <w:r w:rsidR="006E58C4" w:rsidRPr="00A82FD7">
        <w:rPr>
          <w:rFonts w:asciiTheme="majorHAnsi" w:hAnsiTheme="majorHAnsi"/>
          <w:lang w:val="en-US"/>
        </w:rPr>
        <w:t xml:space="preserve">critical </w:t>
      </w:r>
      <w:r w:rsidRPr="00A82FD7">
        <w:rPr>
          <w:rFonts w:asciiTheme="majorHAnsi" w:hAnsiTheme="majorHAnsi"/>
          <w:lang w:val="en-US"/>
        </w:rPr>
        <w:t>to</w:t>
      </w:r>
      <w:r w:rsidR="00ED21BF" w:rsidRPr="00A82FD7">
        <w:rPr>
          <w:rFonts w:asciiTheme="majorHAnsi" w:hAnsiTheme="majorHAnsi"/>
          <w:lang w:val="en-US"/>
        </w:rPr>
        <w:t xml:space="preserve">ol for </w:t>
      </w:r>
      <w:r w:rsidR="00BA47AF" w:rsidRPr="00A82FD7">
        <w:rPr>
          <w:rFonts w:asciiTheme="majorHAnsi" w:hAnsiTheme="majorHAnsi"/>
          <w:lang w:val="en-US"/>
        </w:rPr>
        <w:t>procuring officials, contract managers and tenderers/</w:t>
      </w:r>
      <w:r w:rsidR="00ED21BF" w:rsidRPr="00A82FD7">
        <w:rPr>
          <w:rFonts w:asciiTheme="majorHAnsi" w:hAnsiTheme="majorHAnsi"/>
          <w:lang w:val="en-US"/>
        </w:rPr>
        <w:t xml:space="preserve">suppliers throughout the contract </w:t>
      </w:r>
      <w:proofErr w:type="gramStart"/>
      <w:r w:rsidR="00ED21BF" w:rsidRPr="00A82FD7">
        <w:rPr>
          <w:rFonts w:asciiTheme="majorHAnsi" w:hAnsiTheme="majorHAnsi"/>
          <w:lang w:val="en-US"/>
        </w:rPr>
        <w:t>life-cycle</w:t>
      </w:r>
      <w:proofErr w:type="gramEnd"/>
      <w:r w:rsidR="00ED21BF" w:rsidRPr="00A82FD7">
        <w:rPr>
          <w:rFonts w:asciiTheme="majorHAnsi" w:hAnsiTheme="majorHAnsi"/>
          <w:lang w:val="en-US"/>
        </w:rPr>
        <w:t>. At the tender evaluation stage, the document helps tenderers outline how they intend to meet (or exceed) MMR targets over the contract term, and assists procuring offic</w:t>
      </w:r>
      <w:r w:rsidR="00BA47AF" w:rsidRPr="00A82FD7">
        <w:rPr>
          <w:rFonts w:asciiTheme="majorHAnsi" w:hAnsiTheme="majorHAnsi"/>
          <w:lang w:val="en-US"/>
        </w:rPr>
        <w:t>ials</w:t>
      </w:r>
      <w:r w:rsidR="00ED21BF" w:rsidRPr="00A82FD7">
        <w:rPr>
          <w:rFonts w:asciiTheme="majorHAnsi" w:hAnsiTheme="majorHAnsi"/>
          <w:lang w:val="en-US"/>
        </w:rPr>
        <w:t xml:space="preserve"> to determine which tenderer is mostly likely to achieve the strongest economic outcomes for Indigenous Australians. Throughout the contract term, the Indigenous Participation Plan will help both parties manage and assess performance against MMR targets. </w:t>
      </w:r>
    </w:p>
    <w:p w14:paraId="7142E30B" w14:textId="77777777" w:rsidR="006E58C4" w:rsidRPr="00A82FD7" w:rsidRDefault="0062699A" w:rsidP="006E58C4">
      <w:pPr>
        <w:spacing w:after="200" w:line="276" w:lineRule="auto"/>
        <w:rPr>
          <w:rFonts w:asciiTheme="majorHAnsi" w:hAnsiTheme="majorHAnsi"/>
          <w:lang w:val="en-US"/>
        </w:rPr>
      </w:pPr>
      <w:r w:rsidRPr="00A82FD7">
        <w:rPr>
          <w:rFonts w:asciiTheme="majorHAnsi" w:hAnsiTheme="majorHAnsi"/>
          <w:lang w:val="en-US"/>
        </w:rPr>
        <w:t xml:space="preserve">It is important that the </w:t>
      </w:r>
      <w:r w:rsidR="007E28D2" w:rsidRPr="00A82FD7">
        <w:rPr>
          <w:rFonts w:asciiTheme="majorHAnsi" w:hAnsiTheme="majorHAnsi"/>
          <w:lang w:val="en-US"/>
        </w:rPr>
        <w:t xml:space="preserve">Indigenous Participation </w:t>
      </w:r>
      <w:r w:rsidR="00BA47AF" w:rsidRPr="00A82FD7">
        <w:rPr>
          <w:rFonts w:asciiTheme="majorHAnsi" w:hAnsiTheme="majorHAnsi"/>
          <w:lang w:val="en-US"/>
        </w:rPr>
        <w:t>P</w:t>
      </w:r>
      <w:r w:rsidR="006E58C4" w:rsidRPr="00A82FD7">
        <w:rPr>
          <w:rFonts w:asciiTheme="majorHAnsi" w:hAnsiTheme="majorHAnsi"/>
          <w:lang w:val="en-US"/>
        </w:rPr>
        <w:t>lan provides</w:t>
      </w:r>
      <w:r w:rsidR="0087128E">
        <w:rPr>
          <w:rFonts w:asciiTheme="majorHAnsi" w:hAnsiTheme="majorHAnsi"/>
          <w:lang w:val="en-US"/>
        </w:rPr>
        <w:t xml:space="preserve"> the procuring official and/or contract manager</w:t>
      </w:r>
      <w:r w:rsidR="006E58C4" w:rsidRPr="00A82FD7">
        <w:rPr>
          <w:rFonts w:asciiTheme="majorHAnsi" w:hAnsiTheme="majorHAnsi"/>
          <w:lang w:val="en-US"/>
        </w:rPr>
        <w:t xml:space="preserve"> with confidence </w:t>
      </w:r>
      <w:r w:rsidR="00ED21BF" w:rsidRPr="00A82FD7">
        <w:rPr>
          <w:rFonts w:asciiTheme="majorHAnsi" w:hAnsiTheme="majorHAnsi"/>
          <w:lang w:val="en-US"/>
        </w:rPr>
        <w:t xml:space="preserve">about </w:t>
      </w:r>
      <w:r w:rsidR="006E58C4" w:rsidRPr="00A82FD7">
        <w:rPr>
          <w:rFonts w:asciiTheme="majorHAnsi" w:hAnsiTheme="majorHAnsi"/>
          <w:lang w:val="en-US"/>
        </w:rPr>
        <w:t xml:space="preserve">when and how the proposed level of Indigenous participation will be achieved. </w:t>
      </w:r>
      <w:r w:rsidR="0087128E">
        <w:rPr>
          <w:rFonts w:asciiTheme="majorHAnsi" w:hAnsiTheme="majorHAnsi"/>
          <w:lang w:val="en-US"/>
        </w:rPr>
        <w:t>The</w:t>
      </w:r>
      <w:r w:rsidR="006E58C4" w:rsidRPr="00A82FD7">
        <w:rPr>
          <w:rFonts w:asciiTheme="majorHAnsi" w:hAnsiTheme="majorHAnsi"/>
          <w:lang w:val="en-US"/>
        </w:rPr>
        <w:t xml:space="preserve"> </w:t>
      </w:r>
      <w:r w:rsidRPr="00A82FD7">
        <w:rPr>
          <w:rFonts w:asciiTheme="majorHAnsi" w:hAnsiTheme="majorHAnsi"/>
          <w:lang w:val="en-US"/>
        </w:rPr>
        <w:t>tenderer</w:t>
      </w:r>
      <w:r w:rsidR="0087128E">
        <w:rPr>
          <w:rFonts w:asciiTheme="majorHAnsi" w:hAnsiTheme="majorHAnsi"/>
          <w:lang w:val="en-US"/>
        </w:rPr>
        <w:t xml:space="preserve"> should</w:t>
      </w:r>
      <w:r w:rsidR="006E58C4" w:rsidRPr="00A82FD7">
        <w:rPr>
          <w:rFonts w:asciiTheme="majorHAnsi" w:hAnsiTheme="majorHAnsi"/>
          <w:lang w:val="en-US"/>
        </w:rPr>
        <w:t xml:space="preserve"> identify</w:t>
      </w:r>
      <w:r w:rsidR="000D4115" w:rsidRPr="00A82FD7">
        <w:rPr>
          <w:rFonts w:asciiTheme="majorHAnsi" w:hAnsiTheme="majorHAnsi"/>
          <w:lang w:val="en-US"/>
        </w:rPr>
        <w:t xml:space="preserve"> who they intend to engage with, when</w:t>
      </w:r>
      <w:r w:rsidR="00883D2F">
        <w:rPr>
          <w:rFonts w:asciiTheme="majorHAnsi" w:hAnsiTheme="majorHAnsi"/>
          <w:lang w:val="en-US"/>
        </w:rPr>
        <w:t xml:space="preserve"> and </w:t>
      </w:r>
      <w:r w:rsidR="006E58C4" w:rsidRPr="00A82FD7">
        <w:rPr>
          <w:rFonts w:asciiTheme="majorHAnsi" w:hAnsiTheme="majorHAnsi"/>
          <w:lang w:val="en-US"/>
        </w:rPr>
        <w:t>how they will engage with Indigenous job seekers and/or businesses and how they will support retention in their workforce and supply chain through</w:t>
      </w:r>
      <w:r w:rsidR="0031150F">
        <w:rPr>
          <w:rFonts w:asciiTheme="majorHAnsi" w:hAnsiTheme="majorHAnsi"/>
          <w:lang w:val="en-US"/>
        </w:rPr>
        <w:t>out</w:t>
      </w:r>
      <w:r w:rsidR="006E58C4" w:rsidRPr="00A82FD7">
        <w:rPr>
          <w:rFonts w:asciiTheme="majorHAnsi" w:hAnsiTheme="majorHAnsi"/>
          <w:lang w:val="en-US"/>
        </w:rPr>
        <w:t xml:space="preserve"> the life of the contract and potentially beyond. </w:t>
      </w:r>
    </w:p>
    <w:p w14:paraId="2E0D2059" w14:textId="77777777" w:rsidR="003D37AC" w:rsidRDefault="00AA1C65" w:rsidP="005D323C">
      <w:pPr>
        <w:spacing w:after="200" w:line="276" w:lineRule="auto"/>
        <w:rPr>
          <w:rFonts w:asciiTheme="majorHAnsi" w:hAnsiTheme="majorHAnsi"/>
          <w:lang w:val="en-US"/>
        </w:rPr>
      </w:pPr>
      <w:r w:rsidRPr="002B05D9">
        <w:rPr>
          <w:rFonts w:asciiTheme="majorHAnsi" w:hAnsiTheme="majorHAnsi"/>
          <w:lang w:val="en-US"/>
        </w:rPr>
        <w:t xml:space="preserve">Table </w:t>
      </w:r>
      <w:r w:rsidR="00233B73">
        <w:rPr>
          <w:rFonts w:asciiTheme="majorHAnsi" w:hAnsiTheme="majorHAnsi"/>
          <w:lang w:val="en-US"/>
        </w:rPr>
        <w:t>3</w:t>
      </w:r>
      <w:r w:rsidRPr="002B05D9">
        <w:rPr>
          <w:rFonts w:asciiTheme="majorHAnsi" w:hAnsiTheme="majorHAnsi"/>
          <w:lang w:val="en-US"/>
        </w:rPr>
        <w:t xml:space="preserve"> </w:t>
      </w:r>
      <w:r w:rsidR="00883D2F">
        <w:rPr>
          <w:rFonts w:asciiTheme="majorHAnsi" w:hAnsiTheme="majorHAnsi"/>
          <w:lang w:val="en-US"/>
        </w:rPr>
        <w:t xml:space="preserve">provides </w:t>
      </w:r>
      <w:r w:rsidR="005D323C" w:rsidRPr="00A82FD7">
        <w:rPr>
          <w:rFonts w:asciiTheme="majorHAnsi" w:hAnsiTheme="majorHAnsi"/>
          <w:lang w:val="en-US"/>
        </w:rPr>
        <w:t>guidance for what should be included in an Indigenous Participation Plan. This is a guide only</w:t>
      </w:r>
      <w:r w:rsidR="00ED21BF" w:rsidRPr="00A82FD7">
        <w:rPr>
          <w:rFonts w:asciiTheme="majorHAnsi" w:hAnsiTheme="majorHAnsi"/>
          <w:lang w:val="en-US"/>
        </w:rPr>
        <w:t>;</w:t>
      </w:r>
      <w:r w:rsidR="00BA47AF" w:rsidRPr="00A82FD7">
        <w:rPr>
          <w:rFonts w:asciiTheme="majorHAnsi" w:hAnsiTheme="majorHAnsi"/>
          <w:lang w:val="en-US"/>
        </w:rPr>
        <w:t xml:space="preserve"> </w:t>
      </w:r>
      <w:r w:rsidR="00CB0831" w:rsidRPr="00A82FD7">
        <w:rPr>
          <w:rFonts w:asciiTheme="majorHAnsi" w:hAnsiTheme="majorHAnsi"/>
          <w:lang w:val="en-US"/>
        </w:rPr>
        <w:t>tenderers</w:t>
      </w:r>
      <w:r w:rsidR="005D323C" w:rsidRPr="00A82FD7">
        <w:rPr>
          <w:rFonts w:asciiTheme="majorHAnsi" w:hAnsiTheme="majorHAnsi"/>
          <w:lang w:val="en-US"/>
        </w:rPr>
        <w:t xml:space="preserve"> </w:t>
      </w:r>
      <w:r w:rsidR="002D10CE" w:rsidRPr="00A82FD7">
        <w:rPr>
          <w:rFonts w:asciiTheme="majorHAnsi" w:hAnsiTheme="majorHAnsi"/>
          <w:lang w:val="en-US"/>
        </w:rPr>
        <w:t xml:space="preserve">may </w:t>
      </w:r>
      <w:r w:rsidR="005D323C" w:rsidRPr="00A82FD7">
        <w:rPr>
          <w:rFonts w:asciiTheme="majorHAnsi" w:hAnsiTheme="majorHAnsi"/>
          <w:lang w:val="en-US"/>
        </w:rPr>
        <w:t xml:space="preserve">include any content in their Indigenous Participation Plan that supports their tender. </w:t>
      </w:r>
    </w:p>
    <w:p w14:paraId="489EB9D8" w14:textId="77777777" w:rsidR="006F6032" w:rsidRPr="00134C33" w:rsidRDefault="005B43E4" w:rsidP="002E1AAC">
      <w:pPr>
        <w:pStyle w:val="Heading3"/>
        <w:rPr>
          <w:color w:val="A55700" w:themeColor="accent4" w:themeShade="BF"/>
        </w:rPr>
      </w:pPr>
      <w:bookmarkStart w:id="52" w:name="_Toc223528544"/>
      <w:r w:rsidRPr="00134C33">
        <w:rPr>
          <w:color w:val="A55700" w:themeColor="accent4" w:themeShade="BF"/>
        </w:rPr>
        <w:t>5</w:t>
      </w:r>
      <w:r w:rsidR="00B075CE" w:rsidRPr="00134C33">
        <w:rPr>
          <w:color w:val="A55700" w:themeColor="accent4" w:themeShade="BF"/>
        </w:rPr>
        <w:t>.</w:t>
      </w:r>
      <w:r w:rsidR="006E58C4" w:rsidRPr="00134C33">
        <w:rPr>
          <w:color w:val="A55700" w:themeColor="accent4" w:themeShade="BF"/>
        </w:rPr>
        <w:t>3</w:t>
      </w:r>
      <w:r w:rsidR="00B075CE" w:rsidRPr="00134C33">
        <w:rPr>
          <w:color w:val="A55700" w:themeColor="accent4" w:themeShade="BF"/>
        </w:rPr>
        <w:t xml:space="preserve"> </w:t>
      </w:r>
      <w:r w:rsidR="005A276D" w:rsidRPr="00134C33">
        <w:rPr>
          <w:color w:val="A55700" w:themeColor="accent4" w:themeShade="BF"/>
        </w:rPr>
        <w:t xml:space="preserve">Assessing </w:t>
      </w:r>
      <w:r w:rsidR="00AF353C" w:rsidRPr="00134C33">
        <w:rPr>
          <w:color w:val="A55700" w:themeColor="accent4" w:themeShade="BF"/>
        </w:rPr>
        <w:t>current rate</w:t>
      </w:r>
      <w:r w:rsidR="0031150F" w:rsidRPr="00134C33">
        <w:rPr>
          <w:color w:val="A55700" w:themeColor="accent4" w:themeShade="BF"/>
        </w:rPr>
        <w:t>s</w:t>
      </w:r>
      <w:r w:rsidR="00AF353C" w:rsidRPr="00134C33">
        <w:rPr>
          <w:color w:val="A55700" w:themeColor="accent4" w:themeShade="BF"/>
        </w:rPr>
        <w:t xml:space="preserve"> of </w:t>
      </w:r>
      <w:r w:rsidR="00AA2631" w:rsidRPr="00134C33">
        <w:rPr>
          <w:color w:val="A55700" w:themeColor="accent4" w:themeShade="BF"/>
        </w:rPr>
        <w:t>I</w:t>
      </w:r>
      <w:r w:rsidR="006F6032" w:rsidRPr="00134C33">
        <w:rPr>
          <w:color w:val="A55700" w:themeColor="accent4" w:themeShade="BF"/>
        </w:rPr>
        <w:t xml:space="preserve">ndigenous </w:t>
      </w:r>
      <w:r w:rsidR="00B075CE" w:rsidRPr="00134C33">
        <w:rPr>
          <w:color w:val="A55700" w:themeColor="accent4" w:themeShade="BF"/>
        </w:rPr>
        <w:t>p</w:t>
      </w:r>
      <w:r w:rsidR="006F6032" w:rsidRPr="00134C33">
        <w:rPr>
          <w:color w:val="A55700" w:themeColor="accent4" w:themeShade="BF"/>
        </w:rPr>
        <w:t>articipation</w:t>
      </w:r>
      <w:bookmarkEnd w:id="52"/>
      <w:r w:rsidR="006F6032" w:rsidRPr="00134C33">
        <w:rPr>
          <w:color w:val="A55700" w:themeColor="accent4" w:themeShade="BF"/>
        </w:rPr>
        <w:t xml:space="preserve"> </w:t>
      </w:r>
    </w:p>
    <w:p w14:paraId="0C4C6033" w14:textId="77777777" w:rsidR="006F6032" w:rsidRPr="00A82FD7" w:rsidRDefault="006A3D58" w:rsidP="4CD1C992">
      <w:pPr>
        <w:spacing w:line="276" w:lineRule="auto"/>
        <w:rPr>
          <w:rFonts w:asciiTheme="majorHAnsi" w:hAnsiTheme="majorHAnsi"/>
          <w:lang w:val="en-US" w:eastAsia="en-AU"/>
        </w:rPr>
      </w:pPr>
      <w:r w:rsidRPr="4CD1C992">
        <w:rPr>
          <w:rFonts w:asciiTheme="majorHAnsi" w:hAnsiTheme="majorHAnsi"/>
          <w:lang w:val="en-US" w:eastAsia="en-AU"/>
        </w:rPr>
        <w:t xml:space="preserve">If the current rate of Indigenous participation </w:t>
      </w:r>
      <w:r w:rsidR="00727686" w:rsidRPr="4CD1C992">
        <w:rPr>
          <w:rFonts w:asciiTheme="majorHAnsi" w:hAnsiTheme="majorHAnsi"/>
          <w:lang w:val="en-US" w:eastAsia="en-AU"/>
        </w:rPr>
        <w:t>in an</w:t>
      </w:r>
      <w:r w:rsidRPr="4CD1C992">
        <w:rPr>
          <w:rFonts w:asciiTheme="majorHAnsi" w:hAnsiTheme="majorHAnsi"/>
          <w:lang w:val="en-US" w:eastAsia="en-AU"/>
        </w:rPr>
        <w:t xml:space="preserve"> </w:t>
      </w:r>
      <w:proofErr w:type="spellStart"/>
      <w:r w:rsidRPr="4CD1C992">
        <w:rPr>
          <w:rFonts w:asciiTheme="majorHAnsi" w:hAnsiTheme="majorHAnsi"/>
          <w:lang w:val="en-US" w:eastAsia="en-AU"/>
        </w:rPr>
        <w:t>organisation</w:t>
      </w:r>
      <w:proofErr w:type="spellEnd"/>
      <w:r w:rsidRPr="4CD1C992">
        <w:rPr>
          <w:rFonts w:asciiTheme="majorHAnsi" w:hAnsiTheme="majorHAnsi"/>
          <w:lang w:val="en-US" w:eastAsia="en-AU"/>
        </w:rPr>
        <w:t xml:space="preserve"> is low</w:t>
      </w:r>
      <w:r w:rsidR="006F6032" w:rsidRPr="4CD1C992">
        <w:rPr>
          <w:rFonts w:asciiTheme="majorHAnsi" w:hAnsiTheme="majorHAnsi"/>
          <w:lang w:val="en-US" w:eastAsia="en-AU"/>
        </w:rPr>
        <w:t xml:space="preserve">, </w:t>
      </w:r>
      <w:r w:rsidR="0087128E" w:rsidRPr="4CD1C992">
        <w:rPr>
          <w:rFonts w:asciiTheme="majorHAnsi" w:hAnsiTheme="majorHAnsi"/>
          <w:lang w:val="en-US" w:eastAsia="en-AU"/>
        </w:rPr>
        <w:t xml:space="preserve">procuring officials and/or contract managers </w:t>
      </w:r>
      <w:r w:rsidR="006F6032" w:rsidRPr="4CD1C992">
        <w:rPr>
          <w:rFonts w:asciiTheme="majorHAnsi" w:hAnsiTheme="majorHAnsi"/>
          <w:lang w:val="en-US" w:eastAsia="en-AU"/>
        </w:rPr>
        <w:t xml:space="preserve">should consider how the </w:t>
      </w:r>
      <w:r w:rsidR="00EB723B" w:rsidRPr="4CD1C992">
        <w:rPr>
          <w:rFonts w:asciiTheme="majorHAnsi" w:hAnsiTheme="majorHAnsi"/>
          <w:lang w:val="en-US" w:eastAsia="en-AU"/>
        </w:rPr>
        <w:t>tenderer</w:t>
      </w:r>
      <w:r w:rsidR="006F6032" w:rsidRPr="4CD1C992">
        <w:rPr>
          <w:rFonts w:asciiTheme="majorHAnsi" w:hAnsiTheme="majorHAnsi"/>
          <w:lang w:val="en-US" w:eastAsia="en-AU"/>
        </w:rPr>
        <w:t xml:space="preserve"> seeks to obtain </w:t>
      </w:r>
      <w:r w:rsidR="006E58C4" w:rsidRPr="4CD1C992">
        <w:rPr>
          <w:rFonts w:asciiTheme="majorHAnsi" w:hAnsiTheme="majorHAnsi"/>
          <w:lang w:val="en-US" w:eastAsia="en-AU"/>
        </w:rPr>
        <w:t xml:space="preserve">the </w:t>
      </w:r>
      <w:r w:rsidR="006F6032" w:rsidRPr="4CD1C992">
        <w:rPr>
          <w:rFonts w:asciiTheme="majorHAnsi" w:hAnsiTheme="majorHAnsi"/>
          <w:lang w:val="en-US" w:eastAsia="en-AU"/>
        </w:rPr>
        <w:t>required knowledge and relationship</w:t>
      </w:r>
      <w:r w:rsidR="00727686" w:rsidRPr="4CD1C992">
        <w:rPr>
          <w:rFonts w:asciiTheme="majorHAnsi" w:hAnsiTheme="majorHAnsi"/>
          <w:lang w:val="en-US" w:eastAsia="en-AU"/>
        </w:rPr>
        <w:t>s</w:t>
      </w:r>
      <w:r w:rsidR="006F6032" w:rsidRPr="4CD1C992">
        <w:rPr>
          <w:rFonts w:asciiTheme="majorHAnsi" w:hAnsiTheme="majorHAnsi"/>
          <w:lang w:val="en-US" w:eastAsia="en-AU"/>
        </w:rPr>
        <w:t xml:space="preserve"> to </w:t>
      </w:r>
      <w:r w:rsidR="00A9031C" w:rsidRPr="4CD1C992">
        <w:rPr>
          <w:rFonts w:asciiTheme="majorHAnsi" w:hAnsiTheme="majorHAnsi"/>
          <w:lang w:val="en-US" w:eastAsia="en-AU"/>
        </w:rPr>
        <w:t xml:space="preserve">engage </w:t>
      </w:r>
      <w:r w:rsidR="006F6032" w:rsidRPr="4CD1C992">
        <w:rPr>
          <w:rFonts w:asciiTheme="majorHAnsi" w:hAnsiTheme="majorHAnsi"/>
          <w:lang w:val="en-US" w:eastAsia="en-AU"/>
        </w:rPr>
        <w:t>and</w:t>
      </w:r>
      <w:r w:rsidRPr="4CD1C992">
        <w:rPr>
          <w:rFonts w:asciiTheme="majorHAnsi" w:hAnsiTheme="majorHAnsi"/>
          <w:lang w:val="en-US" w:eastAsia="en-AU"/>
        </w:rPr>
        <w:t xml:space="preserve"> retain </w:t>
      </w:r>
      <w:r w:rsidR="00A9031C" w:rsidRPr="4CD1C992">
        <w:rPr>
          <w:rFonts w:asciiTheme="majorHAnsi" w:hAnsiTheme="majorHAnsi"/>
          <w:lang w:val="en-US" w:eastAsia="en-AU"/>
        </w:rPr>
        <w:t xml:space="preserve">Indigenous Australians </w:t>
      </w:r>
      <w:r w:rsidRPr="4CD1C992">
        <w:rPr>
          <w:rFonts w:asciiTheme="majorHAnsi" w:hAnsiTheme="majorHAnsi"/>
          <w:lang w:val="en-US" w:eastAsia="en-AU"/>
        </w:rPr>
        <w:t xml:space="preserve">in their workforce and supply chain. </w:t>
      </w:r>
      <w:r w:rsidR="007F2F89" w:rsidRPr="4CD1C992">
        <w:rPr>
          <w:rFonts w:asciiTheme="majorHAnsi" w:hAnsiTheme="majorHAnsi"/>
          <w:lang w:val="en-US" w:eastAsia="en-AU"/>
        </w:rPr>
        <w:t>A</w:t>
      </w:r>
      <w:r w:rsidR="00491AE2" w:rsidRPr="4CD1C992">
        <w:rPr>
          <w:rFonts w:asciiTheme="majorHAnsi" w:hAnsiTheme="majorHAnsi"/>
          <w:lang w:val="en-US" w:eastAsia="en-AU"/>
        </w:rPr>
        <w:t>n Indigenous Participation Plan</w:t>
      </w:r>
      <w:r w:rsidR="007F2F89" w:rsidRPr="4CD1C992">
        <w:rPr>
          <w:rFonts w:asciiTheme="majorHAnsi" w:hAnsiTheme="majorHAnsi"/>
          <w:lang w:val="en-US" w:eastAsia="en-AU"/>
        </w:rPr>
        <w:t xml:space="preserve"> will be stronger if the t</w:t>
      </w:r>
      <w:r w:rsidR="00A9031C" w:rsidRPr="4CD1C992">
        <w:rPr>
          <w:rFonts w:asciiTheme="majorHAnsi" w:hAnsiTheme="majorHAnsi"/>
          <w:lang w:val="en-US" w:eastAsia="en-AU"/>
        </w:rPr>
        <w:t>ender</w:t>
      </w:r>
      <w:r w:rsidR="007F2F89" w:rsidRPr="4CD1C992">
        <w:rPr>
          <w:rFonts w:asciiTheme="majorHAnsi" w:hAnsiTheme="majorHAnsi"/>
          <w:lang w:val="en-US" w:eastAsia="en-AU"/>
        </w:rPr>
        <w:t>er</w:t>
      </w:r>
      <w:r w:rsidR="00A9031C" w:rsidRPr="4CD1C992">
        <w:rPr>
          <w:rFonts w:asciiTheme="majorHAnsi" w:hAnsiTheme="majorHAnsi"/>
          <w:lang w:val="en-US" w:eastAsia="en-AU"/>
        </w:rPr>
        <w:t xml:space="preserve"> identifies and seeks </w:t>
      </w:r>
      <w:r w:rsidR="00D064B2" w:rsidRPr="4CD1C992">
        <w:rPr>
          <w:rFonts w:asciiTheme="majorHAnsi" w:hAnsiTheme="majorHAnsi"/>
          <w:lang w:val="en-US" w:eastAsia="en-AU"/>
        </w:rPr>
        <w:t xml:space="preserve">to make use of the resources and tools listed below. </w:t>
      </w:r>
    </w:p>
    <w:p w14:paraId="69133800" w14:textId="1098EC67" w:rsidR="00002230" w:rsidRPr="00A82FD7" w:rsidRDefault="00002230" w:rsidP="4CD1C992">
      <w:pPr>
        <w:pStyle w:val="ListParagraph"/>
        <w:numPr>
          <w:ilvl w:val="0"/>
          <w:numId w:val="14"/>
        </w:numPr>
        <w:spacing w:line="276" w:lineRule="auto"/>
        <w:rPr>
          <w:rFonts w:asciiTheme="majorHAnsi" w:hAnsiTheme="majorHAnsi"/>
          <w:lang w:val="en-US" w:eastAsia="en-AU"/>
        </w:rPr>
      </w:pPr>
      <w:r w:rsidRPr="4CD1C992">
        <w:rPr>
          <w:rFonts w:asciiTheme="majorHAnsi" w:hAnsiTheme="majorHAnsi"/>
          <w:lang w:val="en-US" w:eastAsia="en-AU"/>
        </w:rPr>
        <w:t xml:space="preserve">Commonwealth providers such as </w:t>
      </w:r>
      <w:r w:rsidR="00E830BD">
        <w:rPr>
          <w:rFonts w:asciiTheme="majorHAnsi" w:hAnsiTheme="majorHAnsi"/>
          <w:lang w:val="en-US" w:eastAsia="en-AU"/>
        </w:rPr>
        <w:t>Workforce Australia</w:t>
      </w:r>
      <w:r w:rsidRPr="4CD1C992">
        <w:rPr>
          <w:rFonts w:asciiTheme="majorHAnsi" w:hAnsiTheme="majorHAnsi"/>
          <w:lang w:val="en-US" w:eastAsia="en-AU"/>
        </w:rPr>
        <w:t xml:space="preserve">, </w:t>
      </w:r>
      <w:r w:rsidR="00E830BD">
        <w:rPr>
          <w:rFonts w:asciiTheme="majorHAnsi" w:hAnsiTheme="majorHAnsi"/>
          <w:lang w:val="en-US" w:eastAsia="en-AU"/>
        </w:rPr>
        <w:t xml:space="preserve">or </w:t>
      </w:r>
      <w:r w:rsidR="00F22B8E">
        <w:rPr>
          <w:rFonts w:asciiTheme="majorHAnsi" w:hAnsiTheme="majorHAnsi"/>
          <w:lang w:val="en-US" w:eastAsia="en-AU"/>
        </w:rPr>
        <w:t>Remote</w:t>
      </w:r>
      <w:r w:rsidR="0077443C">
        <w:rPr>
          <w:rFonts w:asciiTheme="majorHAnsi" w:hAnsiTheme="majorHAnsi"/>
          <w:lang w:val="en-US" w:eastAsia="en-AU"/>
        </w:rPr>
        <w:t xml:space="preserve"> Australia Employment </w:t>
      </w:r>
      <w:proofErr w:type="gramStart"/>
      <w:r w:rsidR="0077443C">
        <w:rPr>
          <w:rFonts w:asciiTheme="majorHAnsi" w:hAnsiTheme="majorHAnsi"/>
          <w:lang w:val="en-US" w:eastAsia="en-AU"/>
        </w:rPr>
        <w:t>Service</w:t>
      </w:r>
      <w:r w:rsidR="004D6E94" w:rsidRPr="4CD1C992">
        <w:rPr>
          <w:rFonts w:asciiTheme="majorHAnsi" w:hAnsiTheme="majorHAnsi"/>
          <w:lang w:val="en-US" w:eastAsia="en-AU"/>
        </w:rPr>
        <w:t>;</w:t>
      </w:r>
      <w:proofErr w:type="gramEnd"/>
    </w:p>
    <w:p w14:paraId="2158500A" w14:textId="55B1E9C2" w:rsidR="006B7651" w:rsidRPr="00A82FD7" w:rsidRDefault="006B7651" w:rsidP="006E58C4">
      <w:pPr>
        <w:pStyle w:val="ListParagraph"/>
        <w:numPr>
          <w:ilvl w:val="0"/>
          <w:numId w:val="14"/>
        </w:numPr>
        <w:spacing w:line="276" w:lineRule="auto"/>
        <w:rPr>
          <w:rFonts w:asciiTheme="majorHAnsi" w:hAnsiTheme="majorHAnsi"/>
          <w:lang w:val="en" w:eastAsia="en-AU"/>
        </w:rPr>
      </w:pPr>
      <w:r w:rsidRPr="00A82FD7">
        <w:rPr>
          <w:rFonts w:asciiTheme="majorHAnsi" w:hAnsiTheme="majorHAnsi"/>
          <w:lang w:val="en" w:eastAsia="en-AU"/>
        </w:rPr>
        <w:t xml:space="preserve">Commonwealth </w:t>
      </w:r>
      <w:hyperlink r:id="rId31" w:history="1">
        <w:r w:rsidRPr="00134C33">
          <w:rPr>
            <w:rStyle w:val="Hyperlink"/>
            <w:rFonts w:asciiTheme="majorHAnsi" w:hAnsiTheme="majorHAnsi"/>
            <w:color w:val="015E8A" w:themeColor="text2" w:themeTint="E6"/>
            <w:lang w:val="en" w:eastAsia="en-AU"/>
          </w:rPr>
          <w:t>Indigenous Business and Employment Hubs</w:t>
        </w:r>
      </w:hyperlink>
      <w:r w:rsidR="004D6E94" w:rsidRPr="00A82FD7">
        <w:rPr>
          <w:rFonts w:asciiTheme="majorHAnsi" w:hAnsiTheme="majorHAnsi"/>
          <w:lang w:val="en" w:eastAsia="en-AU"/>
        </w:rPr>
        <w:t>;</w:t>
      </w:r>
    </w:p>
    <w:p w14:paraId="540342A8" w14:textId="77777777" w:rsidR="00002230" w:rsidRPr="00A82FD7" w:rsidRDefault="007F2F89" w:rsidP="4CD1C992">
      <w:pPr>
        <w:pStyle w:val="ListParagraph"/>
        <w:numPr>
          <w:ilvl w:val="0"/>
          <w:numId w:val="14"/>
        </w:numPr>
        <w:spacing w:line="276" w:lineRule="auto"/>
        <w:rPr>
          <w:rFonts w:asciiTheme="majorHAnsi" w:hAnsiTheme="majorHAnsi"/>
          <w:lang w:val="en-US" w:eastAsia="en-AU"/>
        </w:rPr>
      </w:pPr>
      <w:r w:rsidRPr="4CD1C992">
        <w:rPr>
          <w:rFonts w:asciiTheme="majorHAnsi" w:hAnsiTheme="majorHAnsi"/>
          <w:lang w:val="en-US" w:eastAsia="en-AU"/>
        </w:rPr>
        <w:t>l</w:t>
      </w:r>
      <w:r w:rsidR="00002230" w:rsidRPr="4CD1C992">
        <w:rPr>
          <w:rFonts w:asciiTheme="majorHAnsi" w:hAnsiTheme="majorHAnsi"/>
          <w:lang w:val="en-US" w:eastAsia="en-AU"/>
        </w:rPr>
        <w:t xml:space="preserve">ocal privately run </w:t>
      </w:r>
      <w:proofErr w:type="spellStart"/>
      <w:r w:rsidR="00002230" w:rsidRPr="4CD1C992">
        <w:rPr>
          <w:rFonts w:asciiTheme="majorHAnsi" w:hAnsiTheme="majorHAnsi"/>
          <w:lang w:val="en-US" w:eastAsia="en-AU"/>
        </w:rPr>
        <w:t>labour</w:t>
      </w:r>
      <w:proofErr w:type="spellEnd"/>
      <w:r w:rsidR="00257F92" w:rsidRPr="4CD1C992">
        <w:rPr>
          <w:rFonts w:asciiTheme="majorHAnsi" w:hAnsiTheme="majorHAnsi"/>
          <w:lang w:val="en-US" w:eastAsia="en-AU"/>
        </w:rPr>
        <w:t xml:space="preserve"> Indigenous owned </w:t>
      </w:r>
      <w:r w:rsidR="00002230" w:rsidRPr="4CD1C992">
        <w:rPr>
          <w:rFonts w:asciiTheme="majorHAnsi" w:hAnsiTheme="majorHAnsi"/>
          <w:lang w:val="en-US" w:eastAsia="en-AU"/>
        </w:rPr>
        <w:t xml:space="preserve">hire and recruitment companies with links to Aboriginal and Torres Strait Islander job </w:t>
      </w:r>
      <w:proofErr w:type="gramStart"/>
      <w:r w:rsidR="00002230" w:rsidRPr="4CD1C992">
        <w:rPr>
          <w:rFonts w:asciiTheme="majorHAnsi" w:hAnsiTheme="majorHAnsi"/>
          <w:lang w:val="en-US" w:eastAsia="en-AU"/>
        </w:rPr>
        <w:t>seekers</w:t>
      </w:r>
      <w:r w:rsidR="004D6E94" w:rsidRPr="4CD1C992">
        <w:rPr>
          <w:rFonts w:asciiTheme="majorHAnsi" w:hAnsiTheme="majorHAnsi"/>
          <w:lang w:val="en-US" w:eastAsia="en-AU"/>
        </w:rPr>
        <w:t>;</w:t>
      </w:r>
      <w:proofErr w:type="gramEnd"/>
    </w:p>
    <w:p w14:paraId="1C211B9F" w14:textId="77777777" w:rsidR="00002230" w:rsidRPr="00A82FD7" w:rsidRDefault="007F2F89" w:rsidP="006E58C4">
      <w:pPr>
        <w:pStyle w:val="ListParagraph"/>
        <w:numPr>
          <w:ilvl w:val="0"/>
          <w:numId w:val="14"/>
        </w:numPr>
        <w:spacing w:line="276" w:lineRule="auto"/>
        <w:rPr>
          <w:rFonts w:asciiTheme="majorHAnsi" w:hAnsiTheme="majorHAnsi"/>
          <w:lang w:val="en" w:eastAsia="en-AU"/>
        </w:rPr>
      </w:pPr>
      <w:r>
        <w:rPr>
          <w:rFonts w:asciiTheme="majorHAnsi" w:hAnsiTheme="majorHAnsi"/>
          <w:lang w:val="en" w:eastAsia="en-AU"/>
        </w:rPr>
        <w:t>l</w:t>
      </w:r>
      <w:r w:rsidR="00002230" w:rsidRPr="00A82FD7">
        <w:rPr>
          <w:rFonts w:asciiTheme="majorHAnsi" w:hAnsiTheme="majorHAnsi"/>
          <w:lang w:val="en" w:eastAsia="en-AU"/>
        </w:rPr>
        <w:t xml:space="preserve">ocal Indigenous associations or Land </w:t>
      </w:r>
      <w:proofErr w:type="gramStart"/>
      <w:r w:rsidR="00002230" w:rsidRPr="00A82FD7">
        <w:rPr>
          <w:rFonts w:asciiTheme="majorHAnsi" w:hAnsiTheme="majorHAnsi"/>
          <w:lang w:val="en" w:eastAsia="en-AU"/>
        </w:rPr>
        <w:t>Councils</w:t>
      </w:r>
      <w:r w:rsidR="004D6E94" w:rsidRPr="00A82FD7">
        <w:rPr>
          <w:rFonts w:asciiTheme="majorHAnsi" w:hAnsiTheme="majorHAnsi"/>
          <w:lang w:val="en" w:eastAsia="en-AU"/>
        </w:rPr>
        <w:t>;</w:t>
      </w:r>
      <w:proofErr w:type="gramEnd"/>
      <w:r w:rsidR="00002230" w:rsidRPr="00A82FD7">
        <w:rPr>
          <w:rFonts w:asciiTheme="majorHAnsi" w:hAnsiTheme="majorHAnsi"/>
          <w:lang w:val="en" w:eastAsia="en-AU"/>
        </w:rPr>
        <w:t xml:space="preserve"> </w:t>
      </w:r>
    </w:p>
    <w:p w14:paraId="3D2D6E84" w14:textId="77777777" w:rsidR="00F54BAC" w:rsidRPr="00A82FD7" w:rsidRDefault="007F2F89" w:rsidP="006E58C4">
      <w:pPr>
        <w:pStyle w:val="ListParagraph"/>
        <w:numPr>
          <w:ilvl w:val="0"/>
          <w:numId w:val="14"/>
        </w:numPr>
        <w:spacing w:line="276" w:lineRule="auto"/>
        <w:rPr>
          <w:rFonts w:asciiTheme="majorHAnsi" w:hAnsiTheme="majorHAnsi"/>
          <w:lang w:val="en" w:eastAsia="en-AU"/>
        </w:rPr>
      </w:pPr>
      <w:r>
        <w:rPr>
          <w:rFonts w:asciiTheme="majorHAnsi" w:hAnsiTheme="majorHAnsi"/>
          <w:lang w:val="en" w:eastAsia="en-AU"/>
        </w:rPr>
        <w:t>l</w:t>
      </w:r>
      <w:r w:rsidR="00F54BAC" w:rsidRPr="00A82FD7">
        <w:rPr>
          <w:rFonts w:asciiTheme="majorHAnsi" w:hAnsiTheme="majorHAnsi"/>
          <w:lang w:val="en" w:eastAsia="en-AU"/>
        </w:rPr>
        <w:t xml:space="preserve">ocal Indigenous Business </w:t>
      </w:r>
      <w:proofErr w:type="gramStart"/>
      <w:r w:rsidR="00F54BAC" w:rsidRPr="00A82FD7">
        <w:rPr>
          <w:rFonts w:asciiTheme="majorHAnsi" w:hAnsiTheme="majorHAnsi"/>
          <w:lang w:val="en" w:eastAsia="en-AU"/>
        </w:rPr>
        <w:t>Chambers</w:t>
      </w:r>
      <w:r w:rsidR="004D6E94" w:rsidRPr="00A82FD7">
        <w:rPr>
          <w:rFonts w:asciiTheme="majorHAnsi" w:hAnsiTheme="majorHAnsi"/>
          <w:lang w:val="en" w:eastAsia="en-AU"/>
        </w:rPr>
        <w:t>;</w:t>
      </w:r>
      <w:proofErr w:type="gramEnd"/>
      <w:r w:rsidR="00F54BAC" w:rsidRPr="00A82FD7">
        <w:rPr>
          <w:rFonts w:asciiTheme="majorHAnsi" w:hAnsiTheme="majorHAnsi"/>
          <w:lang w:val="en" w:eastAsia="en-AU"/>
        </w:rPr>
        <w:t xml:space="preserve"> </w:t>
      </w:r>
    </w:p>
    <w:p w14:paraId="12F589EF" w14:textId="77777777" w:rsidR="00A9031C" w:rsidRPr="00A82FD7" w:rsidRDefault="00A9031C" w:rsidP="006E58C4">
      <w:pPr>
        <w:pStyle w:val="ListParagraph"/>
        <w:numPr>
          <w:ilvl w:val="0"/>
          <w:numId w:val="14"/>
        </w:numPr>
        <w:spacing w:line="276" w:lineRule="auto"/>
        <w:rPr>
          <w:rFonts w:asciiTheme="majorHAnsi" w:hAnsiTheme="majorHAnsi"/>
          <w:lang w:val="en" w:eastAsia="en-AU"/>
        </w:rPr>
      </w:pPr>
      <w:r w:rsidRPr="00A82FD7">
        <w:rPr>
          <w:rFonts w:asciiTheme="majorHAnsi" w:hAnsiTheme="majorHAnsi"/>
          <w:lang w:val="en" w:eastAsia="en-AU"/>
        </w:rPr>
        <w:lastRenderedPageBreak/>
        <w:t xml:space="preserve">Reconciliation Australia </w:t>
      </w:r>
    </w:p>
    <w:p w14:paraId="70B95057" w14:textId="77777777" w:rsidR="00A9031C" w:rsidRPr="00A82FD7" w:rsidRDefault="00F54BAC" w:rsidP="006E58C4">
      <w:pPr>
        <w:pStyle w:val="ListParagraph"/>
        <w:numPr>
          <w:ilvl w:val="0"/>
          <w:numId w:val="14"/>
        </w:numPr>
        <w:spacing w:line="276" w:lineRule="auto"/>
        <w:rPr>
          <w:rFonts w:asciiTheme="majorHAnsi" w:hAnsiTheme="majorHAnsi"/>
          <w:lang w:val="en" w:eastAsia="en-AU"/>
        </w:rPr>
      </w:pPr>
      <w:r w:rsidRPr="00A82FD7">
        <w:rPr>
          <w:rFonts w:asciiTheme="majorHAnsi" w:hAnsiTheme="majorHAnsi"/>
          <w:lang w:val="en" w:eastAsia="en-AU"/>
        </w:rPr>
        <w:t>Supply Nations or ORIC pub</w:t>
      </w:r>
      <w:r w:rsidR="00B842F1" w:rsidRPr="00A82FD7">
        <w:rPr>
          <w:rFonts w:asciiTheme="majorHAnsi" w:hAnsiTheme="majorHAnsi"/>
          <w:lang w:val="en" w:eastAsia="en-AU"/>
        </w:rPr>
        <w:t>l</w:t>
      </w:r>
      <w:r w:rsidRPr="00A82FD7">
        <w:rPr>
          <w:rFonts w:asciiTheme="majorHAnsi" w:hAnsiTheme="majorHAnsi"/>
          <w:lang w:val="en" w:eastAsia="en-AU"/>
        </w:rPr>
        <w:t xml:space="preserve">ic </w:t>
      </w:r>
      <w:proofErr w:type="gramStart"/>
      <w:r w:rsidRPr="00A82FD7">
        <w:rPr>
          <w:rFonts w:asciiTheme="majorHAnsi" w:hAnsiTheme="majorHAnsi"/>
          <w:lang w:val="en" w:eastAsia="en-AU"/>
        </w:rPr>
        <w:t>directory</w:t>
      </w:r>
      <w:r w:rsidR="004D6E94" w:rsidRPr="00A82FD7">
        <w:rPr>
          <w:rFonts w:asciiTheme="majorHAnsi" w:hAnsiTheme="majorHAnsi"/>
          <w:lang w:val="en" w:eastAsia="en-AU"/>
        </w:rPr>
        <w:t>;</w:t>
      </w:r>
      <w:proofErr w:type="gramEnd"/>
    </w:p>
    <w:p w14:paraId="104C147E" w14:textId="77777777" w:rsidR="00F54BAC" w:rsidRPr="00A82FD7" w:rsidRDefault="00A9031C" w:rsidP="006E58C4">
      <w:pPr>
        <w:pStyle w:val="ListParagraph"/>
        <w:numPr>
          <w:ilvl w:val="0"/>
          <w:numId w:val="14"/>
        </w:numPr>
        <w:spacing w:line="276" w:lineRule="auto"/>
        <w:rPr>
          <w:rFonts w:asciiTheme="majorHAnsi" w:hAnsiTheme="majorHAnsi"/>
          <w:lang w:val="en" w:eastAsia="en-AU"/>
        </w:rPr>
      </w:pPr>
      <w:r w:rsidRPr="00A82FD7">
        <w:rPr>
          <w:rFonts w:asciiTheme="majorHAnsi" w:hAnsiTheme="majorHAnsi"/>
          <w:lang w:val="en" w:eastAsia="en-AU"/>
        </w:rPr>
        <w:t xml:space="preserve">Indigenous </w:t>
      </w:r>
      <w:proofErr w:type="gramStart"/>
      <w:r w:rsidRPr="00A82FD7">
        <w:rPr>
          <w:rFonts w:asciiTheme="majorHAnsi" w:hAnsiTheme="majorHAnsi"/>
          <w:lang w:val="en" w:eastAsia="en-AU"/>
        </w:rPr>
        <w:t>media;</w:t>
      </w:r>
      <w:proofErr w:type="gramEnd"/>
      <w:r w:rsidRPr="00A82FD7">
        <w:rPr>
          <w:rFonts w:asciiTheme="majorHAnsi" w:hAnsiTheme="majorHAnsi"/>
          <w:lang w:val="en" w:eastAsia="en-AU"/>
        </w:rPr>
        <w:t xml:space="preserve"> </w:t>
      </w:r>
    </w:p>
    <w:p w14:paraId="51BAD50D" w14:textId="77777777" w:rsidR="00F54BAC" w:rsidRPr="00A82FD7" w:rsidRDefault="00F54BAC" w:rsidP="006E58C4">
      <w:pPr>
        <w:pStyle w:val="ListParagraph"/>
        <w:numPr>
          <w:ilvl w:val="0"/>
          <w:numId w:val="14"/>
        </w:numPr>
        <w:spacing w:line="276" w:lineRule="auto"/>
        <w:rPr>
          <w:rFonts w:asciiTheme="majorHAnsi" w:hAnsiTheme="majorHAnsi"/>
          <w:lang w:val="en" w:eastAsia="en-AU"/>
        </w:rPr>
      </w:pPr>
      <w:r w:rsidRPr="00A82FD7">
        <w:rPr>
          <w:rFonts w:asciiTheme="majorHAnsi" w:hAnsiTheme="majorHAnsi"/>
          <w:lang w:val="en" w:eastAsia="en-AU"/>
        </w:rPr>
        <w:t xml:space="preserve">government and or community led networking </w:t>
      </w:r>
      <w:proofErr w:type="gramStart"/>
      <w:r w:rsidRPr="00A82FD7">
        <w:rPr>
          <w:rFonts w:asciiTheme="majorHAnsi" w:hAnsiTheme="majorHAnsi"/>
          <w:lang w:val="en" w:eastAsia="en-AU"/>
        </w:rPr>
        <w:t>opportunities</w:t>
      </w:r>
      <w:r w:rsidR="004D6E94" w:rsidRPr="00A82FD7">
        <w:rPr>
          <w:rFonts w:asciiTheme="majorHAnsi" w:hAnsiTheme="majorHAnsi"/>
          <w:lang w:val="en" w:eastAsia="en-AU"/>
        </w:rPr>
        <w:t>;</w:t>
      </w:r>
      <w:proofErr w:type="gramEnd"/>
      <w:r w:rsidRPr="00A82FD7">
        <w:rPr>
          <w:rFonts w:asciiTheme="majorHAnsi" w:hAnsiTheme="majorHAnsi"/>
          <w:lang w:val="en" w:eastAsia="en-AU"/>
        </w:rPr>
        <w:t xml:space="preserve"> </w:t>
      </w:r>
    </w:p>
    <w:p w14:paraId="078C452B" w14:textId="77777777" w:rsidR="00A9031C" w:rsidRPr="00A82FD7" w:rsidRDefault="007F2F89" w:rsidP="0095616D">
      <w:pPr>
        <w:pStyle w:val="ListParagraph"/>
        <w:numPr>
          <w:ilvl w:val="0"/>
          <w:numId w:val="14"/>
        </w:numPr>
        <w:spacing w:line="276" w:lineRule="auto"/>
        <w:rPr>
          <w:rFonts w:asciiTheme="majorHAnsi" w:hAnsiTheme="majorHAnsi"/>
          <w:lang w:val="en" w:eastAsia="en-AU"/>
        </w:rPr>
      </w:pPr>
      <w:r>
        <w:rPr>
          <w:rFonts w:asciiTheme="majorHAnsi" w:hAnsiTheme="majorHAnsi"/>
          <w:lang w:val="en" w:eastAsia="en-AU"/>
        </w:rPr>
        <w:t>c</w:t>
      </w:r>
      <w:r w:rsidR="00A9031C" w:rsidRPr="00A82FD7">
        <w:rPr>
          <w:rFonts w:asciiTheme="majorHAnsi" w:hAnsiTheme="majorHAnsi"/>
          <w:lang w:val="en" w:eastAsia="en-AU"/>
        </w:rPr>
        <w:t xml:space="preserve">ultural awareness and diversity </w:t>
      </w:r>
      <w:proofErr w:type="gramStart"/>
      <w:r w:rsidR="00A9031C" w:rsidRPr="00A82FD7">
        <w:rPr>
          <w:rFonts w:asciiTheme="majorHAnsi" w:hAnsiTheme="majorHAnsi"/>
          <w:lang w:val="en" w:eastAsia="en-AU"/>
        </w:rPr>
        <w:t>training</w:t>
      </w:r>
      <w:r w:rsidR="0095616D" w:rsidRPr="00A82FD7">
        <w:rPr>
          <w:rFonts w:asciiTheme="majorHAnsi" w:hAnsiTheme="majorHAnsi"/>
          <w:lang w:val="en" w:eastAsia="en-AU"/>
        </w:rPr>
        <w:t>;</w:t>
      </w:r>
      <w:proofErr w:type="gramEnd"/>
    </w:p>
    <w:p w14:paraId="2B463640" w14:textId="77777777" w:rsidR="0095616D" w:rsidRPr="00A82FD7" w:rsidRDefault="007F2F89" w:rsidP="002A0ED6">
      <w:pPr>
        <w:pStyle w:val="ListParagraph"/>
        <w:numPr>
          <w:ilvl w:val="0"/>
          <w:numId w:val="14"/>
        </w:numPr>
        <w:spacing w:line="276" w:lineRule="auto"/>
        <w:rPr>
          <w:rFonts w:asciiTheme="majorHAnsi" w:hAnsiTheme="majorHAnsi"/>
          <w:lang w:val="en" w:eastAsia="en-AU"/>
        </w:rPr>
      </w:pPr>
      <w:r>
        <w:rPr>
          <w:rFonts w:asciiTheme="majorHAnsi" w:hAnsiTheme="majorHAnsi"/>
          <w:lang w:val="en" w:eastAsia="en-AU"/>
        </w:rPr>
        <w:t>d</w:t>
      </w:r>
      <w:r w:rsidR="0095616D" w:rsidRPr="00A82FD7">
        <w:rPr>
          <w:rFonts w:asciiTheme="majorHAnsi" w:hAnsiTheme="majorHAnsi"/>
          <w:lang w:val="en" w:eastAsia="en-AU"/>
        </w:rPr>
        <w:t>evelopment of a Reconciliation Action Plan</w:t>
      </w:r>
      <w:r w:rsidR="00D064B2">
        <w:rPr>
          <w:rFonts w:asciiTheme="majorHAnsi" w:hAnsiTheme="majorHAnsi"/>
          <w:lang w:val="en" w:eastAsia="en-AU"/>
        </w:rPr>
        <w:t>.</w:t>
      </w:r>
      <w:r w:rsidR="0095616D" w:rsidRPr="00A82FD7">
        <w:rPr>
          <w:rFonts w:asciiTheme="majorHAnsi" w:hAnsiTheme="majorHAnsi"/>
          <w:lang w:val="en" w:eastAsia="en-AU"/>
        </w:rPr>
        <w:t xml:space="preserve"> </w:t>
      </w:r>
    </w:p>
    <w:p w14:paraId="3F9BEE7F" w14:textId="2561961D" w:rsidR="00A9031C" w:rsidRPr="00A82FD7" w:rsidRDefault="002A7B46" w:rsidP="4CD1C992">
      <w:pPr>
        <w:spacing w:line="276" w:lineRule="auto"/>
        <w:rPr>
          <w:rFonts w:asciiTheme="majorHAnsi" w:hAnsiTheme="majorHAnsi"/>
          <w:lang w:val="en-US" w:eastAsia="en-AU"/>
        </w:rPr>
      </w:pPr>
      <w:r w:rsidRPr="4CD1C992">
        <w:rPr>
          <w:rFonts w:asciiTheme="majorHAnsi" w:hAnsiTheme="majorHAnsi"/>
          <w:b/>
          <w:bCs/>
          <w:lang w:val="en-US" w:eastAsia="en-AU"/>
        </w:rPr>
        <w:t>Note:</w:t>
      </w:r>
      <w:r w:rsidRPr="4CD1C992">
        <w:rPr>
          <w:rFonts w:asciiTheme="majorHAnsi" w:hAnsiTheme="majorHAnsi"/>
          <w:lang w:val="en-US" w:eastAsia="en-AU"/>
        </w:rPr>
        <w:t xml:space="preserve"> Section 12.0 Resources provides website links to assist with locating the above services.</w:t>
      </w:r>
    </w:p>
    <w:p w14:paraId="5C194F48" w14:textId="77777777" w:rsidR="00002230" w:rsidRPr="00A82FD7" w:rsidRDefault="00EB723B" w:rsidP="4CD1C992">
      <w:pPr>
        <w:spacing w:line="276" w:lineRule="auto"/>
        <w:rPr>
          <w:rFonts w:asciiTheme="majorHAnsi" w:hAnsiTheme="majorHAnsi"/>
          <w:lang w:val="en-US" w:eastAsia="en-AU"/>
        </w:rPr>
      </w:pPr>
      <w:r w:rsidRPr="173C16C6">
        <w:rPr>
          <w:rFonts w:asciiTheme="majorHAnsi" w:hAnsiTheme="majorHAnsi"/>
          <w:lang w:val="en-US" w:eastAsia="en-AU"/>
        </w:rPr>
        <w:t xml:space="preserve">If the tenderer </w:t>
      </w:r>
      <w:r w:rsidR="00002230" w:rsidRPr="173C16C6">
        <w:rPr>
          <w:rFonts w:asciiTheme="majorHAnsi" w:hAnsiTheme="majorHAnsi"/>
          <w:lang w:val="en-US" w:eastAsia="en-AU"/>
        </w:rPr>
        <w:t xml:space="preserve">has failed to meet employment targets in past MMR contracts </w:t>
      </w:r>
      <w:r w:rsidR="0087128E" w:rsidRPr="173C16C6">
        <w:rPr>
          <w:rFonts w:asciiTheme="majorHAnsi" w:hAnsiTheme="majorHAnsi"/>
          <w:lang w:val="en-US" w:eastAsia="en-AU"/>
        </w:rPr>
        <w:t xml:space="preserve">procuring officials and/or contract managers </w:t>
      </w:r>
      <w:r w:rsidR="00002230" w:rsidRPr="173C16C6">
        <w:rPr>
          <w:rFonts w:asciiTheme="majorHAnsi" w:hAnsiTheme="majorHAnsi"/>
          <w:lang w:val="en-US" w:eastAsia="en-AU"/>
        </w:rPr>
        <w:t xml:space="preserve">should consider </w:t>
      </w:r>
      <w:r w:rsidR="007F2F89" w:rsidRPr="173C16C6">
        <w:rPr>
          <w:rFonts w:asciiTheme="majorHAnsi" w:hAnsiTheme="majorHAnsi"/>
          <w:lang w:val="en-US" w:eastAsia="en-AU"/>
        </w:rPr>
        <w:t>w</w:t>
      </w:r>
      <w:r w:rsidR="00002230" w:rsidRPr="173C16C6">
        <w:rPr>
          <w:rFonts w:asciiTheme="majorHAnsi" w:hAnsiTheme="majorHAnsi"/>
          <w:lang w:val="en-US" w:eastAsia="en-AU"/>
        </w:rPr>
        <w:t xml:space="preserve">hether the </w:t>
      </w:r>
      <w:proofErr w:type="gramStart"/>
      <w:r w:rsidRPr="173C16C6">
        <w:rPr>
          <w:rFonts w:asciiTheme="majorHAnsi" w:hAnsiTheme="majorHAnsi"/>
          <w:lang w:val="en-US" w:eastAsia="en-AU"/>
        </w:rPr>
        <w:t>tenderer‘</w:t>
      </w:r>
      <w:proofErr w:type="gramEnd"/>
      <w:r w:rsidRPr="173C16C6">
        <w:rPr>
          <w:rFonts w:asciiTheme="majorHAnsi" w:hAnsiTheme="majorHAnsi"/>
          <w:lang w:val="en-US" w:eastAsia="en-AU"/>
        </w:rPr>
        <w:t xml:space="preserve">s </w:t>
      </w:r>
      <w:r w:rsidR="00002230" w:rsidRPr="173C16C6">
        <w:rPr>
          <w:rFonts w:asciiTheme="majorHAnsi" w:hAnsiTheme="majorHAnsi"/>
          <w:lang w:val="en-US" w:eastAsia="en-AU"/>
        </w:rPr>
        <w:t xml:space="preserve">proposed </w:t>
      </w:r>
      <w:r w:rsidR="006E58C4" w:rsidRPr="173C16C6">
        <w:rPr>
          <w:rFonts w:asciiTheme="majorHAnsi" w:hAnsiTheme="majorHAnsi"/>
          <w:lang w:val="en-US" w:eastAsia="en-AU"/>
        </w:rPr>
        <w:t>plan has measures</w:t>
      </w:r>
      <w:r w:rsidR="00002230" w:rsidRPr="173C16C6">
        <w:rPr>
          <w:rFonts w:asciiTheme="majorHAnsi" w:hAnsiTheme="majorHAnsi"/>
          <w:lang w:val="en-US" w:eastAsia="en-AU"/>
        </w:rPr>
        <w:t xml:space="preserve"> in place to ensure that they can attract and retain </w:t>
      </w:r>
      <w:r w:rsidR="0032757B" w:rsidRPr="173C16C6">
        <w:rPr>
          <w:rFonts w:asciiTheme="majorHAnsi" w:hAnsiTheme="majorHAnsi"/>
          <w:lang w:val="en-US" w:eastAsia="en-AU"/>
        </w:rPr>
        <w:t>Indigenous</w:t>
      </w:r>
      <w:r w:rsidR="00002230" w:rsidRPr="173C16C6">
        <w:rPr>
          <w:rFonts w:asciiTheme="majorHAnsi" w:hAnsiTheme="majorHAnsi"/>
          <w:lang w:val="en-US" w:eastAsia="en-AU"/>
        </w:rPr>
        <w:t xml:space="preserve"> workers. </w:t>
      </w:r>
      <w:r w:rsidR="0095616D" w:rsidRPr="173C16C6">
        <w:rPr>
          <w:rFonts w:asciiTheme="majorHAnsi" w:hAnsiTheme="majorHAnsi"/>
          <w:lang w:val="en-US" w:eastAsia="en-AU"/>
        </w:rPr>
        <w:t xml:space="preserve"> This could include reviewing the current rate of Indigenous participation in their </w:t>
      </w:r>
      <w:proofErr w:type="spellStart"/>
      <w:r w:rsidR="0095616D" w:rsidRPr="173C16C6">
        <w:rPr>
          <w:rFonts w:asciiTheme="majorHAnsi" w:hAnsiTheme="majorHAnsi"/>
          <w:lang w:val="en-US" w:eastAsia="en-AU"/>
        </w:rPr>
        <w:t>organisation</w:t>
      </w:r>
      <w:proofErr w:type="spellEnd"/>
      <w:r w:rsidR="0095616D" w:rsidRPr="173C16C6">
        <w:rPr>
          <w:rFonts w:asciiTheme="majorHAnsi" w:hAnsiTheme="majorHAnsi"/>
          <w:lang w:val="en-US" w:eastAsia="en-AU"/>
        </w:rPr>
        <w:t xml:space="preserve">. </w:t>
      </w:r>
    </w:p>
    <w:p w14:paraId="5203727E" w14:textId="77777777" w:rsidR="00002230" w:rsidRPr="00134C33" w:rsidRDefault="005B43E4" w:rsidP="00B075CE">
      <w:pPr>
        <w:pStyle w:val="Heading3"/>
        <w:rPr>
          <w:color w:val="A55700" w:themeColor="accent4" w:themeShade="BF"/>
        </w:rPr>
      </w:pPr>
      <w:bookmarkStart w:id="53" w:name="_Toc223528545"/>
      <w:r w:rsidRPr="00134C33">
        <w:rPr>
          <w:color w:val="A55700" w:themeColor="accent4" w:themeShade="BF"/>
        </w:rPr>
        <w:t>5</w:t>
      </w:r>
      <w:r w:rsidR="00B075CE" w:rsidRPr="00134C33">
        <w:rPr>
          <w:color w:val="A55700" w:themeColor="accent4" w:themeShade="BF"/>
        </w:rPr>
        <w:t>.</w:t>
      </w:r>
      <w:r w:rsidR="006E58C4" w:rsidRPr="00134C33">
        <w:rPr>
          <w:color w:val="A55700" w:themeColor="accent4" w:themeShade="BF"/>
        </w:rPr>
        <w:t>4</w:t>
      </w:r>
      <w:r w:rsidR="00B075CE" w:rsidRPr="00134C33">
        <w:rPr>
          <w:color w:val="A55700" w:themeColor="accent4" w:themeShade="BF"/>
        </w:rPr>
        <w:t xml:space="preserve"> </w:t>
      </w:r>
      <w:r w:rsidR="005A276D" w:rsidRPr="00134C33">
        <w:rPr>
          <w:color w:val="A55700" w:themeColor="accent4" w:themeShade="BF"/>
        </w:rPr>
        <w:t xml:space="preserve">Assessing </w:t>
      </w:r>
      <w:r w:rsidR="003D1A97" w:rsidRPr="00134C33">
        <w:rPr>
          <w:color w:val="A55700" w:themeColor="accent4" w:themeShade="BF"/>
        </w:rPr>
        <w:t>past performance information</w:t>
      </w:r>
      <w:bookmarkEnd w:id="53"/>
      <w:r w:rsidR="003D1A97" w:rsidRPr="00134C33">
        <w:rPr>
          <w:color w:val="A55700" w:themeColor="accent4" w:themeShade="BF"/>
        </w:rPr>
        <w:t xml:space="preserve"> </w:t>
      </w:r>
    </w:p>
    <w:p w14:paraId="694C36D8" w14:textId="77777777" w:rsidR="00FB46A3" w:rsidRPr="00A82FD7" w:rsidRDefault="00727686" w:rsidP="4CD1C992">
      <w:pPr>
        <w:spacing w:line="276" w:lineRule="auto"/>
        <w:rPr>
          <w:rFonts w:asciiTheme="majorHAnsi" w:hAnsiTheme="majorHAnsi"/>
          <w:lang w:val="en-US" w:eastAsia="en-AU"/>
        </w:rPr>
      </w:pPr>
      <w:r w:rsidRPr="4CD1C992">
        <w:rPr>
          <w:rFonts w:asciiTheme="majorHAnsi" w:hAnsiTheme="majorHAnsi"/>
          <w:lang w:val="en-US" w:eastAsia="en-AU"/>
        </w:rPr>
        <w:t xml:space="preserve">A </w:t>
      </w:r>
      <w:proofErr w:type="gramStart"/>
      <w:r w:rsidR="00BA47AF" w:rsidRPr="4CD1C992">
        <w:rPr>
          <w:rFonts w:asciiTheme="majorHAnsi" w:hAnsiTheme="majorHAnsi"/>
          <w:lang w:val="en-US" w:eastAsia="en-AU"/>
        </w:rPr>
        <w:t>tenderer’s</w:t>
      </w:r>
      <w:proofErr w:type="gramEnd"/>
      <w:r w:rsidR="00BA47AF" w:rsidRPr="4CD1C992">
        <w:rPr>
          <w:rFonts w:asciiTheme="majorHAnsi" w:hAnsiTheme="majorHAnsi"/>
          <w:lang w:val="en-US" w:eastAsia="en-AU"/>
        </w:rPr>
        <w:t xml:space="preserve"> </w:t>
      </w:r>
      <w:r w:rsidR="00002230" w:rsidRPr="4CD1C992">
        <w:rPr>
          <w:rFonts w:asciiTheme="majorHAnsi" w:hAnsiTheme="majorHAnsi"/>
          <w:lang w:val="en-US" w:eastAsia="en-AU"/>
        </w:rPr>
        <w:t xml:space="preserve">past </w:t>
      </w:r>
      <w:r w:rsidRPr="4CD1C992">
        <w:rPr>
          <w:rFonts w:asciiTheme="majorHAnsi" w:hAnsiTheme="majorHAnsi"/>
          <w:lang w:val="en-US" w:eastAsia="en-AU"/>
        </w:rPr>
        <w:t xml:space="preserve">MMR </w:t>
      </w:r>
      <w:r w:rsidR="00002230" w:rsidRPr="4CD1C992">
        <w:rPr>
          <w:rFonts w:asciiTheme="majorHAnsi" w:hAnsiTheme="majorHAnsi"/>
          <w:lang w:val="en-US" w:eastAsia="en-AU"/>
        </w:rPr>
        <w:t xml:space="preserve">performance information </w:t>
      </w:r>
      <w:r w:rsidRPr="4CD1C992">
        <w:rPr>
          <w:rFonts w:asciiTheme="majorHAnsi" w:hAnsiTheme="majorHAnsi"/>
          <w:lang w:val="en-US" w:eastAsia="en-AU"/>
        </w:rPr>
        <w:t xml:space="preserve">is </w:t>
      </w:r>
      <w:r w:rsidR="00002230" w:rsidRPr="4CD1C992">
        <w:rPr>
          <w:rFonts w:asciiTheme="majorHAnsi" w:hAnsiTheme="majorHAnsi"/>
          <w:lang w:val="en-US" w:eastAsia="en-AU"/>
        </w:rPr>
        <w:t xml:space="preserve">contained in the IPPRS and is accessible via </w:t>
      </w:r>
      <w:r w:rsidRPr="4CD1C992">
        <w:rPr>
          <w:rFonts w:asciiTheme="majorHAnsi" w:hAnsiTheme="majorHAnsi"/>
          <w:lang w:val="en-US" w:eastAsia="en-AU"/>
        </w:rPr>
        <w:t xml:space="preserve">each portfolio’s </w:t>
      </w:r>
      <w:r w:rsidR="00EB723B" w:rsidRPr="4CD1C992">
        <w:rPr>
          <w:rFonts w:asciiTheme="majorHAnsi" w:hAnsiTheme="majorHAnsi"/>
          <w:lang w:val="en-US" w:eastAsia="en-AU"/>
        </w:rPr>
        <w:t xml:space="preserve">central procurement team. </w:t>
      </w:r>
    </w:p>
    <w:p w14:paraId="2BE0EBF7" w14:textId="77777777" w:rsidR="00BA47AF" w:rsidRPr="00A82FD7" w:rsidRDefault="00727686" w:rsidP="4CD1C992">
      <w:pPr>
        <w:spacing w:line="276" w:lineRule="auto"/>
        <w:rPr>
          <w:rFonts w:asciiTheme="majorHAnsi" w:hAnsiTheme="majorHAnsi"/>
          <w:lang w:eastAsia="en-AU"/>
        </w:rPr>
      </w:pPr>
      <w:r w:rsidRPr="4CD1C992">
        <w:rPr>
          <w:rFonts w:asciiTheme="majorHAnsi" w:hAnsiTheme="majorHAnsi"/>
          <w:lang w:eastAsia="en-AU"/>
        </w:rPr>
        <w:t xml:space="preserve">A </w:t>
      </w:r>
      <w:r w:rsidR="00BA47AF" w:rsidRPr="4CD1C992">
        <w:rPr>
          <w:rFonts w:asciiTheme="majorHAnsi" w:hAnsiTheme="majorHAnsi"/>
          <w:lang w:eastAsia="en-AU"/>
        </w:rPr>
        <w:t>tenderer</w:t>
      </w:r>
      <w:r w:rsidRPr="4CD1C992">
        <w:rPr>
          <w:rFonts w:asciiTheme="majorHAnsi" w:hAnsiTheme="majorHAnsi"/>
          <w:lang w:eastAsia="en-AU"/>
        </w:rPr>
        <w:t xml:space="preserve"> can </w:t>
      </w:r>
      <w:r w:rsidR="00FB46A3" w:rsidRPr="4CD1C992">
        <w:rPr>
          <w:rFonts w:asciiTheme="majorHAnsi" w:hAnsiTheme="majorHAnsi"/>
          <w:lang w:eastAsia="en-AU"/>
        </w:rPr>
        <w:t xml:space="preserve">also </w:t>
      </w:r>
      <w:r w:rsidRPr="4CD1C992">
        <w:rPr>
          <w:rFonts w:asciiTheme="majorHAnsi" w:hAnsiTheme="majorHAnsi"/>
          <w:lang w:eastAsia="en-AU"/>
        </w:rPr>
        <w:t>access their own information</w:t>
      </w:r>
      <w:r w:rsidR="007F2F89" w:rsidRPr="4CD1C992">
        <w:rPr>
          <w:rFonts w:asciiTheme="majorHAnsi" w:hAnsiTheme="majorHAnsi"/>
          <w:lang w:eastAsia="en-AU"/>
        </w:rPr>
        <w:t xml:space="preserve"> </w:t>
      </w:r>
      <w:r w:rsidR="00AA1C65" w:rsidRPr="4CD1C992">
        <w:rPr>
          <w:rFonts w:asciiTheme="majorHAnsi" w:hAnsiTheme="majorHAnsi"/>
          <w:lang w:eastAsia="en-AU"/>
        </w:rPr>
        <w:t>via the contractor portal</w:t>
      </w:r>
      <w:r w:rsidRPr="4CD1C992">
        <w:rPr>
          <w:rFonts w:asciiTheme="majorHAnsi" w:hAnsiTheme="majorHAnsi"/>
          <w:lang w:eastAsia="en-AU"/>
        </w:rPr>
        <w:t xml:space="preserve"> in the IPPRS</w:t>
      </w:r>
      <w:r w:rsidR="00EB723B" w:rsidRPr="4CD1C992">
        <w:rPr>
          <w:rFonts w:asciiTheme="majorHAnsi" w:hAnsiTheme="majorHAnsi"/>
          <w:lang w:eastAsia="en-AU"/>
        </w:rPr>
        <w:t xml:space="preserve">.  </w:t>
      </w:r>
    </w:p>
    <w:p w14:paraId="6EC920FE" w14:textId="77777777" w:rsidR="000B625A" w:rsidRPr="00A82FD7" w:rsidRDefault="00FB46A3" w:rsidP="006E58C4">
      <w:pPr>
        <w:spacing w:line="276" w:lineRule="auto"/>
        <w:rPr>
          <w:rFonts w:asciiTheme="majorHAnsi" w:hAnsiTheme="majorHAnsi"/>
        </w:rPr>
      </w:pPr>
      <w:r w:rsidRPr="00A82FD7">
        <w:rPr>
          <w:rFonts w:asciiTheme="majorHAnsi" w:hAnsiTheme="majorHAnsi"/>
          <w:lang w:val="en" w:eastAsia="en-AU"/>
        </w:rPr>
        <w:t xml:space="preserve">For assistance, </w:t>
      </w:r>
      <w:r w:rsidR="00002230" w:rsidRPr="00A82FD7">
        <w:rPr>
          <w:rFonts w:asciiTheme="majorHAnsi" w:hAnsiTheme="majorHAnsi"/>
          <w:lang w:val="en" w:eastAsia="en-AU"/>
        </w:rPr>
        <w:t>contact NIAA at</w:t>
      </w:r>
      <w:r w:rsidR="00AA2631" w:rsidRPr="00A82FD7">
        <w:rPr>
          <w:rFonts w:asciiTheme="majorHAnsi" w:hAnsiTheme="majorHAnsi"/>
          <w:lang w:val="en" w:eastAsia="en-AU"/>
        </w:rPr>
        <w:t xml:space="preserve"> </w:t>
      </w:r>
      <w:hyperlink r:id="rId32" w:history="1">
        <w:r w:rsidR="00AA2631" w:rsidRPr="00134C33">
          <w:rPr>
            <w:rStyle w:val="Hyperlink"/>
            <w:rFonts w:asciiTheme="majorHAnsi" w:hAnsiTheme="majorHAnsi"/>
            <w:color w:val="015E8A" w:themeColor="text2" w:themeTint="E6"/>
            <w:lang w:val="en" w:eastAsia="en-AU"/>
          </w:rPr>
          <w:t>indigenousprocurement@niaa.gov.au</w:t>
        </w:r>
      </w:hyperlink>
      <w:r w:rsidR="00AA2631" w:rsidRPr="00A82FD7">
        <w:rPr>
          <w:rFonts w:asciiTheme="majorHAnsi" w:hAnsiTheme="majorHAnsi"/>
          <w:lang w:val="en" w:eastAsia="en-AU"/>
        </w:rPr>
        <w:t xml:space="preserve">. </w:t>
      </w:r>
      <w:r w:rsidR="00CE61DB" w:rsidRPr="00A82FD7">
        <w:rPr>
          <w:rFonts w:asciiTheme="majorHAnsi" w:hAnsiTheme="majorHAnsi"/>
          <w:lang w:val="en" w:eastAsia="en-AU"/>
        </w:rPr>
        <w:t xml:space="preserve"> </w:t>
      </w:r>
      <w:r w:rsidR="00002230" w:rsidRPr="00A82FD7">
        <w:rPr>
          <w:rFonts w:asciiTheme="majorHAnsi" w:hAnsiTheme="majorHAnsi"/>
          <w:lang w:val="en" w:eastAsia="en-AU"/>
        </w:rPr>
        <w:t xml:space="preserve"> </w:t>
      </w:r>
    </w:p>
    <w:p w14:paraId="3503AE4E" w14:textId="77777777" w:rsidR="008A7EEC" w:rsidRPr="00A82FD7" w:rsidRDefault="00602CBF" w:rsidP="008A7EEC">
      <w:pPr>
        <w:pStyle w:val="Heading2"/>
      </w:pPr>
      <w:bookmarkStart w:id="54" w:name="_Toc223528546"/>
      <w:r>
        <w:t>6</w:t>
      </w:r>
      <w:r w:rsidR="007F2F89">
        <w:t>.0 Panel and other a</w:t>
      </w:r>
      <w:r w:rsidR="008A7EEC" w:rsidRPr="00A82FD7">
        <w:t>rrangements</w:t>
      </w:r>
      <w:bookmarkEnd w:id="54"/>
    </w:p>
    <w:p w14:paraId="6942ADE4" w14:textId="77777777" w:rsidR="008A7EEC" w:rsidRPr="00134C33" w:rsidRDefault="00602CBF" w:rsidP="007F2F89">
      <w:pPr>
        <w:pStyle w:val="Heading3"/>
        <w:rPr>
          <w:color w:val="A55700" w:themeColor="accent4" w:themeShade="BF"/>
        </w:rPr>
      </w:pPr>
      <w:bookmarkStart w:id="55" w:name="_Toc223528547"/>
      <w:r w:rsidRPr="00134C33">
        <w:rPr>
          <w:color w:val="A55700" w:themeColor="accent4" w:themeShade="BF"/>
        </w:rPr>
        <w:t>6</w:t>
      </w:r>
      <w:r w:rsidR="007F2F89" w:rsidRPr="00134C33">
        <w:rPr>
          <w:color w:val="A55700" w:themeColor="accent4" w:themeShade="BF"/>
        </w:rPr>
        <w:t xml:space="preserve">.1 </w:t>
      </w:r>
      <w:r w:rsidR="008A7EEC" w:rsidRPr="00134C33">
        <w:rPr>
          <w:color w:val="A55700" w:themeColor="accent4" w:themeShade="BF"/>
        </w:rPr>
        <w:t xml:space="preserve">Applying the MMR when establishing a </w:t>
      </w:r>
      <w:r w:rsidR="005651EA" w:rsidRPr="00134C33">
        <w:rPr>
          <w:color w:val="A55700" w:themeColor="accent4" w:themeShade="BF"/>
        </w:rPr>
        <w:t xml:space="preserve">new </w:t>
      </w:r>
      <w:r w:rsidR="008A7EEC" w:rsidRPr="00134C33">
        <w:rPr>
          <w:color w:val="A55700" w:themeColor="accent4" w:themeShade="BF"/>
        </w:rPr>
        <w:t>panel or cooperative arrangement</w:t>
      </w:r>
      <w:r w:rsidR="00367D88" w:rsidRPr="00134C33">
        <w:rPr>
          <w:color w:val="A55700" w:themeColor="accent4" w:themeShade="BF"/>
        </w:rPr>
        <w:t xml:space="preserve"> that will award official orders of $7.5 million or more.</w:t>
      </w:r>
      <w:bookmarkEnd w:id="55"/>
    </w:p>
    <w:p w14:paraId="3E15EF93" w14:textId="2F736729" w:rsidR="00062A6F" w:rsidRPr="00A82FD7" w:rsidRDefault="006F3C04" w:rsidP="008A7EEC">
      <w:pPr>
        <w:pStyle w:val="BodyText"/>
        <w:rPr>
          <w:rFonts w:asciiTheme="majorHAnsi" w:hAnsiTheme="majorHAnsi"/>
        </w:rPr>
      </w:pPr>
      <w:r>
        <w:rPr>
          <w:rFonts w:asciiTheme="majorHAnsi" w:hAnsiTheme="majorHAnsi"/>
        </w:rPr>
        <w:t xml:space="preserve">If a panel </w:t>
      </w:r>
      <w:r w:rsidR="00C7436C">
        <w:rPr>
          <w:rFonts w:asciiTheme="majorHAnsi" w:hAnsiTheme="majorHAnsi"/>
        </w:rPr>
        <w:t xml:space="preserve">meets one of the MMR industry </w:t>
      </w:r>
      <w:proofErr w:type="gramStart"/>
      <w:r w:rsidR="00C7436C">
        <w:rPr>
          <w:rFonts w:asciiTheme="majorHAnsi" w:hAnsiTheme="majorHAnsi"/>
        </w:rPr>
        <w:t xml:space="preserve">categories, </w:t>
      </w:r>
      <w:r w:rsidR="00B87303">
        <w:rPr>
          <w:rFonts w:asciiTheme="majorHAnsi" w:hAnsiTheme="majorHAnsi"/>
        </w:rPr>
        <w:t xml:space="preserve"> </w:t>
      </w:r>
      <w:r w:rsidR="007F2F89">
        <w:rPr>
          <w:rFonts w:asciiTheme="majorHAnsi" w:hAnsiTheme="majorHAnsi"/>
        </w:rPr>
        <w:t>approach</w:t>
      </w:r>
      <w:proofErr w:type="gramEnd"/>
      <w:r w:rsidR="007F2F89">
        <w:rPr>
          <w:rFonts w:asciiTheme="majorHAnsi" w:hAnsiTheme="majorHAnsi"/>
        </w:rPr>
        <w:t xml:space="preserve"> to market </w:t>
      </w:r>
      <w:r w:rsidR="008A7EEC" w:rsidRPr="00A82FD7">
        <w:rPr>
          <w:rFonts w:asciiTheme="majorHAnsi" w:hAnsiTheme="majorHAnsi"/>
        </w:rPr>
        <w:t xml:space="preserve">documentation must specify that any </w:t>
      </w:r>
      <w:r w:rsidR="005651EA" w:rsidRPr="00A82FD7">
        <w:rPr>
          <w:rFonts w:asciiTheme="majorHAnsi" w:hAnsiTheme="majorHAnsi"/>
        </w:rPr>
        <w:t xml:space="preserve">official order (contract) </w:t>
      </w:r>
      <w:r w:rsidR="008A7EEC" w:rsidRPr="00A82FD7">
        <w:rPr>
          <w:rFonts w:asciiTheme="majorHAnsi" w:hAnsiTheme="majorHAnsi"/>
        </w:rPr>
        <w:t xml:space="preserve">from the panel valued at $7.5 million </w:t>
      </w:r>
      <w:r w:rsidR="003F6D16">
        <w:rPr>
          <w:rFonts w:asciiTheme="majorHAnsi" w:hAnsiTheme="majorHAnsi"/>
        </w:rPr>
        <w:t xml:space="preserve">or more </w:t>
      </w:r>
      <w:r w:rsidR="008A7EEC" w:rsidRPr="00A82FD7">
        <w:rPr>
          <w:rFonts w:asciiTheme="majorHAnsi" w:hAnsiTheme="majorHAnsi"/>
        </w:rPr>
        <w:t>will be subject to the MMR</w:t>
      </w:r>
      <w:r w:rsidR="00B87303">
        <w:rPr>
          <w:rFonts w:asciiTheme="majorHAnsi" w:hAnsiTheme="majorHAnsi"/>
        </w:rPr>
        <w:t xml:space="preserve">. Where delivered in remote Australia, any </w:t>
      </w:r>
      <w:r w:rsidR="005651EA" w:rsidRPr="00A82FD7">
        <w:rPr>
          <w:rFonts w:asciiTheme="majorHAnsi" w:hAnsiTheme="majorHAnsi"/>
        </w:rPr>
        <w:t xml:space="preserve">official order (contract) </w:t>
      </w:r>
      <w:r w:rsidR="00B87303">
        <w:rPr>
          <w:rFonts w:asciiTheme="majorHAnsi" w:hAnsiTheme="majorHAnsi"/>
        </w:rPr>
        <w:t xml:space="preserve">subject to MMR must include the requirement to achieve a </w:t>
      </w:r>
      <w:r w:rsidR="002A0ED6" w:rsidRPr="00A82FD7">
        <w:rPr>
          <w:rFonts w:asciiTheme="majorHAnsi" w:hAnsiTheme="majorHAnsi"/>
        </w:rPr>
        <w:t xml:space="preserve">significant outcome </w:t>
      </w:r>
      <w:r w:rsidR="00B87303">
        <w:rPr>
          <w:rFonts w:asciiTheme="majorHAnsi" w:hAnsiTheme="majorHAnsi"/>
        </w:rPr>
        <w:t>for Indigenous Australians.</w:t>
      </w:r>
    </w:p>
    <w:p w14:paraId="6A94BBE2" w14:textId="77777777" w:rsidR="00BE0334" w:rsidRPr="00A82FD7" w:rsidRDefault="00BE0334" w:rsidP="00BE0334">
      <w:pPr>
        <w:pStyle w:val="BodyText"/>
        <w:rPr>
          <w:rFonts w:asciiTheme="majorHAnsi" w:hAnsiTheme="majorHAnsi"/>
        </w:rPr>
      </w:pPr>
      <w:r w:rsidRPr="00A82FD7">
        <w:rPr>
          <w:rFonts w:asciiTheme="majorHAnsi" w:hAnsiTheme="majorHAnsi"/>
        </w:rPr>
        <w:t>Potential suppliers respo</w:t>
      </w:r>
      <w:r w:rsidR="00B87303">
        <w:rPr>
          <w:rFonts w:asciiTheme="majorHAnsi" w:hAnsiTheme="majorHAnsi"/>
        </w:rPr>
        <w:t xml:space="preserve">nding to an approach to market </w:t>
      </w:r>
      <w:r w:rsidR="00367D88">
        <w:rPr>
          <w:rFonts w:asciiTheme="majorHAnsi" w:hAnsiTheme="majorHAnsi"/>
        </w:rPr>
        <w:t xml:space="preserve">from </w:t>
      </w:r>
      <w:r w:rsidRPr="00A82FD7">
        <w:rPr>
          <w:rFonts w:asciiTheme="majorHAnsi" w:hAnsiTheme="majorHAnsi"/>
        </w:rPr>
        <w:t>a panel arrangement</w:t>
      </w:r>
      <w:r w:rsidR="00367D88">
        <w:rPr>
          <w:rFonts w:asciiTheme="majorHAnsi" w:hAnsiTheme="majorHAnsi"/>
        </w:rPr>
        <w:t xml:space="preserve"> that is subject to MMR</w:t>
      </w:r>
      <w:r w:rsidRPr="00A82FD7">
        <w:rPr>
          <w:rFonts w:asciiTheme="majorHAnsi" w:hAnsiTheme="majorHAnsi"/>
        </w:rPr>
        <w:t xml:space="preserve"> must have the capacity to meet the MMR </w:t>
      </w:r>
      <w:r w:rsidR="00367D88">
        <w:rPr>
          <w:rFonts w:asciiTheme="majorHAnsi" w:hAnsiTheme="majorHAnsi"/>
        </w:rPr>
        <w:t xml:space="preserve">to </w:t>
      </w:r>
      <w:r w:rsidRPr="00A82FD7">
        <w:rPr>
          <w:rFonts w:asciiTheme="majorHAnsi" w:hAnsiTheme="majorHAnsi"/>
        </w:rPr>
        <w:t xml:space="preserve">be </w:t>
      </w:r>
      <w:r w:rsidR="00D064B2">
        <w:rPr>
          <w:rFonts w:asciiTheme="majorHAnsi" w:hAnsiTheme="majorHAnsi"/>
        </w:rPr>
        <w:t>awarded</w:t>
      </w:r>
      <w:r w:rsidRPr="00A82FD7">
        <w:rPr>
          <w:rFonts w:asciiTheme="majorHAnsi" w:hAnsiTheme="majorHAnsi"/>
        </w:rPr>
        <w:t xml:space="preserve"> a </w:t>
      </w:r>
      <w:r w:rsidR="00367D88">
        <w:rPr>
          <w:rFonts w:asciiTheme="majorHAnsi" w:hAnsiTheme="majorHAnsi"/>
        </w:rPr>
        <w:t xml:space="preserve">contract/work order/official order. </w:t>
      </w:r>
    </w:p>
    <w:p w14:paraId="66F8B301" w14:textId="77777777" w:rsidR="008A7EEC" w:rsidRPr="00134C33" w:rsidRDefault="00602CBF" w:rsidP="002B05D9">
      <w:pPr>
        <w:pStyle w:val="Heading3"/>
        <w:rPr>
          <w:color w:val="A55700" w:themeColor="accent4" w:themeShade="BF"/>
        </w:rPr>
      </w:pPr>
      <w:bookmarkStart w:id="56" w:name="_Toc223528548"/>
      <w:r w:rsidRPr="00134C33">
        <w:rPr>
          <w:color w:val="A55700" w:themeColor="accent4" w:themeShade="BF"/>
        </w:rPr>
        <w:t>6</w:t>
      </w:r>
      <w:r w:rsidR="00367D88" w:rsidRPr="00134C33">
        <w:rPr>
          <w:color w:val="A55700" w:themeColor="accent4" w:themeShade="BF"/>
        </w:rPr>
        <w:t>.2</w:t>
      </w:r>
      <w:r w:rsidR="00B87303" w:rsidRPr="00134C33">
        <w:rPr>
          <w:color w:val="A55700" w:themeColor="accent4" w:themeShade="BF"/>
        </w:rPr>
        <w:t xml:space="preserve"> </w:t>
      </w:r>
      <w:r w:rsidR="008A7EEC" w:rsidRPr="00134C33">
        <w:rPr>
          <w:color w:val="A55700" w:themeColor="accent4" w:themeShade="BF"/>
        </w:rPr>
        <w:t xml:space="preserve">Applying MMR </w:t>
      </w:r>
      <w:r w:rsidR="009D28F1" w:rsidRPr="00134C33">
        <w:rPr>
          <w:color w:val="A55700" w:themeColor="accent4" w:themeShade="BF"/>
        </w:rPr>
        <w:t>to official orders</w:t>
      </w:r>
      <w:bookmarkEnd w:id="56"/>
    </w:p>
    <w:p w14:paraId="6DF80866" w14:textId="77777777" w:rsidR="00077B35" w:rsidRDefault="00367D88" w:rsidP="00367D88">
      <w:pPr>
        <w:pStyle w:val="BodyText"/>
        <w:rPr>
          <w:rFonts w:asciiTheme="majorHAnsi" w:hAnsiTheme="majorHAnsi"/>
        </w:rPr>
      </w:pPr>
      <w:r w:rsidRPr="00367D88">
        <w:rPr>
          <w:rFonts w:asciiTheme="majorHAnsi" w:hAnsiTheme="majorHAnsi"/>
        </w:rPr>
        <w:t>Procuring officials undertaking a procurement from a standing offer or panel arrangement (where MMR have been identified in the Deed of Standing Offer) must ask the supplier/panel member to provide an Indigenous Participation Plan and details of their organisation’s past compliance with the MMR when the value of the contract (or official order) meets the MMR criteria</w:t>
      </w:r>
      <w:r>
        <w:rPr>
          <w:rFonts w:asciiTheme="majorHAnsi" w:hAnsiTheme="majorHAnsi"/>
        </w:rPr>
        <w:t xml:space="preserve">. </w:t>
      </w:r>
    </w:p>
    <w:p w14:paraId="5F67257E" w14:textId="77777777" w:rsidR="008A7EEC" w:rsidRDefault="00077B35" w:rsidP="002B05D9">
      <w:pPr>
        <w:pStyle w:val="BodyText"/>
        <w:rPr>
          <w:rFonts w:asciiTheme="majorHAnsi" w:hAnsiTheme="majorHAnsi"/>
        </w:rPr>
      </w:pPr>
      <w:r w:rsidRPr="00077B35">
        <w:rPr>
          <w:rFonts w:asciiTheme="majorHAnsi" w:hAnsiTheme="majorHAnsi"/>
        </w:rPr>
        <w:t xml:space="preserve">The Indigenous Participation Plan must demonstrate the supplier’s ability to meet the MMR target including, if specified, in a remote area. The plan should be included as a contractual requirement in the official order. </w:t>
      </w:r>
      <w:r>
        <w:rPr>
          <w:rFonts w:asciiTheme="majorHAnsi" w:hAnsiTheme="majorHAnsi"/>
        </w:rPr>
        <w:t xml:space="preserve"> </w:t>
      </w:r>
      <w:r w:rsidR="002B05D9">
        <w:rPr>
          <w:rFonts w:asciiTheme="majorHAnsi" w:hAnsiTheme="majorHAnsi"/>
        </w:rPr>
        <w:t>N</w:t>
      </w:r>
      <w:r>
        <w:rPr>
          <w:rFonts w:asciiTheme="majorHAnsi" w:hAnsiTheme="majorHAnsi"/>
        </w:rPr>
        <w:t xml:space="preserve">IAA has </w:t>
      </w:r>
      <w:r w:rsidR="002B05D9">
        <w:rPr>
          <w:rFonts w:asciiTheme="majorHAnsi" w:hAnsiTheme="majorHAnsi"/>
        </w:rPr>
        <w:t xml:space="preserve">developed </w:t>
      </w:r>
      <w:hyperlink r:id="rId33" w:history="1">
        <w:r w:rsidR="00096FA2" w:rsidRPr="00134C33">
          <w:rPr>
            <w:rStyle w:val="Hyperlink"/>
            <w:rFonts w:asciiTheme="majorHAnsi" w:hAnsiTheme="majorHAnsi"/>
            <w:color w:val="015E8A" w:themeColor="text2" w:themeTint="E6"/>
          </w:rPr>
          <w:t>model clauses</w:t>
        </w:r>
      </w:hyperlink>
      <w:r w:rsidR="00096FA2">
        <w:rPr>
          <w:rFonts w:asciiTheme="majorHAnsi" w:hAnsiTheme="majorHAnsi"/>
        </w:rPr>
        <w:t xml:space="preserve"> </w:t>
      </w:r>
      <w:r w:rsidR="002B05D9">
        <w:rPr>
          <w:rFonts w:asciiTheme="majorHAnsi" w:hAnsiTheme="majorHAnsi"/>
        </w:rPr>
        <w:t xml:space="preserve">to assist. </w:t>
      </w:r>
    </w:p>
    <w:p w14:paraId="1316371B" w14:textId="77777777" w:rsidR="00077B35" w:rsidRPr="00077B35" w:rsidRDefault="00077B35" w:rsidP="00077B35">
      <w:pPr>
        <w:rPr>
          <w:rFonts w:asciiTheme="majorHAnsi" w:hAnsiTheme="majorHAnsi"/>
        </w:rPr>
      </w:pPr>
      <w:r w:rsidRPr="00077B35">
        <w:rPr>
          <w:rFonts w:asciiTheme="majorHAnsi" w:hAnsiTheme="majorHAnsi"/>
        </w:rPr>
        <w:t>If an official order issued though a panel arrangement is valued at $7.5 million, and meets the other MMR criteria, but the Head Agreement does not require the supplier to submit an Indigenous Participation Plan, the procuring official and/or contract manager should encourage the supplier to use their best endeavours to increase Indigenous participation over the delivery of the contract.</w:t>
      </w:r>
    </w:p>
    <w:p w14:paraId="564CC29A" w14:textId="77777777" w:rsidR="00AC1DAC" w:rsidRPr="00A82FD7" w:rsidRDefault="00602CBF" w:rsidP="00AC1DAC">
      <w:pPr>
        <w:pStyle w:val="Heading2"/>
      </w:pPr>
      <w:bookmarkStart w:id="57" w:name="_Toc40782718"/>
      <w:bookmarkStart w:id="58" w:name="_Toc223528549"/>
      <w:r>
        <w:lastRenderedPageBreak/>
        <w:t>7</w:t>
      </w:r>
      <w:r w:rsidR="00AC1DAC" w:rsidRPr="00A82FD7">
        <w:t>.0 Contracting</w:t>
      </w:r>
      <w:bookmarkEnd w:id="57"/>
      <w:bookmarkEnd w:id="58"/>
      <w:r w:rsidR="00AC1DAC" w:rsidRPr="00A82FD7">
        <w:t xml:space="preserve"> </w:t>
      </w:r>
    </w:p>
    <w:p w14:paraId="59D265D6" w14:textId="77777777" w:rsidR="00BE7BB6" w:rsidRDefault="005F1E30" w:rsidP="00BE7BB6">
      <w:pPr>
        <w:pStyle w:val="BodyText"/>
        <w:rPr>
          <w:rFonts w:asciiTheme="majorHAnsi" w:hAnsiTheme="majorHAnsi"/>
        </w:rPr>
      </w:pPr>
      <w:r>
        <w:rPr>
          <w:rFonts w:asciiTheme="majorHAnsi" w:hAnsiTheme="majorHAnsi"/>
        </w:rPr>
        <w:t>In addition to the approach to market documentation and draft contract, the final contract must</w:t>
      </w:r>
      <w:r w:rsidR="00BE7BB6">
        <w:rPr>
          <w:rFonts w:asciiTheme="majorHAnsi" w:hAnsiTheme="majorHAnsi"/>
        </w:rPr>
        <w:t xml:space="preserve"> </w:t>
      </w:r>
      <w:proofErr w:type="gramStart"/>
      <w:r w:rsidR="00BE7BB6">
        <w:rPr>
          <w:rFonts w:asciiTheme="majorHAnsi" w:hAnsiTheme="majorHAnsi"/>
        </w:rPr>
        <w:t>contains</w:t>
      </w:r>
      <w:proofErr w:type="gramEnd"/>
      <w:r w:rsidR="00BE7BB6">
        <w:rPr>
          <w:rFonts w:asciiTheme="majorHAnsi" w:hAnsiTheme="majorHAnsi"/>
        </w:rPr>
        <w:t xml:space="preserve"> clauses (see Section 4.1) requiring the following: </w:t>
      </w:r>
    </w:p>
    <w:p w14:paraId="77999F0D" w14:textId="77777777" w:rsidR="00AC1DAC" w:rsidRPr="005F1E30" w:rsidRDefault="00AC1DAC" w:rsidP="005F1E30">
      <w:pPr>
        <w:pStyle w:val="BulletedListlvl1"/>
        <w:rPr>
          <w:rFonts w:asciiTheme="majorHAnsi" w:hAnsiTheme="majorHAnsi"/>
        </w:rPr>
      </w:pPr>
      <w:r w:rsidRPr="005F1E30">
        <w:rPr>
          <w:rFonts w:asciiTheme="majorHAnsi" w:hAnsiTheme="majorHAnsi"/>
        </w:rPr>
        <w:t xml:space="preserve">the employment and supply use target </w:t>
      </w:r>
      <w:r w:rsidR="004761F5" w:rsidRPr="005F1E30">
        <w:rPr>
          <w:rFonts w:asciiTheme="majorHAnsi" w:hAnsiTheme="majorHAnsi"/>
        </w:rPr>
        <w:t>(see sectio</w:t>
      </w:r>
      <w:r w:rsidR="005F1E30">
        <w:rPr>
          <w:rFonts w:asciiTheme="majorHAnsi" w:hAnsiTheme="majorHAnsi"/>
        </w:rPr>
        <w:t>n 3</w:t>
      </w:r>
      <w:proofErr w:type="gramStart"/>
      <w:r w:rsidR="005F1E30">
        <w:rPr>
          <w:rFonts w:asciiTheme="majorHAnsi" w:hAnsiTheme="majorHAnsi"/>
        </w:rPr>
        <w:t>)</w:t>
      </w:r>
      <w:r w:rsidRPr="005F1E30">
        <w:rPr>
          <w:rFonts w:asciiTheme="majorHAnsi" w:hAnsiTheme="majorHAnsi"/>
        </w:rPr>
        <w:t>;</w:t>
      </w:r>
      <w:proofErr w:type="gramEnd"/>
    </w:p>
    <w:p w14:paraId="5B77AD88" w14:textId="77777777" w:rsidR="00AC1DAC" w:rsidRPr="00A82FD7" w:rsidRDefault="00B87303" w:rsidP="00AC1DAC">
      <w:pPr>
        <w:pStyle w:val="BulletedListlvl1"/>
        <w:rPr>
          <w:rFonts w:asciiTheme="majorHAnsi" w:hAnsiTheme="majorHAnsi"/>
        </w:rPr>
      </w:pPr>
      <w:r>
        <w:rPr>
          <w:rFonts w:asciiTheme="majorHAnsi" w:hAnsiTheme="majorHAnsi"/>
        </w:rPr>
        <w:t xml:space="preserve">an </w:t>
      </w:r>
      <w:r w:rsidR="00AC1DAC" w:rsidRPr="00A82FD7">
        <w:rPr>
          <w:rFonts w:asciiTheme="majorHAnsi" w:hAnsiTheme="majorHAnsi"/>
        </w:rPr>
        <w:t>Indigenous Participation Plan</w:t>
      </w:r>
      <w:r w:rsidR="005F1E30">
        <w:rPr>
          <w:rFonts w:asciiTheme="majorHAnsi" w:hAnsiTheme="majorHAnsi"/>
        </w:rPr>
        <w:t xml:space="preserve"> (see section 4.2</w:t>
      </w:r>
      <w:proofErr w:type="gramStart"/>
      <w:r w:rsidR="005F1E30">
        <w:rPr>
          <w:rFonts w:asciiTheme="majorHAnsi" w:hAnsiTheme="majorHAnsi"/>
        </w:rPr>
        <w:t>)</w:t>
      </w:r>
      <w:r w:rsidR="00AC1DAC" w:rsidRPr="00A82FD7">
        <w:rPr>
          <w:rFonts w:asciiTheme="majorHAnsi" w:hAnsiTheme="majorHAnsi"/>
        </w:rPr>
        <w:t>;</w:t>
      </w:r>
      <w:proofErr w:type="gramEnd"/>
      <w:r w:rsidR="00AC1DAC" w:rsidRPr="00A82FD7">
        <w:rPr>
          <w:rFonts w:asciiTheme="majorHAnsi" w:hAnsiTheme="majorHAnsi"/>
        </w:rPr>
        <w:t xml:space="preserve"> </w:t>
      </w:r>
    </w:p>
    <w:p w14:paraId="19492555" w14:textId="77777777" w:rsidR="000868FB" w:rsidRPr="00A82FD7" w:rsidRDefault="00AC1DAC" w:rsidP="00AC1DAC">
      <w:pPr>
        <w:pStyle w:val="BulletedListlvl1"/>
        <w:rPr>
          <w:rFonts w:asciiTheme="majorHAnsi" w:hAnsiTheme="majorHAnsi"/>
        </w:rPr>
      </w:pPr>
      <w:r w:rsidRPr="00A82FD7">
        <w:rPr>
          <w:rFonts w:asciiTheme="majorHAnsi" w:hAnsiTheme="majorHAnsi"/>
        </w:rPr>
        <w:t xml:space="preserve">the requirement to report on progress against the targets via the </w:t>
      </w:r>
      <w:r w:rsidR="004F3067">
        <w:rPr>
          <w:rFonts w:asciiTheme="majorHAnsi" w:hAnsiTheme="majorHAnsi"/>
        </w:rPr>
        <w:t xml:space="preserve">IPPRS </w:t>
      </w:r>
      <w:r w:rsidR="004761F5">
        <w:rPr>
          <w:rFonts w:asciiTheme="majorHAnsi" w:hAnsiTheme="majorHAnsi"/>
        </w:rPr>
        <w:t>each quarter</w:t>
      </w:r>
      <w:r w:rsidR="005F1E30">
        <w:rPr>
          <w:rFonts w:asciiTheme="majorHAnsi" w:hAnsiTheme="majorHAnsi"/>
        </w:rPr>
        <w:t xml:space="preserve"> (see S</w:t>
      </w:r>
      <w:r w:rsidR="004761F5">
        <w:rPr>
          <w:rFonts w:asciiTheme="majorHAnsi" w:hAnsiTheme="majorHAnsi"/>
        </w:rPr>
        <w:t>ection</w:t>
      </w:r>
      <w:r w:rsidR="005F1E30">
        <w:rPr>
          <w:rFonts w:asciiTheme="majorHAnsi" w:hAnsiTheme="majorHAnsi"/>
        </w:rPr>
        <w:t xml:space="preserve"> 9.1</w:t>
      </w:r>
      <w:proofErr w:type="gramStart"/>
      <w:r w:rsidR="005F1E30">
        <w:rPr>
          <w:rFonts w:asciiTheme="majorHAnsi" w:hAnsiTheme="majorHAnsi"/>
        </w:rPr>
        <w:t>)</w:t>
      </w:r>
      <w:r w:rsidR="00B87303">
        <w:rPr>
          <w:rFonts w:asciiTheme="majorHAnsi" w:hAnsiTheme="majorHAnsi"/>
        </w:rPr>
        <w:t>;</w:t>
      </w:r>
      <w:proofErr w:type="gramEnd"/>
    </w:p>
    <w:p w14:paraId="3ADD135E" w14:textId="522269AD" w:rsidR="000059AE" w:rsidRPr="000059AE" w:rsidRDefault="000868FB" w:rsidP="000059AE">
      <w:pPr>
        <w:pStyle w:val="BulletedListlvl1"/>
        <w:rPr>
          <w:rFonts w:asciiTheme="majorHAnsi" w:hAnsiTheme="majorHAnsi"/>
        </w:rPr>
      </w:pPr>
      <w:r w:rsidRPr="00A82FD7">
        <w:rPr>
          <w:rFonts w:asciiTheme="majorHAnsi" w:hAnsiTheme="majorHAnsi"/>
        </w:rPr>
        <w:t xml:space="preserve">notification that information related to the MMR is not subject to the confidentiality provision and may be published. </w:t>
      </w:r>
    </w:p>
    <w:p w14:paraId="00504711" w14:textId="7863C562" w:rsidR="00B87303" w:rsidRPr="00A82FD7" w:rsidRDefault="00602CBF" w:rsidP="00B87303">
      <w:pPr>
        <w:pStyle w:val="Heading2"/>
      </w:pPr>
      <w:bookmarkStart w:id="59" w:name="_Toc223528550"/>
      <w:r>
        <w:t>8</w:t>
      </w:r>
      <w:r w:rsidR="00B87303" w:rsidRPr="00A82FD7">
        <w:t xml:space="preserve">.0 </w:t>
      </w:r>
      <w:r w:rsidR="00B87303">
        <w:t>Publishing</w:t>
      </w:r>
      <w:r w:rsidR="00B87303" w:rsidRPr="00A82FD7">
        <w:t xml:space="preserve"> the c</w:t>
      </w:r>
      <w:r w:rsidR="005F1E30">
        <w:t>o</w:t>
      </w:r>
      <w:r w:rsidR="00B87303" w:rsidRPr="00A82FD7">
        <w:t>ntract</w:t>
      </w:r>
      <w:bookmarkEnd w:id="59"/>
      <w:r w:rsidR="00B87303" w:rsidRPr="00A82FD7">
        <w:t xml:space="preserve"> </w:t>
      </w:r>
    </w:p>
    <w:p w14:paraId="1B1AEB80" w14:textId="368B42B7" w:rsidR="00543EBD" w:rsidRPr="00134C33" w:rsidRDefault="002844D8" w:rsidP="0028339A">
      <w:pPr>
        <w:pStyle w:val="Heading3"/>
        <w:rPr>
          <w:color w:val="A55700" w:themeColor="accent4" w:themeShade="BF"/>
        </w:rPr>
      </w:pPr>
      <w:bookmarkStart w:id="60" w:name="_Toc223528551"/>
      <w:r w:rsidRPr="00134C33">
        <w:rPr>
          <w:color w:val="A55700" w:themeColor="accent4" w:themeShade="BF"/>
        </w:rPr>
        <w:t xml:space="preserve">8.1 </w:t>
      </w:r>
      <w:r w:rsidR="00543EBD" w:rsidRPr="00134C33">
        <w:rPr>
          <w:color w:val="A55700" w:themeColor="accent4" w:themeShade="BF"/>
        </w:rPr>
        <w:t>Contract Managers</w:t>
      </w:r>
      <w:r w:rsidR="00804B6E" w:rsidRPr="00134C33">
        <w:rPr>
          <w:color w:val="A55700" w:themeColor="accent4" w:themeShade="BF"/>
        </w:rPr>
        <w:t>’</w:t>
      </w:r>
      <w:r w:rsidR="00543EBD" w:rsidRPr="00134C33">
        <w:rPr>
          <w:color w:val="A55700" w:themeColor="accent4" w:themeShade="BF"/>
        </w:rPr>
        <w:t xml:space="preserve"> </w:t>
      </w:r>
      <w:r w:rsidR="00AC21B8" w:rsidRPr="00134C33">
        <w:rPr>
          <w:color w:val="A55700" w:themeColor="accent4" w:themeShade="BF"/>
        </w:rPr>
        <w:t>confirmation</w:t>
      </w:r>
      <w:bookmarkEnd w:id="60"/>
      <w:r w:rsidR="004B10A0" w:rsidRPr="00134C33">
        <w:rPr>
          <w:color w:val="A55700" w:themeColor="accent4" w:themeShade="BF"/>
        </w:rPr>
        <w:t xml:space="preserve"> </w:t>
      </w:r>
    </w:p>
    <w:p w14:paraId="4F64C185" w14:textId="1C8E5335" w:rsidR="00E85229" w:rsidRDefault="00B87303" w:rsidP="00E85229">
      <w:pPr>
        <w:pStyle w:val="BodyText"/>
        <w:rPr>
          <w:rFonts w:asciiTheme="majorHAnsi" w:hAnsiTheme="majorHAnsi"/>
        </w:rPr>
      </w:pPr>
      <w:r w:rsidRPr="00A82FD7">
        <w:rPr>
          <w:rFonts w:asciiTheme="majorHAnsi" w:hAnsiTheme="majorHAnsi"/>
        </w:rPr>
        <w:t xml:space="preserve">After the contract is published on </w:t>
      </w:r>
      <w:proofErr w:type="spellStart"/>
      <w:r w:rsidRPr="00A82FD7">
        <w:rPr>
          <w:rFonts w:asciiTheme="majorHAnsi" w:hAnsiTheme="majorHAnsi"/>
        </w:rPr>
        <w:t>AusTender</w:t>
      </w:r>
      <w:proofErr w:type="spellEnd"/>
      <w:r w:rsidRPr="00A82FD7">
        <w:rPr>
          <w:rFonts w:asciiTheme="majorHAnsi" w:hAnsiTheme="majorHAnsi"/>
        </w:rPr>
        <w:t xml:space="preserve">, IPPRS </w:t>
      </w:r>
      <w:r>
        <w:rPr>
          <w:rFonts w:asciiTheme="majorHAnsi" w:hAnsiTheme="majorHAnsi"/>
        </w:rPr>
        <w:t xml:space="preserve">uses the contract information </w:t>
      </w:r>
      <w:r w:rsidRPr="00A82FD7">
        <w:rPr>
          <w:rFonts w:asciiTheme="majorHAnsi" w:hAnsiTheme="majorHAnsi"/>
        </w:rPr>
        <w:t xml:space="preserve">to identify contracts </w:t>
      </w:r>
      <w:r>
        <w:rPr>
          <w:rFonts w:asciiTheme="majorHAnsi" w:hAnsiTheme="majorHAnsi"/>
        </w:rPr>
        <w:t xml:space="preserve">that are </w:t>
      </w:r>
      <w:r w:rsidRPr="00A82FD7">
        <w:rPr>
          <w:rFonts w:asciiTheme="majorHAnsi" w:hAnsiTheme="majorHAnsi"/>
        </w:rPr>
        <w:t xml:space="preserve">likely subject to the MMR. The IPPRS captures </w:t>
      </w:r>
      <w:proofErr w:type="spellStart"/>
      <w:r w:rsidRPr="00A82FD7">
        <w:rPr>
          <w:rFonts w:asciiTheme="majorHAnsi" w:hAnsiTheme="majorHAnsi"/>
        </w:rPr>
        <w:t>AusTender</w:t>
      </w:r>
      <w:proofErr w:type="spellEnd"/>
      <w:r w:rsidRPr="00A82FD7">
        <w:rPr>
          <w:rFonts w:asciiTheme="majorHAnsi" w:hAnsiTheme="majorHAnsi"/>
        </w:rPr>
        <w:t xml:space="preserve"> data relating to industry category, contract start date, contract value and whether exemption 2.6 was applied. </w:t>
      </w:r>
    </w:p>
    <w:p w14:paraId="36ADA159" w14:textId="7EFE7CBE" w:rsidR="00E85229" w:rsidRPr="00A82FD7" w:rsidRDefault="00E85229" w:rsidP="00E85229">
      <w:pPr>
        <w:pStyle w:val="BodyText"/>
        <w:rPr>
          <w:rFonts w:asciiTheme="majorHAnsi" w:hAnsiTheme="majorHAnsi"/>
        </w:rPr>
      </w:pPr>
      <w:r w:rsidRPr="00A82FD7">
        <w:rPr>
          <w:rFonts w:asciiTheme="majorHAnsi" w:hAnsiTheme="majorHAnsi"/>
        </w:rPr>
        <w:t xml:space="preserve">The day following the publication on </w:t>
      </w:r>
      <w:proofErr w:type="spellStart"/>
      <w:r w:rsidRPr="00A82FD7">
        <w:rPr>
          <w:rFonts w:asciiTheme="majorHAnsi" w:hAnsiTheme="majorHAnsi"/>
        </w:rPr>
        <w:t>AusTender</w:t>
      </w:r>
      <w:proofErr w:type="spellEnd"/>
      <w:r w:rsidRPr="00A82FD7">
        <w:rPr>
          <w:rFonts w:asciiTheme="majorHAnsi" w:hAnsiTheme="majorHAnsi"/>
        </w:rPr>
        <w:t xml:space="preserve">, the IPPRS will issue an alert to </w:t>
      </w:r>
      <w:r>
        <w:rPr>
          <w:rFonts w:asciiTheme="majorHAnsi" w:hAnsiTheme="majorHAnsi"/>
        </w:rPr>
        <w:t xml:space="preserve">the relevant </w:t>
      </w:r>
      <w:r w:rsidRPr="00A82FD7">
        <w:rPr>
          <w:rFonts w:asciiTheme="majorHAnsi" w:hAnsiTheme="majorHAnsi"/>
        </w:rPr>
        <w:t xml:space="preserve">portfolio’s procurement team that a contract potentially subject to the MMR is ready for reporting. </w:t>
      </w:r>
      <w:r>
        <w:rPr>
          <w:rFonts w:asciiTheme="majorHAnsi" w:hAnsiTheme="majorHAnsi"/>
        </w:rPr>
        <w:t xml:space="preserve">The </w:t>
      </w:r>
      <w:r w:rsidRPr="00A82FD7">
        <w:rPr>
          <w:rFonts w:asciiTheme="majorHAnsi" w:hAnsiTheme="majorHAnsi"/>
        </w:rPr>
        <w:t xml:space="preserve">procurement team will contact the relevant policy or program area to initiate reporting through the IPPRS.  </w:t>
      </w:r>
      <w:r>
        <w:rPr>
          <w:rFonts w:asciiTheme="majorHAnsi" w:hAnsiTheme="majorHAnsi"/>
        </w:rPr>
        <w:t>It is important that contract managers move quickly to confirm whether the contract is subject to the MMR, and if it is</w:t>
      </w:r>
      <w:r w:rsidR="00717936">
        <w:rPr>
          <w:rFonts w:asciiTheme="majorHAnsi" w:hAnsiTheme="majorHAnsi"/>
        </w:rPr>
        <w:t>,</w:t>
      </w:r>
      <w:r>
        <w:rPr>
          <w:rFonts w:asciiTheme="majorHAnsi" w:hAnsiTheme="majorHAnsi"/>
        </w:rPr>
        <w:t xml:space="preserve"> detail the targets that have been agreed with the supplier and initiate the quarterly reporting requirement from the supplier.</w:t>
      </w:r>
    </w:p>
    <w:p w14:paraId="3C46B360" w14:textId="34C5ACCE" w:rsidR="002C38D8" w:rsidRPr="00134C33" w:rsidRDefault="002844D8" w:rsidP="0028339A">
      <w:pPr>
        <w:pStyle w:val="Heading3"/>
        <w:rPr>
          <w:color w:val="A55700" w:themeColor="accent4" w:themeShade="BF"/>
        </w:rPr>
      </w:pPr>
      <w:bookmarkStart w:id="61" w:name="_Toc223528552"/>
      <w:r w:rsidRPr="00134C33">
        <w:rPr>
          <w:color w:val="A55700" w:themeColor="accent4" w:themeShade="BF"/>
        </w:rPr>
        <w:t>8.2</w:t>
      </w:r>
      <w:bookmarkEnd w:id="61"/>
      <w:r w:rsidR="00804B6E" w:rsidRPr="00134C33">
        <w:rPr>
          <w:color w:val="A55700" w:themeColor="accent4" w:themeShade="BF"/>
        </w:rPr>
        <w:t xml:space="preserve"> </w:t>
      </w:r>
      <w:bookmarkStart w:id="62" w:name="_Toc223528553"/>
      <w:r w:rsidR="002C38D8" w:rsidRPr="00134C33">
        <w:rPr>
          <w:color w:val="A55700" w:themeColor="accent4" w:themeShade="BF"/>
        </w:rPr>
        <w:t>Appropriate use of MMR exemptions and ‘other’ category</w:t>
      </w:r>
      <w:bookmarkEnd w:id="62"/>
      <w:r w:rsidR="002C38D8" w:rsidRPr="00134C33">
        <w:rPr>
          <w:color w:val="A55700" w:themeColor="accent4" w:themeShade="BF"/>
        </w:rPr>
        <w:t xml:space="preserve"> </w:t>
      </w:r>
    </w:p>
    <w:p w14:paraId="327ED56B" w14:textId="77777777" w:rsidR="00E85229" w:rsidRPr="00B36E1B" w:rsidRDefault="00E85229" w:rsidP="00E85229">
      <w:pPr>
        <w:pStyle w:val="BodyText"/>
        <w:rPr>
          <w:rFonts w:asciiTheme="majorHAnsi" w:hAnsiTheme="majorHAnsi"/>
        </w:rPr>
      </w:pPr>
      <w:proofErr w:type="spellStart"/>
      <w:r w:rsidRPr="00B36E1B">
        <w:rPr>
          <w:rFonts w:asciiTheme="majorHAnsi" w:hAnsiTheme="majorHAnsi"/>
        </w:rPr>
        <w:t>AusTender</w:t>
      </w:r>
      <w:proofErr w:type="spellEnd"/>
      <w:r w:rsidRPr="00B36E1B">
        <w:rPr>
          <w:rFonts w:asciiTheme="majorHAnsi" w:hAnsiTheme="majorHAnsi"/>
        </w:rPr>
        <w:t xml:space="preserve"> is unable to filter out contracts delivered overseas or where less than half the value of the contract was awarded within the 19 specified industry categories. These will need to be filtered out of the IPPRS by the relevant portfolio. </w:t>
      </w:r>
    </w:p>
    <w:p w14:paraId="7F5C2E22" w14:textId="77777777" w:rsidR="00E46526" w:rsidRPr="00B36E1B" w:rsidRDefault="00E46526" w:rsidP="00E46526">
      <w:pPr>
        <w:pStyle w:val="BodyText"/>
        <w:rPr>
          <w:rFonts w:asciiTheme="majorHAnsi" w:hAnsiTheme="majorHAnsi"/>
        </w:rPr>
      </w:pPr>
      <w:r w:rsidRPr="00B36E1B">
        <w:rPr>
          <w:rFonts w:asciiTheme="majorHAnsi" w:hAnsiTheme="majorHAnsi"/>
        </w:rPr>
        <w:t xml:space="preserve">The procuring officials and contract managers must consider carefully the MMR requirements (detailed in section 2) before deciding to apply any exceptions. For example, subcategories listed in Figure 2, contracts that are subject to paragraph 2.6 of the Commonwealth Procurement Rules or contracts delivered overseas in whole or in part can be exempt from the MMR. </w:t>
      </w:r>
    </w:p>
    <w:p w14:paraId="6D354965" w14:textId="267F0DEA" w:rsidR="001610D7" w:rsidRPr="00B36E1B" w:rsidRDefault="00E46526" w:rsidP="00B87303">
      <w:pPr>
        <w:pStyle w:val="BodyText"/>
        <w:rPr>
          <w:rFonts w:asciiTheme="majorHAnsi" w:hAnsiTheme="majorHAnsi"/>
        </w:rPr>
      </w:pPr>
      <w:r w:rsidRPr="00B36E1B">
        <w:rPr>
          <w:rFonts w:asciiTheme="majorHAnsi" w:hAnsiTheme="majorHAnsi"/>
        </w:rPr>
        <w:t>In particular, the procuring officers and contract managers must be satisfied a valid exemption reason applies and should include detailed reasons in the IPPRS. The use of the ‘Other’ category should only be used in exceptional circumstances</w:t>
      </w:r>
      <w:r w:rsidR="00F700F9" w:rsidRPr="00B36E1B">
        <w:rPr>
          <w:rFonts w:asciiTheme="majorHAnsi" w:hAnsiTheme="majorHAnsi"/>
        </w:rPr>
        <w:t xml:space="preserve">. </w:t>
      </w:r>
    </w:p>
    <w:p w14:paraId="606D1C67" w14:textId="1BF6CC67" w:rsidR="001610D7" w:rsidRPr="00B36E1B" w:rsidRDefault="00F700F9" w:rsidP="00B87303">
      <w:pPr>
        <w:pStyle w:val="BodyText"/>
        <w:rPr>
          <w:rFonts w:asciiTheme="majorHAnsi" w:hAnsiTheme="majorHAnsi"/>
        </w:rPr>
      </w:pPr>
      <w:r w:rsidRPr="00B36E1B">
        <w:rPr>
          <w:rFonts w:asciiTheme="majorHAnsi" w:hAnsiTheme="majorHAnsi"/>
        </w:rPr>
        <w:t xml:space="preserve">An annual report on the use of exemptions is provided to the </w:t>
      </w:r>
      <w:r w:rsidR="00710B18" w:rsidRPr="00B36E1B">
        <w:rPr>
          <w:rFonts w:asciiTheme="majorHAnsi" w:hAnsiTheme="majorHAnsi"/>
        </w:rPr>
        <w:t xml:space="preserve">Chief </w:t>
      </w:r>
      <w:r w:rsidR="00996483" w:rsidRPr="00B36E1B">
        <w:rPr>
          <w:rFonts w:asciiTheme="majorHAnsi" w:hAnsiTheme="majorHAnsi"/>
        </w:rPr>
        <w:t>Operating Officers</w:t>
      </w:r>
      <w:r w:rsidRPr="00B36E1B">
        <w:rPr>
          <w:rFonts w:asciiTheme="majorHAnsi" w:hAnsiTheme="majorHAnsi"/>
        </w:rPr>
        <w:t xml:space="preserve"> </w:t>
      </w:r>
      <w:r w:rsidR="001610D7" w:rsidRPr="00B36E1B">
        <w:rPr>
          <w:rFonts w:asciiTheme="majorHAnsi" w:hAnsiTheme="majorHAnsi"/>
        </w:rPr>
        <w:t>c</w:t>
      </w:r>
      <w:r w:rsidRPr="00B36E1B">
        <w:rPr>
          <w:rFonts w:asciiTheme="majorHAnsi" w:hAnsiTheme="majorHAnsi"/>
        </w:rPr>
        <w:t>ommittee</w:t>
      </w:r>
      <w:r w:rsidR="004C0926" w:rsidRPr="00B36E1B">
        <w:rPr>
          <w:rFonts w:asciiTheme="majorHAnsi" w:hAnsiTheme="majorHAnsi"/>
        </w:rPr>
        <w:t xml:space="preserve"> that</w:t>
      </w:r>
      <w:r w:rsidR="00F6756B" w:rsidRPr="00B36E1B">
        <w:t xml:space="preserve"> </w:t>
      </w:r>
      <w:r w:rsidR="00F6756B" w:rsidRPr="00B36E1B">
        <w:rPr>
          <w:rFonts w:asciiTheme="majorHAnsi" w:hAnsiTheme="majorHAnsi"/>
        </w:rPr>
        <w:t xml:space="preserve">plays an important role in supporting the Secretaries Board to focus on First Nations </w:t>
      </w:r>
      <w:r w:rsidR="000C2376" w:rsidRPr="00B36E1B">
        <w:rPr>
          <w:rFonts w:asciiTheme="majorHAnsi" w:hAnsiTheme="majorHAnsi"/>
        </w:rPr>
        <w:t>priorities and</w:t>
      </w:r>
      <w:r w:rsidR="00F6756B" w:rsidRPr="00B36E1B">
        <w:rPr>
          <w:rFonts w:asciiTheme="majorHAnsi" w:hAnsiTheme="majorHAnsi"/>
        </w:rPr>
        <w:t xml:space="preserve"> asks portfolios to report annually on their enforcement of MMRs.</w:t>
      </w:r>
      <w:r w:rsidR="00EA2236" w:rsidRPr="00B36E1B">
        <w:rPr>
          <w:rFonts w:asciiTheme="majorHAnsi" w:hAnsiTheme="majorHAnsi"/>
        </w:rPr>
        <w:t xml:space="preserve"> Portfolios </w:t>
      </w:r>
      <w:r w:rsidR="005E546D" w:rsidRPr="00B36E1B">
        <w:rPr>
          <w:rFonts w:asciiTheme="majorHAnsi" w:hAnsiTheme="majorHAnsi"/>
        </w:rPr>
        <w:t xml:space="preserve">must </w:t>
      </w:r>
      <w:r w:rsidR="00EA2236" w:rsidRPr="00B36E1B">
        <w:rPr>
          <w:rFonts w:asciiTheme="majorHAnsi" w:hAnsiTheme="majorHAnsi"/>
        </w:rPr>
        <w:t>ensur</w:t>
      </w:r>
      <w:r w:rsidR="005E546D" w:rsidRPr="00B36E1B">
        <w:rPr>
          <w:rFonts w:asciiTheme="majorHAnsi" w:hAnsiTheme="majorHAnsi"/>
        </w:rPr>
        <w:t>e</w:t>
      </w:r>
      <w:r w:rsidR="00EA2236" w:rsidRPr="00B36E1B">
        <w:rPr>
          <w:rFonts w:asciiTheme="majorHAnsi" w:hAnsiTheme="majorHAnsi"/>
        </w:rPr>
        <w:t xml:space="preserve"> suppliers are reporting against their </w:t>
      </w:r>
      <w:r w:rsidR="0079362E" w:rsidRPr="00B36E1B">
        <w:rPr>
          <w:rFonts w:asciiTheme="majorHAnsi" w:hAnsiTheme="majorHAnsi"/>
        </w:rPr>
        <w:t xml:space="preserve">MMR </w:t>
      </w:r>
      <w:r w:rsidR="00EA2236" w:rsidRPr="00B36E1B">
        <w:rPr>
          <w:rFonts w:asciiTheme="majorHAnsi" w:hAnsiTheme="majorHAnsi"/>
        </w:rPr>
        <w:t xml:space="preserve">targets. </w:t>
      </w:r>
    </w:p>
    <w:p w14:paraId="5B9A0DC1" w14:textId="7EA0DA3A" w:rsidR="006E60D6" w:rsidRPr="00B36E1B" w:rsidRDefault="0458F00B" w:rsidP="714F8D2A">
      <w:pPr>
        <w:pStyle w:val="BodyText"/>
        <w:rPr>
          <w:rFonts w:asciiTheme="majorHAnsi" w:hAnsiTheme="majorHAnsi"/>
        </w:rPr>
      </w:pPr>
      <w:r w:rsidRPr="00B36E1B">
        <w:rPr>
          <w:rFonts w:asciiTheme="majorHAnsi" w:hAnsiTheme="majorHAnsi"/>
        </w:rPr>
        <w:t>Where there is non-compliance with the MMR requirements, such as failure to embed MMR clauses in the contract or unwillingness by a supplier to accept such clauses</w:t>
      </w:r>
      <w:r w:rsidR="00E46526" w:rsidRPr="00B36E1B">
        <w:rPr>
          <w:rFonts w:asciiTheme="majorHAnsi" w:hAnsiTheme="majorHAnsi"/>
        </w:rPr>
        <w:t xml:space="preserve">, contract managers </w:t>
      </w:r>
      <w:r w:rsidR="00825DFF" w:rsidRPr="00B36E1B">
        <w:rPr>
          <w:rFonts w:asciiTheme="majorHAnsi" w:hAnsiTheme="majorHAnsi"/>
        </w:rPr>
        <w:t>must</w:t>
      </w:r>
      <w:r w:rsidR="00E46526" w:rsidRPr="00B36E1B">
        <w:rPr>
          <w:rFonts w:asciiTheme="majorHAnsi" w:hAnsiTheme="majorHAnsi"/>
        </w:rPr>
        <w:t xml:space="preserve"> engage immediately with NIAA to ensure it is appropriately recorded in IPPRS.</w:t>
      </w:r>
    </w:p>
    <w:p w14:paraId="0CCC3137" w14:textId="77777777" w:rsidR="00AC1DAC" w:rsidRPr="00A82FD7" w:rsidRDefault="00602CBF" w:rsidP="00AC1DAC">
      <w:pPr>
        <w:pStyle w:val="Heading2"/>
      </w:pPr>
      <w:bookmarkStart w:id="63" w:name="_Toc223528554"/>
      <w:r>
        <w:lastRenderedPageBreak/>
        <w:t>9</w:t>
      </w:r>
      <w:r w:rsidR="00AC1DAC" w:rsidRPr="00A82FD7">
        <w:t>.0 Contract Management</w:t>
      </w:r>
      <w:bookmarkEnd w:id="63"/>
    </w:p>
    <w:p w14:paraId="1088BCF6" w14:textId="5730921F" w:rsidR="00AC1DAC" w:rsidRPr="00134C33" w:rsidRDefault="00602CBF" w:rsidP="00AC1DAC">
      <w:pPr>
        <w:pStyle w:val="Heading3"/>
        <w:rPr>
          <w:color w:val="A55700" w:themeColor="accent4" w:themeShade="BF"/>
        </w:rPr>
      </w:pPr>
      <w:bookmarkStart w:id="64" w:name="_Toc40782722"/>
      <w:bookmarkStart w:id="65" w:name="_Toc223528555"/>
      <w:r w:rsidRPr="00134C33">
        <w:rPr>
          <w:color w:val="A55700" w:themeColor="accent4" w:themeShade="BF"/>
        </w:rPr>
        <w:t>9</w:t>
      </w:r>
      <w:r w:rsidR="00AC1DAC" w:rsidRPr="00134C33">
        <w:rPr>
          <w:color w:val="A55700" w:themeColor="accent4" w:themeShade="BF"/>
        </w:rPr>
        <w:t>.1 Reporting obligations</w:t>
      </w:r>
      <w:bookmarkEnd w:id="64"/>
      <w:bookmarkEnd w:id="65"/>
    </w:p>
    <w:p w14:paraId="68C5E2C3" w14:textId="77777777" w:rsidR="005948C9" w:rsidRPr="00A82FD7" w:rsidRDefault="00AC1DAC" w:rsidP="00874D58">
      <w:pPr>
        <w:pStyle w:val="BodyText"/>
        <w:rPr>
          <w:rFonts w:asciiTheme="majorHAnsi" w:hAnsiTheme="majorHAnsi"/>
        </w:rPr>
      </w:pPr>
      <w:r w:rsidRPr="00A82FD7">
        <w:rPr>
          <w:rFonts w:asciiTheme="majorHAnsi" w:hAnsiTheme="majorHAnsi"/>
        </w:rPr>
        <w:t xml:space="preserve">Suppliers are obliged to report </w:t>
      </w:r>
      <w:r w:rsidR="000F62A8" w:rsidRPr="00A82FD7">
        <w:rPr>
          <w:rFonts w:asciiTheme="majorHAnsi" w:hAnsiTheme="majorHAnsi"/>
        </w:rPr>
        <w:t xml:space="preserve">quarterly </w:t>
      </w:r>
      <w:r w:rsidRPr="00A82FD7">
        <w:rPr>
          <w:rFonts w:asciiTheme="majorHAnsi" w:hAnsiTheme="majorHAnsi"/>
        </w:rPr>
        <w:t xml:space="preserve">on their progress against the MMR targets as outlined in their Indigenous Participation Plan. </w:t>
      </w:r>
      <w:r w:rsidR="00EB1C07">
        <w:rPr>
          <w:rFonts w:asciiTheme="majorHAnsi" w:hAnsiTheme="majorHAnsi"/>
        </w:rPr>
        <w:t>Quarterly performance r</w:t>
      </w:r>
      <w:r w:rsidRPr="00A82FD7">
        <w:rPr>
          <w:rFonts w:asciiTheme="majorHAnsi" w:hAnsiTheme="majorHAnsi"/>
        </w:rPr>
        <w:t xml:space="preserve">eports must be submitted via the IPPRS. For guidance on using the IPPRS go to </w:t>
      </w:r>
      <w:hyperlink r:id="rId34" w:history="1">
        <w:r w:rsidR="005948C9" w:rsidRPr="00134C33">
          <w:rPr>
            <w:rStyle w:val="Hyperlink"/>
            <w:rFonts w:asciiTheme="majorHAnsi" w:hAnsiTheme="majorHAnsi"/>
            <w:color w:val="015E8A" w:themeColor="text2" w:themeTint="E6"/>
          </w:rPr>
          <w:t>https://www.niaa.gov.au/ipprs</w:t>
        </w:r>
      </w:hyperlink>
    </w:p>
    <w:p w14:paraId="0A9931ED" w14:textId="77777777" w:rsidR="00AC1DAC" w:rsidRPr="00A82FD7" w:rsidRDefault="00AC1DAC" w:rsidP="00AC1DAC">
      <w:pPr>
        <w:pStyle w:val="BodyText"/>
        <w:rPr>
          <w:rFonts w:asciiTheme="majorHAnsi" w:hAnsiTheme="majorHAnsi"/>
        </w:rPr>
      </w:pPr>
      <w:r w:rsidRPr="00A82FD7">
        <w:rPr>
          <w:rFonts w:asciiTheme="majorHAnsi" w:hAnsiTheme="majorHAnsi"/>
        </w:rPr>
        <w:t xml:space="preserve">Reports must provide details of any participation by Indigenous businesses in the delivery of the contract. This includes the total full time equivalent (FTE) Indigenous workforce for the quarter and total Indigenous supply-use for the quarter. Table </w:t>
      </w:r>
      <w:r w:rsidR="00233B73">
        <w:rPr>
          <w:rFonts w:asciiTheme="majorHAnsi" w:hAnsiTheme="majorHAnsi"/>
        </w:rPr>
        <w:t>4</w:t>
      </w:r>
      <w:r w:rsidRPr="00A82FD7">
        <w:rPr>
          <w:rFonts w:asciiTheme="majorHAnsi" w:hAnsiTheme="majorHAnsi"/>
        </w:rPr>
        <w:t xml:space="preserve"> outlines the details that contract managers and suppliers must </w:t>
      </w:r>
      <w:proofErr w:type="gramStart"/>
      <w:r w:rsidRPr="00A82FD7">
        <w:rPr>
          <w:rFonts w:asciiTheme="majorHAnsi" w:hAnsiTheme="majorHAnsi"/>
        </w:rPr>
        <w:t>enter into</w:t>
      </w:r>
      <w:proofErr w:type="gramEnd"/>
      <w:r w:rsidRPr="00A82FD7">
        <w:rPr>
          <w:rFonts w:asciiTheme="majorHAnsi" w:hAnsiTheme="majorHAnsi"/>
        </w:rPr>
        <w:t xml:space="preserve"> the IPPRS. </w:t>
      </w:r>
    </w:p>
    <w:tbl>
      <w:tblPr>
        <w:tblStyle w:val="NIAADefaultTableStyle"/>
        <w:tblW w:w="0" w:type="auto"/>
        <w:tblLook w:val="04A0" w:firstRow="1" w:lastRow="0" w:firstColumn="1" w:lastColumn="0" w:noHBand="0" w:noVBand="1"/>
      </w:tblPr>
      <w:tblGrid>
        <w:gridCol w:w="5102"/>
        <w:gridCol w:w="5102"/>
      </w:tblGrid>
      <w:tr w:rsidR="00AC1DAC" w:rsidRPr="00A82FD7" w14:paraId="0234658C" w14:textId="77777777" w:rsidTr="00AC1DAC">
        <w:trPr>
          <w:cnfStyle w:val="100000000000" w:firstRow="1" w:lastRow="0" w:firstColumn="0" w:lastColumn="0" w:oddVBand="0" w:evenVBand="0" w:oddHBand="0" w:evenHBand="0" w:firstRowFirstColumn="0" w:firstRowLastColumn="0" w:lastRowFirstColumn="0" w:lastRowLastColumn="0"/>
        </w:trPr>
        <w:tc>
          <w:tcPr>
            <w:tcW w:w="5102" w:type="dxa"/>
          </w:tcPr>
          <w:p w14:paraId="321D17D5" w14:textId="77777777" w:rsidR="00AC1DAC" w:rsidRPr="00A82FD7" w:rsidRDefault="00AC1DAC" w:rsidP="00AC1DAC">
            <w:pPr>
              <w:pStyle w:val="TableBody"/>
            </w:pPr>
            <w:r w:rsidRPr="00A82FD7">
              <w:t xml:space="preserve">Table </w:t>
            </w:r>
            <w:r w:rsidR="00233B73">
              <w:t>4</w:t>
            </w:r>
          </w:p>
          <w:p w14:paraId="21280BD7" w14:textId="77777777" w:rsidR="00AC1DAC" w:rsidRPr="00A82FD7" w:rsidRDefault="00AC1DAC" w:rsidP="00AC1DAC">
            <w:pPr>
              <w:pStyle w:val="TableBody"/>
            </w:pPr>
            <w:r w:rsidRPr="00A82FD7">
              <w:t>Contract manager reporting obligations</w:t>
            </w:r>
          </w:p>
        </w:tc>
        <w:tc>
          <w:tcPr>
            <w:tcW w:w="5102" w:type="dxa"/>
          </w:tcPr>
          <w:p w14:paraId="185AF932" w14:textId="77777777" w:rsidR="00AC1DAC" w:rsidRPr="00A82FD7" w:rsidRDefault="00AC1DAC" w:rsidP="00AC1DAC">
            <w:pPr>
              <w:pStyle w:val="TableBody"/>
            </w:pPr>
          </w:p>
          <w:p w14:paraId="7516AE94" w14:textId="77777777" w:rsidR="00AC1DAC" w:rsidRPr="00A82FD7" w:rsidRDefault="00AC1DAC" w:rsidP="00AC1DAC">
            <w:pPr>
              <w:pStyle w:val="TableBody"/>
            </w:pPr>
            <w:r w:rsidRPr="00A82FD7">
              <w:t>Supplier’s quarterly reporting obligations</w:t>
            </w:r>
          </w:p>
        </w:tc>
      </w:tr>
      <w:tr w:rsidR="00AC1DAC" w:rsidRPr="00A82FD7" w14:paraId="7D36EC05" w14:textId="77777777" w:rsidTr="00AC1DAC">
        <w:trPr>
          <w:cnfStyle w:val="000000100000" w:firstRow="0" w:lastRow="0" w:firstColumn="0" w:lastColumn="0" w:oddVBand="0" w:evenVBand="0" w:oddHBand="1" w:evenHBand="0" w:firstRowFirstColumn="0" w:firstRowLastColumn="0" w:lastRowFirstColumn="0" w:lastRowLastColumn="0"/>
        </w:trPr>
        <w:tc>
          <w:tcPr>
            <w:tcW w:w="5102" w:type="dxa"/>
          </w:tcPr>
          <w:p w14:paraId="2F28500D" w14:textId="77777777" w:rsidR="00AC1DAC" w:rsidRPr="00A82FD7" w:rsidRDefault="00AC1DAC" w:rsidP="00AC1DAC">
            <w:pPr>
              <w:pStyle w:val="BulletedListlvl1"/>
              <w:rPr>
                <w:rFonts w:asciiTheme="majorHAnsi" w:hAnsiTheme="majorHAnsi"/>
              </w:rPr>
            </w:pPr>
            <w:r w:rsidRPr="00A82FD7">
              <w:rPr>
                <w:rFonts w:asciiTheme="majorHAnsi" w:hAnsiTheme="majorHAnsi"/>
              </w:rPr>
              <w:t xml:space="preserve">Agreed MMR targets </w:t>
            </w:r>
          </w:p>
          <w:p w14:paraId="3893D24D" w14:textId="77777777" w:rsidR="002957AC" w:rsidRDefault="00AC1DAC" w:rsidP="00AC1DAC">
            <w:pPr>
              <w:pStyle w:val="BulletedListlvl1"/>
              <w:rPr>
                <w:rFonts w:asciiTheme="majorHAnsi" w:hAnsiTheme="majorHAnsi"/>
              </w:rPr>
            </w:pPr>
            <w:r w:rsidRPr="00A82FD7">
              <w:rPr>
                <w:rFonts w:asciiTheme="majorHAnsi" w:hAnsiTheme="majorHAnsi"/>
              </w:rPr>
              <w:t>Reporting start date</w:t>
            </w:r>
          </w:p>
          <w:p w14:paraId="19F79AB5" w14:textId="77777777" w:rsidR="002957AC" w:rsidRPr="00A82FD7" w:rsidRDefault="002957AC" w:rsidP="002957AC">
            <w:pPr>
              <w:pStyle w:val="BulletedListlvl1"/>
              <w:rPr>
                <w:rFonts w:asciiTheme="majorHAnsi" w:hAnsiTheme="majorHAnsi"/>
              </w:rPr>
            </w:pPr>
            <w:r w:rsidRPr="00A82FD7">
              <w:rPr>
                <w:rFonts w:asciiTheme="majorHAnsi" w:hAnsiTheme="majorHAnsi"/>
              </w:rPr>
              <w:t xml:space="preserve">Delivery postcode </w:t>
            </w:r>
          </w:p>
          <w:p w14:paraId="4AF6D736" w14:textId="77777777" w:rsidR="00AC1DAC" w:rsidRPr="00A82FD7" w:rsidRDefault="00AC1DAC" w:rsidP="00AC1DAC">
            <w:pPr>
              <w:pStyle w:val="BulletedListlvl1"/>
              <w:rPr>
                <w:rFonts w:asciiTheme="majorHAnsi" w:hAnsiTheme="majorHAnsi"/>
              </w:rPr>
            </w:pPr>
            <w:r w:rsidRPr="00A82FD7">
              <w:rPr>
                <w:rFonts w:asciiTheme="majorHAnsi" w:hAnsiTheme="majorHAnsi"/>
              </w:rPr>
              <w:t>Suppliers’ contact details</w:t>
            </w:r>
          </w:p>
          <w:p w14:paraId="7AAB1B10" w14:textId="77777777" w:rsidR="00AC1DAC" w:rsidRPr="00A82FD7" w:rsidRDefault="00AC1DAC" w:rsidP="00AC1DAC">
            <w:pPr>
              <w:pStyle w:val="BulletedListlvl1"/>
              <w:rPr>
                <w:rFonts w:asciiTheme="majorHAnsi" w:hAnsiTheme="majorHAnsi"/>
              </w:rPr>
            </w:pPr>
            <w:r w:rsidRPr="00A82FD7">
              <w:rPr>
                <w:rFonts w:asciiTheme="majorHAnsi" w:hAnsiTheme="majorHAnsi"/>
              </w:rPr>
              <w:t>Acknowledgement that the contract manager has reviewed the quarterly performance report</w:t>
            </w:r>
          </w:p>
          <w:p w14:paraId="113A3CF6" w14:textId="77777777" w:rsidR="00AC1DAC" w:rsidRPr="00A82FD7" w:rsidRDefault="00AC1DAC" w:rsidP="00AC1DAC">
            <w:pPr>
              <w:pStyle w:val="BulletedListlvl1"/>
              <w:rPr>
                <w:rFonts w:asciiTheme="majorHAnsi" w:hAnsiTheme="majorHAnsi"/>
              </w:rPr>
            </w:pPr>
            <w:r w:rsidRPr="00A82FD7">
              <w:rPr>
                <w:rFonts w:asciiTheme="majorHAnsi" w:hAnsiTheme="majorHAnsi"/>
              </w:rPr>
              <w:t>Comments against the final performance report</w:t>
            </w:r>
          </w:p>
        </w:tc>
        <w:tc>
          <w:tcPr>
            <w:tcW w:w="5102" w:type="dxa"/>
          </w:tcPr>
          <w:p w14:paraId="02415E7F" w14:textId="77777777" w:rsidR="00AC1DAC" w:rsidRPr="00A82FD7" w:rsidRDefault="00AC1DAC" w:rsidP="00AC1DAC">
            <w:pPr>
              <w:pStyle w:val="TableBody"/>
              <w:rPr>
                <w:rFonts w:asciiTheme="majorHAnsi" w:hAnsiTheme="majorHAnsi"/>
              </w:rPr>
            </w:pPr>
            <w:r w:rsidRPr="00A82FD7">
              <w:rPr>
                <w:rFonts w:asciiTheme="majorHAnsi" w:hAnsiTheme="majorHAnsi"/>
              </w:rPr>
              <w:t>Employment target:</w:t>
            </w:r>
            <w:r w:rsidR="002957AC">
              <w:rPr>
                <w:rFonts w:asciiTheme="majorHAnsi" w:hAnsiTheme="majorHAnsi"/>
              </w:rPr>
              <w:t xml:space="preserve"> contract based </w:t>
            </w:r>
          </w:p>
          <w:p w14:paraId="20D2D94C" w14:textId="77777777" w:rsidR="00AC1DAC" w:rsidRPr="00A82FD7" w:rsidRDefault="00AC1DAC" w:rsidP="00AC1DAC">
            <w:pPr>
              <w:pStyle w:val="BulletedListlvl1"/>
              <w:rPr>
                <w:rFonts w:asciiTheme="majorHAnsi" w:hAnsiTheme="majorHAnsi"/>
              </w:rPr>
            </w:pPr>
            <w:r w:rsidRPr="00A82FD7">
              <w:rPr>
                <w:rFonts w:asciiTheme="majorHAnsi" w:hAnsiTheme="majorHAnsi"/>
              </w:rPr>
              <w:t xml:space="preserve">FTE total workforce </w:t>
            </w:r>
          </w:p>
          <w:p w14:paraId="53E70410" w14:textId="77777777" w:rsidR="00AC1DAC" w:rsidRPr="00A82FD7" w:rsidRDefault="00AC1DAC" w:rsidP="00AC1DAC">
            <w:pPr>
              <w:pStyle w:val="BulletedListlvl1"/>
              <w:rPr>
                <w:rFonts w:asciiTheme="majorHAnsi" w:hAnsiTheme="majorHAnsi"/>
              </w:rPr>
            </w:pPr>
            <w:r w:rsidRPr="00A82FD7">
              <w:rPr>
                <w:rFonts w:asciiTheme="majorHAnsi" w:hAnsiTheme="majorHAnsi"/>
              </w:rPr>
              <w:t xml:space="preserve">FTE Indigenous workforce </w:t>
            </w:r>
          </w:p>
          <w:p w14:paraId="6093C748" w14:textId="77777777" w:rsidR="00601FB5" w:rsidRPr="00A82FD7" w:rsidRDefault="00601FB5" w:rsidP="00A82FD7">
            <w:pPr>
              <w:pStyle w:val="BulletedListlvl1"/>
              <w:rPr>
                <w:rFonts w:asciiTheme="majorHAnsi" w:hAnsiTheme="majorHAnsi"/>
              </w:rPr>
            </w:pPr>
            <w:r w:rsidRPr="00A82FD7">
              <w:rPr>
                <w:rFonts w:asciiTheme="majorHAnsi" w:hAnsiTheme="majorHAnsi"/>
              </w:rPr>
              <w:t>Subcontractors FTE total workforce</w:t>
            </w:r>
          </w:p>
          <w:p w14:paraId="2050FD75" w14:textId="77777777" w:rsidR="00601FB5" w:rsidRDefault="00601FB5" w:rsidP="00A82FD7">
            <w:pPr>
              <w:pStyle w:val="BulletedListlvl1"/>
              <w:rPr>
                <w:rFonts w:asciiTheme="majorHAnsi" w:hAnsiTheme="majorHAnsi"/>
              </w:rPr>
            </w:pPr>
            <w:r w:rsidRPr="00A82FD7">
              <w:rPr>
                <w:rFonts w:asciiTheme="majorHAnsi" w:hAnsiTheme="majorHAnsi"/>
              </w:rPr>
              <w:t xml:space="preserve">Subcontractors FTE Indigenous workforce </w:t>
            </w:r>
          </w:p>
          <w:p w14:paraId="5E184559" w14:textId="77777777" w:rsidR="002957AC" w:rsidRPr="00A82FD7" w:rsidRDefault="002957AC" w:rsidP="002957AC">
            <w:pPr>
              <w:pStyle w:val="TableBody"/>
              <w:rPr>
                <w:rFonts w:asciiTheme="majorHAnsi" w:hAnsiTheme="majorHAnsi"/>
              </w:rPr>
            </w:pPr>
            <w:r w:rsidRPr="00A82FD7">
              <w:rPr>
                <w:rFonts w:asciiTheme="majorHAnsi" w:hAnsiTheme="majorHAnsi"/>
              </w:rPr>
              <w:t>Employment target:</w:t>
            </w:r>
            <w:r>
              <w:rPr>
                <w:rFonts w:asciiTheme="majorHAnsi" w:hAnsiTheme="majorHAnsi"/>
              </w:rPr>
              <w:t xml:space="preserve"> organisation based </w:t>
            </w:r>
          </w:p>
          <w:p w14:paraId="64294AFC" w14:textId="77777777" w:rsidR="002957AC" w:rsidRPr="00A82FD7" w:rsidRDefault="002957AC" w:rsidP="002957AC">
            <w:pPr>
              <w:pStyle w:val="BulletedListlvl1"/>
              <w:rPr>
                <w:rFonts w:asciiTheme="majorHAnsi" w:hAnsiTheme="majorHAnsi"/>
              </w:rPr>
            </w:pPr>
            <w:r w:rsidRPr="00A82FD7">
              <w:rPr>
                <w:rFonts w:asciiTheme="majorHAnsi" w:hAnsiTheme="majorHAnsi"/>
              </w:rPr>
              <w:t xml:space="preserve">FTE total </w:t>
            </w:r>
            <w:r>
              <w:rPr>
                <w:rFonts w:asciiTheme="majorHAnsi" w:hAnsiTheme="majorHAnsi"/>
              </w:rPr>
              <w:t xml:space="preserve">Australian based </w:t>
            </w:r>
            <w:r w:rsidRPr="00A82FD7">
              <w:rPr>
                <w:rFonts w:asciiTheme="majorHAnsi" w:hAnsiTheme="majorHAnsi"/>
              </w:rPr>
              <w:t xml:space="preserve">workforce </w:t>
            </w:r>
          </w:p>
          <w:p w14:paraId="1F2E95B8" w14:textId="77777777" w:rsidR="002957AC" w:rsidRPr="00A82FD7" w:rsidRDefault="002957AC" w:rsidP="002957AC">
            <w:pPr>
              <w:pStyle w:val="BulletedListlvl1"/>
              <w:rPr>
                <w:rFonts w:asciiTheme="majorHAnsi" w:hAnsiTheme="majorHAnsi"/>
              </w:rPr>
            </w:pPr>
            <w:r w:rsidRPr="00A82FD7">
              <w:rPr>
                <w:rFonts w:asciiTheme="majorHAnsi" w:hAnsiTheme="majorHAnsi"/>
              </w:rPr>
              <w:t xml:space="preserve">FTE Indigenous workforce </w:t>
            </w:r>
          </w:p>
          <w:p w14:paraId="59326419" w14:textId="77777777" w:rsidR="002957AC" w:rsidRPr="00A82FD7" w:rsidRDefault="002957AC" w:rsidP="002957AC">
            <w:pPr>
              <w:pStyle w:val="BulletedListlvl1"/>
              <w:numPr>
                <w:ilvl w:val="0"/>
                <w:numId w:val="0"/>
              </w:numPr>
              <w:ind w:left="566"/>
              <w:rPr>
                <w:rFonts w:asciiTheme="majorHAnsi" w:hAnsiTheme="majorHAnsi"/>
              </w:rPr>
            </w:pPr>
          </w:p>
        </w:tc>
      </w:tr>
      <w:tr w:rsidR="00AC1DAC" w:rsidRPr="00A82FD7" w14:paraId="4197A7CB" w14:textId="77777777" w:rsidTr="00AC1DAC">
        <w:trPr>
          <w:cnfStyle w:val="000000010000" w:firstRow="0" w:lastRow="0" w:firstColumn="0" w:lastColumn="0" w:oddVBand="0" w:evenVBand="0" w:oddHBand="0" w:evenHBand="1" w:firstRowFirstColumn="0" w:firstRowLastColumn="0" w:lastRowFirstColumn="0" w:lastRowLastColumn="0"/>
        </w:trPr>
        <w:tc>
          <w:tcPr>
            <w:tcW w:w="5102" w:type="dxa"/>
          </w:tcPr>
          <w:p w14:paraId="3F096CF5" w14:textId="77777777" w:rsidR="00AC1DAC" w:rsidRPr="00A82FD7" w:rsidRDefault="00AC1DAC" w:rsidP="00AC1DAC">
            <w:pPr>
              <w:pStyle w:val="TableBody"/>
              <w:rPr>
                <w:rFonts w:asciiTheme="majorHAnsi" w:hAnsiTheme="majorHAnsi"/>
              </w:rPr>
            </w:pPr>
          </w:p>
        </w:tc>
        <w:tc>
          <w:tcPr>
            <w:tcW w:w="5102" w:type="dxa"/>
          </w:tcPr>
          <w:p w14:paraId="67A5D7A1" w14:textId="77777777" w:rsidR="00AC1DAC" w:rsidRPr="00A82FD7" w:rsidRDefault="00AC1DAC" w:rsidP="00AC1DAC">
            <w:pPr>
              <w:pStyle w:val="TableBody"/>
              <w:rPr>
                <w:rFonts w:asciiTheme="majorHAnsi" w:hAnsiTheme="majorHAnsi"/>
              </w:rPr>
            </w:pPr>
            <w:r w:rsidRPr="00A82FD7">
              <w:rPr>
                <w:rFonts w:asciiTheme="majorHAnsi" w:hAnsiTheme="majorHAnsi"/>
              </w:rPr>
              <w:t>Supply-use target:</w:t>
            </w:r>
          </w:p>
          <w:p w14:paraId="604E3984" w14:textId="77777777" w:rsidR="00AC1DAC" w:rsidRPr="00A82FD7" w:rsidRDefault="00AC1DAC" w:rsidP="00AC1DAC">
            <w:pPr>
              <w:pStyle w:val="BulletedListlvl1"/>
              <w:rPr>
                <w:rFonts w:asciiTheme="majorHAnsi" w:hAnsiTheme="majorHAnsi"/>
              </w:rPr>
            </w:pPr>
            <w:r w:rsidRPr="00A82FD7">
              <w:rPr>
                <w:rFonts w:asciiTheme="majorHAnsi" w:hAnsiTheme="majorHAnsi"/>
              </w:rPr>
              <w:t xml:space="preserve">Australian Business Number and name of enterprise </w:t>
            </w:r>
          </w:p>
          <w:p w14:paraId="34016AB9" w14:textId="77777777" w:rsidR="00AC1DAC" w:rsidRPr="00A82FD7" w:rsidRDefault="00AC1DAC" w:rsidP="00AC1DAC">
            <w:pPr>
              <w:pStyle w:val="BulletedListlvl1"/>
              <w:rPr>
                <w:rFonts w:asciiTheme="majorHAnsi" w:hAnsiTheme="majorHAnsi"/>
              </w:rPr>
            </w:pPr>
            <w:r w:rsidRPr="00A82FD7">
              <w:rPr>
                <w:rFonts w:asciiTheme="majorHAnsi" w:hAnsiTheme="majorHAnsi"/>
              </w:rPr>
              <w:t xml:space="preserve">Value of contract/purchase </w:t>
            </w:r>
          </w:p>
          <w:p w14:paraId="35681905" w14:textId="77777777" w:rsidR="00AC1DAC" w:rsidRPr="00A82FD7" w:rsidRDefault="00AC1DAC" w:rsidP="00AC1DAC">
            <w:pPr>
              <w:pStyle w:val="BulletedListlvl1"/>
              <w:rPr>
                <w:rFonts w:asciiTheme="majorHAnsi" w:hAnsiTheme="majorHAnsi"/>
              </w:rPr>
            </w:pPr>
            <w:r w:rsidRPr="00A82FD7">
              <w:rPr>
                <w:rFonts w:asciiTheme="majorHAnsi" w:hAnsiTheme="majorHAnsi"/>
              </w:rPr>
              <w:t>Date of contract/purchase</w:t>
            </w:r>
          </w:p>
          <w:p w14:paraId="7594982D" w14:textId="77777777" w:rsidR="00AC1DAC" w:rsidRPr="00A82FD7" w:rsidRDefault="00AC1DAC" w:rsidP="00AC1DAC">
            <w:pPr>
              <w:pStyle w:val="BulletedListlvl1"/>
              <w:rPr>
                <w:rFonts w:asciiTheme="majorHAnsi" w:hAnsiTheme="majorHAnsi"/>
              </w:rPr>
            </w:pPr>
            <w:r w:rsidRPr="00A82FD7">
              <w:rPr>
                <w:rFonts w:asciiTheme="majorHAnsi" w:hAnsiTheme="majorHAnsi"/>
              </w:rPr>
              <w:t>Description of goods/service purchased</w:t>
            </w:r>
          </w:p>
          <w:p w14:paraId="609EDB80" w14:textId="77777777" w:rsidR="00AC1DAC" w:rsidRDefault="00AC1DAC" w:rsidP="00AC1DAC">
            <w:pPr>
              <w:pStyle w:val="BulletedListlvl1"/>
              <w:rPr>
                <w:rFonts w:asciiTheme="majorHAnsi" w:hAnsiTheme="majorHAnsi"/>
              </w:rPr>
            </w:pPr>
            <w:r w:rsidRPr="00A82FD7">
              <w:rPr>
                <w:rFonts w:asciiTheme="majorHAnsi" w:hAnsiTheme="majorHAnsi"/>
              </w:rPr>
              <w:t>Whether the contract/purchase was awarded by the supplier or by a subcontractor within their supply chain (direct or indirect contract/purchase)</w:t>
            </w:r>
          </w:p>
          <w:p w14:paraId="49579FBB" w14:textId="77777777" w:rsidR="002957AC" w:rsidRPr="00A82FD7" w:rsidRDefault="002957AC" w:rsidP="002957AC">
            <w:pPr>
              <w:pStyle w:val="BulletedListlvl1"/>
              <w:numPr>
                <w:ilvl w:val="0"/>
                <w:numId w:val="0"/>
              </w:numPr>
              <w:ind w:left="566"/>
              <w:rPr>
                <w:rFonts w:asciiTheme="majorHAnsi" w:hAnsiTheme="majorHAnsi"/>
              </w:rPr>
            </w:pPr>
          </w:p>
        </w:tc>
      </w:tr>
    </w:tbl>
    <w:p w14:paraId="720CEEEF" w14:textId="77777777" w:rsidR="00EB7E44" w:rsidRPr="00A82FD7" w:rsidRDefault="00EB7E44" w:rsidP="00AC1DAC">
      <w:pPr>
        <w:pStyle w:val="BodyText"/>
        <w:rPr>
          <w:rFonts w:asciiTheme="majorHAnsi" w:hAnsiTheme="majorHAnsi"/>
        </w:rPr>
      </w:pPr>
    </w:p>
    <w:p w14:paraId="75373F02" w14:textId="77777777" w:rsidR="00601FB5" w:rsidRPr="00A82FD7" w:rsidRDefault="00601FB5" w:rsidP="00AC1DAC">
      <w:pPr>
        <w:pStyle w:val="BodyText"/>
        <w:rPr>
          <w:rFonts w:asciiTheme="majorHAnsi" w:hAnsiTheme="majorHAnsi"/>
        </w:rPr>
      </w:pPr>
      <w:r w:rsidRPr="00A82FD7">
        <w:rPr>
          <w:rFonts w:asciiTheme="majorHAnsi" w:hAnsiTheme="majorHAnsi"/>
        </w:rPr>
        <w:t xml:space="preserve">The IPPRS will cross reference the ABN with Supply Nation and ORIC databases to confirm </w:t>
      </w:r>
      <w:r w:rsidR="00AF4B8B">
        <w:rPr>
          <w:rFonts w:asciiTheme="majorHAnsi" w:hAnsiTheme="majorHAnsi"/>
        </w:rPr>
        <w:t>a</w:t>
      </w:r>
      <w:r w:rsidRPr="00A82FD7">
        <w:rPr>
          <w:rFonts w:asciiTheme="majorHAnsi" w:hAnsiTheme="majorHAnsi"/>
        </w:rPr>
        <w:t xml:space="preserve"> business is verified as </w:t>
      </w:r>
      <w:r w:rsidR="00AF4B8B">
        <w:rPr>
          <w:rFonts w:asciiTheme="majorHAnsi" w:hAnsiTheme="majorHAnsi"/>
        </w:rPr>
        <w:t>I</w:t>
      </w:r>
      <w:r w:rsidRPr="00A82FD7">
        <w:rPr>
          <w:rFonts w:asciiTheme="majorHAnsi" w:hAnsiTheme="majorHAnsi"/>
        </w:rPr>
        <w:t xml:space="preserve">ndigenous owned.  </w:t>
      </w:r>
    </w:p>
    <w:p w14:paraId="6379170D" w14:textId="77777777" w:rsidR="00AC1DAC" w:rsidRPr="00A82FD7" w:rsidRDefault="00AC1DAC" w:rsidP="00AC1DAC">
      <w:pPr>
        <w:pStyle w:val="BodyText"/>
        <w:rPr>
          <w:rFonts w:asciiTheme="majorHAnsi" w:hAnsiTheme="majorHAnsi"/>
        </w:rPr>
      </w:pPr>
      <w:r w:rsidRPr="00A82FD7">
        <w:rPr>
          <w:rFonts w:asciiTheme="majorHAnsi" w:hAnsiTheme="majorHAnsi"/>
        </w:rPr>
        <w:t xml:space="preserve">The IPPRS will issue a reminder to the supplier and contract manager </w:t>
      </w:r>
      <w:r w:rsidR="00AF4B8B">
        <w:rPr>
          <w:rFonts w:asciiTheme="majorHAnsi" w:hAnsiTheme="majorHAnsi"/>
        </w:rPr>
        <w:t xml:space="preserve">(as </w:t>
      </w:r>
      <w:r w:rsidRPr="00A82FD7">
        <w:rPr>
          <w:rFonts w:asciiTheme="majorHAnsi" w:hAnsiTheme="majorHAnsi"/>
        </w:rPr>
        <w:t>listed in the IPP</w:t>
      </w:r>
      <w:r w:rsidR="00AF4B8B">
        <w:rPr>
          <w:rFonts w:asciiTheme="majorHAnsi" w:hAnsiTheme="majorHAnsi"/>
        </w:rPr>
        <w:t xml:space="preserve">RS) </w:t>
      </w:r>
      <w:r w:rsidRPr="00A82FD7">
        <w:rPr>
          <w:rFonts w:asciiTheme="majorHAnsi" w:hAnsiTheme="majorHAnsi"/>
        </w:rPr>
        <w:t xml:space="preserve">by email when reports are due. Please ensure that the contact details of the person responsible for reporting are kept </w:t>
      </w:r>
      <w:proofErr w:type="gramStart"/>
      <w:r w:rsidRPr="00A82FD7">
        <w:rPr>
          <w:rFonts w:asciiTheme="majorHAnsi" w:hAnsiTheme="majorHAnsi"/>
        </w:rPr>
        <w:t>up-to-date</w:t>
      </w:r>
      <w:proofErr w:type="gramEnd"/>
      <w:r w:rsidRPr="00A82FD7">
        <w:rPr>
          <w:rFonts w:asciiTheme="majorHAnsi" w:hAnsiTheme="majorHAnsi"/>
        </w:rPr>
        <w:t xml:space="preserve"> in the IPPRS.</w:t>
      </w:r>
      <w:r w:rsidR="00233B73">
        <w:rPr>
          <w:rFonts w:asciiTheme="majorHAnsi" w:hAnsiTheme="majorHAnsi"/>
        </w:rPr>
        <w:t xml:space="preserve">  </w:t>
      </w:r>
      <w:r w:rsidR="00FB101B">
        <w:rPr>
          <w:rFonts w:asciiTheme="majorHAnsi" w:hAnsiTheme="majorHAnsi"/>
        </w:rPr>
        <w:t>If entities use group email inboxes, using this inbox to receive reminders would ensure that deadlines are not missed.</w:t>
      </w:r>
      <w:r w:rsidRPr="00A82FD7">
        <w:rPr>
          <w:rFonts w:asciiTheme="majorHAnsi" w:hAnsiTheme="majorHAnsi"/>
        </w:rPr>
        <w:t xml:space="preserve"> </w:t>
      </w:r>
    </w:p>
    <w:p w14:paraId="37763A25" w14:textId="77777777" w:rsidR="00AC1DAC" w:rsidRPr="00A82FD7" w:rsidRDefault="00AC1DAC" w:rsidP="00AC1DAC">
      <w:pPr>
        <w:pStyle w:val="BodyText"/>
        <w:rPr>
          <w:rFonts w:asciiTheme="majorHAnsi" w:hAnsiTheme="majorHAnsi"/>
        </w:rPr>
      </w:pPr>
      <w:r w:rsidRPr="00A82FD7">
        <w:rPr>
          <w:rFonts w:asciiTheme="majorHAnsi" w:hAnsiTheme="majorHAnsi"/>
        </w:rPr>
        <w:t xml:space="preserve">It is incumbent on the contract manager, to ensure suppliers submit the required report in a timely manner. </w:t>
      </w:r>
      <w:r w:rsidR="009D28F1">
        <w:rPr>
          <w:rFonts w:asciiTheme="majorHAnsi" w:hAnsiTheme="majorHAnsi"/>
        </w:rPr>
        <w:t xml:space="preserve">The contract manager </w:t>
      </w:r>
      <w:r w:rsidRPr="00A82FD7">
        <w:rPr>
          <w:rFonts w:asciiTheme="majorHAnsi" w:hAnsiTheme="majorHAnsi"/>
        </w:rPr>
        <w:t xml:space="preserve">should review all the information provided and follow up with the supplier if targets are not being met. </w:t>
      </w:r>
    </w:p>
    <w:p w14:paraId="4DA170E9" w14:textId="77777777" w:rsidR="00AC1DAC" w:rsidRPr="00134C33" w:rsidRDefault="00602CBF" w:rsidP="00AC1DAC">
      <w:pPr>
        <w:pStyle w:val="Heading3"/>
        <w:rPr>
          <w:color w:val="A55700" w:themeColor="accent4" w:themeShade="BF"/>
        </w:rPr>
      </w:pPr>
      <w:bookmarkStart w:id="66" w:name="_Toc40782723"/>
      <w:bookmarkStart w:id="67" w:name="_Toc223528556"/>
      <w:r w:rsidRPr="00134C33">
        <w:rPr>
          <w:color w:val="A55700" w:themeColor="accent4" w:themeShade="BF"/>
        </w:rPr>
        <w:lastRenderedPageBreak/>
        <w:t>9</w:t>
      </w:r>
      <w:r w:rsidR="00AC1DAC" w:rsidRPr="00134C33">
        <w:rPr>
          <w:color w:val="A55700" w:themeColor="accent4" w:themeShade="BF"/>
        </w:rPr>
        <w:t>.2 Monitoring progress</w:t>
      </w:r>
      <w:bookmarkEnd w:id="66"/>
      <w:bookmarkEnd w:id="67"/>
    </w:p>
    <w:p w14:paraId="457581D2" w14:textId="77777777" w:rsidR="00AC1DAC" w:rsidRPr="00A82FD7" w:rsidRDefault="00AC1DAC" w:rsidP="00AC1DAC">
      <w:pPr>
        <w:pStyle w:val="CommentText"/>
        <w:rPr>
          <w:rFonts w:asciiTheme="majorHAnsi" w:hAnsiTheme="majorHAnsi"/>
        </w:rPr>
      </w:pPr>
      <w:r w:rsidRPr="00A82FD7">
        <w:rPr>
          <w:rFonts w:asciiTheme="majorHAnsi" w:hAnsiTheme="majorHAnsi"/>
        </w:rPr>
        <w:t xml:space="preserve">While a supplier’s overall performance against MMR targets is not assessed until the end of the contract </w:t>
      </w:r>
      <w:r w:rsidRPr="002B05D9">
        <w:rPr>
          <w:rFonts w:asciiTheme="majorHAnsi" w:hAnsiTheme="majorHAnsi"/>
        </w:rPr>
        <w:t>(see Sect</w:t>
      </w:r>
      <w:r w:rsidR="00677139" w:rsidRPr="002B05D9">
        <w:rPr>
          <w:rFonts w:asciiTheme="majorHAnsi" w:hAnsiTheme="majorHAnsi"/>
        </w:rPr>
        <w:t>ion 9.4</w:t>
      </w:r>
      <w:r w:rsidRPr="002B05D9">
        <w:rPr>
          <w:rFonts w:asciiTheme="majorHAnsi" w:hAnsiTheme="majorHAnsi"/>
        </w:rPr>
        <w:t>),</w:t>
      </w:r>
      <w:r w:rsidRPr="00A82FD7">
        <w:rPr>
          <w:rFonts w:asciiTheme="majorHAnsi" w:hAnsiTheme="majorHAnsi"/>
        </w:rPr>
        <w:t xml:space="preserve"> the IPPRS is a useful tool for contract managers and suppliers to monitor progress throughout the life of the contract. The system can produce an assessment of performance to date at any time</w:t>
      </w:r>
      <w:r w:rsidR="001A4FC1" w:rsidRPr="00A82FD7">
        <w:rPr>
          <w:rFonts w:asciiTheme="majorHAnsi" w:hAnsiTheme="majorHAnsi"/>
        </w:rPr>
        <w:t>,</w:t>
      </w:r>
      <w:r w:rsidR="00EB1C07">
        <w:rPr>
          <w:rFonts w:asciiTheme="majorHAnsi" w:hAnsiTheme="majorHAnsi"/>
        </w:rPr>
        <w:t xml:space="preserve"> </w:t>
      </w:r>
      <w:r w:rsidR="001A4FC1" w:rsidRPr="00A82FD7">
        <w:rPr>
          <w:rFonts w:asciiTheme="majorHAnsi" w:hAnsiTheme="majorHAnsi"/>
        </w:rPr>
        <w:t xml:space="preserve">issue alerts if reports are overdue. </w:t>
      </w:r>
      <w:r w:rsidRPr="00A82FD7">
        <w:rPr>
          <w:rFonts w:asciiTheme="majorHAnsi" w:hAnsiTheme="majorHAnsi"/>
        </w:rPr>
        <w:t xml:space="preserve"> </w:t>
      </w:r>
    </w:p>
    <w:p w14:paraId="480233B3" w14:textId="77777777" w:rsidR="00AC1DAC" w:rsidRPr="00A82FD7" w:rsidRDefault="00AC1DAC" w:rsidP="00AC1DAC">
      <w:pPr>
        <w:pStyle w:val="CommentText"/>
        <w:rPr>
          <w:rFonts w:asciiTheme="majorHAnsi" w:hAnsiTheme="majorHAnsi"/>
        </w:rPr>
      </w:pPr>
      <w:r w:rsidRPr="00A82FD7">
        <w:rPr>
          <w:rFonts w:asciiTheme="majorHAnsi" w:hAnsiTheme="majorHAnsi"/>
        </w:rPr>
        <w:t xml:space="preserve">It is </w:t>
      </w:r>
      <w:r w:rsidR="009D28F1">
        <w:rPr>
          <w:rFonts w:asciiTheme="majorHAnsi" w:hAnsiTheme="majorHAnsi"/>
        </w:rPr>
        <w:t>the responsibility of the contract manager</w:t>
      </w:r>
      <w:r w:rsidRPr="00A82FD7">
        <w:rPr>
          <w:rFonts w:asciiTheme="majorHAnsi" w:hAnsiTheme="majorHAnsi"/>
        </w:rPr>
        <w:t xml:space="preserve"> to follow up with the supplier if progress is not tracking well against targets or </w:t>
      </w:r>
      <w:r w:rsidR="009D28F1">
        <w:rPr>
          <w:rFonts w:asciiTheme="majorHAnsi" w:hAnsiTheme="majorHAnsi"/>
        </w:rPr>
        <w:t>is unlikely to</w:t>
      </w:r>
      <w:r w:rsidRPr="00A82FD7">
        <w:rPr>
          <w:rFonts w:asciiTheme="majorHAnsi" w:hAnsiTheme="majorHAnsi"/>
        </w:rPr>
        <w:t xml:space="preserve"> me</w:t>
      </w:r>
      <w:r w:rsidR="009D28F1">
        <w:rPr>
          <w:rFonts w:asciiTheme="majorHAnsi" w:hAnsiTheme="majorHAnsi"/>
        </w:rPr>
        <w:t>e</w:t>
      </w:r>
      <w:r w:rsidRPr="00A82FD7">
        <w:rPr>
          <w:rFonts w:asciiTheme="majorHAnsi" w:hAnsiTheme="majorHAnsi"/>
        </w:rPr>
        <w:t xml:space="preserve">t </w:t>
      </w:r>
      <w:r w:rsidR="009D28F1">
        <w:rPr>
          <w:rFonts w:asciiTheme="majorHAnsi" w:hAnsiTheme="majorHAnsi"/>
        </w:rPr>
        <w:t xml:space="preserve">the MMR by </w:t>
      </w:r>
      <w:r w:rsidRPr="00A82FD7">
        <w:rPr>
          <w:rFonts w:asciiTheme="majorHAnsi" w:hAnsiTheme="majorHAnsi"/>
        </w:rPr>
        <w:t xml:space="preserve">the end of the contract. </w:t>
      </w:r>
    </w:p>
    <w:p w14:paraId="17862EC6" w14:textId="77777777" w:rsidR="00AC1DAC" w:rsidRPr="00A82FD7" w:rsidRDefault="00AC1DAC" w:rsidP="00AC1DAC">
      <w:pPr>
        <w:pStyle w:val="CommentText"/>
        <w:rPr>
          <w:rFonts w:asciiTheme="majorHAnsi" w:hAnsiTheme="majorHAnsi"/>
        </w:rPr>
      </w:pPr>
      <w:r w:rsidRPr="00A82FD7">
        <w:rPr>
          <w:rFonts w:asciiTheme="majorHAnsi" w:hAnsiTheme="majorHAnsi"/>
        </w:rPr>
        <w:t xml:space="preserve">There are </w:t>
      </w:r>
      <w:proofErr w:type="gramStart"/>
      <w:r w:rsidRPr="00A82FD7">
        <w:rPr>
          <w:rFonts w:asciiTheme="majorHAnsi" w:hAnsiTheme="majorHAnsi"/>
        </w:rPr>
        <w:t>a number of</w:t>
      </w:r>
      <w:proofErr w:type="gramEnd"/>
      <w:r w:rsidRPr="00A82FD7">
        <w:rPr>
          <w:rFonts w:asciiTheme="majorHAnsi" w:hAnsiTheme="majorHAnsi"/>
        </w:rPr>
        <w:t xml:space="preserve"> ways </w:t>
      </w:r>
      <w:r w:rsidR="009D28F1">
        <w:rPr>
          <w:rFonts w:asciiTheme="majorHAnsi" w:hAnsiTheme="majorHAnsi"/>
        </w:rPr>
        <w:t xml:space="preserve">a contract manager </w:t>
      </w:r>
      <w:r w:rsidRPr="00A82FD7">
        <w:rPr>
          <w:rFonts w:asciiTheme="majorHAnsi" w:hAnsiTheme="majorHAnsi"/>
        </w:rPr>
        <w:t>can support a supplier that is struggling to meet the MMR. These include:</w:t>
      </w:r>
    </w:p>
    <w:p w14:paraId="11BD261E" w14:textId="77777777" w:rsidR="00AC1DAC" w:rsidRPr="00A82FD7" w:rsidRDefault="00AC1DAC" w:rsidP="00AC1DAC">
      <w:pPr>
        <w:pStyle w:val="BulletedListlvl1"/>
        <w:rPr>
          <w:rFonts w:asciiTheme="majorHAnsi" w:hAnsiTheme="majorHAnsi"/>
        </w:rPr>
      </w:pPr>
      <w:r w:rsidRPr="00A82FD7">
        <w:rPr>
          <w:rFonts w:asciiTheme="majorHAnsi" w:hAnsiTheme="majorHAnsi"/>
        </w:rPr>
        <w:t xml:space="preserve">advise them to return to their Indigenous Participation Plan for strategies on how to move </w:t>
      </w:r>
      <w:proofErr w:type="gramStart"/>
      <w:r w:rsidRPr="00A82FD7">
        <w:rPr>
          <w:rFonts w:asciiTheme="majorHAnsi" w:hAnsiTheme="majorHAnsi"/>
        </w:rPr>
        <w:t>forward</w:t>
      </w:r>
      <w:r w:rsidR="003023B3" w:rsidRPr="00A82FD7">
        <w:rPr>
          <w:rFonts w:asciiTheme="majorHAnsi" w:hAnsiTheme="majorHAnsi"/>
        </w:rPr>
        <w:t>;</w:t>
      </w:r>
      <w:proofErr w:type="gramEnd"/>
    </w:p>
    <w:p w14:paraId="206C0B9E" w14:textId="77777777" w:rsidR="00AC1DAC" w:rsidRPr="00A82FD7" w:rsidRDefault="001A4FC1" w:rsidP="00AC1DAC">
      <w:pPr>
        <w:pStyle w:val="BulletedListlvl1"/>
        <w:rPr>
          <w:rFonts w:asciiTheme="majorHAnsi" w:hAnsiTheme="majorHAnsi"/>
        </w:rPr>
      </w:pPr>
      <w:r w:rsidRPr="00A82FD7">
        <w:rPr>
          <w:rFonts w:asciiTheme="majorHAnsi" w:hAnsiTheme="majorHAnsi"/>
        </w:rPr>
        <w:t xml:space="preserve">ensure they </w:t>
      </w:r>
      <w:proofErr w:type="gramStart"/>
      <w:r w:rsidRPr="00A82FD7">
        <w:rPr>
          <w:rFonts w:asciiTheme="majorHAnsi" w:hAnsiTheme="majorHAnsi"/>
        </w:rPr>
        <w:t>are connected with</w:t>
      </w:r>
      <w:proofErr w:type="gramEnd"/>
      <w:r w:rsidRPr="00A82FD7">
        <w:rPr>
          <w:rFonts w:asciiTheme="majorHAnsi" w:hAnsiTheme="majorHAnsi"/>
        </w:rPr>
        <w:t xml:space="preserve"> local employment service providers, Indigenous </w:t>
      </w:r>
      <w:proofErr w:type="gramStart"/>
      <w:r w:rsidRPr="00A82FD7">
        <w:rPr>
          <w:rFonts w:asciiTheme="majorHAnsi" w:hAnsiTheme="majorHAnsi"/>
        </w:rPr>
        <w:t>community controlled</w:t>
      </w:r>
      <w:proofErr w:type="gramEnd"/>
      <w:r w:rsidRPr="00A82FD7">
        <w:rPr>
          <w:rFonts w:asciiTheme="majorHAnsi" w:hAnsiTheme="majorHAnsi"/>
        </w:rPr>
        <w:t xml:space="preserve"> organisations</w:t>
      </w:r>
      <w:r w:rsidR="0084306B" w:rsidRPr="00A82FD7">
        <w:rPr>
          <w:rFonts w:asciiTheme="majorHAnsi" w:hAnsiTheme="majorHAnsi"/>
        </w:rPr>
        <w:t>, land</w:t>
      </w:r>
      <w:r w:rsidRPr="00A82FD7">
        <w:rPr>
          <w:rFonts w:asciiTheme="majorHAnsi" w:hAnsiTheme="majorHAnsi"/>
        </w:rPr>
        <w:t xml:space="preserve"> and sea council and business chambers</w:t>
      </w:r>
      <w:r w:rsidR="00601FB5" w:rsidRPr="00A82FD7">
        <w:rPr>
          <w:rFonts w:asciiTheme="majorHAnsi" w:hAnsiTheme="majorHAnsi"/>
        </w:rPr>
        <w:t>, such as Supply Nation</w:t>
      </w:r>
      <w:r w:rsidRPr="00A82FD7">
        <w:rPr>
          <w:rFonts w:asciiTheme="majorHAnsi" w:hAnsiTheme="majorHAnsi"/>
        </w:rPr>
        <w:t xml:space="preserve">. </w:t>
      </w:r>
    </w:p>
    <w:p w14:paraId="6C066125" w14:textId="77777777" w:rsidR="00AC1DAC" w:rsidRPr="002B05D9" w:rsidRDefault="00AC1DAC" w:rsidP="00AC1DAC">
      <w:pPr>
        <w:pStyle w:val="BulletedListlvl1"/>
        <w:rPr>
          <w:rFonts w:asciiTheme="majorHAnsi" w:hAnsiTheme="majorHAnsi"/>
        </w:rPr>
      </w:pPr>
      <w:r w:rsidRPr="00A82FD7">
        <w:rPr>
          <w:rFonts w:asciiTheme="majorHAnsi" w:hAnsiTheme="majorHAnsi"/>
        </w:rPr>
        <w:t>suggest they consider a contract variation if circumstances have changed</w:t>
      </w:r>
      <w:r w:rsidR="003663BE" w:rsidRPr="00A82FD7">
        <w:rPr>
          <w:rFonts w:asciiTheme="majorHAnsi" w:hAnsiTheme="majorHAnsi"/>
        </w:rPr>
        <w:t xml:space="preserve"> </w:t>
      </w:r>
      <w:r w:rsidR="00677139" w:rsidRPr="002B05D9">
        <w:rPr>
          <w:rFonts w:asciiTheme="majorHAnsi" w:hAnsiTheme="majorHAnsi"/>
        </w:rPr>
        <w:t>(see Section 10.1</w:t>
      </w:r>
      <w:r w:rsidR="003663BE" w:rsidRPr="002B05D9">
        <w:rPr>
          <w:rFonts w:asciiTheme="majorHAnsi" w:hAnsiTheme="majorHAnsi"/>
        </w:rPr>
        <w:t xml:space="preserve"> on variations</w:t>
      </w:r>
      <w:proofErr w:type="gramStart"/>
      <w:r w:rsidR="003663BE" w:rsidRPr="002B05D9">
        <w:rPr>
          <w:rFonts w:asciiTheme="majorHAnsi" w:hAnsiTheme="majorHAnsi"/>
        </w:rPr>
        <w:t>)</w:t>
      </w:r>
      <w:r w:rsidR="00943D1C" w:rsidRPr="002B05D9">
        <w:rPr>
          <w:rFonts w:asciiTheme="majorHAnsi" w:hAnsiTheme="majorHAnsi"/>
        </w:rPr>
        <w:t>;</w:t>
      </w:r>
      <w:proofErr w:type="gramEnd"/>
    </w:p>
    <w:p w14:paraId="4BC9C3D9" w14:textId="77777777" w:rsidR="00AC1DAC" w:rsidRPr="00A82FD7" w:rsidRDefault="00AC1DAC" w:rsidP="00AC1DAC">
      <w:pPr>
        <w:pStyle w:val="BulletedListlvl1"/>
        <w:rPr>
          <w:rFonts w:asciiTheme="majorHAnsi" w:hAnsiTheme="majorHAnsi"/>
        </w:rPr>
      </w:pPr>
      <w:r w:rsidRPr="00A82FD7">
        <w:rPr>
          <w:rFonts w:asciiTheme="majorHAnsi" w:hAnsiTheme="majorHAnsi"/>
        </w:rPr>
        <w:t>refer them to the IPP Guide for Suppliers which contains information to assist meet employment and supply use targets</w:t>
      </w:r>
      <w:r w:rsidR="00943D1C" w:rsidRPr="00A82FD7">
        <w:rPr>
          <w:rFonts w:asciiTheme="majorHAnsi" w:hAnsiTheme="majorHAnsi"/>
        </w:rPr>
        <w:t>; or</w:t>
      </w:r>
    </w:p>
    <w:p w14:paraId="166B3BF8" w14:textId="77777777" w:rsidR="001A4FC1" w:rsidRPr="00A82FD7" w:rsidRDefault="00943D1C" w:rsidP="00AC1DAC">
      <w:pPr>
        <w:pStyle w:val="BulletedListlvl1"/>
        <w:rPr>
          <w:rFonts w:asciiTheme="majorHAnsi" w:hAnsiTheme="majorHAnsi"/>
        </w:rPr>
      </w:pPr>
      <w:r w:rsidRPr="00A82FD7">
        <w:rPr>
          <w:rFonts w:asciiTheme="majorHAnsi" w:hAnsiTheme="majorHAnsi"/>
        </w:rPr>
        <w:t>r</w:t>
      </w:r>
      <w:r w:rsidR="001A4FC1" w:rsidRPr="00A82FD7">
        <w:rPr>
          <w:rFonts w:asciiTheme="majorHAnsi" w:hAnsiTheme="majorHAnsi"/>
        </w:rPr>
        <w:t xml:space="preserve">each out to the NIAA regional office for assistance </w:t>
      </w:r>
      <w:r w:rsidR="00601FB5" w:rsidRPr="00A82FD7">
        <w:rPr>
          <w:rFonts w:asciiTheme="majorHAnsi" w:hAnsiTheme="majorHAnsi"/>
        </w:rPr>
        <w:t xml:space="preserve">(see resource information) </w:t>
      </w:r>
    </w:p>
    <w:p w14:paraId="2AE84E4B" w14:textId="77777777" w:rsidR="00AC1DAC" w:rsidRPr="00134C33" w:rsidRDefault="00602CBF" w:rsidP="00AC1DAC">
      <w:pPr>
        <w:pStyle w:val="Heading3"/>
        <w:rPr>
          <w:color w:val="A55700" w:themeColor="accent4" w:themeShade="BF"/>
        </w:rPr>
      </w:pPr>
      <w:bookmarkStart w:id="68" w:name="_Toc40782724"/>
      <w:bookmarkStart w:id="69" w:name="_Toc223528557"/>
      <w:r w:rsidRPr="00134C33">
        <w:rPr>
          <w:color w:val="A55700" w:themeColor="accent4" w:themeShade="BF"/>
        </w:rPr>
        <w:t>9</w:t>
      </w:r>
      <w:r w:rsidR="00AC1DAC" w:rsidRPr="00134C33">
        <w:rPr>
          <w:color w:val="A55700" w:themeColor="accent4" w:themeShade="BF"/>
        </w:rPr>
        <w:t>.3 Verifying information</w:t>
      </w:r>
      <w:bookmarkEnd w:id="68"/>
      <w:bookmarkEnd w:id="69"/>
    </w:p>
    <w:p w14:paraId="2D106BBD" w14:textId="77777777" w:rsidR="00AC1DAC" w:rsidRPr="00A82FD7" w:rsidRDefault="00AC1DAC" w:rsidP="00AC1DAC">
      <w:pPr>
        <w:pStyle w:val="CommentText"/>
        <w:rPr>
          <w:rFonts w:asciiTheme="majorHAnsi" w:hAnsiTheme="majorHAnsi"/>
        </w:rPr>
      </w:pPr>
      <w:r w:rsidRPr="00A82FD7">
        <w:rPr>
          <w:rFonts w:asciiTheme="majorHAnsi" w:hAnsiTheme="majorHAnsi"/>
        </w:rPr>
        <w:t xml:space="preserve">It is </w:t>
      </w:r>
      <w:r w:rsidR="009D28F1">
        <w:rPr>
          <w:rFonts w:asciiTheme="majorHAnsi" w:hAnsiTheme="majorHAnsi"/>
        </w:rPr>
        <w:t>the responsibility of the</w:t>
      </w:r>
      <w:r w:rsidRPr="00A82FD7">
        <w:rPr>
          <w:rFonts w:asciiTheme="majorHAnsi" w:hAnsiTheme="majorHAnsi"/>
        </w:rPr>
        <w:t xml:space="preserve"> contract manager to verify that the supplier has accurately reported Indigenous employment and supply-use outcomes. This can be challenging because it </w:t>
      </w:r>
      <w:r w:rsidR="00F73EF5">
        <w:rPr>
          <w:rFonts w:asciiTheme="majorHAnsi" w:hAnsiTheme="majorHAnsi"/>
        </w:rPr>
        <w:t>may rely</w:t>
      </w:r>
      <w:r w:rsidR="00F73EF5" w:rsidRPr="00A82FD7">
        <w:rPr>
          <w:rFonts w:asciiTheme="majorHAnsi" w:hAnsiTheme="majorHAnsi"/>
        </w:rPr>
        <w:t xml:space="preserve"> </w:t>
      </w:r>
      <w:r w:rsidRPr="00A82FD7">
        <w:rPr>
          <w:rFonts w:asciiTheme="majorHAnsi" w:hAnsiTheme="majorHAnsi"/>
        </w:rPr>
        <w:t>on sensitive information regarding a person’s heritage.</w:t>
      </w:r>
    </w:p>
    <w:p w14:paraId="6A01F8FD" w14:textId="77777777" w:rsidR="003F4ED2" w:rsidRPr="00B36E1B" w:rsidRDefault="003F4ED2" w:rsidP="003F4ED2">
      <w:pPr>
        <w:pStyle w:val="CommentText"/>
        <w:rPr>
          <w:rFonts w:asciiTheme="majorHAnsi" w:hAnsiTheme="majorHAnsi"/>
        </w:rPr>
      </w:pPr>
      <w:r w:rsidRPr="00B36E1B">
        <w:rPr>
          <w:rFonts w:asciiTheme="majorHAnsi" w:hAnsiTheme="majorHAnsi"/>
        </w:rPr>
        <w:t xml:space="preserve">The supplier should have taken reasonable steps, through risk management practices, to confirm that the Indigenous workers or Indigenous suppliers contributing to the delivery of the contract can attest to their Indigenous heritage and </w:t>
      </w:r>
      <w:r w:rsidR="00F73EF5" w:rsidRPr="00B36E1B">
        <w:rPr>
          <w:rFonts w:asciiTheme="majorHAnsi" w:hAnsiTheme="majorHAnsi"/>
        </w:rPr>
        <w:t>I</w:t>
      </w:r>
      <w:r w:rsidRPr="00B36E1B">
        <w:rPr>
          <w:rFonts w:asciiTheme="majorHAnsi" w:hAnsiTheme="majorHAnsi"/>
        </w:rPr>
        <w:t>ndigenous ownership. This could involve requiring an employee to provide this information as part of standard HR processes, with a warning that false information could lead to disciplinary action</w:t>
      </w:r>
    </w:p>
    <w:p w14:paraId="68B9FF1D" w14:textId="686DFC18" w:rsidR="001048DC" w:rsidRPr="00A82FD7" w:rsidRDefault="00AC1DAC" w:rsidP="00697893">
      <w:pPr>
        <w:pStyle w:val="CommentText"/>
        <w:rPr>
          <w:rFonts w:asciiTheme="majorHAnsi" w:hAnsiTheme="majorHAnsi"/>
        </w:rPr>
      </w:pPr>
      <w:r w:rsidRPr="00B36E1B">
        <w:rPr>
          <w:rFonts w:asciiTheme="majorHAnsi" w:hAnsiTheme="majorHAnsi"/>
        </w:rPr>
        <w:t xml:space="preserve">As part of </w:t>
      </w:r>
      <w:r w:rsidR="009D28F1" w:rsidRPr="00B36E1B">
        <w:rPr>
          <w:rFonts w:asciiTheme="majorHAnsi" w:hAnsiTheme="majorHAnsi"/>
        </w:rPr>
        <w:t>a Commonwealth entity</w:t>
      </w:r>
      <w:r w:rsidR="00864D08" w:rsidRPr="00B36E1B">
        <w:rPr>
          <w:rFonts w:asciiTheme="majorHAnsi" w:hAnsiTheme="majorHAnsi"/>
        </w:rPr>
        <w:t>’s</w:t>
      </w:r>
      <w:r w:rsidR="009D28F1" w:rsidRPr="00B36E1B">
        <w:rPr>
          <w:rFonts w:asciiTheme="majorHAnsi" w:hAnsiTheme="majorHAnsi"/>
        </w:rPr>
        <w:t xml:space="preserve"> </w:t>
      </w:r>
      <w:r w:rsidRPr="00B36E1B">
        <w:rPr>
          <w:rFonts w:asciiTheme="majorHAnsi" w:hAnsiTheme="majorHAnsi"/>
        </w:rPr>
        <w:t>contract management control framework, it would be beneficial to integrate reviews of MMR documentation</w:t>
      </w:r>
      <w:r w:rsidR="00B36E1B" w:rsidRPr="00B36E1B">
        <w:rPr>
          <w:rFonts w:asciiTheme="majorHAnsi" w:hAnsiTheme="majorHAnsi"/>
        </w:rPr>
        <w:t>.</w:t>
      </w:r>
    </w:p>
    <w:p w14:paraId="427CE961" w14:textId="77777777" w:rsidR="001048DC" w:rsidRPr="00A82FD7" w:rsidRDefault="001048DC" w:rsidP="00697893">
      <w:pPr>
        <w:pStyle w:val="CommentText"/>
        <w:rPr>
          <w:rFonts w:asciiTheme="majorHAnsi" w:hAnsiTheme="majorHAnsi"/>
        </w:rPr>
      </w:pPr>
      <w:r w:rsidRPr="00A82FD7">
        <w:rPr>
          <w:rFonts w:asciiTheme="majorHAnsi" w:hAnsiTheme="majorHAnsi"/>
        </w:rPr>
        <w:t xml:space="preserve">When considering requirements please note: </w:t>
      </w:r>
    </w:p>
    <w:p w14:paraId="4D121304" w14:textId="77777777" w:rsidR="00DA2A95" w:rsidRPr="00A82FD7" w:rsidRDefault="00AF4B8B" w:rsidP="00943D1C">
      <w:pPr>
        <w:pStyle w:val="BulletedListlvl1"/>
        <w:rPr>
          <w:rFonts w:asciiTheme="majorHAnsi" w:hAnsiTheme="majorHAnsi"/>
        </w:rPr>
      </w:pPr>
      <w:r>
        <w:rPr>
          <w:rFonts w:asciiTheme="majorHAnsi" w:hAnsiTheme="majorHAnsi"/>
        </w:rPr>
        <w:t>w</w:t>
      </w:r>
      <w:r w:rsidR="00DA2A95" w:rsidRPr="00A82FD7">
        <w:rPr>
          <w:rFonts w:asciiTheme="majorHAnsi" w:hAnsiTheme="majorHAnsi"/>
        </w:rPr>
        <w:t>hen submitting data via the IPPRS</w:t>
      </w:r>
      <w:r>
        <w:rPr>
          <w:rFonts w:asciiTheme="majorHAnsi" w:hAnsiTheme="majorHAnsi"/>
        </w:rPr>
        <w:t>,</w:t>
      </w:r>
      <w:r w:rsidR="00DA2A95" w:rsidRPr="00A82FD7">
        <w:rPr>
          <w:rFonts w:asciiTheme="majorHAnsi" w:hAnsiTheme="majorHAnsi"/>
        </w:rPr>
        <w:t xml:space="preserve"> the </w:t>
      </w:r>
      <w:r w:rsidR="00943D1C" w:rsidRPr="00A82FD7">
        <w:rPr>
          <w:rFonts w:asciiTheme="majorHAnsi" w:hAnsiTheme="majorHAnsi"/>
        </w:rPr>
        <w:t>s</w:t>
      </w:r>
      <w:r w:rsidR="00DA2A95" w:rsidRPr="00A82FD7">
        <w:rPr>
          <w:rFonts w:asciiTheme="majorHAnsi" w:hAnsiTheme="majorHAnsi"/>
        </w:rPr>
        <w:t>upplier is notified that providing false inf</w:t>
      </w:r>
      <w:r>
        <w:rPr>
          <w:rFonts w:asciiTheme="majorHAnsi" w:hAnsiTheme="majorHAnsi"/>
        </w:rPr>
        <w:t>ormation is a criminal offence</w:t>
      </w:r>
    </w:p>
    <w:p w14:paraId="4970660E" w14:textId="77777777" w:rsidR="001048DC" w:rsidRPr="00A82FD7" w:rsidRDefault="00AF4B8B" w:rsidP="00943D1C">
      <w:pPr>
        <w:pStyle w:val="BulletedListlvl1"/>
        <w:rPr>
          <w:rFonts w:asciiTheme="majorHAnsi" w:hAnsiTheme="majorHAnsi"/>
        </w:rPr>
      </w:pPr>
      <w:r>
        <w:rPr>
          <w:rFonts w:asciiTheme="majorHAnsi" w:hAnsiTheme="majorHAnsi"/>
        </w:rPr>
        <w:t>f</w:t>
      </w:r>
      <w:r w:rsidR="001048DC" w:rsidRPr="00A82FD7">
        <w:rPr>
          <w:rFonts w:asciiTheme="majorHAnsi" w:hAnsiTheme="majorHAnsi"/>
        </w:rPr>
        <w:t xml:space="preserve">or the </w:t>
      </w:r>
      <w:r w:rsidR="00943D1C" w:rsidRPr="00A82FD7">
        <w:rPr>
          <w:rFonts w:asciiTheme="majorHAnsi" w:hAnsiTheme="majorHAnsi"/>
        </w:rPr>
        <w:t>s</w:t>
      </w:r>
      <w:r>
        <w:rPr>
          <w:rFonts w:asciiTheme="majorHAnsi" w:hAnsiTheme="majorHAnsi"/>
        </w:rPr>
        <w:t>upply-u</w:t>
      </w:r>
      <w:r w:rsidR="001048DC" w:rsidRPr="00A82FD7">
        <w:rPr>
          <w:rFonts w:asciiTheme="majorHAnsi" w:hAnsiTheme="majorHAnsi"/>
        </w:rPr>
        <w:t>se target, the IPPRS will auto</w:t>
      </w:r>
      <w:r>
        <w:rPr>
          <w:rFonts w:asciiTheme="majorHAnsi" w:hAnsiTheme="majorHAnsi"/>
        </w:rPr>
        <w:t>matically verify whether the business is</w:t>
      </w:r>
      <w:r w:rsidR="001048DC" w:rsidRPr="00A82FD7">
        <w:rPr>
          <w:rFonts w:asciiTheme="majorHAnsi" w:hAnsiTheme="majorHAnsi"/>
        </w:rPr>
        <w:t xml:space="preserve"> </w:t>
      </w:r>
      <w:r w:rsidR="00DA2A95" w:rsidRPr="00A82FD7">
        <w:rPr>
          <w:rFonts w:asciiTheme="majorHAnsi" w:hAnsiTheme="majorHAnsi"/>
        </w:rPr>
        <w:t>I</w:t>
      </w:r>
      <w:r w:rsidR="001048DC" w:rsidRPr="00A82FD7">
        <w:rPr>
          <w:rFonts w:asciiTheme="majorHAnsi" w:hAnsiTheme="majorHAnsi"/>
        </w:rPr>
        <w:t xml:space="preserve">ndigenous owned by data matching with </w:t>
      </w:r>
      <w:r w:rsidR="00DA2A95" w:rsidRPr="00A82FD7">
        <w:rPr>
          <w:rFonts w:asciiTheme="majorHAnsi" w:hAnsiTheme="majorHAnsi"/>
        </w:rPr>
        <w:t xml:space="preserve">Supply Nation and ORIC and record this in the system. </w:t>
      </w:r>
    </w:p>
    <w:p w14:paraId="78080C9C" w14:textId="77777777" w:rsidR="00DA2A95" w:rsidRPr="00A82FD7" w:rsidRDefault="00DA2A95" w:rsidP="00943D1C">
      <w:pPr>
        <w:pStyle w:val="BulletedListlvl1"/>
        <w:numPr>
          <w:ilvl w:val="0"/>
          <w:numId w:val="0"/>
        </w:numPr>
        <w:ind w:left="283"/>
        <w:rPr>
          <w:rFonts w:asciiTheme="majorHAnsi" w:hAnsiTheme="majorHAnsi"/>
        </w:rPr>
      </w:pPr>
    </w:p>
    <w:p w14:paraId="67D8C198" w14:textId="77777777" w:rsidR="003F4ED2" w:rsidRPr="00A82FD7" w:rsidRDefault="009D28F1" w:rsidP="00DA2A95">
      <w:pPr>
        <w:pStyle w:val="CommentText"/>
        <w:rPr>
          <w:rFonts w:asciiTheme="majorHAnsi" w:hAnsiTheme="majorHAnsi"/>
        </w:rPr>
      </w:pPr>
      <w:r>
        <w:rPr>
          <w:rFonts w:asciiTheme="majorHAnsi" w:hAnsiTheme="majorHAnsi"/>
        </w:rPr>
        <w:t>The contract manager should</w:t>
      </w:r>
      <w:r w:rsidR="00DA2A95" w:rsidRPr="00A82FD7">
        <w:rPr>
          <w:rFonts w:asciiTheme="majorHAnsi" w:hAnsiTheme="majorHAnsi"/>
        </w:rPr>
        <w:t xml:space="preserve"> </w:t>
      </w:r>
      <w:r w:rsidR="00AC1DAC" w:rsidRPr="00A82FD7">
        <w:rPr>
          <w:rFonts w:asciiTheme="majorHAnsi" w:hAnsiTheme="majorHAnsi"/>
        </w:rPr>
        <w:t>specify</w:t>
      </w:r>
      <w:r w:rsidR="00943D1C" w:rsidRPr="00A82FD7">
        <w:rPr>
          <w:rFonts w:asciiTheme="majorHAnsi" w:hAnsiTheme="majorHAnsi"/>
        </w:rPr>
        <w:t xml:space="preserve"> </w:t>
      </w:r>
      <w:r w:rsidR="00AF4B8B">
        <w:rPr>
          <w:rFonts w:asciiTheme="majorHAnsi" w:hAnsiTheme="majorHAnsi"/>
        </w:rPr>
        <w:t>the</w:t>
      </w:r>
      <w:r w:rsidR="00AC1DAC" w:rsidRPr="00A82FD7">
        <w:rPr>
          <w:rFonts w:asciiTheme="majorHAnsi" w:hAnsiTheme="majorHAnsi"/>
        </w:rPr>
        <w:t xml:space="preserve"> documentation</w:t>
      </w:r>
      <w:r w:rsidR="001A4FC1" w:rsidRPr="00A82FD7">
        <w:rPr>
          <w:rFonts w:asciiTheme="majorHAnsi" w:hAnsiTheme="majorHAnsi"/>
        </w:rPr>
        <w:t xml:space="preserve"> the </w:t>
      </w:r>
      <w:r w:rsidR="00943D1C" w:rsidRPr="00A82FD7">
        <w:rPr>
          <w:rFonts w:asciiTheme="majorHAnsi" w:hAnsiTheme="majorHAnsi"/>
        </w:rPr>
        <w:t>s</w:t>
      </w:r>
      <w:r w:rsidR="001A4FC1" w:rsidRPr="00A82FD7">
        <w:rPr>
          <w:rFonts w:asciiTheme="majorHAnsi" w:hAnsiTheme="majorHAnsi"/>
        </w:rPr>
        <w:t xml:space="preserve">upplier </w:t>
      </w:r>
      <w:r>
        <w:rPr>
          <w:rFonts w:asciiTheme="majorHAnsi" w:hAnsiTheme="majorHAnsi"/>
        </w:rPr>
        <w:t>must</w:t>
      </w:r>
      <w:r w:rsidR="001A4FC1" w:rsidRPr="00A82FD7">
        <w:rPr>
          <w:rFonts w:asciiTheme="majorHAnsi" w:hAnsiTheme="majorHAnsi"/>
        </w:rPr>
        <w:t xml:space="preserve"> maintain </w:t>
      </w:r>
      <w:r w:rsidR="00AC1DAC" w:rsidRPr="00A82FD7">
        <w:rPr>
          <w:rFonts w:asciiTheme="majorHAnsi" w:hAnsiTheme="majorHAnsi"/>
        </w:rPr>
        <w:t>as evidence of MMR performance</w:t>
      </w:r>
      <w:r w:rsidR="00DA2A95" w:rsidRPr="00A82FD7">
        <w:rPr>
          <w:rFonts w:asciiTheme="majorHAnsi" w:hAnsiTheme="majorHAnsi"/>
        </w:rPr>
        <w:t xml:space="preserve">, </w:t>
      </w:r>
      <w:r w:rsidR="00AF4B8B">
        <w:rPr>
          <w:rFonts w:asciiTheme="majorHAnsi" w:hAnsiTheme="majorHAnsi"/>
        </w:rPr>
        <w:t xml:space="preserve">taking </w:t>
      </w:r>
      <w:r w:rsidR="00DA2A95" w:rsidRPr="00A82FD7">
        <w:rPr>
          <w:rFonts w:asciiTheme="majorHAnsi" w:hAnsiTheme="majorHAnsi"/>
        </w:rPr>
        <w:t xml:space="preserve">into consideration </w:t>
      </w:r>
      <w:r w:rsidR="00215A71">
        <w:rPr>
          <w:rFonts w:asciiTheme="majorHAnsi" w:hAnsiTheme="majorHAnsi"/>
        </w:rPr>
        <w:t xml:space="preserve">associated risks. </w:t>
      </w:r>
      <w:r w:rsidR="00F73EF5">
        <w:rPr>
          <w:rFonts w:asciiTheme="majorHAnsi" w:hAnsiTheme="majorHAnsi"/>
        </w:rPr>
        <w:t>From time to time the contract manager should take steps to assure themselves that information being reported by suppliers is accurate. This could, for example, include spot reviews of evidence to support the reported information, or site visits as appropriate.</w:t>
      </w:r>
    </w:p>
    <w:p w14:paraId="0187C70E" w14:textId="77777777" w:rsidR="00697893" w:rsidRPr="00A82FD7" w:rsidRDefault="00943D1C" w:rsidP="00AC1DAC">
      <w:pPr>
        <w:pStyle w:val="CommentText"/>
        <w:rPr>
          <w:rFonts w:asciiTheme="majorHAnsi" w:hAnsiTheme="majorHAnsi"/>
        </w:rPr>
      </w:pPr>
      <w:r w:rsidRPr="00A82FD7">
        <w:rPr>
          <w:rFonts w:asciiTheme="majorHAnsi" w:hAnsiTheme="majorHAnsi"/>
        </w:rPr>
        <w:t>S</w:t>
      </w:r>
      <w:r w:rsidR="00855C67" w:rsidRPr="00A82FD7">
        <w:rPr>
          <w:rFonts w:asciiTheme="majorHAnsi" w:hAnsiTheme="majorHAnsi"/>
        </w:rPr>
        <w:t>ubject to privacy requirements, t</w:t>
      </w:r>
      <w:r w:rsidR="00AC1DAC" w:rsidRPr="00A82FD7">
        <w:rPr>
          <w:rFonts w:asciiTheme="majorHAnsi" w:hAnsiTheme="majorHAnsi"/>
        </w:rPr>
        <w:t xml:space="preserve">he documents </w:t>
      </w:r>
      <w:r w:rsidR="001048DC" w:rsidRPr="00A82FD7">
        <w:rPr>
          <w:rFonts w:asciiTheme="majorHAnsi" w:hAnsiTheme="majorHAnsi"/>
        </w:rPr>
        <w:t xml:space="preserve">associated with the MMR workforce target </w:t>
      </w:r>
      <w:r w:rsidR="00AC1DAC" w:rsidRPr="00A82FD7">
        <w:rPr>
          <w:rFonts w:asciiTheme="majorHAnsi" w:hAnsiTheme="majorHAnsi"/>
        </w:rPr>
        <w:t xml:space="preserve">could include: </w:t>
      </w:r>
    </w:p>
    <w:p w14:paraId="50EC079A" w14:textId="77777777" w:rsidR="00697893" w:rsidRPr="00A82FD7" w:rsidRDefault="00943D1C" w:rsidP="006A49F4">
      <w:pPr>
        <w:pStyle w:val="BulletedListlvl1"/>
        <w:rPr>
          <w:rFonts w:asciiTheme="majorHAnsi" w:hAnsiTheme="majorHAnsi"/>
        </w:rPr>
      </w:pPr>
      <w:r w:rsidRPr="00A82FD7">
        <w:rPr>
          <w:rFonts w:asciiTheme="majorHAnsi" w:hAnsiTheme="majorHAnsi"/>
        </w:rPr>
        <w:t>p</w:t>
      </w:r>
      <w:r w:rsidR="00855C67" w:rsidRPr="00A82FD7">
        <w:rPr>
          <w:rFonts w:asciiTheme="majorHAnsi" w:hAnsiTheme="majorHAnsi"/>
        </w:rPr>
        <w:t>ayroll information</w:t>
      </w:r>
      <w:r w:rsidR="00AC1DAC" w:rsidRPr="00A82FD7">
        <w:rPr>
          <w:rFonts w:asciiTheme="majorHAnsi" w:hAnsiTheme="majorHAnsi"/>
        </w:rPr>
        <w:t xml:space="preserve"> that </w:t>
      </w:r>
      <w:proofErr w:type="gramStart"/>
      <w:r w:rsidR="00AC1DAC" w:rsidRPr="00A82FD7">
        <w:rPr>
          <w:rFonts w:asciiTheme="majorHAnsi" w:hAnsiTheme="majorHAnsi"/>
        </w:rPr>
        <w:t>demonstrate</w:t>
      </w:r>
      <w:proofErr w:type="gramEnd"/>
      <w:r w:rsidR="00AC1DAC" w:rsidRPr="00A82FD7">
        <w:rPr>
          <w:rFonts w:asciiTheme="majorHAnsi" w:hAnsiTheme="majorHAnsi"/>
        </w:rPr>
        <w:t xml:space="preserve"> hours worked by staff on the </w:t>
      </w:r>
      <w:proofErr w:type="gramStart"/>
      <w:r w:rsidR="00AC1DAC" w:rsidRPr="00A82FD7">
        <w:rPr>
          <w:rFonts w:asciiTheme="majorHAnsi" w:hAnsiTheme="majorHAnsi"/>
        </w:rPr>
        <w:t>project;</w:t>
      </w:r>
      <w:proofErr w:type="gramEnd"/>
      <w:r w:rsidR="00AC1DAC" w:rsidRPr="00A82FD7">
        <w:rPr>
          <w:rFonts w:asciiTheme="majorHAnsi" w:hAnsiTheme="majorHAnsi"/>
        </w:rPr>
        <w:t xml:space="preserve"> </w:t>
      </w:r>
    </w:p>
    <w:p w14:paraId="09EC7C89" w14:textId="77777777" w:rsidR="00AC1DAC" w:rsidRPr="00A82FD7" w:rsidRDefault="00AC1DAC" w:rsidP="00800F6F">
      <w:pPr>
        <w:pStyle w:val="BulletedListlvl1"/>
        <w:rPr>
          <w:rFonts w:asciiTheme="majorHAnsi" w:hAnsiTheme="majorHAnsi"/>
        </w:rPr>
      </w:pPr>
      <w:r w:rsidRPr="00A82FD7">
        <w:rPr>
          <w:rFonts w:asciiTheme="majorHAnsi" w:hAnsiTheme="majorHAnsi"/>
        </w:rPr>
        <w:t xml:space="preserve">evidence that staff have identified </w:t>
      </w:r>
      <w:r w:rsidR="001A4FC1" w:rsidRPr="00A82FD7">
        <w:rPr>
          <w:rFonts w:asciiTheme="majorHAnsi" w:hAnsiTheme="majorHAnsi"/>
        </w:rPr>
        <w:t>as Aboriginal and/or Torres Strait Islander</w:t>
      </w:r>
      <w:r w:rsidR="00800F6F" w:rsidRPr="00A82FD7">
        <w:rPr>
          <w:rFonts w:asciiTheme="majorHAnsi" w:hAnsiTheme="majorHAnsi"/>
        </w:rPr>
        <w:t xml:space="preserve"> a</w:t>
      </w:r>
      <w:r w:rsidR="001A4FC1" w:rsidRPr="00A82FD7">
        <w:rPr>
          <w:rFonts w:asciiTheme="majorHAnsi" w:hAnsiTheme="majorHAnsi"/>
        </w:rPr>
        <w:t xml:space="preserve">s part of a human resource processes where providing false information could risk their </w:t>
      </w:r>
      <w:proofErr w:type="gramStart"/>
      <w:r w:rsidR="001A4FC1" w:rsidRPr="00A82FD7">
        <w:rPr>
          <w:rFonts w:asciiTheme="majorHAnsi" w:hAnsiTheme="majorHAnsi"/>
        </w:rPr>
        <w:t>employmen</w:t>
      </w:r>
      <w:r w:rsidR="00943D1C" w:rsidRPr="00A82FD7">
        <w:rPr>
          <w:rFonts w:asciiTheme="majorHAnsi" w:hAnsiTheme="majorHAnsi"/>
        </w:rPr>
        <w:t>t;</w:t>
      </w:r>
      <w:proofErr w:type="gramEnd"/>
    </w:p>
    <w:p w14:paraId="50724DB0" w14:textId="77777777" w:rsidR="00697893" w:rsidRPr="00A82FD7" w:rsidRDefault="00697893" w:rsidP="00AC1DAC">
      <w:pPr>
        <w:pStyle w:val="CommentText"/>
        <w:rPr>
          <w:rFonts w:asciiTheme="majorHAnsi" w:hAnsiTheme="majorHAnsi"/>
          <w:sz w:val="10"/>
          <w:szCs w:val="10"/>
        </w:rPr>
      </w:pPr>
    </w:p>
    <w:p w14:paraId="4C1B4270" w14:textId="351B50DC" w:rsidR="00AC1DAC" w:rsidRPr="00134C33" w:rsidRDefault="00602CBF" w:rsidP="00943D1C">
      <w:pPr>
        <w:pStyle w:val="Heading3"/>
        <w:rPr>
          <w:color w:val="A55700" w:themeColor="accent4" w:themeShade="BF"/>
        </w:rPr>
      </w:pPr>
      <w:bookmarkStart w:id="70" w:name="_Toc40782725"/>
      <w:bookmarkStart w:id="71" w:name="_Toc223528558"/>
      <w:r w:rsidRPr="00134C33">
        <w:rPr>
          <w:color w:val="A55700" w:themeColor="accent4" w:themeShade="BF"/>
        </w:rPr>
        <w:lastRenderedPageBreak/>
        <w:t>9</w:t>
      </w:r>
      <w:r w:rsidR="00AC1DAC" w:rsidRPr="00134C33">
        <w:rPr>
          <w:color w:val="A55700" w:themeColor="accent4" w:themeShade="BF"/>
        </w:rPr>
        <w:t xml:space="preserve">.4 </w:t>
      </w:r>
      <w:r w:rsidR="00576275" w:rsidRPr="00134C33">
        <w:rPr>
          <w:color w:val="A55700" w:themeColor="accent4" w:themeShade="BF"/>
        </w:rPr>
        <w:t>Final compliance assessment, c</w:t>
      </w:r>
      <w:r w:rsidR="00AC1DAC" w:rsidRPr="00134C33">
        <w:rPr>
          <w:color w:val="A55700" w:themeColor="accent4" w:themeShade="BF"/>
        </w:rPr>
        <w:t>ontract end</w:t>
      </w:r>
      <w:bookmarkEnd w:id="70"/>
      <w:bookmarkEnd w:id="71"/>
    </w:p>
    <w:p w14:paraId="4CD092EF" w14:textId="77777777" w:rsidR="000368B4" w:rsidRPr="00A82FD7" w:rsidRDefault="000368B4" w:rsidP="00AC1DAC">
      <w:pPr>
        <w:pStyle w:val="BodyText"/>
        <w:rPr>
          <w:rFonts w:asciiTheme="majorHAnsi" w:hAnsiTheme="majorHAnsi"/>
        </w:rPr>
      </w:pPr>
      <w:r w:rsidRPr="00A82FD7">
        <w:rPr>
          <w:rFonts w:asciiTheme="majorHAnsi" w:hAnsiTheme="majorHAnsi"/>
        </w:rPr>
        <w:t xml:space="preserve">Final compliance with MMR targets is calculated once the contract has been completed and the </w:t>
      </w:r>
      <w:r w:rsidR="00A82FD7" w:rsidRPr="00A82FD7">
        <w:rPr>
          <w:rFonts w:asciiTheme="majorHAnsi" w:hAnsiTheme="majorHAnsi"/>
        </w:rPr>
        <w:t xml:space="preserve">supplier’s </w:t>
      </w:r>
      <w:r w:rsidRPr="00A82FD7">
        <w:rPr>
          <w:rFonts w:asciiTheme="majorHAnsi" w:hAnsiTheme="majorHAnsi"/>
        </w:rPr>
        <w:t>final report has been submitted and assessed. The IPPRS will assist with these calculations</w:t>
      </w:r>
      <w:r w:rsidR="00A82FD7" w:rsidRPr="00A82FD7">
        <w:rPr>
          <w:rFonts w:asciiTheme="majorHAnsi" w:hAnsiTheme="majorHAnsi"/>
        </w:rPr>
        <w:t>.</w:t>
      </w:r>
    </w:p>
    <w:p w14:paraId="78A1C944" w14:textId="77777777" w:rsidR="00AC1DAC" w:rsidRPr="00A82FD7" w:rsidRDefault="00AC1DAC" w:rsidP="00AC1DAC">
      <w:pPr>
        <w:pStyle w:val="BodyText"/>
        <w:rPr>
          <w:rFonts w:asciiTheme="majorHAnsi" w:hAnsiTheme="majorHAnsi"/>
        </w:rPr>
      </w:pPr>
      <w:r w:rsidRPr="00A82FD7">
        <w:rPr>
          <w:rFonts w:asciiTheme="majorHAnsi" w:hAnsiTheme="majorHAnsi"/>
        </w:rPr>
        <w:t xml:space="preserve">At the end of the contract </w:t>
      </w:r>
      <w:r w:rsidR="009D28F1">
        <w:rPr>
          <w:rFonts w:asciiTheme="majorHAnsi" w:hAnsiTheme="majorHAnsi"/>
        </w:rPr>
        <w:t xml:space="preserve">the contract manager </w:t>
      </w:r>
      <w:r w:rsidRPr="00A82FD7">
        <w:rPr>
          <w:rFonts w:asciiTheme="majorHAnsi" w:hAnsiTheme="majorHAnsi"/>
        </w:rPr>
        <w:t xml:space="preserve">will provide a final assessment of the supplier’s performance against MMR targets in the IPPRS. This assessment will be accessible to any future evaluation panel across Commonwealth </w:t>
      </w:r>
      <w:r w:rsidR="0062665F">
        <w:rPr>
          <w:rFonts w:asciiTheme="majorHAnsi" w:hAnsiTheme="majorHAnsi"/>
        </w:rPr>
        <w:t>entities</w:t>
      </w:r>
      <w:r w:rsidRPr="00A82FD7">
        <w:rPr>
          <w:rFonts w:asciiTheme="majorHAnsi" w:hAnsiTheme="majorHAnsi"/>
        </w:rPr>
        <w:t xml:space="preserve"> when considering the pa</w:t>
      </w:r>
      <w:r w:rsidR="00A82FD7" w:rsidRPr="00A82FD7">
        <w:rPr>
          <w:rFonts w:asciiTheme="majorHAnsi" w:hAnsiTheme="majorHAnsi"/>
        </w:rPr>
        <w:t>st performance of the supplier.</w:t>
      </w:r>
    </w:p>
    <w:p w14:paraId="71B32BDD" w14:textId="77777777" w:rsidR="00AC1DAC" w:rsidRPr="00A82FD7" w:rsidRDefault="00AC1DAC" w:rsidP="00AC1DAC">
      <w:pPr>
        <w:pStyle w:val="BodyText"/>
        <w:rPr>
          <w:rFonts w:asciiTheme="majorHAnsi" w:hAnsiTheme="majorHAnsi"/>
        </w:rPr>
      </w:pPr>
      <w:r w:rsidRPr="00A82FD7">
        <w:rPr>
          <w:rFonts w:asciiTheme="majorHAnsi" w:hAnsiTheme="majorHAnsi"/>
        </w:rPr>
        <w:t>For contract-based workforce, organisation-based workforce and organisation-based supply chain targets, final performance against the MMR target is calculated based on a weighted average over the term of the contract.</w:t>
      </w:r>
    </w:p>
    <w:p w14:paraId="01A6A85D" w14:textId="77777777" w:rsidR="00AC1DAC" w:rsidRPr="00A82FD7" w:rsidRDefault="00AC1DAC" w:rsidP="00AC1DAC">
      <w:pPr>
        <w:pStyle w:val="BodyText"/>
        <w:rPr>
          <w:rFonts w:asciiTheme="majorHAnsi" w:hAnsiTheme="majorHAnsi"/>
        </w:rPr>
      </w:pPr>
      <w:r w:rsidRPr="00A82FD7">
        <w:rPr>
          <w:rFonts w:asciiTheme="majorHAnsi" w:hAnsiTheme="majorHAnsi"/>
        </w:rPr>
        <w:t>For contract-based supply chain targets, final performance against the MMR target is calculated based on the cumulative value of subcontracts to Indigenous businesses over the life of the contract.</w:t>
      </w:r>
    </w:p>
    <w:p w14:paraId="71959AA0" w14:textId="77777777" w:rsidR="00AC1DAC" w:rsidRPr="00A82FD7" w:rsidRDefault="009D28F1" w:rsidP="00AC1DAC">
      <w:pPr>
        <w:pStyle w:val="BodyText"/>
        <w:rPr>
          <w:rFonts w:asciiTheme="majorHAnsi" w:hAnsiTheme="majorHAnsi"/>
        </w:rPr>
      </w:pPr>
      <w:r>
        <w:rPr>
          <w:rFonts w:asciiTheme="majorHAnsi" w:hAnsiTheme="majorHAnsi"/>
        </w:rPr>
        <w:t xml:space="preserve">The contract manager is </w:t>
      </w:r>
      <w:r w:rsidR="00AC1DAC" w:rsidRPr="00A82FD7">
        <w:rPr>
          <w:rFonts w:asciiTheme="majorHAnsi" w:hAnsiTheme="majorHAnsi"/>
        </w:rPr>
        <w:t xml:space="preserve">required to add comments alongside the supplier’s final compliance rating in the IPPRS. These records will be accessible to </w:t>
      </w:r>
      <w:r w:rsidR="00CB0831" w:rsidRPr="00A82FD7">
        <w:rPr>
          <w:rFonts w:asciiTheme="majorHAnsi" w:hAnsiTheme="majorHAnsi"/>
        </w:rPr>
        <w:t>Commonwealth entities</w:t>
      </w:r>
      <w:r w:rsidR="00AC1DAC" w:rsidRPr="00A82FD7">
        <w:rPr>
          <w:rFonts w:asciiTheme="majorHAnsi" w:hAnsiTheme="majorHAnsi"/>
        </w:rPr>
        <w:t xml:space="preserve"> for consideration during the assessment of future tenders involving the same supplier.  </w:t>
      </w:r>
      <w:r w:rsidR="00855C67" w:rsidRPr="00A82FD7">
        <w:rPr>
          <w:rFonts w:asciiTheme="majorHAnsi" w:hAnsiTheme="majorHAnsi"/>
        </w:rPr>
        <w:t>The final compliance rating is a rating of complied or not complied.</w:t>
      </w:r>
    </w:p>
    <w:p w14:paraId="6237D9D0" w14:textId="77777777" w:rsidR="004615B5" w:rsidRPr="004615B5" w:rsidRDefault="004615B5" w:rsidP="0028339A">
      <w:pPr>
        <w:pStyle w:val="BodyText"/>
      </w:pPr>
      <w:bookmarkStart w:id="72" w:name="_Toc40782726"/>
    </w:p>
    <w:p w14:paraId="1359D7BA" w14:textId="63580C10" w:rsidR="00AC1DAC" w:rsidRPr="00A82FD7" w:rsidRDefault="00602CBF" w:rsidP="00DC4823">
      <w:pPr>
        <w:pStyle w:val="Heading2"/>
      </w:pPr>
      <w:bookmarkStart w:id="73" w:name="_Toc223528559"/>
      <w:r>
        <w:t>10</w:t>
      </w:r>
      <w:r w:rsidR="00AF4B8B">
        <w:t xml:space="preserve">.0 </w:t>
      </w:r>
      <w:r w:rsidR="00A82FD7" w:rsidRPr="00A82FD7">
        <w:t>Contract</w:t>
      </w:r>
      <w:r w:rsidR="000368B4" w:rsidRPr="00A82FD7">
        <w:t xml:space="preserve"> </w:t>
      </w:r>
      <w:r w:rsidR="00AC1DAC" w:rsidRPr="00A82FD7">
        <w:t>variations</w:t>
      </w:r>
      <w:bookmarkEnd w:id="72"/>
      <w:bookmarkEnd w:id="73"/>
    </w:p>
    <w:p w14:paraId="78B5B34A" w14:textId="77777777" w:rsidR="00676851" w:rsidRPr="00134C33" w:rsidRDefault="00602CBF" w:rsidP="00A82FD7">
      <w:pPr>
        <w:pStyle w:val="Heading3"/>
        <w:rPr>
          <w:color w:val="A55700" w:themeColor="accent4" w:themeShade="BF"/>
        </w:rPr>
      </w:pPr>
      <w:bookmarkStart w:id="74" w:name="_Toc223528560"/>
      <w:r w:rsidRPr="00134C33">
        <w:rPr>
          <w:color w:val="A55700" w:themeColor="accent4" w:themeShade="BF"/>
        </w:rPr>
        <w:t>10</w:t>
      </w:r>
      <w:r w:rsidR="00AF4B8B" w:rsidRPr="00134C33">
        <w:rPr>
          <w:color w:val="A55700" w:themeColor="accent4" w:themeShade="BF"/>
        </w:rPr>
        <w:t xml:space="preserve">.1 </w:t>
      </w:r>
      <w:r w:rsidR="00676851" w:rsidRPr="00134C33">
        <w:rPr>
          <w:color w:val="A55700" w:themeColor="accent4" w:themeShade="BF"/>
        </w:rPr>
        <w:t xml:space="preserve">Varying a contract </w:t>
      </w:r>
      <w:r w:rsidR="00A82FD7" w:rsidRPr="00134C33">
        <w:rPr>
          <w:color w:val="A55700" w:themeColor="accent4" w:themeShade="BF"/>
        </w:rPr>
        <w:t xml:space="preserve">that is already </w:t>
      </w:r>
      <w:r w:rsidR="007901EE" w:rsidRPr="00134C33">
        <w:rPr>
          <w:color w:val="A55700" w:themeColor="accent4" w:themeShade="BF"/>
        </w:rPr>
        <w:t xml:space="preserve">subject to </w:t>
      </w:r>
      <w:r w:rsidR="00676851" w:rsidRPr="00134C33">
        <w:rPr>
          <w:color w:val="A55700" w:themeColor="accent4" w:themeShade="BF"/>
        </w:rPr>
        <w:t>MMR</w:t>
      </w:r>
      <w:bookmarkEnd w:id="74"/>
    </w:p>
    <w:p w14:paraId="6DAC0AFA" w14:textId="77777777" w:rsidR="000A37AB" w:rsidRDefault="000A37AB" w:rsidP="000A37AB">
      <w:pPr>
        <w:pStyle w:val="BodyText"/>
        <w:rPr>
          <w:rFonts w:asciiTheme="majorHAnsi" w:hAnsiTheme="majorHAnsi"/>
        </w:rPr>
      </w:pPr>
      <w:r w:rsidRPr="00A82FD7">
        <w:rPr>
          <w:rFonts w:asciiTheme="majorHAnsi" w:hAnsiTheme="majorHAnsi"/>
        </w:rPr>
        <w:t xml:space="preserve">During the term of a contract, a supplier may identify the need to adopt a different approach to meeting the MMR. An entity may agree to revise the targets in the suppliers Indigenous Participation Plan at any time during the term of the contract providing any changes are consistent with the MMR. </w:t>
      </w:r>
    </w:p>
    <w:p w14:paraId="7C2E04A4" w14:textId="77777777" w:rsidR="000A37AB" w:rsidRPr="00A82FD7" w:rsidRDefault="000A37AB" w:rsidP="000A37AB">
      <w:pPr>
        <w:pStyle w:val="BodyText"/>
        <w:rPr>
          <w:rFonts w:asciiTheme="majorHAnsi" w:hAnsiTheme="majorHAnsi"/>
        </w:rPr>
      </w:pPr>
      <w:r w:rsidRPr="00A82FD7">
        <w:rPr>
          <w:rFonts w:asciiTheme="majorHAnsi" w:hAnsiTheme="majorHAnsi"/>
        </w:rPr>
        <w:t xml:space="preserve">Specifically, varied employment and supply-use targets must still add up to a minimum of 4 per cent for </w:t>
      </w:r>
      <w:proofErr w:type="gramStart"/>
      <w:r w:rsidRPr="00A82FD7">
        <w:rPr>
          <w:rFonts w:asciiTheme="majorHAnsi" w:hAnsiTheme="majorHAnsi"/>
        </w:rPr>
        <w:t>contract based</w:t>
      </w:r>
      <w:proofErr w:type="gramEnd"/>
      <w:r w:rsidRPr="00A82FD7">
        <w:rPr>
          <w:rFonts w:asciiTheme="majorHAnsi" w:hAnsiTheme="majorHAnsi"/>
        </w:rPr>
        <w:t xml:space="preserve"> targets or a minimum of 3 per cent for organisation-based targets and represent a significant Indigenous participation outcome for any component of the contract delivered in remote Australia following the variation.  </w:t>
      </w:r>
    </w:p>
    <w:p w14:paraId="0C74F01B" w14:textId="77777777" w:rsidR="000A37AB" w:rsidRDefault="009D28F1" w:rsidP="000A37AB">
      <w:pPr>
        <w:pStyle w:val="BodyText"/>
        <w:rPr>
          <w:rFonts w:asciiTheme="majorHAnsi" w:hAnsiTheme="majorHAnsi"/>
        </w:rPr>
      </w:pPr>
      <w:r>
        <w:rPr>
          <w:rFonts w:asciiTheme="majorHAnsi" w:hAnsiTheme="majorHAnsi"/>
        </w:rPr>
        <w:t>T</w:t>
      </w:r>
      <w:r w:rsidR="000A37AB" w:rsidRPr="00A82FD7">
        <w:rPr>
          <w:rFonts w:asciiTheme="majorHAnsi" w:hAnsiTheme="majorHAnsi"/>
        </w:rPr>
        <w:t>he c</w:t>
      </w:r>
      <w:r>
        <w:rPr>
          <w:rFonts w:asciiTheme="majorHAnsi" w:hAnsiTheme="majorHAnsi"/>
        </w:rPr>
        <w:t xml:space="preserve">ontract manager </w:t>
      </w:r>
      <w:r w:rsidR="000A37AB" w:rsidRPr="00A82FD7">
        <w:rPr>
          <w:rFonts w:asciiTheme="majorHAnsi" w:hAnsiTheme="majorHAnsi"/>
        </w:rPr>
        <w:t>should ensure that the new targets are reflected in a revised Indigenous Participation Plan in the varied contract and MMR targets are updated within the IPPRS. Entities should ensure changes are agreed by both parties in writing and are carried out in accordance with the terms and conditions of the contract.</w:t>
      </w:r>
    </w:p>
    <w:p w14:paraId="28760C79" w14:textId="77777777" w:rsidR="00AA1C65" w:rsidRPr="00134C33" w:rsidRDefault="00602CBF" w:rsidP="006739A9">
      <w:pPr>
        <w:pStyle w:val="Heading4"/>
        <w:rPr>
          <w:color w:val="A55700" w:themeColor="accent4" w:themeShade="BF"/>
        </w:rPr>
      </w:pPr>
      <w:r w:rsidRPr="00134C33">
        <w:rPr>
          <w:color w:val="A55700" w:themeColor="accent4" w:themeShade="BF"/>
        </w:rPr>
        <w:t>10</w:t>
      </w:r>
      <w:r w:rsidR="006739A9" w:rsidRPr="00134C33">
        <w:rPr>
          <w:color w:val="A55700" w:themeColor="accent4" w:themeShade="BF"/>
        </w:rPr>
        <w:t>.1.1 MMR v</w:t>
      </w:r>
      <w:r w:rsidR="00AA1C65" w:rsidRPr="00134C33">
        <w:rPr>
          <w:color w:val="A55700" w:themeColor="accent4" w:themeShade="BF"/>
        </w:rPr>
        <w:t>ariations and the IPPRS</w:t>
      </w:r>
    </w:p>
    <w:p w14:paraId="53C95852" w14:textId="77777777" w:rsidR="00676851" w:rsidRPr="00AA1C65" w:rsidRDefault="00676851" w:rsidP="006739A9">
      <w:pPr>
        <w:pStyle w:val="BodyText"/>
        <w:rPr>
          <w:rFonts w:asciiTheme="majorHAnsi" w:hAnsiTheme="majorHAnsi"/>
        </w:rPr>
      </w:pPr>
      <w:r w:rsidRPr="006739A9">
        <w:rPr>
          <w:rFonts w:asciiTheme="majorHAnsi" w:hAnsiTheme="majorHAnsi"/>
        </w:rPr>
        <w:t xml:space="preserve">The IPPRS will identify if a contract subject to the MMR is varied the day after it is published on </w:t>
      </w:r>
      <w:proofErr w:type="spellStart"/>
      <w:r w:rsidRPr="006739A9">
        <w:rPr>
          <w:rFonts w:asciiTheme="majorHAnsi" w:hAnsiTheme="majorHAnsi"/>
        </w:rPr>
        <w:t>AusTender</w:t>
      </w:r>
      <w:proofErr w:type="spellEnd"/>
      <w:r w:rsidRPr="006739A9">
        <w:rPr>
          <w:rFonts w:asciiTheme="majorHAnsi" w:hAnsiTheme="majorHAnsi"/>
        </w:rPr>
        <w:t xml:space="preserve">. Where </w:t>
      </w:r>
      <w:proofErr w:type="gramStart"/>
      <w:r w:rsidRPr="006739A9">
        <w:rPr>
          <w:rFonts w:asciiTheme="majorHAnsi" w:hAnsiTheme="majorHAnsi"/>
        </w:rPr>
        <w:t>a</w:t>
      </w:r>
      <w:proofErr w:type="gramEnd"/>
      <w:r w:rsidRPr="006739A9">
        <w:rPr>
          <w:rFonts w:asciiTheme="majorHAnsi" w:hAnsiTheme="majorHAnsi"/>
        </w:rPr>
        <w:t xml:space="preserve"> MMR target has been applied to the contract, the IPPRS will update the </w:t>
      </w:r>
      <w:proofErr w:type="gramStart"/>
      <w:r w:rsidRPr="006739A9">
        <w:rPr>
          <w:rFonts w:asciiTheme="majorHAnsi" w:hAnsiTheme="majorHAnsi"/>
        </w:rPr>
        <w:t>supply based</w:t>
      </w:r>
      <w:proofErr w:type="gramEnd"/>
      <w:r w:rsidRPr="006739A9">
        <w:rPr>
          <w:rFonts w:asciiTheme="majorHAnsi" w:hAnsiTheme="majorHAnsi"/>
        </w:rPr>
        <w:t xml:space="preserve"> target and the performance to date against the new percentage. The dates of reporting will also be updated. </w:t>
      </w:r>
    </w:p>
    <w:p w14:paraId="6E4E1DE0" w14:textId="77777777" w:rsidR="00FE3B0A" w:rsidRPr="00134C33" w:rsidRDefault="00602CBF" w:rsidP="00A82FD7">
      <w:pPr>
        <w:pStyle w:val="Heading3"/>
        <w:rPr>
          <w:color w:val="A55700" w:themeColor="accent4" w:themeShade="BF"/>
        </w:rPr>
      </w:pPr>
      <w:bookmarkStart w:id="75" w:name="_Toc223528561"/>
      <w:r w:rsidRPr="00134C33">
        <w:rPr>
          <w:color w:val="A55700" w:themeColor="accent4" w:themeShade="BF"/>
        </w:rPr>
        <w:t>10</w:t>
      </w:r>
      <w:r w:rsidR="00AA1C65" w:rsidRPr="00134C33">
        <w:rPr>
          <w:color w:val="A55700" w:themeColor="accent4" w:themeShade="BF"/>
        </w:rPr>
        <w:t xml:space="preserve">.2 </w:t>
      </w:r>
      <w:r w:rsidR="00FE3B0A" w:rsidRPr="00134C33">
        <w:rPr>
          <w:color w:val="A55700" w:themeColor="accent4" w:themeShade="BF"/>
        </w:rPr>
        <w:t>Varying a contract</w:t>
      </w:r>
      <w:r w:rsidR="00676851" w:rsidRPr="00134C33">
        <w:rPr>
          <w:color w:val="A55700" w:themeColor="accent4" w:themeShade="BF"/>
        </w:rPr>
        <w:t xml:space="preserve"> to increase the value of the contract above the $7.5 million </w:t>
      </w:r>
      <w:r w:rsidR="00AA1C65" w:rsidRPr="00134C33">
        <w:rPr>
          <w:color w:val="A55700" w:themeColor="accent4" w:themeShade="BF"/>
        </w:rPr>
        <w:t>threshold</w:t>
      </w:r>
      <w:bookmarkEnd w:id="75"/>
    </w:p>
    <w:p w14:paraId="45DCFD48" w14:textId="77777777" w:rsidR="00962841" w:rsidRDefault="00FB6941" w:rsidP="00FE3B0A">
      <w:pPr>
        <w:pStyle w:val="BodyText"/>
        <w:rPr>
          <w:rFonts w:asciiTheme="majorHAnsi" w:hAnsiTheme="majorHAnsi"/>
        </w:rPr>
      </w:pPr>
      <w:r>
        <w:rPr>
          <w:rFonts w:asciiTheme="majorHAnsi" w:hAnsiTheme="majorHAnsi"/>
        </w:rPr>
        <w:t xml:space="preserve">Care needs to be taken to ensure new and unexpected requirements are not imposed on the </w:t>
      </w:r>
      <w:r w:rsidR="005352DD">
        <w:rPr>
          <w:rFonts w:asciiTheme="majorHAnsi" w:hAnsiTheme="majorHAnsi"/>
        </w:rPr>
        <w:t>s</w:t>
      </w:r>
      <w:r>
        <w:rPr>
          <w:rFonts w:asciiTheme="majorHAnsi" w:hAnsiTheme="majorHAnsi"/>
        </w:rPr>
        <w:t xml:space="preserve">upplier over the life of the contract. </w:t>
      </w:r>
    </w:p>
    <w:p w14:paraId="49ED8401" w14:textId="77777777" w:rsidR="00FB6941" w:rsidRDefault="00FB6941" w:rsidP="00FE3B0A">
      <w:pPr>
        <w:pStyle w:val="BodyText"/>
        <w:rPr>
          <w:rFonts w:asciiTheme="majorHAnsi" w:hAnsiTheme="majorHAnsi"/>
        </w:rPr>
      </w:pPr>
      <w:r>
        <w:rPr>
          <w:rFonts w:asciiTheme="majorHAnsi" w:hAnsiTheme="majorHAnsi"/>
        </w:rPr>
        <w:lastRenderedPageBreak/>
        <w:t>When negotiating a contract variation</w:t>
      </w:r>
      <w:r w:rsidR="005352DD">
        <w:rPr>
          <w:rFonts w:asciiTheme="majorHAnsi" w:hAnsiTheme="majorHAnsi"/>
        </w:rPr>
        <w:t>,</w:t>
      </w:r>
      <w:r>
        <w:rPr>
          <w:rFonts w:asciiTheme="majorHAnsi" w:hAnsiTheme="majorHAnsi"/>
        </w:rPr>
        <w:t xml:space="preserve"> contract manag</w:t>
      </w:r>
      <w:r w:rsidR="005352DD">
        <w:rPr>
          <w:rFonts w:asciiTheme="majorHAnsi" w:hAnsiTheme="majorHAnsi"/>
        </w:rPr>
        <w:t xml:space="preserve">ers should have regard </w:t>
      </w:r>
      <w:r>
        <w:rPr>
          <w:rFonts w:asciiTheme="majorHAnsi" w:hAnsiTheme="majorHAnsi"/>
        </w:rPr>
        <w:t xml:space="preserve">to whether </w:t>
      </w:r>
      <w:r w:rsidR="005352DD">
        <w:rPr>
          <w:rFonts w:asciiTheme="majorHAnsi" w:hAnsiTheme="majorHAnsi"/>
        </w:rPr>
        <w:t>the s</w:t>
      </w:r>
      <w:r w:rsidR="004560F8">
        <w:rPr>
          <w:rFonts w:asciiTheme="majorHAnsi" w:hAnsiTheme="majorHAnsi"/>
        </w:rPr>
        <w:t>uppl</w:t>
      </w:r>
      <w:r w:rsidR="005352DD">
        <w:rPr>
          <w:rFonts w:asciiTheme="majorHAnsi" w:hAnsiTheme="majorHAnsi"/>
        </w:rPr>
        <w:t xml:space="preserve">ier has been notified </w:t>
      </w:r>
      <w:r w:rsidR="004560F8">
        <w:rPr>
          <w:rFonts w:asciiTheme="majorHAnsi" w:hAnsiTheme="majorHAnsi"/>
        </w:rPr>
        <w:t xml:space="preserve">that </w:t>
      </w:r>
      <w:r w:rsidR="005352DD">
        <w:rPr>
          <w:rFonts w:asciiTheme="majorHAnsi" w:hAnsiTheme="majorHAnsi"/>
        </w:rPr>
        <w:t>I</w:t>
      </w:r>
      <w:r w:rsidR="004560F8">
        <w:rPr>
          <w:rFonts w:asciiTheme="majorHAnsi" w:hAnsiTheme="majorHAnsi"/>
        </w:rPr>
        <w:t>ndigenous participation may become a requirement</w:t>
      </w:r>
      <w:r w:rsidR="002957AC">
        <w:rPr>
          <w:rFonts w:asciiTheme="majorHAnsi" w:hAnsiTheme="majorHAnsi"/>
        </w:rPr>
        <w:t xml:space="preserve"> at the ATM stage an in the initial contract</w:t>
      </w:r>
      <w:r w:rsidR="004560F8">
        <w:rPr>
          <w:rFonts w:asciiTheme="majorHAnsi" w:hAnsiTheme="majorHAnsi"/>
        </w:rPr>
        <w:t xml:space="preserve">. </w:t>
      </w:r>
      <w:r w:rsidR="002957AC">
        <w:rPr>
          <w:rFonts w:asciiTheme="majorHAnsi" w:hAnsiTheme="majorHAnsi"/>
        </w:rPr>
        <w:t>P</w:t>
      </w:r>
      <w:r w:rsidR="004560F8">
        <w:rPr>
          <w:rFonts w:asciiTheme="majorHAnsi" w:hAnsiTheme="majorHAnsi"/>
        </w:rPr>
        <w:t xml:space="preserve">rocurement officials are encouraged to include model </w:t>
      </w:r>
      <w:r>
        <w:rPr>
          <w:rFonts w:asciiTheme="majorHAnsi" w:hAnsiTheme="majorHAnsi"/>
        </w:rPr>
        <w:t>clause</w:t>
      </w:r>
      <w:r w:rsidR="004560F8">
        <w:rPr>
          <w:rFonts w:asciiTheme="majorHAnsi" w:hAnsiTheme="majorHAnsi"/>
        </w:rPr>
        <w:t>s in the</w:t>
      </w:r>
      <w:r w:rsidR="00AD7E1D">
        <w:rPr>
          <w:rFonts w:asciiTheme="majorHAnsi" w:hAnsiTheme="majorHAnsi"/>
        </w:rPr>
        <w:t xml:space="preserve"> approach to market documentation</w:t>
      </w:r>
      <w:r w:rsidR="004560F8">
        <w:rPr>
          <w:rFonts w:asciiTheme="majorHAnsi" w:hAnsiTheme="majorHAnsi"/>
        </w:rPr>
        <w:t xml:space="preserve"> </w:t>
      </w:r>
      <w:r w:rsidR="00962841">
        <w:rPr>
          <w:rFonts w:asciiTheme="majorHAnsi" w:hAnsiTheme="majorHAnsi"/>
        </w:rPr>
        <w:t>and initial contract</w:t>
      </w:r>
      <w:r w:rsidR="004560F8">
        <w:rPr>
          <w:rFonts w:asciiTheme="majorHAnsi" w:hAnsiTheme="majorHAnsi"/>
        </w:rPr>
        <w:t xml:space="preserve"> to support this</w:t>
      </w:r>
      <w:r w:rsidR="00962841">
        <w:rPr>
          <w:rFonts w:asciiTheme="majorHAnsi" w:hAnsiTheme="majorHAnsi"/>
        </w:rPr>
        <w:t>.</w:t>
      </w:r>
      <w:r w:rsidR="002957AC">
        <w:rPr>
          <w:rFonts w:asciiTheme="majorHAnsi" w:hAnsiTheme="majorHAnsi"/>
        </w:rPr>
        <w:t xml:space="preserve"> </w:t>
      </w:r>
      <w:r w:rsidR="004560F8">
        <w:rPr>
          <w:rFonts w:asciiTheme="majorHAnsi" w:hAnsiTheme="majorHAnsi"/>
        </w:rPr>
        <w:t>The</w:t>
      </w:r>
      <w:r w:rsidR="002957AC">
        <w:rPr>
          <w:rFonts w:asciiTheme="majorHAnsi" w:hAnsiTheme="majorHAnsi"/>
        </w:rPr>
        <w:t xml:space="preserve"> </w:t>
      </w:r>
      <w:r w:rsidR="004560F8">
        <w:rPr>
          <w:rFonts w:asciiTheme="majorHAnsi" w:hAnsiTheme="majorHAnsi"/>
        </w:rPr>
        <w:t xml:space="preserve">model </w:t>
      </w:r>
      <w:r w:rsidR="00A50FFD">
        <w:rPr>
          <w:rFonts w:asciiTheme="majorHAnsi" w:hAnsiTheme="majorHAnsi"/>
        </w:rPr>
        <w:t>clause</w:t>
      </w:r>
      <w:r w:rsidR="00962841">
        <w:rPr>
          <w:rFonts w:asciiTheme="majorHAnsi" w:hAnsiTheme="majorHAnsi"/>
        </w:rPr>
        <w:t>s</w:t>
      </w:r>
      <w:r w:rsidR="00A50FFD">
        <w:rPr>
          <w:rFonts w:asciiTheme="majorHAnsi" w:hAnsiTheme="majorHAnsi"/>
        </w:rPr>
        <w:t xml:space="preserve"> </w:t>
      </w:r>
      <w:r w:rsidR="00962841">
        <w:rPr>
          <w:rFonts w:asciiTheme="majorHAnsi" w:hAnsiTheme="majorHAnsi"/>
        </w:rPr>
        <w:t>encourage</w:t>
      </w:r>
      <w:r w:rsidR="00A50FFD">
        <w:rPr>
          <w:rFonts w:asciiTheme="majorHAnsi" w:hAnsiTheme="majorHAnsi"/>
        </w:rPr>
        <w:t xml:space="preserve"> suppliers to use their best endeavours to engage with Indigenous businesses and job seekers. </w:t>
      </w:r>
      <w:r w:rsidR="00364756">
        <w:rPr>
          <w:rFonts w:asciiTheme="majorHAnsi" w:hAnsiTheme="majorHAnsi"/>
        </w:rPr>
        <w:t>These model clause</w:t>
      </w:r>
      <w:r w:rsidR="00320C4C">
        <w:rPr>
          <w:rFonts w:asciiTheme="majorHAnsi" w:hAnsiTheme="majorHAnsi"/>
        </w:rPr>
        <w:t>s</w:t>
      </w:r>
      <w:r w:rsidR="00364756">
        <w:rPr>
          <w:rFonts w:asciiTheme="majorHAnsi" w:hAnsiTheme="majorHAnsi"/>
        </w:rPr>
        <w:t xml:space="preserve"> notify</w:t>
      </w:r>
      <w:r w:rsidR="00A50FFD">
        <w:rPr>
          <w:rFonts w:asciiTheme="majorHAnsi" w:hAnsiTheme="majorHAnsi"/>
        </w:rPr>
        <w:t xml:space="preserve"> the supplier that</w:t>
      </w:r>
      <w:r w:rsidR="00962841">
        <w:rPr>
          <w:rFonts w:asciiTheme="majorHAnsi" w:hAnsiTheme="majorHAnsi"/>
        </w:rPr>
        <w:t>,</w:t>
      </w:r>
      <w:r w:rsidR="00364756">
        <w:rPr>
          <w:rFonts w:asciiTheme="majorHAnsi" w:hAnsiTheme="majorHAnsi"/>
        </w:rPr>
        <w:t xml:space="preserve"> </w:t>
      </w:r>
      <w:proofErr w:type="gramStart"/>
      <w:r w:rsidR="00364756">
        <w:rPr>
          <w:rFonts w:asciiTheme="majorHAnsi" w:hAnsiTheme="majorHAnsi"/>
        </w:rPr>
        <w:t>in the event that</w:t>
      </w:r>
      <w:proofErr w:type="gramEnd"/>
      <w:r w:rsidR="00364756">
        <w:rPr>
          <w:rFonts w:asciiTheme="majorHAnsi" w:hAnsiTheme="majorHAnsi"/>
        </w:rPr>
        <w:t xml:space="preserve"> the</w:t>
      </w:r>
      <w:r w:rsidR="00A50FFD">
        <w:rPr>
          <w:rFonts w:asciiTheme="majorHAnsi" w:hAnsiTheme="majorHAnsi"/>
        </w:rPr>
        <w:t xml:space="preserve"> contract value exceeds $7.5 million (GST inclusive)</w:t>
      </w:r>
      <w:r w:rsidR="00962841">
        <w:rPr>
          <w:rFonts w:asciiTheme="majorHAnsi" w:hAnsiTheme="majorHAnsi"/>
        </w:rPr>
        <w:t>,</w:t>
      </w:r>
      <w:r w:rsidR="00A50FFD">
        <w:rPr>
          <w:rFonts w:asciiTheme="majorHAnsi" w:hAnsiTheme="majorHAnsi"/>
        </w:rPr>
        <w:t xml:space="preserve"> the MMR may apply</w:t>
      </w:r>
      <w:r w:rsidR="00364756">
        <w:rPr>
          <w:rFonts w:asciiTheme="majorHAnsi" w:hAnsiTheme="majorHAnsi"/>
        </w:rPr>
        <w:t xml:space="preserve"> and </w:t>
      </w:r>
      <w:r>
        <w:rPr>
          <w:rFonts w:asciiTheme="majorHAnsi" w:hAnsiTheme="majorHAnsi"/>
        </w:rPr>
        <w:t xml:space="preserve">that the contract manager may request an Indigenous participation plan. </w:t>
      </w:r>
    </w:p>
    <w:p w14:paraId="37EDF3D4" w14:textId="77777777" w:rsidR="00FE3B0A" w:rsidRPr="00A82FD7" w:rsidRDefault="002957AC" w:rsidP="00FE3B0A">
      <w:pPr>
        <w:pStyle w:val="BodyText"/>
        <w:rPr>
          <w:rFonts w:asciiTheme="majorHAnsi" w:hAnsiTheme="majorHAnsi"/>
        </w:rPr>
      </w:pPr>
      <w:r>
        <w:rPr>
          <w:rFonts w:asciiTheme="majorHAnsi" w:hAnsiTheme="majorHAnsi"/>
        </w:rPr>
        <w:t xml:space="preserve">Where a contract is varied </w:t>
      </w:r>
      <w:r w:rsidR="00BE51C0">
        <w:rPr>
          <w:rFonts w:asciiTheme="majorHAnsi" w:hAnsiTheme="majorHAnsi"/>
          <w:u w:val="single"/>
        </w:rPr>
        <w:t xml:space="preserve">and </w:t>
      </w:r>
      <w:r w:rsidRPr="00BE51C0">
        <w:rPr>
          <w:rFonts w:asciiTheme="majorHAnsi" w:hAnsiTheme="majorHAnsi"/>
          <w:u w:val="single"/>
        </w:rPr>
        <w:t>clauses</w:t>
      </w:r>
      <w:r w:rsidR="00BE51C0">
        <w:rPr>
          <w:rFonts w:asciiTheme="majorHAnsi" w:hAnsiTheme="majorHAnsi"/>
          <w:u w:val="single"/>
        </w:rPr>
        <w:t xml:space="preserve">, such as the model clauses described, </w:t>
      </w:r>
      <w:r w:rsidRPr="00BE51C0">
        <w:rPr>
          <w:rFonts w:asciiTheme="majorHAnsi" w:hAnsiTheme="majorHAnsi"/>
          <w:u w:val="single"/>
        </w:rPr>
        <w:t>have been included</w:t>
      </w:r>
      <w:r>
        <w:rPr>
          <w:rFonts w:asciiTheme="majorHAnsi" w:hAnsiTheme="majorHAnsi"/>
        </w:rPr>
        <w:t xml:space="preserve">. The </w:t>
      </w:r>
      <w:r w:rsidR="00244261" w:rsidRPr="00A82FD7">
        <w:rPr>
          <w:rFonts w:asciiTheme="majorHAnsi" w:hAnsiTheme="majorHAnsi"/>
        </w:rPr>
        <w:t xml:space="preserve">contract manager </w:t>
      </w:r>
      <w:r>
        <w:rPr>
          <w:rFonts w:asciiTheme="majorHAnsi" w:hAnsiTheme="majorHAnsi"/>
        </w:rPr>
        <w:t xml:space="preserve">should </w:t>
      </w:r>
      <w:r w:rsidR="00BE51C0">
        <w:rPr>
          <w:rFonts w:asciiTheme="majorHAnsi" w:hAnsiTheme="majorHAnsi"/>
        </w:rPr>
        <w:t>in</w:t>
      </w:r>
      <w:r w:rsidR="00BE51C0" w:rsidRPr="00A82FD7">
        <w:rPr>
          <w:rFonts w:asciiTheme="majorHAnsi" w:hAnsiTheme="majorHAnsi"/>
        </w:rPr>
        <w:t>itiate</w:t>
      </w:r>
      <w:r w:rsidR="00244261" w:rsidRPr="00A82FD7">
        <w:rPr>
          <w:rFonts w:asciiTheme="majorHAnsi" w:hAnsiTheme="majorHAnsi"/>
        </w:rPr>
        <w:t xml:space="preserve"> a conversation with the supplier to identify opportunities available for Indigenous participation in the remainder of the contract.</w:t>
      </w:r>
    </w:p>
    <w:p w14:paraId="3EAFE136" w14:textId="77777777" w:rsidR="002957AC" w:rsidRDefault="00244261" w:rsidP="00FE3B0A">
      <w:pPr>
        <w:pStyle w:val="BodyText"/>
        <w:rPr>
          <w:rFonts w:asciiTheme="majorHAnsi" w:hAnsiTheme="majorHAnsi"/>
        </w:rPr>
      </w:pPr>
      <w:r w:rsidRPr="00A82FD7">
        <w:rPr>
          <w:rFonts w:asciiTheme="majorHAnsi" w:hAnsiTheme="majorHAnsi"/>
        </w:rPr>
        <w:t xml:space="preserve">To support this discussion, the supplier and/or the contract manager should consider the number of Indigenous </w:t>
      </w:r>
      <w:r w:rsidRPr="007E06B4">
        <w:rPr>
          <w:rFonts w:asciiTheme="majorHAnsi" w:hAnsiTheme="majorHAnsi"/>
        </w:rPr>
        <w:t xml:space="preserve">businesses on </w:t>
      </w:r>
      <w:r w:rsidR="002957AC" w:rsidRPr="007E06B4">
        <w:rPr>
          <w:rFonts w:asciiTheme="majorHAnsi" w:hAnsiTheme="majorHAnsi"/>
        </w:rPr>
        <w:t xml:space="preserve">the </w:t>
      </w:r>
      <w:r w:rsidRPr="007E06B4">
        <w:rPr>
          <w:rFonts w:asciiTheme="majorHAnsi" w:hAnsiTheme="majorHAnsi"/>
        </w:rPr>
        <w:t xml:space="preserve">Supply Nation </w:t>
      </w:r>
      <w:r w:rsidR="002957AC" w:rsidRPr="007E06B4">
        <w:rPr>
          <w:rFonts w:asciiTheme="majorHAnsi" w:hAnsiTheme="majorHAnsi"/>
        </w:rPr>
        <w:t xml:space="preserve">Directory </w:t>
      </w:r>
      <w:r w:rsidRPr="007E06B4">
        <w:rPr>
          <w:rFonts w:asciiTheme="majorHAnsi" w:hAnsiTheme="majorHAnsi"/>
        </w:rPr>
        <w:t>that</w:t>
      </w:r>
      <w:r w:rsidRPr="00A82FD7">
        <w:rPr>
          <w:rFonts w:asciiTheme="majorHAnsi" w:hAnsiTheme="majorHAnsi"/>
        </w:rPr>
        <w:t xml:space="preserve"> could potentially be engaged on the </w:t>
      </w:r>
      <w:r w:rsidR="00FB6941">
        <w:rPr>
          <w:rFonts w:asciiTheme="majorHAnsi" w:hAnsiTheme="majorHAnsi"/>
        </w:rPr>
        <w:t xml:space="preserve">remainder of the </w:t>
      </w:r>
      <w:r w:rsidRPr="00A82FD7">
        <w:rPr>
          <w:rFonts w:asciiTheme="majorHAnsi" w:hAnsiTheme="majorHAnsi"/>
        </w:rPr>
        <w:t xml:space="preserve">project and </w:t>
      </w:r>
      <w:r w:rsidR="00BE51C0">
        <w:rPr>
          <w:rFonts w:asciiTheme="majorHAnsi" w:hAnsiTheme="majorHAnsi"/>
        </w:rPr>
        <w:t xml:space="preserve">potential </w:t>
      </w:r>
      <w:r w:rsidR="002957AC">
        <w:rPr>
          <w:rFonts w:asciiTheme="majorHAnsi" w:hAnsiTheme="majorHAnsi"/>
        </w:rPr>
        <w:t xml:space="preserve">employment opportunities for </w:t>
      </w:r>
      <w:r w:rsidRPr="00A82FD7">
        <w:rPr>
          <w:rFonts w:asciiTheme="majorHAnsi" w:hAnsiTheme="majorHAnsi"/>
        </w:rPr>
        <w:t>the Indigenous workforce in the region</w:t>
      </w:r>
      <w:r w:rsidR="002957AC">
        <w:rPr>
          <w:rFonts w:asciiTheme="majorHAnsi" w:hAnsiTheme="majorHAnsi"/>
        </w:rPr>
        <w:t xml:space="preserve">. </w:t>
      </w:r>
    </w:p>
    <w:p w14:paraId="7C5F9C3F" w14:textId="77777777" w:rsidR="00244261" w:rsidRPr="00A82FD7" w:rsidRDefault="00244261" w:rsidP="00FE3B0A">
      <w:pPr>
        <w:pStyle w:val="BodyText"/>
        <w:rPr>
          <w:rFonts w:asciiTheme="majorHAnsi" w:hAnsiTheme="majorHAnsi"/>
        </w:rPr>
      </w:pPr>
      <w:r w:rsidRPr="00A82FD7">
        <w:rPr>
          <w:rFonts w:asciiTheme="majorHAnsi" w:hAnsiTheme="majorHAnsi"/>
        </w:rPr>
        <w:t>Where opportuni</w:t>
      </w:r>
      <w:r w:rsidR="002957AC">
        <w:rPr>
          <w:rFonts w:asciiTheme="majorHAnsi" w:hAnsiTheme="majorHAnsi"/>
        </w:rPr>
        <w:t xml:space="preserve">ties are identified, they may </w:t>
      </w:r>
      <w:r w:rsidRPr="00A82FD7">
        <w:rPr>
          <w:rFonts w:asciiTheme="majorHAnsi" w:hAnsiTheme="majorHAnsi"/>
        </w:rPr>
        <w:t>be expresse</w:t>
      </w:r>
      <w:r w:rsidR="00A50FFD">
        <w:rPr>
          <w:rFonts w:asciiTheme="majorHAnsi" w:hAnsiTheme="majorHAnsi"/>
        </w:rPr>
        <w:t>d</w:t>
      </w:r>
      <w:r w:rsidRPr="00A82FD7">
        <w:rPr>
          <w:rFonts w:asciiTheme="majorHAnsi" w:hAnsiTheme="majorHAnsi"/>
        </w:rPr>
        <w:t xml:space="preserve"> as an employment and/or supply use target, and the strategy to achieve these targets should be documented in an Indigenous Participation Plan and included in a </w:t>
      </w:r>
      <w:r w:rsidR="00077B35">
        <w:rPr>
          <w:rFonts w:asciiTheme="majorHAnsi" w:hAnsiTheme="majorHAnsi"/>
        </w:rPr>
        <w:t xml:space="preserve">formal </w:t>
      </w:r>
      <w:r w:rsidRPr="00A82FD7">
        <w:rPr>
          <w:rFonts w:asciiTheme="majorHAnsi" w:hAnsiTheme="majorHAnsi"/>
        </w:rPr>
        <w:t>contract variation.</w:t>
      </w:r>
    </w:p>
    <w:p w14:paraId="7AFA0F99" w14:textId="77777777" w:rsidR="00A82FD7" w:rsidRDefault="00244261" w:rsidP="00A82FD7">
      <w:pPr>
        <w:pStyle w:val="BodyText"/>
        <w:rPr>
          <w:rFonts w:asciiTheme="majorHAnsi" w:hAnsiTheme="majorHAnsi"/>
        </w:rPr>
      </w:pPr>
      <w:r w:rsidRPr="00A82FD7">
        <w:rPr>
          <w:rFonts w:asciiTheme="majorHAnsi" w:hAnsiTheme="majorHAnsi"/>
        </w:rPr>
        <w:t>The</w:t>
      </w:r>
      <w:r w:rsidR="00A82FD7" w:rsidRPr="00A82FD7">
        <w:rPr>
          <w:rFonts w:asciiTheme="majorHAnsi" w:hAnsiTheme="majorHAnsi"/>
        </w:rPr>
        <w:t xml:space="preserve"> varied contract</w:t>
      </w:r>
      <w:r w:rsidR="000368B4" w:rsidRPr="00A82FD7">
        <w:rPr>
          <w:rFonts w:asciiTheme="majorHAnsi" w:hAnsiTheme="majorHAnsi"/>
        </w:rPr>
        <w:t xml:space="preserve"> </w:t>
      </w:r>
      <w:r w:rsidRPr="00A82FD7">
        <w:rPr>
          <w:rFonts w:asciiTheme="majorHAnsi" w:hAnsiTheme="majorHAnsi"/>
        </w:rPr>
        <w:t>should require</w:t>
      </w:r>
      <w:r w:rsidR="00A82FD7" w:rsidRPr="00A82FD7">
        <w:rPr>
          <w:rFonts w:asciiTheme="majorHAnsi" w:hAnsiTheme="majorHAnsi"/>
        </w:rPr>
        <w:t xml:space="preserve"> the s</w:t>
      </w:r>
      <w:r w:rsidR="000368B4" w:rsidRPr="00A82FD7">
        <w:rPr>
          <w:rFonts w:asciiTheme="majorHAnsi" w:hAnsiTheme="majorHAnsi"/>
        </w:rPr>
        <w:t xml:space="preserve">upplier to </w:t>
      </w:r>
      <w:r w:rsidRPr="00A82FD7">
        <w:rPr>
          <w:rFonts w:asciiTheme="majorHAnsi" w:hAnsiTheme="majorHAnsi"/>
        </w:rPr>
        <w:t>report progress against the Indigenous Participation Plan each quarter</w:t>
      </w:r>
      <w:r w:rsidR="000368B4" w:rsidRPr="00A82FD7">
        <w:rPr>
          <w:rFonts w:asciiTheme="majorHAnsi" w:hAnsiTheme="majorHAnsi"/>
        </w:rPr>
        <w:t>.</w:t>
      </w:r>
      <w:r w:rsidR="00A82FD7" w:rsidRPr="00A82FD7">
        <w:rPr>
          <w:rFonts w:asciiTheme="majorHAnsi" w:hAnsiTheme="majorHAnsi"/>
        </w:rPr>
        <w:t xml:space="preserve"> </w:t>
      </w:r>
      <w:r w:rsidRPr="00A82FD7">
        <w:rPr>
          <w:rFonts w:asciiTheme="majorHAnsi" w:hAnsiTheme="majorHAnsi"/>
        </w:rPr>
        <w:t xml:space="preserve">Suppliers may prefer to report outcomes via the IPPRS </w:t>
      </w:r>
      <w:r w:rsidR="000368B4" w:rsidRPr="00A82FD7">
        <w:rPr>
          <w:rFonts w:asciiTheme="majorHAnsi" w:hAnsiTheme="majorHAnsi"/>
        </w:rPr>
        <w:t xml:space="preserve">using the </w:t>
      </w:r>
      <w:r w:rsidR="00364756">
        <w:rPr>
          <w:rFonts w:asciiTheme="majorHAnsi" w:hAnsiTheme="majorHAnsi"/>
        </w:rPr>
        <w:t xml:space="preserve">voluntary reporting profile.  </w:t>
      </w:r>
      <w:r w:rsidRPr="00A82FD7">
        <w:rPr>
          <w:rFonts w:asciiTheme="majorHAnsi" w:hAnsiTheme="majorHAnsi"/>
        </w:rPr>
        <w:t xml:space="preserve">The NIAA </w:t>
      </w:r>
      <w:r w:rsidR="000368B4" w:rsidRPr="00A82FD7">
        <w:rPr>
          <w:rFonts w:asciiTheme="majorHAnsi" w:hAnsiTheme="majorHAnsi"/>
        </w:rPr>
        <w:t xml:space="preserve">can advise </w:t>
      </w:r>
      <w:r w:rsidRPr="00A82FD7">
        <w:rPr>
          <w:rFonts w:asciiTheme="majorHAnsi" w:hAnsiTheme="majorHAnsi"/>
        </w:rPr>
        <w:t xml:space="preserve">how the IPPRS </w:t>
      </w:r>
      <w:r w:rsidR="000368B4" w:rsidRPr="00A82FD7">
        <w:rPr>
          <w:rFonts w:asciiTheme="majorHAnsi" w:hAnsiTheme="majorHAnsi"/>
        </w:rPr>
        <w:t xml:space="preserve">may be used </w:t>
      </w:r>
      <w:r w:rsidRPr="00A82FD7">
        <w:rPr>
          <w:rFonts w:asciiTheme="majorHAnsi" w:hAnsiTheme="majorHAnsi"/>
        </w:rPr>
        <w:t>to report the level of Indigenous participation achieved</w:t>
      </w:r>
      <w:r w:rsidR="000368B4" w:rsidRPr="00A82FD7">
        <w:rPr>
          <w:rFonts w:asciiTheme="majorHAnsi" w:hAnsiTheme="majorHAnsi"/>
        </w:rPr>
        <w:t xml:space="preserve">. </w:t>
      </w:r>
    </w:p>
    <w:p w14:paraId="66356461" w14:textId="77777777" w:rsidR="00A50FFD" w:rsidRDefault="004560F8" w:rsidP="00364756">
      <w:pPr>
        <w:pStyle w:val="BodyText"/>
        <w:rPr>
          <w:rFonts w:asciiTheme="majorHAnsi" w:hAnsiTheme="majorHAnsi"/>
        </w:rPr>
      </w:pPr>
      <w:r>
        <w:rPr>
          <w:rFonts w:asciiTheme="majorHAnsi" w:hAnsiTheme="majorHAnsi"/>
        </w:rPr>
        <w:t>W</w:t>
      </w:r>
      <w:r w:rsidR="00320C4C">
        <w:rPr>
          <w:rFonts w:asciiTheme="majorHAnsi" w:hAnsiTheme="majorHAnsi"/>
        </w:rPr>
        <w:t>here the model clauses have</w:t>
      </w:r>
      <w:r>
        <w:rPr>
          <w:rFonts w:asciiTheme="majorHAnsi" w:hAnsiTheme="majorHAnsi"/>
        </w:rPr>
        <w:t xml:space="preserve"> </w:t>
      </w:r>
      <w:r w:rsidRPr="00BE51C0">
        <w:rPr>
          <w:rFonts w:asciiTheme="majorHAnsi" w:hAnsiTheme="majorHAnsi"/>
          <w:u w:val="single"/>
        </w:rPr>
        <w:t>not</w:t>
      </w:r>
      <w:r>
        <w:rPr>
          <w:rFonts w:asciiTheme="majorHAnsi" w:hAnsiTheme="majorHAnsi"/>
        </w:rPr>
        <w:t xml:space="preserve"> been included, </w:t>
      </w:r>
      <w:r w:rsidR="00364756" w:rsidRPr="00364756">
        <w:rPr>
          <w:rFonts w:asciiTheme="majorHAnsi" w:hAnsiTheme="majorHAnsi"/>
        </w:rPr>
        <w:t>the contract manager should encourage the supplier to use their best endeavours to increase Indigenous participation over the delivery of the contract.</w:t>
      </w:r>
      <w:r>
        <w:rPr>
          <w:rFonts w:asciiTheme="majorHAnsi" w:hAnsiTheme="majorHAnsi"/>
        </w:rPr>
        <w:t xml:space="preserve"> </w:t>
      </w:r>
    </w:p>
    <w:p w14:paraId="6CF7DC48" w14:textId="12B0157A" w:rsidR="006320DA" w:rsidRDefault="006320DA" w:rsidP="0028339A">
      <w:pPr>
        <w:pStyle w:val="Heading2"/>
      </w:pPr>
      <w:bookmarkStart w:id="76" w:name="_Toc223528562"/>
      <w:r>
        <w:t>11.0 Compliance reporting responsibilities and risks</w:t>
      </w:r>
      <w:bookmarkEnd w:id="76"/>
    </w:p>
    <w:p w14:paraId="29360B04" w14:textId="77777777" w:rsidR="006320DA" w:rsidRPr="00CE22C4" w:rsidRDefault="006320DA" w:rsidP="006320DA">
      <w:pPr>
        <w:spacing w:after="160" w:line="259" w:lineRule="auto"/>
        <w:rPr>
          <w:rFonts w:asciiTheme="majorHAnsi" w:hAnsiTheme="majorHAnsi"/>
          <w:lang w:val="en-GB"/>
        </w:rPr>
      </w:pPr>
      <w:r w:rsidRPr="00CE22C4">
        <w:rPr>
          <w:rFonts w:asciiTheme="majorHAnsi" w:hAnsiTheme="majorHAnsi"/>
        </w:rPr>
        <w:t xml:space="preserve">As explained in detail in section 2 and 3 above, meeting the MMR targets for Indigenous participation are contractual requirements. They specify a minimum level of Indigenous involvement in all high-value contracts delivered in Australia, where </w:t>
      </w:r>
      <w:proofErr w:type="gramStart"/>
      <w:r w:rsidRPr="00CE22C4">
        <w:rPr>
          <w:rFonts w:asciiTheme="majorHAnsi" w:hAnsiTheme="majorHAnsi"/>
        </w:rPr>
        <w:t>the majority of</w:t>
      </w:r>
      <w:proofErr w:type="gramEnd"/>
      <w:r w:rsidRPr="00CE22C4">
        <w:rPr>
          <w:rFonts w:asciiTheme="majorHAnsi" w:hAnsiTheme="majorHAnsi"/>
        </w:rPr>
        <w:t xml:space="preserve"> the goods or services are in one of the specified 19 industry sectors. Agreed targets are negotiated during the procurement process and can include</w:t>
      </w:r>
      <w:r w:rsidRPr="00CE22C4">
        <w:rPr>
          <w:rFonts w:asciiTheme="majorHAnsi" w:hAnsiTheme="majorHAnsi"/>
          <w:lang w:val="en-GB"/>
        </w:rPr>
        <w:t>:</w:t>
      </w:r>
    </w:p>
    <w:p w14:paraId="19517225"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b/>
          <w:bCs/>
        </w:rPr>
        <w:t>Contract-based target is 4 per cent:</w:t>
      </w:r>
      <w:r w:rsidRPr="00CE22C4">
        <w:rPr>
          <w:rFonts w:asciiTheme="majorHAnsi" w:hAnsiTheme="majorHAnsi"/>
        </w:rPr>
        <w:t xml:space="preserve">  4 per cent of the FTE workforce employed to deliver the contract must identify as Indigenous OR 4 per cent of the total value of the contract must be awarded to Indigenous suppliers (or a combination of both).</w:t>
      </w:r>
    </w:p>
    <w:p w14:paraId="6494B92D"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b/>
          <w:bCs/>
        </w:rPr>
        <w:t>Organisation-based target is 3 per cent:</w:t>
      </w:r>
      <w:r w:rsidRPr="00CE22C4">
        <w:rPr>
          <w:rFonts w:asciiTheme="majorHAnsi" w:hAnsiTheme="majorHAnsi"/>
        </w:rPr>
        <w:t xml:space="preserve"> 3 per cent of the supplier’s entire Australian-based workforce must identify as Indigenous OR 3 per cent of its entire Australian-based supply chain must include Indigenous businesses.</w:t>
      </w:r>
    </w:p>
    <w:p w14:paraId="3890D4FB" w14:textId="77777777" w:rsidR="006320DA" w:rsidRPr="00CE22C4" w:rsidRDefault="006320DA" w:rsidP="006320DA">
      <w:pPr>
        <w:pStyle w:val="BodyText"/>
        <w:rPr>
          <w:rFonts w:asciiTheme="majorHAnsi" w:hAnsiTheme="majorHAnsi"/>
        </w:rPr>
      </w:pPr>
      <w:r w:rsidRPr="00CE22C4">
        <w:rPr>
          <w:rFonts w:asciiTheme="majorHAnsi" w:hAnsiTheme="majorHAnsi"/>
        </w:rPr>
        <w:t xml:space="preserve">Responsibility for compliance management for MMR contracts primarily rests with the contracting agency. Indigenous businesses engaged by suppliers count towards the portfolio’s performance against number and value targets. </w:t>
      </w:r>
    </w:p>
    <w:p w14:paraId="27476EA9" w14:textId="77777777" w:rsidR="006320DA" w:rsidRPr="00CE22C4" w:rsidRDefault="006320DA" w:rsidP="006320DA">
      <w:pPr>
        <w:pStyle w:val="BodyText"/>
        <w:rPr>
          <w:rFonts w:asciiTheme="majorHAnsi" w:hAnsiTheme="majorHAnsi"/>
        </w:rPr>
      </w:pPr>
      <w:r w:rsidRPr="00CE22C4">
        <w:rPr>
          <w:rFonts w:asciiTheme="majorHAnsi" w:hAnsiTheme="majorHAnsi"/>
        </w:rPr>
        <w:t>Key areas of compliance focus for the MMR Contracts are:</w:t>
      </w:r>
    </w:p>
    <w:p w14:paraId="7A6D1C30"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rPr>
        <w:t xml:space="preserve">Ensuring supplier and contract manager reporting obligations are </w:t>
      </w:r>
      <w:proofErr w:type="gramStart"/>
      <w:r w:rsidRPr="00CE22C4">
        <w:rPr>
          <w:rFonts w:asciiTheme="majorHAnsi" w:hAnsiTheme="majorHAnsi"/>
        </w:rPr>
        <w:t>upheld;</w:t>
      </w:r>
      <w:proofErr w:type="gramEnd"/>
    </w:p>
    <w:p w14:paraId="46DF52A0"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rPr>
        <w:t xml:space="preserve">Monitoring supplier performance against MMR </w:t>
      </w:r>
      <w:proofErr w:type="gramStart"/>
      <w:r w:rsidRPr="00CE22C4">
        <w:rPr>
          <w:rFonts w:asciiTheme="majorHAnsi" w:hAnsiTheme="majorHAnsi"/>
        </w:rPr>
        <w:t>targets;</w:t>
      </w:r>
      <w:proofErr w:type="gramEnd"/>
    </w:p>
    <w:p w14:paraId="0071A144"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rPr>
        <w:t xml:space="preserve">Verification of non-supply nation businesses Recorded against MMR </w:t>
      </w:r>
      <w:proofErr w:type="gramStart"/>
      <w:r w:rsidRPr="00CE22C4">
        <w:rPr>
          <w:rFonts w:asciiTheme="majorHAnsi" w:hAnsiTheme="majorHAnsi"/>
        </w:rPr>
        <w:t>targets;</w:t>
      </w:r>
      <w:proofErr w:type="gramEnd"/>
    </w:p>
    <w:p w14:paraId="224458B7"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rPr>
        <w:lastRenderedPageBreak/>
        <w:t xml:space="preserve">Verification of workforce data reported by </w:t>
      </w:r>
      <w:proofErr w:type="gramStart"/>
      <w:r w:rsidRPr="00CE22C4">
        <w:rPr>
          <w:rFonts w:asciiTheme="majorHAnsi" w:hAnsiTheme="majorHAnsi"/>
        </w:rPr>
        <w:t>suppliers;</w:t>
      </w:r>
      <w:proofErr w:type="gramEnd"/>
      <w:r w:rsidRPr="00CE22C4">
        <w:rPr>
          <w:rFonts w:asciiTheme="majorHAnsi" w:hAnsiTheme="majorHAnsi"/>
        </w:rPr>
        <w:t xml:space="preserve">  </w:t>
      </w:r>
    </w:p>
    <w:p w14:paraId="330C2200"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rPr>
        <w:t xml:space="preserve">Ensuring MMR targets are applied to all applicable </w:t>
      </w:r>
      <w:proofErr w:type="gramStart"/>
      <w:r w:rsidRPr="00CE22C4">
        <w:rPr>
          <w:rFonts w:asciiTheme="majorHAnsi" w:hAnsiTheme="majorHAnsi"/>
        </w:rPr>
        <w:t>contracts;</w:t>
      </w:r>
      <w:proofErr w:type="gramEnd"/>
    </w:p>
    <w:p w14:paraId="73811DD8" w14:textId="77777777" w:rsidR="006320DA" w:rsidRPr="00CE22C4" w:rsidRDefault="006320DA" w:rsidP="006320DA">
      <w:pPr>
        <w:pStyle w:val="ListParagraph"/>
        <w:numPr>
          <w:ilvl w:val="0"/>
          <w:numId w:val="52"/>
        </w:numPr>
        <w:spacing w:after="160" w:line="259" w:lineRule="auto"/>
        <w:rPr>
          <w:rFonts w:asciiTheme="majorHAnsi" w:hAnsiTheme="majorHAnsi"/>
        </w:rPr>
      </w:pPr>
      <w:r w:rsidRPr="00CE22C4">
        <w:rPr>
          <w:rFonts w:asciiTheme="majorHAnsi" w:hAnsiTheme="majorHAnsi"/>
        </w:rPr>
        <w:t>Ensuring that past performance is considered in the tender evaluation process.</w:t>
      </w:r>
    </w:p>
    <w:p w14:paraId="1E0F2304" w14:textId="77777777" w:rsidR="00AC07B5" w:rsidRPr="00CE22C4" w:rsidRDefault="00AC07B5" w:rsidP="00AC07B5">
      <w:pPr>
        <w:pStyle w:val="BodyText"/>
        <w:rPr>
          <w:rFonts w:asciiTheme="majorHAnsi" w:hAnsiTheme="majorHAnsi"/>
        </w:rPr>
      </w:pPr>
      <w:r w:rsidRPr="00CE22C4">
        <w:rPr>
          <w:rFonts w:asciiTheme="majorHAnsi" w:hAnsiTheme="majorHAnsi"/>
        </w:rPr>
        <w:t xml:space="preserve">From a supplier’s perspective, the primary mechanism to drive performance with MMR targets is that APS agencies are required to consider past IPP performance in evaluating tenders. </w:t>
      </w:r>
      <w:proofErr w:type="gramStart"/>
      <w:r w:rsidRPr="00CE22C4">
        <w:rPr>
          <w:rFonts w:asciiTheme="majorHAnsi" w:hAnsiTheme="majorHAnsi"/>
        </w:rPr>
        <w:t>In order for</w:t>
      </w:r>
      <w:proofErr w:type="gramEnd"/>
      <w:r w:rsidRPr="00CE22C4">
        <w:rPr>
          <w:rFonts w:asciiTheme="majorHAnsi" w:hAnsiTheme="majorHAnsi"/>
        </w:rPr>
        <w:t xml:space="preserve"> this to act as an effective deterrent of non-compliance, Agencies are encouraged to closely monitor adherence to this process in practice.</w:t>
      </w:r>
    </w:p>
    <w:p w14:paraId="3ACD481A" w14:textId="45BF13BD" w:rsidR="006320DA" w:rsidRPr="00CE22C4" w:rsidRDefault="00AC07B5" w:rsidP="00AC07B5">
      <w:pPr>
        <w:pStyle w:val="BodyText"/>
        <w:rPr>
          <w:rFonts w:asciiTheme="majorHAnsi" w:hAnsiTheme="majorHAnsi"/>
        </w:rPr>
      </w:pPr>
      <w:r w:rsidRPr="00CE22C4">
        <w:rPr>
          <w:rFonts w:asciiTheme="majorHAnsi" w:hAnsiTheme="majorHAnsi"/>
        </w:rPr>
        <w:t xml:space="preserve">Compliance approaches should reflect that in most </w:t>
      </w:r>
      <w:proofErr w:type="gramStart"/>
      <w:r w:rsidRPr="00CE22C4">
        <w:rPr>
          <w:rFonts w:asciiTheme="majorHAnsi" w:hAnsiTheme="majorHAnsi"/>
        </w:rPr>
        <w:t>instances,</w:t>
      </w:r>
      <w:proofErr w:type="gramEnd"/>
      <w:r w:rsidRPr="00CE22C4">
        <w:rPr>
          <w:rFonts w:asciiTheme="majorHAnsi" w:hAnsiTheme="majorHAnsi"/>
        </w:rPr>
        <w:t xml:space="preserve"> suppliers want to comply with the policy. In the first instance, interventions should include providing guidance and information to support the supplier to achieve compliance. Where appropriate, after attempts to improve performance or achieve compliance have failed, a compliance response appropriate to the compliance risk and circumstances should be considered.</w:t>
      </w:r>
    </w:p>
    <w:p w14:paraId="0FE05E00" w14:textId="2FA5F8A6" w:rsidR="00AC07B5" w:rsidRPr="00CE22C4" w:rsidRDefault="00D2478A" w:rsidP="00AC07B5">
      <w:pPr>
        <w:pStyle w:val="BodyText"/>
        <w:rPr>
          <w:rFonts w:asciiTheme="majorHAnsi" w:hAnsiTheme="majorHAnsi"/>
        </w:rPr>
      </w:pPr>
      <w:r w:rsidRPr="00CE22C4">
        <w:rPr>
          <w:rFonts w:asciiTheme="majorHAnsi" w:hAnsiTheme="majorHAnsi"/>
        </w:rPr>
        <w:t xml:space="preserve">Table </w:t>
      </w:r>
      <w:r w:rsidR="00EF5818" w:rsidRPr="00CE22C4">
        <w:rPr>
          <w:rFonts w:asciiTheme="majorHAnsi" w:hAnsiTheme="majorHAnsi"/>
        </w:rPr>
        <w:t>5</w:t>
      </w:r>
      <w:r w:rsidR="00B70A37" w:rsidRPr="00CE22C4">
        <w:rPr>
          <w:rFonts w:asciiTheme="majorHAnsi" w:hAnsiTheme="majorHAnsi"/>
        </w:rPr>
        <w:t xml:space="preserve">, below, </w:t>
      </w:r>
      <w:r w:rsidR="00EF5818" w:rsidRPr="00CE22C4">
        <w:rPr>
          <w:rFonts w:asciiTheme="majorHAnsi" w:hAnsiTheme="majorHAnsi"/>
        </w:rPr>
        <w:t xml:space="preserve">provides </w:t>
      </w:r>
      <w:r w:rsidR="00B70A37" w:rsidRPr="00CE22C4">
        <w:rPr>
          <w:rFonts w:asciiTheme="majorHAnsi" w:hAnsiTheme="majorHAnsi"/>
        </w:rPr>
        <w:t>several</w:t>
      </w:r>
      <w:r w:rsidR="00EF5818" w:rsidRPr="00CE22C4">
        <w:rPr>
          <w:rFonts w:asciiTheme="majorHAnsi" w:hAnsiTheme="majorHAnsi"/>
        </w:rPr>
        <w:t xml:space="preserve"> potential compliance risks </w:t>
      </w:r>
      <w:r w:rsidR="00FE515B" w:rsidRPr="00CE22C4">
        <w:rPr>
          <w:rFonts w:asciiTheme="majorHAnsi" w:hAnsiTheme="majorHAnsi"/>
        </w:rPr>
        <w:t>and recommended mitigation measures</w:t>
      </w:r>
      <w:r w:rsidR="00B70A37" w:rsidRPr="00CE22C4">
        <w:rPr>
          <w:rFonts w:asciiTheme="majorHAnsi" w:hAnsiTheme="majorHAnsi"/>
        </w:rPr>
        <w:t xml:space="preserve">. </w:t>
      </w:r>
    </w:p>
    <w:p w14:paraId="3E84699B" w14:textId="77777777" w:rsidR="00DE311D" w:rsidRDefault="00DE311D" w:rsidP="00AC07B5">
      <w:pPr>
        <w:pStyle w:val="BodyText"/>
        <w:rPr>
          <w:rFonts w:asciiTheme="majorHAnsi" w:hAnsiTheme="majorHAnsi"/>
        </w:rPr>
      </w:pPr>
    </w:p>
    <w:p w14:paraId="302B2204" w14:textId="77777777" w:rsidR="00DE311D" w:rsidRDefault="00DE311D" w:rsidP="00AC07B5">
      <w:pPr>
        <w:pStyle w:val="BodyText"/>
        <w:rPr>
          <w:rFonts w:asciiTheme="majorHAnsi" w:hAnsiTheme="majorHAnsi"/>
        </w:rPr>
      </w:pPr>
    </w:p>
    <w:tbl>
      <w:tblPr>
        <w:tblStyle w:val="GridTable2-Accent2"/>
        <w:tblpPr w:leftFromText="180" w:rightFromText="180" w:vertAnchor="page" w:horzAnchor="page" w:tblpX="852" w:tblpY="907"/>
        <w:tblW w:w="9072" w:type="dxa"/>
        <w:tblCellMar>
          <w:top w:w="113" w:type="dxa"/>
          <w:bottom w:w="113" w:type="dxa"/>
        </w:tblCellMar>
        <w:tblLook w:val="04A0" w:firstRow="1" w:lastRow="0" w:firstColumn="1" w:lastColumn="0" w:noHBand="0" w:noVBand="1"/>
      </w:tblPr>
      <w:tblGrid>
        <w:gridCol w:w="3072"/>
        <w:gridCol w:w="6000"/>
      </w:tblGrid>
      <w:tr w:rsidR="00D2478A" w:rsidRPr="008E6B23" w14:paraId="4F9F3BB6" w14:textId="77777777">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9072" w:type="dxa"/>
            <w:gridSpan w:val="2"/>
          </w:tcPr>
          <w:p w14:paraId="521D785C" w14:textId="5BA9AD04" w:rsidR="00D2478A" w:rsidRPr="0028339A" w:rsidRDefault="00D2478A">
            <w:pPr>
              <w:rPr>
                <w:rFonts w:asciiTheme="majorHAnsi" w:hAnsiTheme="majorHAnsi"/>
                <w:sz w:val="24"/>
                <w:szCs w:val="24"/>
              </w:rPr>
            </w:pPr>
            <w:r w:rsidRPr="0028339A">
              <w:rPr>
                <w:rFonts w:asciiTheme="majorHAnsi" w:hAnsiTheme="majorHAnsi"/>
                <w:sz w:val="24"/>
                <w:szCs w:val="24"/>
              </w:rPr>
              <w:lastRenderedPageBreak/>
              <w:t>Table 5</w:t>
            </w:r>
          </w:p>
        </w:tc>
      </w:tr>
      <w:tr w:rsidR="00DE311D" w:rsidRPr="008E6B23" w14:paraId="34FF4C34" w14:textId="7777777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072" w:type="dxa"/>
          </w:tcPr>
          <w:p w14:paraId="4FE499D2" w14:textId="77777777" w:rsidR="00DE311D" w:rsidRPr="0028339A" w:rsidRDefault="00DE311D">
            <w:pPr>
              <w:ind w:left="174" w:hanging="142"/>
              <w:rPr>
                <w:rFonts w:asciiTheme="majorHAnsi" w:hAnsiTheme="majorHAnsi"/>
                <w:sz w:val="24"/>
                <w:szCs w:val="24"/>
              </w:rPr>
            </w:pPr>
            <w:r w:rsidRPr="0028339A">
              <w:rPr>
                <w:rFonts w:asciiTheme="majorHAnsi" w:hAnsiTheme="majorHAnsi"/>
                <w:sz w:val="24"/>
                <w:szCs w:val="24"/>
              </w:rPr>
              <w:t>Compliance Risk</w:t>
            </w:r>
          </w:p>
        </w:tc>
        <w:tc>
          <w:tcPr>
            <w:tcW w:w="6000" w:type="dxa"/>
          </w:tcPr>
          <w:p w14:paraId="0FEDE88E" w14:textId="77777777" w:rsidR="00DE311D" w:rsidRPr="0028339A" w:rsidRDefault="00DE311D">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28339A">
              <w:rPr>
                <w:rFonts w:asciiTheme="majorHAnsi" w:hAnsiTheme="majorHAnsi"/>
                <w:sz w:val="24"/>
                <w:szCs w:val="24"/>
              </w:rPr>
              <w:t>Agency/Portfolio Recommended Mitigations</w:t>
            </w:r>
          </w:p>
        </w:tc>
      </w:tr>
      <w:tr w:rsidR="00DE311D" w:rsidRPr="008E6B23" w14:paraId="2B5C21C8" w14:textId="77777777">
        <w:trPr>
          <w:trHeight w:val="244"/>
        </w:trPr>
        <w:tc>
          <w:tcPr>
            <w:cnfStyle w:val="001000000000" w:firstRow="0" w:lastRow="0" w:firstColumn="1" w:lastColumn="0" w:oddVBand="0" w:evenVBand="0" w:oddHBand="0" w:evenHBand="0" w:firstRowFirstColumn="0" w:firstRowLastColumn="0" w:lastRowFirstColumn="0" w:lastRowLastColumn="0"/>
            <w:tcW w:w="3072" w:type="dxa"/>
          </w:tcPr>
          <w:p w14:paraId="411B3EB5" w14:textId="77777777" w:rsidR="00DE311D" w:rsidRPr="0028339A" w:rsidRDefault="00DE311D">
            <w:pPr>
              <w:rPr>
                <w:rFonts w:asciiTheme="majorHAnsi" w:hAnsiTheme="majorHAnsi"/>
              </w:rPr>
            </w:pPr>
            <w:r w:rsidRPr="0028339A">
              <w:rPr>
                <w:rFonts w:asciiTheme="majorHAnsi" w:hAnsiTheme="majorHAnsi"/>
              </w:rPr>
              <w:t>Failure to adhere to MMR reporting requirements</w:t>
            </w:r>
          </w:p>
        </w:tc>
        <w:tc>
          <w:tcPr>
            <w:tcW w:w="6000" w:type="dxa"/>
          </w:tcPr>
          <w:p w14:paraId="4D417B19" w14:textId="77777777" w:rsidR="00DE311D" w:rsidRPr="0028339A" w:rsidRDefault="00DE311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Agencies and portfolios to ensure IPP compliance included in relevant contract management and procurement procedures including proactively managing supplier reporting.</w:t>
            </w:r>
          </w:p>
          <w:p w14:paraId="641C43A6" w14:textId="77777777" w:rsidR="00DE311D" w:rsidRPr="0028339A" w:rsidRDefault="00DE311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Agencies encouraged to undertake a periodic review/audit to confirm processes are adhered to.</w:t>
            </w:r>
          </w:p>
        </w:tc>
      </w:tr>
      <w:tr w:rsidR="00DE311D" w:rsidRPr="008E6B23" w14:paraId="32833B15" w14:textId="7777777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072" w:type="dxa"/>
          </w:tcPr>
          <w:p w14:paraId="0888AD68" w14:textId="77777777" w:rsidR="00DE311D" w:rsidRPr="0028339A" w:rsidRDefault="00DE311D">
            <w:pPr>
              <w:rPr>
                <w:rFonts w:asciiTheme="majorHAnsi" w:hAnsiTheme="majorHAnsi"/>
              </w:rPr>
            </w:pPr>
            <w:r w:rsidRPr="0028339A">
              <w:rPr>
                <w:rFonts w:asciiTheme="majorHAnsi" w:hAnsiTheme="majorHAnsi"/>
              </w:rPr>
              <w:t>Failure to achieve agreed MMR targets due to lack of understanding/awareness of requirements</w:t>
            </w:r>
          </w:p>
        </w:tc>
        <w:tc>
          <w:tcPr>
            <w:tcW w:w="6000" w:type="dxa"/>
          </w:tcPr>
          <w:p w14:paraId="7E7127A6" w14:textId="77777777" w:rsidR="00DE311D" w:rsidRPr="0028339A" w:rsidRDefault="00DE311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 xml:space="preserve">Agencies and portfolios to ensure IPP compliance included in relevant contract management and procurement procedures </w:t>
            </w:r>
            <w:proofErr w:type="gramStart"/>
            <w:r w:rsidRPr="0028339A">
              <w:rPr>
                <w:rFonts w:asciiTheme="majorHAnsi" w:hAnsiTheme="majorHAnsi"/>
              </w:rPr>
              <w:t>including  proactively</w:t>
            </w:r>
            <w:proofErr w:type="gramEnd"/>
            <w:r w:rsidRPr="0028339A">
              <w:rPr>
                <w:rFonts w:asciiTheme="majorHAnsi" w:hAnsiTheme="majorHAnsi"/>
              </w:rPr>
              <w:t xml:space="preserve"> managing supplier performance </w:t>
            </w:r>
          </w:p>
          <w:p w14:paraId="560B0656" w14:textId="77777777" w:rsidR="00DE311D" w:rsidRPr="0028339A" w:rsidRDefault="00DE311D" w:rsidP="00DE311D">
            <w:pPr>
              <w:pStyle w:val="ListParagraph"/>
              <w:numPr>
                <w:ilvl w:val="0"/>
                <w:numId w:val="5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Early and regular engagement on IPP</w:t>
            </w:r>
          </w:p>
          <w:p w14:paraId="7FFEF4F8" w14:textId="77777777" w:rsidR="00DE311D" w:rsidRPr="0028339A" w:rsidRDefault="00DE311D" w:rsidP="00DE311D">
            <w:pPr>
              <w:pStyle w:val="ListParagraph"/>
              <w:numPr>
                <w:ilvl w:val="0"/>
                <w:numId w:val="5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 xml:space="preserve">Proactive follow up of contracts at </w:t>
            </w:r>
            <w:proofErr w:type="gramStart"/>
            <w:r w:rsidRPr="0028339A">
              <w:rPr>
                <w:rFonts w:asciiTheme="majorHAnsi" w:hAnsiTheme="majorHAnsi"/>
              </w:rPr>
              <w:t>risk;</w:t>
            </w:r>
            <w:proofErr w:type="gramEnd"/>
          </w:p>
          <w:p w14:paraId="7308C53A" w14:textId="77777777" w:rsidR="00DE311D" w:rsidRPr="0028339A" w:rsidRDefault="00DE311D" w:rsidP="00DE311D">
            <w:pPr>
              <w:pStyle w:val="ListParagraph"/>
              <w:numPr>
                <w:ilvl w:val="0"/>
                <w:numId w:val="5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 xml:space="preserve">Direct supplier to available guidance and resources </w:t>
            </w:r>
          </w:p>
        </w:tc>
      </w:tr>
      <w:tr w:rsidR="00DE311D" w:rsidRPr="008E6B23" w14:paraId="36772900" w14:textId="77777777">
        <w:trPr>
          <w:trHeight w:val="244"/>
        </w:trPr>
        <w:tc>
          <w:tcPr>
            <w:cnfStyle w:val="001000000000" w:firstRow="0" w:lastRow="0" w:firstColumn="1" w:lastColumn="0" w:oddVBand="0" w:evenVBand="0" w:oddHBand="0" w:evenHBand="0" w:firstRowFirstColumn="0" w:firstRowLastColumn="0" w:lastRowFirstColumn="0" w:lastRowLastColumn="0"/>
            <w:tcW w:w="3072" w:type="dxa"/>
          </w:tcPr>
          <w:p w14:paraId="6F7E5597" w14:textId="77777777" w:rsidR="00DE311D" w:rsidRPr="0028339A" w:rsidRDefault="00DE311D">
            <w:pPr>
              <w:rPr>
                <w:rFonts w:asciiTheme="majorHAnsi" w:hAnsiTheme="majorHAnsi"/>
              </w:rPr>
            </w:pPr>
            <w:r w:rsidRPr="0028339A">
              <w:rPr>
                <w:rFonts w:asciiTheme="majorHAnsi" w:hAnsiTheme="majorHAnsi"/>
              </w:rPr>
              <w:t>Failure to achieve agreed MMR targets due to external/contextual factors (location, lack of IB’s to service)</w:t>
            </w:r>
          </w:p>
        </w:tc>
        <w:tc>
          <w:tcPr>
            <w:tcW w:w="6000" w:type="dxa"/>
          </w:tcPr>
          <w:p w14:paraId="5CA66E33" w14:textId="77777777" w:rsidR="00DE311D" w:rsidRPr="0028339A" w:rsidRDefault="00DE311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 xml:space="preserve">Agencies and portfolios establish procedures to proactively manage supplier performance: </w:t>
            </w:r>
          </w:p>
          <w:p w14:paraId="77DE8D8A" w14:textId="77777777" w:rsidR="00DE311D" w:rsidRPr="0028339A" w:rsidRDefault="00DE311D" w:rsidP="00DE311D">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Early and regular engagement on IPP</w:t>
            </w:r>
          </w:p>
          <w:p w14:paraId="2FE8E05E" w14:textId="77777777" w:rsidR="00DE311D" w:rsidRPr="0028339A" w:rsidRDefault="00DE311D" w:rsidP="00DE311D">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 xml:space="preserve">Proactive follow up of contracts at </w:t>
            </w:r>
            <w:proofErr w:type="gramStart"/>
            <w:r w:rsidRPr="0028339A">
              <w:rPr>
                <w:rFonts w:asciiTheme="majorHAnsi" w:hAnsiTheme="majorHAnsi"/>
              </w:rPr>
              <w:t>risk;</w:t>
            </w:r>
            <w:proofErr w:type="gramEnd"/>
          </w:p>
          <w:p w14:paraId="13F44C18" w14:textId="77777777" w:rsidR="00DE311D" w:rsidRPr="0028339A" w:rsidRDefault="00DE311D" w:rsidP="00DE311D">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Direct supplier to available guidance and resources</w:t>
            </w:r>
          </w:p>
          <w:p w14:paraId="1E17F54F" w14:textId="77777777" w:rsidR="00DE311D" w:rsidRPr="0028339A" w:rsidRDefault="00DE311D" w:rsidP="00DE311D">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 xml:space="preserve">Monitor and document efforts by the supplier to achieve </w:t>
            </w:r>
            <w:proofErr w:type="gramStart"/>
            <w:r w:rsidRPr="0028339A">
              <w:rPr>
                <w:rFonts w:asciiTheme="majorHAnsi" w:hAnsiTheme="majorHAnsi"/>
              </w:rPr>
              <w:t>targets;</w:t>
            </w:r>
            <w:proofErr w:type="gramEnd"/>
          </w:p>
          <w:p w14:paraId="182AA135" w14:textId="77777777" w:rsidR="00DE311D" w:rsidRPr="0028339A" w:rsidRDefault="00DE311D" w:rsidP="00DE311D">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Ensure final assessment comments accurately represent the circumstances and efforts made by the supplier, for consideration in future tender evaluations.</w:t>
            </w:r>
          </w:p>
        </w:tc>
      </w:tr>
      <w:tr w:rsidR="00DE311D" w:rsidRPr="008E6B23" w14:paraId="49E65FEC" w14:textId="7777777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072" w:type="dxa"/>
          </w:tcPr>
          <w:p w14:paraId="146CA810" w14:textId="77777777" w:rsidR="00DE311D" w:rsidRPr="0028339A" w:rsidRDefault="00DE311D">
            <w:pPr>
              <w:rPr>
                <w:rFonts w:asciiTheme="majorHAnsi" w:hAnsiTheme="majorHAnsi"/>
              </w:rPr>
            </w:pPr>
            <w:r w:rsidRPr="0028339A">
              <w:rPr>
                <w:rFonts w:asciiTheme="majorHAnsi" w:hAnsiTheme="majorHAnsi"/>
              </w:rPr>
              <w:t>Deliberate failure to achieve agreed MMR targets</w:t>
            </w:r>
          </w:p>
        </w:tc>
        <w:tc>
          <w:tcPr>
            <w:tcW w:w="6000" w:type="dxa"/>
          </w:tcPr>
          <w:p w14:paraId="27783718" w14:textId="77777777" w:rsidR="00DE311D" w:rsidRPr="0028339A" w:rsidRDefault="00DE311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Ensure final assessment comments sufficiently and accurately reflect the circumstances and efforts made by the supplier, for consideration in future tender evaluations.</w:t>
            </w:r>
          </w:p>
        </w:tc>
      </w:tr>
      <w:tr w:rsidR="00DE311D" w:rsidRPr="008E6B23" w14:paraId="7AE52EF7" w14:textId="77777777">
        <w:trPr>
          <w:trHeight w:val="244"/>
        </w:trPr>
        <w:tc>
          <w:tcPr>
            <w:cnfStyle w:val="001000000000" w:firstRow="0" w:lastRow="0" w:firstColumn="1" w:lastColumn="0" w:oddVBand="0" w:evenVBand="0" w:oddHBand="0" w:evenHBand="0" w:firstRowFirstColumn="0" w:firstRowLastColumn="0" w:lastRowFirstColumn="0" w:lastRowLastColumn="0"/>
            <w:tcW w:w="3072" w:type="dxa"/>
          </w:tcPr>
          <w:p w14:paraId="25FAB029" w14:textId="77777777" w:rsidR="00DE311D" w:rsidRPr="0028339A" w:rsidRDefault="00DE311D">
            <w:pPr>
              <w:rPr>
                <w:rFonts w:asciiTheme="majorHAnsi" w:hAnsiTheme="majorHAnsi"/>
              </w:rPr>
            </w:pPr>
            <w:r w:rsidRPr="0028339A">
              <w:rPr>
                <w:rFonts w:asciiTheme="majorHAnsi" w:hAnsiTheme="majorHAnsi"/>
              </w:rPr>
              <w:t xml:space="preserve">Inaccurate information reported by supplier </w:t>
            </w:r>
          </w:p>
        </w:tc>
        <w:tc>
          <w:tcPr>
            <w:tcW w:w="6000" w:type="dxa"/>
          </w:tcPr>
          <w:p w14:paraId="1D44DD0E" w14:textId="77777777" w:rsidR="00DE311D" w:rsidRPr="0028339A" w:rsidRDefault="00DE311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Agencies encouraged to periodically review a sample of MMR reports to confirm:</w:t>
            </w:r>
          </w:p>
          <w:p w14:paraId="75E1127D" w14:textId="251C95EE" w:rsidR="00DE311D" w:rsidRPr="0028339A" w:rsidRDefault="00DE311D" w:rsidP="00DE311D">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 xml:space="preserve">Workforce data - Request and confirm evidence of </w:t>
            </w:r>
            <w:proofErr w:type="gramStart"/>
            <w:r w:rsidRPr="0028339A">
              <w:rPr>
                <w:rFonts w:asciiTheme="majorHAnsi" w:hAnsiTheme="majorHAnsi"/>
              </w:rPr>
              <w:t>policies  and</w:t>
            </w:r>
            <w:proofErr w:type="gramEnd"/>
            <w:r w:rsidRPr="0028339A">
              <w:rPr>
                <w:rFonts w:asciiTheme="majorHAnsi" w:hAnsiTheme="majorHAnsi"/>
              </w:rPr>
              <w:t xml:space="preserve"> procedures in place to ensure accurate MMR reporting, human resources or management reports reflecting aggregated performance against targets, employee lists (de- identified as appropriate), recruitment and people policies, contracts with recruitment providers reflecting Indigenous recruitment policies/approach.</w:t>
            </w:r>
          </w:p>
          <w:p w14:paraId="568F2C49" w14:textId="77777777" w:rsidR="00DE311D" w:rsidRPr="0028339A" w:rsidRDefault="00DE311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4DA2D57E" w14:textId="77777777" w:rsidR="00DE311D" w:rsidRPr="0028339A" w:rsidRDefault="00DE311D" w:rsidP="00DE311D">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rPr>
              <w:t xml:space="preserve">Verify </w:t>
            </w:r>
            <w:proofErr w:type="gramStart"/>
            <w:r w:rsidRPr="0028339A">
              <w:rPr>
                <w:rFonts w:asciiTheme="majorHAnsi" w:hAnsiTheme="majorHAnsi"/>
              </w:rPr>
              <w:t>non Supply</w:t>
            </w:r>
            <w:proofErr w:type="gramEnd"/>
            <w:r w:rsidRPr="0028339A">
              <w:rPr>
                <w:rFonts w:asciiTheme="majorHAnsi" w:hAnsiTheme="majorHAnsi"/>
              </w:rPr>
              <w:t xml:space="preserve"> Nation registered IB: Request and review evidence provided by supplier to verify IB status with additional information to confirm 50% Indigenous ownership for non-Supply Nations registered businesses, procedures in place to ensure </w:t>
            </w:r>
            <w:r w:rsidRPr="0028339A">
              <w:rPr>
                <w:rFonts w:asciiTheme="majorHAnsi" w:hAnsiTheme="majorHAnsi"/>
              </w:rPr>
              <w:lastRenderedPageBreak/>
              <w:t xml:space="preserve">accurate MMR reporting, management reports reflecting performance against targets, policies are in place to achieve supply use targets. </w:t>
            </w:r>
          </w:p>
        </w:tc>
      </w:tr>
      <w:tr w:rsidR="00DE311D" w:rsidRPr="008E6B23" w14:paraId="04385D52" w14:textId="7777777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072" w:type="dxa"/>
          </w:tcPr>
          <w:p w14:paraId="4547C506" w14:textId="77777777" w:rsidR="00DE311D" w:rsidRPr="0028339A" w:rsidRDefault="00DE311D">
            <w:pPr>
              <w:rPr>
                <w:rFonts w:asciiTheme="majorHAnsi" w:hAnsiTheme="majorHAnsi"/>
              </w:rPr>
            </w:pPr>
            <w:r w:rsidRPr="0028339A">
              <w:rPr>
                <w:rFonts w:asciiTheme="majorHAnsi" w:hAnsiTheme="majorHAnsi"/>
              </w:rPr>
              <w:lastRenderedPageBreak/>
              <w:t xml:space="preserve">Lack of agency verification of information reported by suppliers </w:t>
            </w:r>
          </w:p>
        </w:tc>
        <w:tc>
          <w:tcPr>
            <w:tcW w:w="6000" w:type="dxa"/>
          </w:tcPr>
          <w:p w14:paraId="6D5E446E" w14:textId="77777777" w:rsidR="00DE311D" w:rsidRPr="0028339A" w:rsidRDefault="00DE311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 xml:space="preserve">Agencies encouraged to undertake a periodic desktop review of information provided by suppliers against a sample of </w:t>
            </w:r>
            <w:proofErr w:type="gramStart"/>
            <w:r w:rsidRPr="0028339A">
              <w:rPr>
                <w:rFonts w:asciiTheme="majorHAnsi" w:hAnsiTheme="majorHAnsi"/>
              </w:rPr>
              <w:t>contract based</w:t>
            </w:r>
            <w:proofErr w:type="gramEnd"/>
            <w:r w:rsidRPr="0028339A">
              <w:rPr>
                <w:rFonts w:asciiTheme="majorHAnsi" w:hAnsiTheme="majorHAnsi"/>
              </w:rPr>
              <w:t xml:space="preserve"> targets. </w:t>
            </w:r>
          </w:p>
          <w:p w14:paraId="54741437" w14:textId="77777777" w:rsidR="00DE311D" w:rsidRPr="0028339A" w:rsidRDefault="00DE311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 xml:space="preserve">A </w:t>
            </w:r>
            <w:proofErr w:type="gramStart"/>
            <w:r w:rsidRPr="0028339A">
              <w:rPr>
                <w:rFonts w:asciiTheme="majorHAnsi" w:hAnsiTheme="majorHAnsi"/>
              </w:rPr>
              <w:t>risk based</w:t>
            </w:r>
            <w:proofErr w:type="gramEnd"/>
            <w:r w:rsidRPr="0028339A">
              <w:rPr>
                <w:rFonts w:asciiTheme="majorHAnsi" w:hAnsiTheme="majorHAnsi"/>
              </w:rPr>
              <w:t xml:space="preserve"> approach is recommended – factors which may increase risk </w:t>
            </w:r>
            <w:proofErr w:type="gramStart"/>
            <w:r w:rsidRPr="0028339A">
              <w:rPr>
                <w:rFonts w:asciiTheme="majorHAnsi" w:hAnsiTheme="majorHAnsi"/>
              </w:rPr>
              <w:t>include:</w:t>
            </w:r>
            <w:proofErr w:type="gramEnd"/>
            <w:r w:rsidRPr="0028339A">
              <w:rPr>
                <w:rFonts w:asciiTheme="majorHAnsi" w:hAnsiTheme="majorHAnsi"/>
              </w:rPr>
              <w:t xml:space="preserve"> poor progress against MMR targets; high value procurement in remote areas, supplier with limited experience in Commonwealth procurement, supplier with poor past performance against targets.</w:t>
            </w:r>
          </w:p>
        </w:tc>
      </w:tr>
      <w:tr w:rsidR="00DE311D" w:rsidRPr="008E6B23" w14:paraId="7B074551" w14:textId="77777777">
        <w:trPr>
          <w:trHeight w:val="244"/>
        </w:trPr>
        <w:tc>
          <w:tcPr>
            <w:cnfStyle w:val="001000000000" w:firstRow="0" w:lastRow="0" w:firstColumn="1" w:lastColumn="0" w:oddVBand="0" w:evenVBand="0" w:oddHBand="0" w:evenHBand="0" w:firstRowFirstColumn="0" w:firstRowLastColumn="0" w:lastRowFirstColumn="0" w:lastRowLastColumn="0"/>
            <w:tcW w:w="3072" w:type="dxa"/>
          </w:tcPr>
          <w:p w14:paraId="0160D661" w14:textId="77777777" w:rsidR="00DE311D" w:rsidRPr="0028339A" w:rsidRDefault="00DE311D">
            <w:pPr>
              <w:rPr>
                <w:rFonts w:asciiTheme="majorHAnsi" w:hAnsiTheme="majorHAnsi"/>
              </w:rPr>
            </w:pPr>
            <w:r w:rsidRPr="0028339A">
              <w:rPr>
                <w:rFonts w:asciiTheme="majorHAnsi" w:hAnsiTheme="majorHAnsi"/>
              </w:rPr>
              <w:t>Failure to apply MMR to applicable contracts (where no exemption applies)</w:t>
            </w:r>
          </w:p>
        </w:tc>
        <w:tc>
          <w:tcPr>
            <w:tcW w:w="6000" w:type="dxa"/>
          </w:tcPr>
          <w:p w14:paraId="7B0CF491" w14:textId="77777777" w:rsidR="00DE311D" w:rsidRPr="0028339A" w:rsidRDefault="00DE311D">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28339A">
              <w:rPr>
                <w:rFonts w:asciiTheme="majorHAnsi" w:hAnsiTheme="majorHAnsi"/>
                <w:lang w:val="en-US"/>
              </w:rPr>
              <w:t xml:space="preserve">Agencies encouraged </w:t>
            </w:r>
            <w:proofErr w:type="gramStart"/>
            <w:r w:rsidRPr="0028339A">
              <w:rPr>
                <w:rFonts w:asciiTheme="majorHAnsi" w:hAnsiTheme="majorHAnsi"/>
                <w:lang w:val="en-US"/>
              </w:rPr>
              <w:t>to establish</w:t>
            </w:r>
            <w:proofErr w:type="gramEnd"/>
            <w:r w:rsidRPr="0028339A">
              <w:rPr>
                <w:rFonts w:asciiTheme="majorHAnsi" w:hAnsiTheme="majorHAnsi"/>
                <w:lang w:val="en-US"/>
              </w:rPr>
              <w:t xml:space="preserve"> processes to ensure compliance with the IPP</w:t>
            </w:r>
          </w:p>
          <w:p w14:paraId="3B0F5AC2" w14:textId="77777777" w:rsidR="00DE311D" w:rsidRPr="0028339A" w:rsidRDefault="00DE311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lang w:val="en-US"/>
              </w:rPr>
              <w:t>Agencies undertake an audit to</w:t>
            </w:r>
          </w:p>
          <w:p w14:paraId="5719A210" w14:textId="77777777" w:rsidR="00DE311D" w:rsidRPr="0028339A" w:rsidRDefault="00DE311D" w:rsidP="00DE311D">
            <w:pPr>
              <w:numPr>
                <w:ilvl w:val="0"/>
                <w:numId w:val="5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lang w:val="en-US"/>
              </w:rPr>
              <w:t xml:space="preserve">Ensure the IPP is applied to individual procurements in accordance with the CPRs </w:t>
            </w:r>
            <w:proofErr w:type="spellStart"/>
            <w:r w:rsidRPr="0028339A">
              <w:rPr>
                <w:rFonts w:asciiTheme="majorHAnsi" w:hAnsiTheme="majorHAnsi"/>
                <w:lang w:val="en-US"/>
              </w:rPr>
              <w:t>inc</w:t>
            </w:r>
            <w:proofErr w:type="spellEnd"/>
            <w:r w:rsidRPr="0028339A">
              <w:rPr>
                <w:rFonts w:asciiTheme="majorHAnsi" w:hAnsiTheme="majorHAnsi"/>
                <w:lang w:val="en-US"/>
              </w:rPr>
              <w:t xml:space="preserve"> </w:t>
            </w:r>
            <w:proofErr w:type="spellStart"/>
            <w:r w:rsidRPr="0028339A">
              <w:rPr>
                <w:rFonts w:asciiTheme="majorHAnsi" w:hAnsiTheme="majorHAnsi"/>
                <w:lang w:val="en-US"/>
              </w:rPr>
              <w:t>utilising</w:t>
            </w:r>
            <w:proofErr w:type="spellEnd"/>
            <w:r w:rsidRPr="0028339A">
              <w:rPr>
                <w:rFonts w:asciiTheme="majorHAnsi" w:hAnsiTheme="majorHAnsi"/>
                <w:lang w:val="en-US"/>
              </w:rPr>
              <w:t xml:space="preserve"> MSA, MMRs where </w:t>
            </w:r>
            <w:proofErr w:type="gramStart"/>
            <w:r w:rsidRPr="0028339A">
              <w:rPr>
                <w:rFonts w:asciiTheme="majorHAnsi" w:hAnsiTheme="majorHAnsi"/>
                <w:lang w:val="en-US"/>
              </w:rPr>
              <w:t>applicable;</w:t>
            </w:r>
            <w:proofErr w:type="gramEnd"/>
          </w:p>
          <w:p w14:paraId="0D6B14A2" w14:textId="77777777" w:rsidR="00DE311D" w:rsidRPr="0028339A" w:rsidRDefault="00DE311D" w:rsidP="00DE311D">
            <w:pPr>
              <w:numPr>
                <w:ilvl w:val="0"/>
                <w:numId w:val="5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lang w:val="en-US"/>
              </w:rPr>
              <w:t>Ensuring MMR targets and model clauses are included in the approach to market and contract.</w:t>
            </w:r>
          </w:p>
          <w:p w14:paraId="60035601" w14:textId="77777777" w:rsidR="00DE311D" w:rsidRPr="0028339A" w:rsidRDefault="00DE311D" w:rsidP="00DE311D">
            <w:pPr>
              <w:numPr>
                <w:ilvl w:val="0"/>
                <w:numId w:val="5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8339A">
              <w:rPr>
                <w:rFonts w:asciiTheme="majorHAnsi" w:hAnsiTheme="majorHAnsi"/>
                <w:lang w:val="en-US"/>
              </w:rPr>
              <w:t>Evidence that past MMR performance is taken into consideration during tender evaluations.</w:t>
            </w:r>
          </w:p>
        </w:tc>
      </w:tr>
      <w:tr w:rsidR="00DE311D" w:rsidRPr="008E6B23" w14:paraId="1FBB5919" w14:textId="7777777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072" w:type="dxa"/>
          </w:tcPr>
          <w:p w14:paraId="60FB3646" w14:textId="77777777" w:rsidR="00DE311D" w:rsidRPr="0028339A" w:rsidRDefault="00DE311D">
            <w:pPr>
              <w:rPr>
                <w:rFonts w:asciiTheme="majorHAnsi" w:hAnsiTheme="majorHAnsi"/>
              </w:rPr>
            </w:pPr>
            <w:r w:rsidRPr="0028339A">
              <w:rPr>
                <w:rFonts w:asciiTheme="majorHAnsi" w:hAnsiTheme="majorHAnsi"/>
              </w:rPr>
              <w:t>Agency does not take into consideration past performance in the assessment of future tenders</w:t>
            </w:r>
          </w:p>
        </w:tc>
        <w:tc>
          <w:tcPr>
            <w:tcW w:w="6000" w:type="dxa"/>
          </w:tcPr>
          <w:p w14:paraId="205E1364" w14:textId="77777777" w:rsidR="00DE311D" w:rsidRPr="0028339A" w:rsidRDefault="00DE311D">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28339A">
              <w:rPr>
                <w:rFonts w:asciiTheme="majorHAnsi" w:hAnsiTheme="majorHAnsi"/>
                <w:lang w:val="en-US"/>
              </w:rPr>
              <w:t xml:space="preserve">Agencies encouraged </w:t>
            </w:r>
            <w:proofErr w:type="gramStart"/>
            <w:r w:rsidRPr="0028339A">
              <w:rPr>
                <w:rFonts w:asciiTheme="majorHAnsi" w:hAnsiTheme="majorHAnsi"/>
                <w:lang w:val="en-US"/>
              </w:rPr>
              <w:t>to</w:t>
            </w:r>
            <w:proofErr w:type="gramEnd"/>
            <w:r w:rsidRPr="0028339A">
              <w:rPr>
                <w:rFonts w:asciiTheme="majorHAnsi" w:hAnsiTheme="majorHAnsi"/>
                <w:lang w:val="en-US"/>
              </w:rPr>
              <w:t xml:space="preserve"> incorporate IPP obligations into business processes to ensure compliance with the requirement to consider past MMR performance.</w:t>
            </w:r>
          </w:p>
          <w:p w14:paraId="541AB5C0" w14:textId="77777777" w:rsidR="00DE311D" w:rsidRPr="0028339A" w:rsidRDefault="00DE311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8339A">
              <w:rPr>
                <w:rFonts w:asciiTheme="majorHAnsi" w:hAnsiTheme="majorHAnsi"/>
              </w:rPr>
              <w:t>Agencies encouraged to undertake a periodic review/audit to confirm processes are adhered to.</w:t>
            </w:r>
          </w:p>
        </w:tc>
      </w:tr>
    </w:tbl>
    <w:p w14:paraId="19DE9F67" w14:textId="77777777" w:rsidR="00DE311D" w:rsidRPr="00A82FD7" w:rsidRDefault="00DE311D" w:rsidP="00AC07B5">
      <w:pPr>
        <w:pStyle w:val="BodyText"/>
        <w:rPr>
          <w:rFonts w:asciiTheme="majorHAnsi" w:hAnsiTheme="majorHAnsi"/>
        </w:rPr>
      </w:pPr>
    </w:p>
    <w:p w14:paraId="766E1C72" w14:textId="77777777" w:rsidR="00EF5818" w:rsidRDefault="00EF5818" w:rsidP="006C0FD5">
      <w:pPr>
        <w:pStyle w:val="Heading2"/>
      </w:pPr>
    </w:p>
    <w:p w14:paraId="0B388E51" w14:textId="77777777" w:rsidR="00EF5818" w:rsidRDefault="00EF5818" w:rsidP="006C0FD5">
      <w:pPr>
        <w:pStyle w:val="Heading2"/>
      </w:pPr>
    </w:p>
    <w:p w14:paraId="4B0ECE3F" w14:textId="77777777" w:rsidR="00EF5818" w:rsidRDefault="00EF5818" w:rsidP="006C0FD5">
      <w:pPr>
        <w:pStyle w:val="Heading2"/>
      </w:pPr>
    </w:p>
    <w:p w14:paraId="28F61FC0" w14:textId="77777777" w:rsidR="00EF5818" w:rsidRDefault="00EF5818" w:rsidP="006C0FD5">
      <w:pPr>
        <w:pStyle w:val="Heading2"/>
      </w:pPr>
    </w:p>
    <w:p w14:paraId="738C073E" w14:textId="77777777" w:rsidR="00EF5818" w:rsidRDefault="00EF5818" w:rsidP="006C0FD5">
      <w:pPr>
        <w:pStyle w:val="Heading2"/>
      </w:pPr>
    </w:p>
    <w:p w14:paraId="5193A81B" w14:textId="77777777" w:rsidR="00EF5818" w:rsidRDefault="00EF5818" w:rsidP="006C0FD5">
      <w:pPr>
        <w:pStyle w:val="Heading2"/>
      </w:pPr>
    </w:p>
    <w:p w14:paraId="5DA18C02" w14:textId="77777777" w:rsidR="007E06B4" w:rsidRDefault="007E06B4" w:rsidP="006C0FD5">
      <w:pPr>
        <w:pStyle w:val="Heading2"/>
      </w:pPr>
      <w:bookmarkStart w:id="77" w:name="_Toc223528563"/>
    </w:p>
    <w:p w14:paraId="2958CA8F" w14:textId="54B09BA2" w:rsidR="006C0FD5" w:rsidRPr="00A82FD7" w:rsidRDefault="00602CBF" w:rsidP="006C0FD5">
      <w:pPr>
        <w:pStyle w:val="Heading2"/>
      </w:pPr>
      <w:r>
        <w:t>1</w:t>
      </w:r>
      <w:r w:rsidR="00AC07B5">
        <w:t>3</w:t>
      </w:r>
      <w:r w:rsidR="00BA0860" w:rsidRPr="00A82FD7">
        <w:t>.0 Further assistance</w:t>
      </w:r>
      <w:bookmarkEnd w:id="77"/>
      <w:r w:rsidR="00BA0860" w:rsidRPr="00A82FD7">
        <w:t xml:space="preserve"> </w:t>
      </w:r>
    </w:p>
    <w:p w14:paraId="35D47E8D" w14:textId="3515142E" w:rsidR="004B313C" w:rsidRDefault="007E06B4" w:rsidP="006C0FD5">
      <w:pPr>
        <w:pStyle w:val="BodyText"/>
        <w:rPr>
          <w:rFonts w:asciiTheme="majorHAnsi" w:hAnsiTheme="majorHAnsi"/>
        </w:rPr>
      </w:pPr>
      <w:r>
        <w:rPr>
          <w:rFonts w:asciiTheme="majorHAnsi" w:hAnsiTheme="majorHAnsi"/>
        </w:rPr>
        <w:t xml:space="preserve">If you have any questions, please </w:t>
      </w:r>
      <w:r w:rsidR="00AC1DAC" w:rsidRPr="00A82FD7">
        <w:rPr>
          <w:rFonts w:asciiTheme="majorHAnsi" w:hAnsiTheme="majorHAnsi"/>
        </w:rPr>
        <w:t>contact your organisation’s procurement area</w:t>
      </w:r>
      <w:r w:rsidR="004B313C">
        <w:rPr>
          <w:rFonts w:asciiTheme="majorHAnsi" w:hAnsiTheme="majorHAnsi"/>
        </w:rPr>
        <w:t xml:space="preserve"> or your contract manager</w:t>
      </w:r>
      <w:r w:rsidR="00AC1DAC" w:rsidRPr="00A82FD7">
        <w:rPr>
          <w:rFonts w:asciiTheme="majorHAnsi" w:hAnsiTheme="majorHAnsi"/>
        </w:rPr>
        <w:t xml:space="preserve"> </w:t>
      </w:r>
      <w:r>
        <w:rPr>
          <w:rFonts w:asciiTheme="majorHAnsi" w:hAnsiTheme="majorHAnsi"/>
        </w:rPr>
        <w:t xml:space="preserve">in the first instance. </w:t>
      </w:r>
    </w:p>
    <w:p w14:paraId="4E5FAA50" w14:textId="04B4003B" w:rsidR="00AC1DAC" w:rsidRPr="00A82FD7" w:rsidRDefault="00A4016E" w:rsidP="006C0FD5">
      <w:pPr>
        <w:pStyle w:val="BodyText"/>
        <w:rPr>
          <w:rFonts w:asciiTheme="majorHAnsi" w:hAnsiTheme="majorHAnsi"/>
        </w:rPr>
      </w:pPr>
      <w:r>
        <w:rPr>
          <w:rFonts w:asciiTheme="majorHAnsi" w:hAnsiTheme="majorHAnsi"/>
        </w:rPr>
        <w:t>Following this, g</w:t>
      </w:r>
      <w:r w:rsidR="007E06B4">
        <w:rPr>
          <w:rFonts w:asciiTheme="majorHAnsi" w:hAnsiTheme="majorHAnsi"/>
        </w:rPr>
        <w:t>uidance is also available through the NIAA</w:t>
      </w:r>
      <w:r w:rsidR="00AC1DAC" w:rsidRPr="00A82FD7">
        <w:rPr>
          <w:rFonts w:asciiTheme="majorHAnsi" w:hAnsiTheme="majorHAnsi"/>
        </w:rPr>
        <w:t>:</w:t>
      </w:r>
    </w:p>
    <w:p w14:paraId="47159B26" w14:textId="3AB8D3F9" w:rsidR="00AB0850" w:rsidRDefault="004B313C" w:rsidP="0028339A">
      <w:pPr>
        <w:pStyle w:val="BulletedListlvl1"/>
        <w:numPr>
          <w:ilvl w:val="0"/>
          <w:numId w:val="56"/>
        </w:numPr>
        <w:rPr>
          <w:rFonts w:asciiTheme="majorHAnsi" w:hAnsiTheme="majorHAnsi"/>
        </w:rPr>
      </w:pPr>
      <w:r>
        <w:rPr>
          <w:rFonts w:asciiTheme="majorHAnsi" w:hAnsiTheme="majorHAnsi"/>
          <w:b/>
        </w:rPr>
        <w:t>Policy questions can be directed to</w:t>
      </w:r>
      <w:r w:rsidR="00AC1DAC" w:rsidRPr="00A82FD7">
        <w:rPr>
          <w:rFonts w:asciiTheme="majorHAnsi" w:hAnsiTheme="majorHAnsi"/>
          <w:b/>
        </w:rPr>
        <w:t>:</w:t>
      </w:r>
      <w:r>
        <w:rPr>
          <w:rFonts w:asciiTheme="majorHAnsi" w:hAnsiTheme="majorHAnsi"/>
          <w:b/>
        </w:rPr>
        <w:t xml:space="preserve"> </w:t>
      </w:r>
      <w:hyperlink r:id="rId35" w:history="1">
        <w:r w:rsidRPr="00134C33">
          <w:rPr>
            <w:rStyle w:val="Hyperlink"/>
            <w:rFonts w:asciiTheme="majorHAnsi" w:hAnsiTheme="majorHAnsi"/>
            <w:color w:val="015E8A" w:themeColor="text2" w:themeTint="E6"/>
          </w:rPr>
          <w:t>indigenousprocurement@niaa.gov.au</w:t>
        </w:r>
      </w:hyperlink>
    </w:p>
    <w:p w14:paraId="0BB3AFAE" w14:textId="72291316" w:rsidR="004B313C" w:rsidRPr="00A82FD7" w:rsidRDefault="004B313C" w:rsidP="0028339A">
      <w:pPr>
        <w:pStyle w:val="BulletedListlvl1"/>
        <w:numPr>
          <w:ilvl w:val="0"/>
          <w:numId w:val="56"/>
        </w:numPr>
        <w:rPr>
          <w:rFonts w:asciiTheme="majorHAnsi" w:hAnsiTheme="majorHAnsi"/>
        </w:rPr>
      </w:pPr>
      <w:r>
        <w:rPr>
          <w:rFonts w:asciiTheme="majorHAnsi" w:hAnsiTheme="majorHAnsi"/>
          <w:b/>
        </w:rPr>
        <w:t>IPPRS system questions can be directed to</w:t>
      </w:r>
      <w:r w:rsidRPr="00A82FD7">
        <w:rPr>
          <w:rFonts w:asciiTheme="majorHAnsi" w:hAnsiTheme="majorHAnsi"/>
          <w:b/>
        </w:rPr>
        <w:t>:</w:t>
      </w:r>
      <w:r>
        <w:rPr>
          <w:rFonts w:asciiTheme="majorHAnsi" w:hAnsiTheme="majorHAnsi"/>
          <w:b/>
        </w:rPr>
        <w:t xml:space="preserve"> </w:t>
      </w:r>
      <w:hyperlink r:id="rId36" w:history="1">
        <w:r w:rsidRPr="00134C33">
          <w:rPr>
            <w:rStyle w:val="Hyperlink"/>
            <w:rFonts w:asciiTheme="majorHAnsi" w:hAnsiTheme="majorHAnsi"/>
            <w:color w:val="015E8A" w:themeColor="text2" w:themeTint="E6"/>
          </w:rPr>
          <w:t>ipprs@niaa.gov.au</w:t>
        </w:r>
      </w:hyperlink>
    </w:p>
    <w:p w14:paraId="3A6CC719" w14:textId="77777777" w:rsidR="004B313C" w:rsidRPr="00A82FD7" w:rsidRDefault="004B313C" w:rsidP="00AC1DAC">
      <w:pPr>
        <w:pStyle w:val="BulletedListlvl1"/>
        <w:numPr>
          <w:ilvl w:val="0"/>
          <w:numId w:val="0"/>
        </w:numPr>
        <w:rPr>
          <w:rFonts w:asciiTheme="majorHAnsi" w:hAnsiTheme="majorHAnsi"/>
        </w:rPr>
      </w:pPr>
    </w:p>
    <w:p w14:paraId="22EDE3B6" w14:textId="77777777" w:rsidR="00AC1DAC" w:rsidRPr="00A82FD7" w:rsidRDefault="00AC1DAC" w:rsidP="00AC1DAC">
      <w:pPr>
        <w:pStyle w:val="BulletedListlvl1"/>
        <w:numPr>
          <w:ilvl w:val="0"/>
          <w:numId w:val="0"/>
        </w:numPr>
        <w:rPr>
          <w:rFonts w:asciiTheme="majorHAnsi" w:hAnsiTheme="majorHAnsi"/>
        </w:rPr>
      </w:pPr>
      <w:r w:rsidRPr="00A82FD7">
        <w:rPr>
          <w:rFonts w:asciiTheme="majorHAnsi" w:hAnsiTheme="majorHAnsi"/>
        </w:rPr>
        <w:tab/>
      </w:r>
    </w:p>
    <w:p w14:paraId="1B458DF8" w14:textId="77777777" w:rsidR="00233B73" w:rsidRDefault="00233B73">
      <w:pPr>
        <w:rPr>
          <w:rFonts w:asciiTheme="majorHAnsi" w:eastAsiaTheme="majorEastAsia" w:hAnsiTheme="majorHAnsi" w:cstheme="majorBidi"/>
          <w:b/>
          <w:color w:val="DD7500" w:themeColor="accent4"/>
          <w:sz w:val="40"/>
          <w:szCs w:val="40"/>
        </w:rPr>
      </w:pPr>
      <w:r>
        <w:br w:type="page"/>
      </w:r>
    </w:p>
    <w:p w14:paraId="56641632" w14:textId="5FA8BA11" w:rsidR="00855C67" w:rsidRPr="00221773" w:rsidRDefault="00602CBF" w:rsidP="00221773">
      <w:pPr>
        <w:pStyle w:val="Heading2"/>
      </w:pPr>
      <w:bookmarkStart w:id="78" w:name="_Toc223528564"/>
      <w:r w:rsidRPr="00221773">
        <w:lastRenderedPageBreak/>
        <w:t>1</w:t>
      </w:r>
      <w:r w:rsidR="00B70A37">
        <w:t>4</w:t>
      </w:r>
      <w:r w:rsidR="00855C67" w:rsidRPr="00221773">
        <w:t>.</w:t>
      </w:r>
      <w:r w:rsidR="00221773" w:rsidRPr="00221773">
        <w:t>0</w:t>
      </w:r>
      <w:r w:rsidR="00855C67" w:rsidRPr="00221773">
        <w:tab/>
        <w:t>Resources</w:t>
      </w:r>
      <w:bookmarkEnd w:id="78"/>
    </w:p>
    <w:p w14:paraId="58B4515B" w14:textId="77777777" w:rsidR="0008084B" w:rsidRPr="00DE5580" w:rsidRDefault="00855C67" w:rsidP="006A49F4">
      <w:pPr>
        <w:pStyle w:val="BodyText"/>
        <w:numPr>
          <w:ilvl w:val="0"/>
          <w:numId w:val="34"/>
        </w:numPr>
        <w:rPr>
          <w:rFonts w:asciiTheme="majorHAnsi" w:hAnsiTheme="majorHAnsi"/>
        </w:rPr>
      </w:pPr>
      <w:r w:rsidRPr="00DE5580">
        <w:rPr>
          <w:rFonts w:asciiTheme="majorHAnsi" w:hAnsiTheme="majorHAnsi"/>
        </w:rPr>
        <w:t>Australian Bureau of Statistics</w:t>
      </w:r>
      <w:r w:rsidR="00A247B4" w:rsidRPr="00DE5580">
        <w:rPr>
          <w:rFonts w:asciiTheme="majorHAnsi" w:hAnsiTheme="majorHAnsi"/>
        </w:rPr>
        <w:t xml:space="preserve"> </w:t>
      </w:r>
      <w:r w:rsidR="0008084B" w:rsidRPr="00DE5580">
        <w:rPr>
          <w:rFonts w:asciiTheme="majorHAnsi" w:hAnsiTheme="majorHAnsi"/>
        </w:rPr>
        <w:tab/>
      </w:r>
      <w:r w:rsidR="0008084B" w:rsidRPr="00DE5580">
        <w:rPr>
          <w:rFonts w:asciiTheme="majorHAnsi" w:hAnsiTheme="majorHAnsi"/>
        </w:rPr>
        <w:tab/>
      </w:r>
    </w:p>
    <w:p w14:paraId="18A1FE0E" w14:textId="77777777" w:rsidR="00855C67" w:rsidRPr="00DE5580" w:rsidRDefault="00AB7DD9" w:rsidP="006A49F4">
      <w:pPr>
        <w:pStyle w:val="BodyText"/>
        <w:ind w:left="720"/>
        <w:rPr>
          <w:rFonts w:asciiTheme="majorHAnsi" w:hAnsiTheme="majorHAnsi"/>
        </w:rPr>
      </w:pPr>
      <w:hyperlink r:id="rId37" w:history="1">
        <w:r w:rsidRPr="00134C33">
          <w:rPr>
            <w:rStyle w:val="Hyperlink"/>
            <w:rFonts w:asciiTheme="majorHAnsi" w:hAnsiTheme="majorHAnsi"/>
            <w:color w:val="015E8A" w:themeColor="text2" w:themeTint="E6"/>
          </w:rPr>
          <w:t>https://www.abs.gov.au/websitedbs/D3310114.nsf/Home/2016%20search%20by%20geography</w:t>
        </w:r>
      </w:hyperlink>
    </w:p>
    <w:p w14:paraId="199C2B71" w14:textId="77777777" w:rsidR="0008084B" w:rsidRPr="00DE5580" w:rsidRDefault="00855C67" w:rsidP="006A49F4">
      <w:pPr>
        <w:pStyle w:val="BodyText"/>
        <w:numPr>
          <w:ilvl w:val="0"/>
          <w:numId w:val="34"/>
        </w:numPr>
        <w:rPr>
          <w:rFonts w:asciiTheme="majorHAnsi" w:hAnsiTheme="majorHAnsi"/>
        </w:rPr>
      </w:pPr>
      <w:r w:rsidRPr="00DE5580">
        <w:rPr>
          <w:rFonts w:asciiTheme="majorHAnsi" w:hAnsiTheme="majorHAnsi"/>
        </w:rPr>
        <w:t>NIAA Regional Office Network</w:t>
      </w:r>
      <w:r w:rsidR="0008084B" w:rsidRPr="00DE5580">
        <w:rPr>
          <w:rFonts w:asciiTheme="majorHAnsi" w:hAnsiTheme="majorHAnsi"/>
        </w:rPr>
        <w:tab/>
      </w:r>
      <w:r w:rsidR="0008084B" w:rsidRPr="00DE5580">
        <w:rPr>
          <w:rFonts w:asciiTheme="majorHAnsi" w:hAnsiTheme="majorHAnsi"/>
        </w:rPr>
        <w:tab/>
      </w:r>
    </w:p>
    <w:p w14:paraId="173B450D" w14:textId="77777777" w:rsidR="00855C67" w:rsidRPr="00DE5580" w:rsidRDefault="0008084B" w:rsidP="006A49F4">
      <w:pPr>
        <w:pStyle w:val="BodyText"/>
        <w:ind w:left="720"/>
        <w:rPr>
          <w:rFonts w:asciiTheme="majorHAnsi" w:hAnsiTheme="majorHAnsi"/>
        </w:rPr>
      </w:pPr>
      <w:hyperlink r:id="rId38" w:history="1">
        <w:r w:rsidRPr="00134C33">
          <w:rPr>
            <w:rStyle w:val="Hyperlink"/>
            <w:rFonts w:asciiTheme="majorHAnsi" w:hAnsiTheme="majorHAnsi"/>
            <w:color w:val="015E8A" w:themeColor="text2" w:themeTint="E6"/>
          </w:rPr>
          <w:t>https://www.niaa.gov.au/contact-us/regional-network-addresses</w:t>
        </w:r>
      </w:hyperlink>
    </w:p>
    <w:p w14:paraId="57D4C3A3" w14:textId="77777777" w:rsidR="006B4092" w:rsidRPr="00DE5580" w:rsidRDefault="006B4092" w:rsidP="006A49F4">
      <w:pPr>
        <w:pStyle w:val="BodyText"/>
        <w:numPr>
          <w:ilvl w:val="0"/>
          <w:numId w:val="34"/>
        </w:numPr>
        <w:rPr>
          <w:rFonts w:asciiTheme="majorHAnsi" w:hAnsiTheme="majorHAnsi"/>
        </w:rPr>
      </w:pPr>
      <w:r w:rsidRPr="00DE5580">
        <w:rPr>
          <w:rFonts w:asciiTheme="majorHAnsi" w:hAnsiTheme="majorHAnsi"/>
        </w:rPr>
        <w:t>Indigenous Procurement Policy</w:t>
      </w:r>
    </w:p>
    <w:p w14:paraId="18621BBC" w14:textId="77777777" w:rsidR="006B4092" w:rsidRPr="00DE5580" w:rsidRDefault="006A49F4" w:rsidP="006A49F4">
      <w:pPr>
        <w:pStyle w:val="BodyText"/>
        <w:ind w:left="720"/>
        <w:rPr>
          <w:rFonts w:asciiTheme="majorHAnsi" w:hAnsiTheme="majorHAnsi"/>
        </w:rPr>
      </w:pPr>
      <w:hyperlink r:id="rId39" w:history="1">
        <w:r w:rsidRPr="00134C33">
          <w:rPr>
            <w:rStyle w:val="Hyperlink"/>
            <w:rFonts w:asciiTheme="majorHAnsi" w:hAnsiTheme="majorHAnsi"/>
            <w:color w:val="015E8A" w:themeColor="text2" w:themeTint="E6"/>
          </w:rPr>
          <w:t>https://www.niaa.gov.au/resource-centre/indigenous-affairs/commonwealth-indigenous-procurement-policy</w:t>
        </w:r>
      </w:hyperlink>
    </w:p>
    <w:p w14:paraId="06CEB4C5" w14:textId="77777777" w:rsidR="0047196B" w:rsidRPr="00DE5580" w:rsidRDefault="0047196B" w:rsidP="0047196B">
      <w:pPr>
        <w:pStyle w:val="BodyText"/>
        <w:numPr>
          <w:ilvl w:val="0"/>
          <w:numId w:val="34"/>
        </w:numPr>
        <w:rPr>
          <w:rFonts w:asciiTheme="majorHAnsi" w:hAnsiTheme="majorHAnsi"/>
        </w:rPr>
      </w:pPr>
      <w:r w:rsidRPr="00DE5580">
        <w:rPr>
          <w:rFonts w:asciiTheme="majorHAnsi" w:hAnsiTheme="majorHAnsi"/>
        </w:rPr>
        <w:t>NIAA Model Clauses</w:t>
      </w:r>
    </w:p>
    <w:p w14:paraId="42F9A941" w14:textId="77777777" w:rsidR="0047196B" w:rsidRPr="00DE5580" w:rsidRDefault="0047196B" w:rsidP="0047196B">
      <w:pPr>
        <w:pStyle w:val="BodyText"/>
        <w:ind w:left="720"/>
        <w:rPr>
          <w:rFonts w:asciiTheme="majorHAnsi" w:hAnsiTheme="majorHAnsi"/>
        </w:rPr>
      </w:pPr>
      <w:hyperlink r:id="rId40" w:history="1">
        <w:r w:rsidRPr="00134C33">
          <w:rPr>
            <w:rStyle w:val="Hyperlink"/>
            <w:rFonts w:asciiTheme="majorHAnsi" w:hAnsiTheme="majorHAnsi"/>
            <w:color w:val="015E8A" w:themeColor="text2" w:themeTint="E6"/>
          </w:rPr>
          <w:t>https://www.niaa.gov.au/resource-centre/indigenous-affairs/indigenous-procurement-policy-model-clauses</w:t>
        </w:r>
      </w:hyperlink>
    </w:p>
    <w:p w14:paraId="7EDF0B96" w14:textId="77777777" w:rsidR="00855C67" w:rsidRPr="00DE5580" w:rsidRDefault="00250DD2" w:rsidP="006A49F4">
      <w:pPr>
        <w:pStyle w:val="BodyText"/>
        <w:numPr>
          <w:ilvl w:val="0"/>
          <w:numId w:val="34"/>
        </w:numPr>
        <w:rPr>
          <w:rFonts w:asciiTheme="majorHAnsi" w:hAnsiTheme="majorHAnsi"/>
        </w:rPr>
      </w:pPr>
      <w:r w:rsidRPr="00DE5580">
        <w:rPr>
          <w:rFonts w:asciiTheme="majorHAnsi" w:hAnsiTheme="majorHAnsi"/>
        </w:rPr>
        <w:t>Ho</w:t>
      </w:r>
      <w:r w:rsidR="00242D8C" w:rsidRPr="00DE5580">
        <w:rPr>
          <w:rFonts w:asciiTheme="majorHAnsi" w:hAnsiTheme="majorHAnsi"/>
        </w:rPr>
        <w:t>w</w:t>
      </w:r>
      <w:r w:rsidRPr="00DE5580">
        <w:rPr>
          <w:rFonts w:asciiTheme="majorHAnsi" w:hAnsiTheme="majorHAnsi"/>
        </w:rPr>
        <w:t xml:space="preserve"> to use the IPPRS </w:t>
      </w:r>
    </w:p>
    <w:p w14:paraId="4DCC65B0" w14:textId="77777777" w:rsidR="00242D8C" w:rsidRPr="00DE5580" w:rsidRDefault="00242D8C" w:rsidP="006A49F4">
      <w:pPr>
        <w:pStyle w:val="BodyText"/>
        <w:ind w:firstLine="720"/>
        <w:rPr>
          <w:rStyle w:val="Hyperlink"/>
          <w:rFonts w:asciiTheme="majorHAnsi" w:hAnsiTheme="majorHAnsi"/>
        </w:rPr>
      </w:pPr>
      <w:hyperlink r:id="rId41" w:history="1">
        <w:r w:rsidRPr="00134C33">
          <w:rPr>
            <w:rStyle w:val="Hyperlink"/>
            <w:rFonts w:asciiTheme="majorHAnsi" w:hAnsiTheme="majorHAnsi"/>
            <w:color w:val="015E8A" w:themeColor="text2" w:themeTint="E6"/>
          </w:rPr>
          <w:t>https://www.niaa.gov.au/ipprs</w:t>
        </w:r>
      </w:hyperlink>
    </w:p>
    <w:p w14:paraId="3565F5DE" w14:textId="77777777" w:rsidR="001D239D" w:rsidRPr="00DE5580" w:rsidRDefault="001D239D" w:rsidP="001D239D">
      <w:pPr>
        <w:pStyle w:val="BodyText"/>
        <w:numPr>
          <w:ilvl w:val="0"/>
          <w:numId w:val="34"/>
        </w:numPr>
        <w:ind w:left="720"/>
        <w:rPr>
          <w:rFonts w:asciiTheme="majorHAnsi" w:hAnsiTheme="majorHAnsi"/>
        </w:rPr>
      </w:pPr>
      <w:r w:rsidRPr="00DE5580">
        <w:rPr>
          <w:rFonts w:asciiTheme="majorHAnsi" w:hAnsiTheme="majorHAnsi"/>
        </w:rPr>
        <w:t xml:space="preserve">IPPRS Contractor Portal </w:t>
      </w:r>
    </w:p>
    <w:p w14:paraId="239612D4" w14:textId="77777777" w:rsidR="001D239D" w:rsidRPr="00DE5580" w:rsidRDefault="001D239D" w:rsidP="00962841">
      <w:pPr>
        <w:pStyle w:val="BodyText"/>
        <w:ind w:left="720"/>
        <w:rPr>
          <w:rFonts w:asciiTheme="majorHAnsi" w:hAnsiTheme="majorHAnsi"/>
        </w:rPr>
      </w:pPr>
      <w:hyperlink r:id="rId42" w:history="1">
        <w:r w:rsidRPr="00134C33">
          <w:rPr>
            <w:rStyle w:val="Hyperlink"/>
            <w:rFonts w:asciiTheme="majorHAnsi" w:hAnsiTheme="majorHAnsi"/>
            <w:color w:val="015E8A" w:themeColor="text2" w:themeTint="E6"/>
          </w:rPr>
          <w:t>https://www.niaa.gov.au/ippcp</w:t>
        </w:r>
      </w:hyperlink>
    </w:p>
    <w:p w14:paraId="4F5D05F0" w14:textId="77777777" w:rsidR="00FB6B53" w:rsidRPr="00DE5580" w:rsidRDefault="00FB6B53" w:rsidP="006A49F4">
      <w:pPr>
        <w:pStyle w:val="BodyText"/>
        <w:numPr>
          <w:ilvl w:val="0"/>
          <w:numId w:val="34"/>
        </w:numPr>
        <w:rPr>
          <w:rFonts w:asciiTheme="majorHAnsi" w:hAnsiTheme="majorHAnsi"/>
        </w:rPr>
      </w:pPr>
      <w:r w:rsidRPr="00DE5580">
        <w:rPr>
          <w:rFonts w:asciiTheme="majorHAnsi" w:hAnsiTheme="majorHAnsi"/>
        </w:rPr>
        <w:t>RIPP Map data</w:t>
      </w:r>
    </w:p>
    <w:p w14:paraId="3EB9A77F" w14:textId="77777777" w:rsidR="00FB6B53" w:rsidRPr="00DE5580" w:rsidRDefault="00FB6B53" w:rsidP="006A49F4">
      <w:pPr>
        <w:pStyle w:val="BodyText"/>
        <w:ind w:left="720"/>
        <w:rPr>
          <w:rFonts w:asciiTheme="majorHAnsi" w:hAnsiTheme="majorHAnsi"/>
        </w:rPr>
      </w:pPr>
      <w:hyperlink r:id="rId43" w:history="1">
        <w:r w:rsidRPr="00134C33">
          <w:rPr>
            <w:rStyle w:val="Hyperlink"/>
            <w:rFonts w:asciiTheme="majorHAnsi" w:hAnsiTheme="majorHAnsi"/>
            <w:color w:val="015E8A" w:themeColor="text2" w:themeTint="E6"/>
          </w:rPr>
          <w:t>https://www.niaa.gov.au/resource-centre/indigenous-affairs/ripp-map-data</w:t>
        </w:r>
      </w:hyperlink>
    </w:p>
    <w:p w14:paraId="735B8EC5" w14:textId="77777777" w:rsidR="00FB6B53" w:rsidRPr="00DE5580" w:rsidRDefault="00FB6B53" w:rsidP="006A49F4">
      <w:pPr>
        <w:pStyle w:val="BodyText"/>
        <w:numPr>
          <w:ilvl w:val="0"/>
          <w:numId w:val="34"/>
        </w:numPr>
        <w:rPr>
          <w:rFonts w:asciiTheme="majorHAnsi" w:hAnsiTheme="majorHAnsi"/>
        </w:rPr>
      </w:pPr>
      <w:r w:rsidRPr="00DE5580">
        <w:rPr>
          <w:rFonts w:asciiTheme="majorHAnsi" w:hAnsiTheme="majorHAnsi"/>
        </w:rPr>
        <w:t xml:space="preserve">Department of Finance – </w:t>
      </w:r>
      <w:r w:rsidR="00242D8C" w:rsidRPr="00DE5580">
        <w:rPr>
          <w:rFonts w:asciiTheme="majorHAnsi" w:hAnsiTheme="majorHAnsi"/>
        </w:rPr>
        <w:t xml:space="preserve">Buying for Government </w:t>
      </w:r>
    </w:p>
    <w:p w14:paraId="1A812164" w14:textId="77777777" w:rsidR="00242D8C" w:rsidRPr="00DE5580" w:rsidRDefault="00242D8C" w:rsidP="006A49F4">
      <w:pPr>
        <w:pStyle w:val="BodyText"/>
        <w:ind w:left="720"/>
        <w:rPr>
          <w:rFonts w:asciiTheme="majorHAnsi" w:hAnsiTheme="majorHAnsi"/>
        </w:rPr>
      </w:pPr>
      <w:hyperlink r:id="rId44" w:history="1">
        <w:r w:rsidRPr="00134C33">
          <w:rPr>
            <w:rStyle w:val="Hyperlink"/>
            <w:rFonts w:asciiTheme="majorHAnsi" w:hAnsiTheme="majorHAnsi"/>
            <w:color w:val="015E8A" w:themeColor="text2" w:themeTint="E6"/>
          </w:rPr>
          <w:t>https://www.finance.gov.au/government/procurement/buying-australian-government</w:t>
        </w:r>
      </w:hyperlink>
    </w:p>
    <w:p w14:paraId="66EABCB0" w14:textId="77777777" w:rsidR="00FB6B53" w:rsidRPr="00DE5580" w:rsidRDefault="00FB6B53" w:rsidP="006A49F4">
      <w:pPr>
        <w:pStyle w:val="BodyText"/>
        <w:numPr>
          <w:ilvl w:val="0"/>
          <w:numId w:val="34"/>
        </w:numPr>
        <w:rPr>
          <w:rFonts w:asciiTheme="majorHAnsi" w:hAnsiTheme="majorHAnsi"/>
        </w:rPr>
      </w:pPr>
      <w:r w:rsidRPr="00DE5580">
        <w:rPr>
          <w:rFonts w:asciiTheme="majorHAnsi" w:hAnsiTheme="majorHAnsi"/>
        </w:rPr>
        <w:t>Commonwealth Procurement Rules</w:t>
      </w:r>
    </w:p>
    <w:p w14:paraId="56559117" w14:textId="77777777" w:rsidR="00FB6B53" w:rsidRPr="00DE5580" w:rsidRDefault="00242D8C" w:rsidP="006A49F4">
      <w:pPr>
        <w:pStyle w:val="BodyText"/>
        <w:ind w:left="720"/>
        <w:rPr>
          <w:rFonts w:asciiTheme="majorHAnsi" w:hAnsiTheme="majorHAnsi"/>
        </w:rPr>
      </w:pPr>
      <w:hyperlink r:id="rId45" w:history="1">
        <w:r w:rsidRPr="00134C33">
          <w:rPr>
            <w:rStyle w:val="Hyperlink"/>
            <w:rFonts w:asciiTheme="majorHAnsi" w:hAnsiTheme="majorHAnsi"/>
            <w:color w:val="015E8A" w:themeColor="text2" w:themeTint="E6"/>
          </w:rPr>
          <w:t>https://www.finance.gov.au/government/procurement/commonwealth-procurement-rules</w:t>
        </w:r>
      </w:hyperlink>
    </w:p>
    <w:p w14:paraId="2BAC0170" w14:textId="7EBC400A" w:rsidR="008873F0" w:rsidRPr="00DE5580" w:rsidRDefault="00E21540" w:rsidP="008873F0">
      <w:pPr>
        <w:pStyle w:val="BodyText"/>
        <w:numPr>
          <w:ilvl w:val="0"/>
          <w:numId w:val="34"/>
        </w:numPr>
        <w:rPr>
          <w:rFonts w:asciiTheme="majorHAnsi" w:hAnsiTheme="majorHAnsi"/>
        </w:rPr>
      </w:pPr>
      <w:r w:rsidRPr="00DE5580">
        <w:rPr>
          <w:rFonts w:asciiTheme="majorHAnsi" w:hAnsiTheme="majorHAnsi"/>
        </w:rPr>
        <w:t>Re</w:t>
      </w:r>
      <w:r w:rsidR="006D1CD9" w:rsidRPr="00DE5580">
        <w:rPr>
          <w:rFonts w:asciiTheme="majorHAnsi" w:hAnsiTheme="majorHAnsi"/>
        </w:rPr>
        <w:t>mote Australia</w:t>
      </w:r>
      <w:r w:rsidR="00DD4729" w:rsidRPr="00DE5580">
        <w:rPr>
          <w:rFonts w:asciiTheme="majorHAnsi" w:hAnsiTheme="majorHAnsi"/>
        </w:rPr>
        <w:t xml:space="preserve"> Employment Service</w:t>
      </w:r>
    </w:p>
    <w:p w14:paraId="22B959C2" w14:textId="15DFC8C8" w:rsidR="00AA4F8F" w:rsidRPr="00DE5580" w:rsidRDefault="00AA4F8F" w:rsidP="0028339A">
      <w:pPr>
        <w:pStyle w:val="BodyText"/>
        <w:ind w:left="786"/>
        <w:rPr>
          <w:rFonts w:asciiTheme="majorHAnsi" w:hAnsiTheme="majorHAnsi"/>
        </w:rPr>
      </w:pPr>
      <w:r w:rsidRPr="0028339A">
        <w:rPr>
          <w:rFonts w:asciiTheme="majorHAnsi" w:hAnsiTheme="majorHAnsi"/>
        </w:rPr>
        <w:t xml:space="preserve"> </w:t>
      </w:r>
      <w:hyperlink r:id="rId46" w:history="1">
        <w:r w:rsidR="00DE5580" w:rsidRPr="00134C33">
          <w:rPr>
            <w:rStyle w:val="Hyperlink"/>
            <w:rFonts w:asciiTheme="majorHAnsi" w:hAnsiTheme="majorHAnsi"/>
            <w:color w:val="015E8A" w:themeColor="text2" w:themeTint="E6"/>
          </w:rPr>
          <w:t>https://www.niaa.gov.au/news-and-media/raes-new-employment-service-now-available-remote-communities</w:t>
        </w:r>
      </w:hyperlink>
      <w:r w:rsidR="00DE5580">
        <w:rPr>
          <w:rFonts w:asciiTheme="majorHAnsi" w:hAnsiTheme="majorHAnsi"/>
        </w:rPr>
        <w:t xml:space="preserve"> </w:t>
      </w:r>
    </w:p>
    <w:p w14:paraId="5F649F1A" w14:textId="7BD12D07" w:rsidR="008873F0" w:rsidRPr="00DE5580" w:rsidRDefault="00F701E2" w:rsidP="006C0FD5">
      <w:pPr>
        <w:pStyle w:val="BodyText"/>
        <w:numPr>
          <w:ilvl w:val="0"/>
          <w:numId w:val="34"/>
        </w:numPr>
        <w:rPr>
          <w:rFonts w:asciiTheme="majorHAnsi" w:hAnsiTheme="majorHAnsi"/>
        </w:rPr>
      </w:pPr>
      <w:r w:rsidRPr="00DE5580">
        <w:rPr>
          <w:rFonts w:asciiTheme="majorHAnsi" w:hAnsiTheme="majorHAnsi"/>
        </w:rPr>
        <w:t>Office of Registrar of Indigenous Corporations (ORIC)</w:t>
      </w:r>
    </w:p>
    <w:p w14:paraId="32389FE2" w14:textId="77777777" w:rsidR="006C0FD5" w:rsidRPr="00DE5580" w:rsidRDefault="006C0FD5" w:rsidP="006C0FD5">
      <w:pPr>
        <w:pStyle w:val="BodyText"/>
        <w:ind w:firstLine="720"/>
        <w:rPr>
          <w:rFonts w:asciiTheme="majorHAnsi" w:hAnsiTheme="majorHAnsi"/>
        </w:rPr>
      </w:pPr>
      <w:hyperlink r:id="rId47" w:history="1">
        <w:r w:rsidRPr="00134C33">
          <w:rPr>
            <w:rStyle w:val="Hyperlink"/>
            <w:rFonts w:asciiTheme="majorHAnsi" w:hAnsiTheme="majorHAnsi"/>
            <w:color w:val="015E8A" w:themeColor="text2" w:themeTint="E6"/>
          </w:rPr>
          <w:t>https://www.oric.gov.au/</w:t>
        </w:r>
      </w:hyperlink>
    </w:p>
    <w:p w14:paraId="415A7492" w14:textId="77777777" w:rsidR="001906B3" w:rsidRPr="00DE5580" w:rsidRDefault="001906B3" w:rsidP="001906B3">
      <w:pPr>
        <w:pStyle w:val="BodyText"/>
        <w:numPr>
          <w:ilvl w:val="0"/>
          <w:numId w:val="34"/>
        </w:numPr>
        <w:rPr>
          <w:rFonts w:asciiTheme="majorHAnsi" w:hAnsiTheme="majorHAnsi"/>
        </w:rPr>
      </w:pPr>
      <w:r w:rsidRPr="00DE5580">
        <w:rPr>
          <w:rFonts w:asciiTheme="majorHAnsi" w:hAnsiTheme="majorHAnsi"/>
        </w:rPr>
        <w:t>ORIC – Registered Corporations database</w:t>
      </w:r>
    </w:p>
    <w:p w14:paraId="4636EC37" w14:textId="77777777" w:rsidR="001906B3" w:rsidRPr="00DE5580" w:rsidRDefault="00E63595" w:rsidP="001906B3">
      <w:pPr>
        <w:pStyle w:val="BodyText"/>
        <w:ind w:left="426" w:firstLine="294"/>
        <w:rPr>
          <w:rFonts w:asciiTheme="majorHAnsi" w:hAnsiTheme="majorHAnsi"/>
        </w:rPr>
      </w:pPr>
      <w:hyperlink r:id="rId48" w:history="1">
        <w:r w:rsidRPr="00134C33">
          <w:rPr>
            <w:rStyle w:val="Hyperlink"/>
            <w:rFonts w:asciiTheme="majorHAnsi" w:hAnsiTheme="majorHAnsi"/>
            <w:color w:val="015E8A" w:themeColor="text2" w:themeTint="E6"/>
          </w:rPr>
          <w:t>https://register.oric.gov.au/PrintCorporationSearch.aspx?state=SA</w:t>
        </w:r>
      </w:hyperlink>
    </w:p>
    <w:p w14:paraId="4410D864" w14:textId="77777777" w:rsidR="00F701E2" w:rsidRPr="00DE5580" w:rsidRDefault="00997DAC" w:rsidP="006C0FD5">
      <w:pPr>
        <w:pStyle w:val="BodyText"/>
        <w:numPr>
          <w:ilvl w:val="0"/>
          <w:numId w:val="34"/>
        </w:numPr>
        <w:rPr>
          <w:rFonts w:asciiTheme="majorHAnsi" w:hAnsiTheme="majorHAnsi"/>
        </w:rPr>
      </w:pPr>
      <w:r w:rsidRPr="00DE5580">
        <w:rPr>
          <w:rFonts w:asciiTheme="majorHAnsi" w:hAnsiTheme="majorHAnsi"/>
        </w:rPr>
        <w:t xml:space="preserve">Indigenous </w:t>
      </w:r>
      <w:r w:rsidR="00F701E2" w:rsidRPr="00DE5580">
        <w:rPr>
          <w:rFonts w:asciiTheme="majorHAnsi" w:hAnsiTheme="majorHAnsi"/>
        </w:rPr>
        <w:t>Land and Sea C</w:t>
      </w:r>
      <w:r w:rsidR="006C0FD5" w:rsidRPr="00DE5580">
        <w:rPr>
          <w:rFonts w:asciiTheme="majorHAnsi" w:hAnsiTheme="majorHAnsi"/>
        </w:rPr>
        <w:t>orporation</w:t>
      </w:r>
    </w:p>
    <w:p w14:paraId="554A4912" w14:textId="77777777" w:rsidR="00F701E2" w:rsidRPr="00DE5580" w:rsidRDefault="006C0FD5" w:rsidP="006C0FD5">
      <w:pPr>
        <w:pStyle w:val="BodyText"/>
        <w:ind w:left="360" w:firstLine="360"/>
        <w:rPr>
          <w:rFonts w:asciiTheme="majorHAnsi" w:hAnsiTheme="majorHAnsi"/>
        </w:rPr>
      </w:pPr>
      <w:hyperlink r:id="rId49" w:history="1">
        <w:r w:rsidRPr="00134C33">
          <w:rPr>
            <w:rStyle w:val="Hyperlink"/>
            <w:rFonts w:asciiTheme="majorHAnsi" w:hAnsiTheme="majorHAnsi"/>
            <w:color w:val="015E8A" w:themeColor="text2" w:themeTint="E6"/>
          </w:rPr>
          <w:t>https://www.ilsc.gov.au/</w:t>
        </w:r>
      </w:hyperlink>
    </w:p>
    <w:p w14:paraId="1DE22217" w14:textId="77777777" w:rsidR="006C0FD5" w:rsidRPr="00DE5580" w:rsidRDefault="006C0FD5" w:rsidP="006C0FD5">
      <w:pPr>
        <w:pStyle w:val="BodyText"/>
        <w:numPr>
          <w:ilvl w:val="0"/>
          <w:numId w:val="34"/>
        </w:numPr>
        <w:rPr>
          <w:rFonts w:asciiTheme="majorHAnsi" w:hAnsiTheme="majorHAnsi"/>
        </w:rPr>
      </w:pPr>
      <w:r w:rsidRPr="00DE5580">
        <w:rPr>
          <w:rFonts w:asciiTheme="majorHAnsi" w:hAnsiTheme="majorHAnsi"/>
        </w:rPr>
        <w:t>Aboriginal Land Councils</w:t>
      </w:r>
    </w:p>
    <w:p w14:paraId="07428B13" w14:textId="77777777" w:rsidR="00F701E2" w:rsidRPr="00DE5580" w:rsidRDefault="006C0FD5" w:rsidP="006A49F4">
      <w:pPr>
        <w:pStyle w:val="BodyText"/>
        <w:ind w:left="720"/>
        <w:rPr>
          <w:rFonts w:asciiTheme="majorHAnsi" w:hAnsiTheme="majorHAnsi"/>
        </w:rPr>
      </w:pPr>
      <w:hyperlink r:id="rId50" w:history="1">
        <w:r w:rsidRPr="00134C33">
          <w:rPr>
            <w:rStyle w:val="Hyperlink"/>
            <w:rFonts w:asciiTheme="majorHAnsi" w:hAnsiTheme="majorHAnsi"/>
            <w:color w:val="015E8A" w:themeColor="text2" w:themeTint="E6"/>
          </w:rPr>
          <w:t>https://www.creativespirits.info/aboriginalculture/selfdetermination/aboriginal-land-councils</w:t>
        </w:r>
      </w:hyperlink>
    </w:p>
    <w:p w14:paraId="1EDE0CA7" w14:textId="16F1CB27" w:rsidR="001A4FC1" w:rsidRPr="00DE5580" w:rsidRDefault="006C0FD5" w:rsidP="006C0FD5">
      <w:pPr>
        <w:pStyle w:val="BodyText"/>
        <w:numPr>
          <w:ilvl w:val="0"/>
          <w:numId w:val="34"/>
        </w:numPr>
        <w:rPr>
          <w:rFonts w:asciiTheme="majorHAnsi" w:hAnsiTheme="majorHAnsi"/>
        </w:rPr>
      </w:pPr>
      <w:r w:rsidRPr="00DE5580">
        <w:rPr>
          <w:rFonts w:asciiTheme="majorHAnsi" w:hAnsiTheme="majorHAnsi"/>
        </w:rPr>
        <w:t>Supply Nation - Indigenous Business Directory</w:t>
      </w:r>
    </w:p>
    <w:p w14:paraId="479837B6" w14:textId="77777777" w:rsidR="006C0FD5" w:rsidRPr="00DE5580" w:rsidRDefault="006C0FD5" w:rsidP="006C0FD5">
      <w:pPr>
        <w:pStyle w:val="BodyText"/>
        <w:ind w:left="720"/>
        <w:rPr>
          <w:rFonts w:asciiTheme="majorHAnsi" w:hAnsiTheme="majorHAnsi"/>
        </w:rPr>
      </w:pPr>
      <w:hyperlink r:id="rId51" w:history="1">
        <w:r w:rsidRPr="00134C33">
          <w:rPr>
            <w:rStyle w:val="Hyperlink"/>
            <w:rFonts w:asciiTheme="majorHAnsi" w:hAnsiTheme="majorHAnsi"/>
            <w:color w:val="015E8A" w:themeColor="text2" w:themeTint="E6"/>
          </w:rPr>
          <w:t>https://supplynation.org.au/</w:t>
        </w:r>
      </w:hyperlink>
    </w:p>
    <w:p w14:paraId="359E212D" w14:textId="550B5309" w:rsidR="006C0FD5" w:rsidRPr="00DE5580" w:rsidRDefault="001079F2" w:rsidP="001906B3">
      <w:pPr>
        <w:pStyle w:val="BodyText"/>
        <w:numPr>
          <w:ilvl w:val="0"/>
          <w:numId w:val="34"/>
        </w:numPr>
        <w:rPr>
          <w:rFonts w:asciiTheme="majorHAnsi" w:hAnsiTheme="majorHAnsi"/>
        </w:rPr>
      </w:pPr>
      <w:r w:rsidRPr="00DE5580">
        <w:rPr>
          <w:rFonts w:asciiTheme="majorHAnsi" w:hAnsiTheme="majorHAnsi"/>
        </w:rPr>
        <w:t xml:space="preserve">Employment </w:t>
      </w:r>
      <w:r w:rsidR="001906B3" w:rsidRPr="00DE5580">
        <w:rPr>
          <w:rFonts w:asciiTheme="majorHAnsi" w:hAnsiTheme="majorHAnsi"/>
        </w:rPr>
        <w:t>Service</w:t>
      </w:r>
      <w:r w:rsidR="001B0B04" w:rsidRPr="00DE5580">
        <w:rPr>
          <w:rFonts w:asciiTheme="majorHAnsi" w:hAnsiTheme="majorHAnsi"/>
        </w:rPr>
        <w:t>s</w:t>
      </w:r>
      <w:r w:rsidR="001906B3" w:rsidRPr="00DE5580">
        <w:rPr>
          <w:rFonts w:asciiTheme="majorHAnsi" w:hAnsiTheme="majorHAnsi"/>
        </w:rPr>
        <w:t xml:space="preserve"> Providers</w:t>
      </w:r>
    </w:p>
    <w:p w14:paraId="0B6916CE" w14:textId="1AB74D2E" w:rsidR="00DE5580" w:rsidRPr="00DE5580" w:rsidRDefault="001B0B04" w:rsidP="00335E8C">
      <w:pPr>
        <w:pStyle w:val="BodyText"/>
        <w:ind w:firstLine="720"/>
        <w:rPr>
          <w:rFonts w:asciiTheme="majorHAnsi" w:hAnsiTheme="majorHAnsi"/>
        </w:rPr>
      </w:pPr>
      <w:hyperlink r:id="rId52" w:history="1">
        <w:r w:rsidRPr="00134C33">
          <w:rPr>
            <w:rStyle w:val="Hyperlink"/>
            <w:rFonts w:asciiTheme="majorHAnsi" w:hAnsiTheme="majorHAnsi"/>
            <w:color w:val="015E8A" w:themeColor="text2" w:themeTint="E6"/>
          </w:rPr>
          <w:t>https://www.dewr.gov.au/employment/employment-services-providersGovernment</w:t>
        </w:r>
      </w:hyperlink>
    </w:p>
    <w:p w14:paraId="4F7DED29" w14:textId="77777777" w:rsidR="001906B3" w:rsidRPr="00DE5580" w:rsidRDefault="002667DC" w:rsidP="008D6490">
      <w:pPr>
        <w:pStyle w:val="BodyText"/>
        <w:numPr>
          <w:ilvl w:val="0"/>
          <w:numId w:val="34"/>
        </w:numPr>
        <w:rPr>
          <w:rFonts w:asciiTheme="majorHAnsi" w:hAnsiTheme="majorHAnsi"/>
        </w:rPr>
      </w:pPr>
      <w:r w:rsidRPr="00DE5580">
        <w:rPr>
          <w:rFonts w:asciiTheme="majorHAnsi" w:hAnsiTheme="majorHAnsi"/>
        </w:rPr>
        <w:t>Indigenous media outlet</w:t>
      </w:r>
      <w:r w:rsidR="001F4BAE" w:rsidRPr="00DE5580">
        <w:rPr>
          <w:rFonts w:asciiTheme="majorHAnsi" w:hAnsiTheme="majorHAnsi"/>
        </w:rPr>
        <w:t xml:space="preserve"> resource</w:t>
      </w:r>
    </w:p>
    <w:p w14:paraId="2D002B37" w14:textId="77777777" w:rsidR="002667DC" w:rsidRPr="0028339A" w:rsidRDefault="002667DC" w:rsidP="008D6490">
      <w:pPr>
        <w:pStyle w:val="BodyText"/>
        <w:ind w:left="786"/>
        <w:rPr>
          <w:rFonts w:asciiTheme="majorHAnsi" w:hAnsiTheme="majorHAnsi"/>
        </w:rPr>
      </w:pPr>
      <w:hyperlink r:id="rId53" w:history="1">
        <w:r w:rsidRPr="00134C33">
          <w:rPr>
            <w:rStyle w:val="Hyperlink"/>
            <w:rFonts w:asciiTheme="majorHAnsi" w:hAnsiTheme="majorHAnsi"/>
            <w:color w:val="015E8A" w:themeColor="text2" w:themeTint="E6"/>
          </w:rPr>
          <w:t>https://www.creativespirits.info/resources/newspapers-magazines</w:t>
        </w:r>
      </w:hyperlink>
    </w:p>
    <w:p w14:paraId="400F2007" w14:textId="62EECFBC" w:rsidR="00C56B65" w:rsidRPr="0028339A" w:rsidRDefault="00CE0226" w:rsidP="0028339A">
      <w:pPr>
        <w:pStyle w:val="BodyText"/>
        <w:numPr>
          <w:ilvl w:val="0"/>
          <w:numId w:val="34"/>
        </w:numPr>
        <w:rPr>
          <w:rFonts w:asciiTheme="majorHAnsi" w:hAnsiTheme="majorHAnsi"/>
        </w:rPr>
      </w:pPr>
      <w:r w:rsidRPr="0028339A">
        <w:rPr>
          <w:rFonts w:asciiTheme="majorHAnsi" w:hAnsiTheme="majorHAnsi"/>
        </w:rPr>
        <w:t>National Indigenous Business Chamber Alliance</w:t>
      </w:r>
    </w:p>
    <w:p w14:paraId="4C877AE9" w14:textId="61F77240" w:rsidR="00CE0226" w:rsidRPr="00DE5580" w:rsidRDefault="00DE5580" w:rsidP="008D6490">
      <w:pPr>
        <w:pStyle w:val="BodyText"/>
        <w:ind w:left="786"/>
        <w:rPr>
          <w:rFonts w:asciiTheme="majorHAnsi" w:hAnsiTheme="majorHAnsi"/>
        </w:rPr>
      </w:pPr>
      <w:hyperlink r:id="rId54" w:history="1">
        <w:r w:rsidRPr="00134C33">
          <w:rPr>
            <w:rStyle w:val="Hyperlink"/>
            <w:rFonts w:asciiTheme="majorHAnsi" w:hAnsiTheme="majorHAnsi"/>
            <w:color w:val="015E8A" w:themeColor="text2" w:themeTint="E6"/>
          </w:rPr>
          <w:t>https://www.nibca.com.au/</w:t>
        </w:r>
      </w:hyperlink>
      <w:r>
        <w:rPr>
          <w:rFonts w:asciiTheme="majorHAnsi" w:hAnsiTheme="majorHAnsi"/>
        </w:rPr>
        <w:t xml:space="preserve"> </w:t>
      </w:r>
    </w:p>
    <w:p w14:paraId="7A86B757" w14:textId="77777777" w:rsidR="001906B3" w:rsidRPr="00DE5580" w:rsidRDefault="00E05427" w:rsidP="00E05427">
      <w:pPr>
        <w:pStyle w:val="BodyText"/>
        <w:numPr>
          <w:ilvl w:val="0"/>
          <w:numId w:val="34"/>
        </w:numPr>
        <w:rPr>
          <w:rFonts w:asciiTheme="majorHAnsi" w:hAnsiTheme="majorHAnsi"/>
        </w:rPr>
      </w:pPr>
      <w:r w:rsidRPr="00DE5580">
        <w:rPr>
          <w:rFonts w:asciiTheme="majorHAnsi" w:hAnsiTheme="majorHAnsi"/>
        </w:rPr>
        <w:t>Reconciliation Australia</w:t>
      </w:r>
    </w:p>
    <w:p w14:paraId="1D34870F" w14:textId="77777777" w:rsidR="00E05427" w:rsidRPr="00DE5580" w:rsidRDefault="00E05427" w:rsidP="00E05427">
      <w:pPr>
        <w:pStyle w:val="BodyText"/>
        <w:ind w:left="786"/>
        <w:rPr>
          <w:rFonts w:asciiTheme="majorHAnsi" w:hAnsiTheme="majorHAnsi"/>
        </w:rPr>
      </w:pPr>
      <w:hyperlink r:id="rId55" w:history="1">
        <w:r w:rsidRPr="00134C33">
          <w:rPr>
            <w:rStyle w:val="Hyperlink"/>
            <w:rFonts w:asciiTheme="majorHAnsi" w:hAnsiTheme="majorHAnsi"/>
            <w:color w:val="015E8A" w:themeColor="text2" w:themeTint="E6"/>
          </w:rPr>
          <w:t>https://www.reconciliation.org.au/</w:t>
        </w:r>
      </w:hyperlink>
    </w:p>
    <w:p w14:paraId="032E0712" w14:textId="77777777" w:rsidR="009A7207" w:rsidRPr="00DE5580" w:rsidRDefault="009A7207" w:rsidP="009A7207">
      <w:pPr>
        <w:pStyle w:val="BodyText"/>
        <w:numPr>
          <w:ilvl w:val="0"/>
          <w:numId w:val="34"/>
        </w:numPr>
        <w:rPr>
          <w:rFonts w:asciiTheme="majorHAnsi" w:hAnsiTheme="majorHAnsi"/>
        </w:rPr>
      </w:pPr>
      <w:r w:rsidRPr="00DE5580">
        <w:rPr>
          <w:rFonts w:asciiTheme="majorHAnsi" w:hAnsiTheme="majorHAnsi"/>
        </w:rPr>
        <w:t>NSW Indigenous Chamber of Commerce</w:t>
      </w:r>
    </w:p>
    <w:p w14:paraId="17D1EEFF" w14:textId="77777777" w:rsidR="009A7207" w:rsidRPr="00DE5580" w:rsidRDefault="009A7207" w:rsidP="009A7207">
      <w:pPr>
        <w:pStyle w:val="BodyText"/>
        <w:ind w:left="786"/>
        <w:rPr>
          <w:rFonts w:asciiTheme="majorHAnsi" w:hAnsiTheme="majorHAnsi"/>
        </w:rPr>
      </w:pPr>
      <w:hyperlink r:id="rId56" w:history="1">
        <w:r w:rsidRPr="00134C33">
          <w:rPr>
            <w:rStyle w:val="Hyperlink"/>
            <w:rFonts w:asciiTheme="majorHAnsi" w:hAnsiTheme="majorHAnsi"/>
            <w:color w:val="015E8A" w:themeColor="text2" w:themeTint="E6"/>
          </w:rPr>
          <w:t>https://nswicc.com.au/</w:t>
        </w:r>
      </w:hyperlink>
    </w:p>
    <w:p w14:paraId="6BCA5B9E" w14:textId="77777777" w:rsidR="009A7207" w:rsidRPr="00DE5580" w:rsidRDefault="009A7207" w:rsidP="006A7609">
      <w:pPr>
        <w:pStyle w:val="BodyText"/>
        <w:ind w:left="426"/>
        <w:rPr>
          <w:rFonts w:asciiTheme="majorHAnsi" w:hAnsiTheme="majorHAnsi"/>
        </w:rPr>
      </w:pPr>
      <w:r w:rsidRPr="00DE5580">
        <w:rPr>
          <w:rFonts w:asciiTheme="majorHAnsi" w:hAnsiTheme="majorHAnsi"/>
        </w:rPr>
        <w:t>20</w:t>
      </w:r>
      <w:r w:rsidR="006A7609" w:rsidRPr="00DE5580">
        <w:rPr>
          <w:rFonts w:asciiTheme="majorHAnsi" w:hAnsiTheme="majorHAnsi"/>
        </w:rPr>
        <w:t>.</w:t>
      </w:r>
      <w:r w:rsidRPr="00DE5580">
        <w:rPr>
          <w:rFonts w:asciiTheme="majorHAnsi" w:hAnsiTheme="majorHAnsi"/>
        </w:rPr>
        <w:tab/>
      </w:r>
      <w:proofErr w:type="gramStart"/>
      <w:r w:rsidRPr="00DE5580">
        <w:rPr>
          <w:rFonts w:asciiTheme="majorHAnsi" w:hAnsiTheme="majorHAnsi"/>
        </w:rPr>
        <w:t>South East</w:t>
      </w:r>
      <w:proofErr w:type="gramEnd"/>
      <w:r w:rsidRPr="00DE5580">
        <w:rPr>
          <w:rFonts w:asciiTheme="majorHAnsi" w:hAnsiTheme="majorHAnsi"/>
        </w:rPr>
        <w:t xml:space="preserve"> Queensland Indigenous Chamber of Commerce</w:t>
      </w:r>
    </w:p>
    <w:p w14:paraId="4D29A8F8" w14:textId="77777777" w:rsidR="009A7207" w:rsidRPr="00DE5580" w:rsidRDefault="009A7207" w:rsidP="006A7609">
      <w:pPr>
        <w:pStyle w:val="BodyText"/>
        <w:ind w:left="426"/>
        <w:rPr>
          <w:rFonts w:asciiTheme="majorHAnsi" w:hAnsiTheme="majorHAnsi"/>
        </w:rPr>
      </w:pPr>
      <w:r w:rsidRPr="00DE5580">
        <w:rPr>
          <w:rFonts w:asciiTheme="majorHAnsi" w:hAnsiTheme="majorHAnsi"/>
        </w:rPr>
        <w:tab/>
      </w:r>
      <w:hyperlink r:id="rId57" w:history="1">
        <w:r w:rsidRPr="00134C33">
          <w:rPr>
            <w:rStyle w:val="Hyperlink"/>
            <w:rFonts w:asciiTheme="majorHAnsi" w:hAnsiTheme="majorHAnsi"/>
            <w:color w:val="015E8A" w:themeColor="text2" w:themeTint="E6"/>
          </w:rPr>
          <w:t>http://seqicc.com.au/</w:t>
        </w:r>
      </w:hyperlink>
    </w:p>
    <w:p w14:paraId="52441393" w14:textId="77777777" w:rsidR="009A7207" w:rsidRPr="00DE5580" w:rsidRDefault="009A7207" w:rsidP="006A7609">
      <w:pPr>
        <w:pStyle w:val="BodyText"/>
        <w:numPr>
          <w:ilvl w:val="0"/>
          <w:numId w:val="50"/>
        </w:numPr>
        <w:ind w:left="426" w:firstLine="0"/>
        <w:rPr>
          <w:rFonts w:asciiTheme="majorHAnsi" w:hAnsiTheme="majorHAnsi"/>
        </w:rPr>
      </w:pPr>
      <w:proofErr w:type="spellStart"/>
      <w:r w:rsidRPr="00DE5580">
        <w:rPr>
          <w:rFonts w:asciiTheme="majorHAnsi" w:hAnsiTheme="majorHAnsi"/>
        </w:rPr>
        <w:t>Kinaway</w:t>
      </w:r>
      <w:proofErr w:type="spellEnd"/>
      <w:r w:rsidRPr="00DE5580">
        <w:rPr>
          <w:rFonts w:asciiTheme="majorHAnsi" w:hAnsiTheme="majorHAnsi"/>
        </w:rPr>
        <w:t xml:space="preserve"> Chamber of Commerce – Victoria</w:t>
      </w:r>
    </w:p>
    <w:p w14:paraId="18AFD44F" w14:textId="77777777" w:rsidR="009A7207" w:rsidRPr="00DE5580" w:rsidRDefault="009A7207" w:rsidP="006A7609">
      <w:pPr>
        <w:pStyle w:val="BodyText"/>
        <w:ind w:left="426" w:firstLine="294"/>
        <w:rPr>
          <w:rFonts w:asciiTheme="majorHAnsi" w:hAnsiTheme="majorHAnsi"/>
        </w:rPr>
      </w:pPr>
      <w:hyperlink r:id="rId58" w:history="1">
        <w:r w:rsidRPr="00134C33">
          <w:rPr>
            <w:rStyle w:val="Hyperlink"/>
            <w:rFonts w:asciiTheme="majorHAnsi" w:hAnsiTheme="majorHAnsi"/>
            <w:color w:val="015E8A" w:themeColor="text2" w:themeTint="E6"/>
          </w:rPr>
          <w:t>https://kinaway.com.au/</w:t>
        </w:r>
      </w:hyperlink>
    </w:p>
    <w:p w14:paraId="2C708F60" w14:textId="77777777" w:rsidR="009A7207" w:rsidRPr="00DE5580" w:rsidRDefault="006A7609" w:rsidP="006A7609">
      <w:pPr>
        <w:pStyle w:val="BodyText"/>
        <w:numPr>
          <w:ilvl w:val="0"/>
          <w:numId w:val="50"/>
        </w:numPr>
        <w:ind w:left="426" w:firstLine="0"/>
        <w:rPr>
          <w:rFonts w:asciiTheme="majorHAnsi" w:hAnsiTheme="majorHAnsi"/>
        </w:rPr>
      </w:pPr>
      <w:r w:rsidRPr="00DE5580">
        <w:rPr>
          <w:rFonts w:asciiTheme="majorHAnsi" w:hAnsiTheme="majorHAnsi"/>
        </w:rPr>
        <w:t xml:space="preserve"> </w:t>
      </w:r>
      <w:r w:rsidR="009A7207" w:rsidRPr="00DE5580">
        <w:rPr>
          <w:rFonts w:asciiTheme="majorHAnsi" w:hAnsiTheme="majorHAnsi"/>
        </w:rPr>
        <w:t>Aboriginal Business Industry Chamber of South Australia</w:t>
      </w:r>
    </w:p>
    <w:p w14:paraId="753923F3" w14:textId="77777777" w:rsidR="009A7207" w:rsidRPr="00DE5580" w:rsidRDefault="009A7207" w:rsidP="006A7609">
      <w:pPr>
        <w:pStyle w:val="BodyText"/>
        <w:ind w:left="426" w:firstLine="294"/>
        <w:rPr>
          <w:rFonts w:asciiTheme="majorHAnsi" w:hAnsiTheme="majorHAnsi"/>
        </w:rPr>
      </w:pPr>
      <w:hyperlink r:id="rId59" w:history="1">
        <w:r w:rsidRPr="00134C33">
          <w:rPr>
            <w:rStyle w:val="Hyperlink"/>
            <w:rFonts w:asciiTheme="majorHAnsi" w:hAnsiTheme="majorHAnsi"/>
            <w:color w:val="015E8A" w:themeColor="text2" w:themeTint="E6"/>
          </w:rPr>
          <w:t>https://abicsa.org.au/</w:t>
        </w:r>
      </w:hyperlink>
    </w:p>
    <w:p w14:paraId="2F9CD236" w14:textId="436073A8" w:rsidR="009A7207" w:rsidRPr="00DE5580" w:rsidRDefault="009A7207" w:rsidP="006A7609">
      <w:pPr>
        <w:pStyle w:val="BodyText"/>
        <w:numPr>
          <w:ilvl w:val="0"/>
          <w:numId w:val="50"/>
        </w:numPr>
        <w:ind w:left="426" w:firstLine="0"/>
        <w:rPr>
          <w:rFonts w:asciiTheme="majorHAnsi" w:hAnsiTheme="majorHAnsi"/>
        </w:rPr>
      </w:pPr>
      <w:r w:rsidRPr="00DE5580">
        <w:rPr>
          <w:rFonts w:asciiTheme="majorHAnsi" w:hAnsiTheme="majorHAnsi"/>
        </w:rPr>
        <w:t>Aboriginal Business Directory WA</w:t>
      </w:r>
    </w:p>
    <w:p w14:paraId="2E39390F" w14:textId="6641DF54" w:rsidR="009A7207" w:rsidRPr="00DE5580" w:rsidRDefault="006A220B" w:rsidP="006A7609">
      <w:pPr>
        <w:pStyle w:val="BodyText"/>
        <w:ind w:firstLine="720"/>
        <w:rPr>
          <w:rFonts w:asciiTheme="majorHAnsi" w:hAnsiTheme="majorHAnsi"/>
        </w:rPr>
      </w:pPr>
      <w:r w:rsidRPr="0028339A">
        <w:rPr>
          <w:rFonts w:asciiTheme="majorHAnsi" w:hAnsiTheme="majorHAnsi"/>
        </w:rPr>
        <w:t xml:space="preserve"> </w:t>
      </w:r>
      <w:hyperlink r:id="rId60" w:history="1">
        <w:r w:rsidR="00DE5580" w:rsidRPr="00134C33">
          <w:rPr>
            <w:rStyle w:val="Hyperlink"/>
            <w:rFonts w:asciiTheme="majorHAnsi" w:hAnsiTheme="majorHAnsi"/>
            <w:color w:val="015E8A" w:themeColor="text2" w:themeTint="E6"/>
          </w:rPr>
          <w:t>https://abdwa.icn.org.au/</w:t>
        </w:r>
      </w:hyperlink>
      <w:r w:rsidR="00DE5580">
        <w:rPr>
          <w:rFonts w:asciiTheme="majorHAnsi" w:hAnsiTheme="majorHAnsi"/>
        </w:rPr>
        <w:t xml:space="preserve"> </w:t>
      </w:r>
    </w:p>
    <w:p w14:paraId="644ECD50" w14:textId="77777777" w:rsidR="009A7207" w:rsidRDefault="009A7207" w:rsidP="009A7207">
      <w:pPr>
        <w:pStyle w:val="BodyText"/>
        <w:ind w:firstLine="720"/>
        <w:rPr>
          <w:rFonts w:asciiTheme="majorHAnsi" w:hAnsiTheme="majorHAnsi"/>
        </w:rPr>
      </w:pPr>
    </w:p>
    <w:p w14:paraId="3E27603C" w14:textId="77777777" w:rsidR="009A7207" w:rsidRPr="009A7207" w:rsidRDefault="009A7207" w:rsidP="009A7207">
      <w:pPr>
        <w:pStyle w:val="BodyText"/>
        <w:ind w:firstLine="720"/>
        <w:rPr>
          <w:rFonts w:asciiTheme="majorHAnsi" w:hAnsiTheme="majorHAnsi"/>
        </w:rPr>
      </w:pPr>
    </w:p>
    <w:p w14:paraId="07A3C667" w14:textId="77777777" w:rsidR="009A7207" w:rsidRPr="00A82FD7" w:rsidRDefault="009A7207" w:rsidP="009A7207">
      <w:pPr>
        <w:pStyle w:val="BodyText"/>
        <w:ind w:left="1080"/>
        <w:rPr>
          <w:rFonts w:asciiTheme="majorHAnsi" w:hAnsiTheme="majorHAnsi"/>
        </w:rPr>
      </w:pPr>
    </w:p>
    <w:p w14:paraId="30FF0069" w14:textId="77777777" w:rsidR="00FB2A32" w:rsidRPr="00A82FD7" w:rsidRDefault="00FB2A32" w:rsidP="00E05427">
      <w:pPr>
        <w:pStyle w:val="BodyText"/>
        <w:ind w:left="786"/>
        <w:rPr>
          <w:rFonts w:asciiTheme="majorHAnsi" w:hAnsiTheme="majorHAnsi"/>
        </w:rPr>
      </w:pPr>
    </w:p>
    <w:p w14:paraId="41BF8F51" w14:textId="77777777" w:rsidR="00E96C7F" w:rsidRDefault="00E96C7F">
      <w:pPr>
        <w:rPr>
          <w:rFonts w:asciiTheme="majorHAnsi" w:hAnsiTheme="majorHAnsi"/>
        </w:rPr>
      </w:pPr>
      <w:r>
        <w:rPr>
          <w:rFonts w:asciiTheme="majorHAnsi" w:hAnsiTheme="majorHAnsi"/>
        </w:rPr>
        <w:br w:type="page"/>
      </w:r>
    </w:p>
    <w:p w14:paraId="6CE9E1BA" w14:textId="77777777" w:rsidR="00E96C7F" w:rsidRDefault="00E96C7F" w:rsidP="00E96C7F">
      <w:pPr>
        <w:pStyle w:val="Title"/>
        <w:jc w:val="right"/>
      </w:pPr>
      <w:bookmarkStart w:id="79" w:name="_Toc223528565"/>
      <w:r>
        <w:lastRenderedPageBreak/>
        <w:t>Attachment A</w:t>
      </w:r>
      <w:bookmarkEnd w:id="79"/>
    </w:p>
    <w:p w14:paraId="63858B76" w14:textId="77777777" w:rsidR="00E96C7F" w:rsidRPr="00C508FA" w:rsidRDefault="00E96C7F" w:rsidP="00E96C7F">
      <w:pPr>
        <w:jc w:val="center"/>
        <w:rPr>
          <w:sz w:val="28"/>
          <w:szCs w:val="28"/>
        </w:rPr>
      </w:pPr>
      <w:r w:rsidRPr="00C508FA">
        <w:rPr>
          <w:sz w:val="28"/>
          <w:szCs w:val="28"/>
        </w:rPr>
        <w:t xml:space="preserve">Case Study One: Life cycle of </w:t>
      </w:r>
      <w:proofErr w:type="gramStart"/>
      <w:r w:rsidRPr="00C508FA">
        <w:rPr>
          <w:sz w:val="28"/>
          <w:szCs w:val="28"/>
        </w:rPr>
        <w:t>a</w:t>
      </w:r>
      <w:proofErr w:type="gramEnd"/>
      <w:r w:rsidRPr="00C508FA">
        <w:rPr>
          <w:sz w:val="28"/>
          <w:szCs w:val="28"/>
        </w:rPr>
        <w:t xml:space="preserve"> MMR with a </w:t>
      </w:r>
      <w:r w:rsidRPr="00C508FA">
        <w:rPr>
          <w:sz w:val="28"/>
          <w:szCs w:val="28"/>
          <w:u w:val="single"/>
        </w:rPr>
        <w:t>contract-based target</w:t>
      </w:r>
      <w:r w:rsidRPr="00C508FA">
        <w:rPr>
          <w:sz w:val="28"/>
          <w:szCs w:val="28"/>
        </w:rPr>
        <w:t>.</w:t>
      </w:r>
    </w:p>
    <w:p w14:paraId="1544277B" w14:textId="77777777" w:rsidR="00E96C7F" w:rsidRPr="00C42D48" w:rsidRDefault="00E96C7F" w:rsidP="00E96C7F">
      <w:pPr>
        <w:ind w:left="720"/>
        <w:rPr>
          <w:rFonts w:ascii="Century Gothic" w:hAnsi="Century Gothic" w:cstheme="minorHAnsi"/>
        </w:rPr>
      </w:pPr>
      <w:r w:rsidRPr="00C6725B">
        <w:rPr>
          <w:rFonts w:ascii="Century Gothic" w:hAnsi="Century Gothic" w:cstheme="minorHAnsi"/>
        </w:rPr>
        <w:t xml:space="preserve">The Department of Land and Wildlife Conservation </w:t>
      </w:r>
      <w:r>
        <w:rPr>
          <w:rFonts w:ascii="Century Gothic" w:hAnsi="Century Gothic" w:cstheme="minorHAnsi"/>
        </w:rPr>
        <w:t xml:space="preserve">(DLWC) seek to procure services to restore sand dunes in Bryon Bay </w:t>
      </w:r>
      <w:r w:rsidRPr="00C42D48">
        <w:rPr>
          <w:rFonts w:ascii="Century Gothic" w:hAnsi="Century Gothic" w:cstheme="minorHAnsi"/>
        </w:rPr>
        <w:t>estimated to be valued at $10</w:t>
      </w:r>
      <w:r>
        <w:rPr>
          <w:rFonts w:ascii="Century Gothic" w:hAnsi="Century Gothic" w:cstheme="minorHAnsi"/>
        </w:rPr>
        <w:t> </w:t>
      </w:r>
      <w:r w:rsidRPr="00C42D48">
        <w:rPr>
          <w:rFonts w:ascii="Century Gothic" w:hAnsi="Century Gothic" w:cstheme="minorHAnsi"/>
        </w:rPr>
        <w:t xml:space="preserve">million. </w:t>
      </w:r>
    </w:p>
    <w:p w14:paraId="72AB4597" w14:textId="77777777" w:rsidR="00E96C7F" w:rsidRPr="00C42D48" w:rsidRDefault="00E96C7F" w:rsidP="00E96C7F">
      <w:pPr>
        <w:ind w:left="720"/>
        <w:rPr>
          <w:rFonts w:ascii="Century Gothic" w:hAnsi="Century Gothic" w:cstheme="minorHAnsi"/>
          <w:color w:val="333333"/>
          <w:shd w:val="clear" w:color="auto" w:fill="FFFFFF"/>
        </w:rPr>
      </w:pPr>
      <w:r w:rsidRPr="00C42D48">
        <w:rPr>
          <w:rFonts w:ascii="Century Gothic" w:hAnsi="Century Gothic" w:cstheme="minorHAnsi"/>
          <w:color w:val="333333"/>
          <w:shd w:val="clear" w:color="auto" w:fill="FFFFFF"/>
        </w:rPr>
        <w:t xml:space="preserve">As the procurement is valued at over $7.5 million and will be delivered wholly in Australia, </w:t>
      </w:r>
      <w:r>
        <w:rPr>
          <w:rFonts w:ascii="Century Gothic" w:hAnsi="Century Gothic" w:cstheme="minorHAnsi"/>
          <w:color w:val="333333"/>
          <w:shd w:val="clear" w:color="auto" w:fill="FFFFFF"/>
        </w:rPr>
        <w:t xml:space="preserve">it is </w:t>
      </w:r>
      <w:r w:rsidRPr="00C42D48">
        <w:rPr>
          <w:rFonts w:ascii="Century Gothic" w:hAnsi="Century Gothic" w:cstheme="minorHAnsi"/>
          <w:color w:val="333333"/>
          <w:shd w:val="clear" w:color="auto" w:fill="FFFFFF"/>
        </w:rPr>
        <w:t xml:space="preserve">likely </w:t>
      </w:r>
      <w:r>
        <w:rPr>
          <w:rFonts w:ascii="Century Gothic" w:hAnsi="Century Gothic" w:cstheme="minorHAnsi"/>
          <w:color w:val="333333"/>
          <w:shd w:val="clear" w:color="auto" w:fill="FFFFFF"/>
        </w:rPr>
        <w:t>to be s</w:t>
      </w:r>
      <w:r w:rsidRPr="00C42D48">
        <w:rPr>
          <w:rFonts w:ascii="Century Gothic" w:hAnsi="Century Gothic" w:cstheme="minorHAnsi"/>
          <w:color w:val="333333"/>
          <w:shd w:val="clear" w:color="auto" w:fill="FFFFFF"/>
        </w:rPr>
        <w:t xml:space="preserve">ubject to </w:t>
      </w:r>
      <w:r>
        <w:rPr>
          <w:rFonts w:ascii="Century Gothic" w:hAnsi="Century Gothic" w:cstheme="minorHAnsi"/>
          <w:color w:val="333333"/>
          <w:shd w:val="clear" w:color="auto" w:fill="FFFFFF"/>
        </w:rPr>
        <w:t xml:space="preserve">the </w:t>
      </w:r>
      <w:r w:rsidRPr="00C42D48">
        <w:rPr>
          <w:rFonts w:ascii="Century Gothic" w:hAnsi="Century Gothic" w:cstheme="minorHAnsi"/>
          <w:color w:val="333333"/>
          <w:shd w:val="clear" w:color="auto" w:fill="FFFFFF"/>
        </w:rPr>
        <w:t>MMR</w:t>
      </w:r>
      <w:r>
        <w:rPr>
          <w:rFonts w:ascii="Century Gothic" w:hAnsi="Century Gothic" w:cstheme="minorHAnsi"/>
          <w:color w:val="333333"/>
          <w:shd w:val="clear" w:color="auto" w:fill="FFFFFF"/>
        </w:rPr>
        <w:t xml:space="preserve">. </w:t>
      </w:r>
    </w:p>
    <w:p w14:paraId="2F999CA1" w14:textId="77777777" w:rsidR="00E96C7F" w:rsidRPr="00AB0AE7" w:rsidRDefault="00E96C7F" w:rsidP="00E96C7F">
      <w:pPr>
        <w:ind w:left="720"/>
        <w:rPr>
          <w:rFonts w:ascii="Century Gothic" w:hAnsi="Century Gothic" w:cstheme="minorHAnsi"/>
          <w:shd w:val="clear" w:color="auto" w:fill="FFFFFF"/>
        </w:rPr>
      </w:pPr>
      <w:r w:rsidRPr="00C42D48">
        <w:rPr>
          <w:rFonts w:ascii="Century Gothic" w:hAnsi="Century Gothic" w:cstheme="minorHAnsi"/>
        </w:rPr>
        <w:t xml:space="preserve">To confirm, the responsible procuring officer conducts a search of </w:t>
      </w:r>
      <w:r w:rsidRPr="00D65A56">
        <w:rPr>
          <w:rFonts w:ascii="Century Gothic" w:hAnsi="Century Gothic" w:cstheme="minorHAnsi"/>
          <w:i/>
        </w:rPr>
        <w:t>Erosion Control Services</w:t>
      </w:r>
      <w:r w:rsidRPr="00D65A56">
        <w:rPr>
          <w:rFonts w:ascii="Century Gothic" w:hAnsi="Century Gothic" w:cstheme="minorHAnsi"/>
        </w:rPr>
        <w:t xml:space="preserve"> </w:t>
      </w:r>
      <w:r w:rsidRPr="00AB0AE7">
        <w:rPr>
          <w:rFonts w:ascii="Century Gothic" w:hAnsi="Century Gothic" w:cstheme="minorHAnsi"/>
        </w:rPr>
        <w:t xml:space="preserve">on the UNSPSC website. The search produces a code of </w:t>
      </w:r>
      <w:r w:rsidRPr="00AB0AE7">
        <w:rPr>
          <w:rFonts w:ascii="Century Gothic" w:hAnsi="Century Gothic" w:cstheme="minorHAnsi"/>
          <w:shd w:val="clear" w:color="auto" w:fill="FFFFFF"/>
        </w:rPr>
        <w:t xml:space="preserve">70131503. </w:t>
      </w:r>
      <w:r w:rsidRPr="00C42D48">
        <w:rPr>
          <w:rFonts w:ascii="Century Gothic" w:hAnsi="Century Gothic" w:cstheme="minorHAnsi"/>
          <w:color w:val="333333"/>
          <w:shd w:val="clear" w:color="auto" w:fill="FFFFFF"/>
        </w:rPr>
        <w:t xml:space="preserve">The first two digits of that code – 70 – correspond with the broader industry category </w:t>
      </w:r>
      <w:r w:rsidRPr="00C42D48">
        <w:rPr>
          <w:rFonts w:ascii="Century Gothic" w:hAnsi="Century Gothic" w:cstheme="minorHAnsi"/>
          <w:i/>
          <w:color w:val="333333"/>
          <w:shd w:val="clear" w:color="auto" w:fill="FFFFFF"/>
        </w:rPr>
        <w:t>Farming, fishing, forestry and wildlife contracting services</w:t>
      </w:r>
      <w:r w:rsidRPr="00C42D48">
        <w:rPr>
          <w:rFonts w:ascii="Century Gothic" w:hAnsi="Century Gothic" w:cstheme="minorHAnsi"/>
          <w:color w:val="333333"/>
          <w:shd w:val="clear" w:color="auto" w:fill="FFFFFF"/>
        </w:rPr>
        <w:t xml:space="preserve">, </w:t>
      </w:r>
      <w:r w:rsidRPr="00AB0AE7">
        <w:rPr>
          <w:rFonts w:ascii="Century Gothic" w:hAnsi="Century Gothic" w:cstheme="minorHAnsi"/>
          <w:shd w:val="clear" w:color="auto" w:fill="FFFFFF"/>
        </w:rPr>
        <w:t xml:space="preserve">an industry category subject to the MMR. </w:t>
      </w:r>
    </w:p>
    <w:p w14:paraId="331AA02F" w14:textId="77777777" w:rsidR="00E96C7F" w:rsidRPr="00C6725B" w:rsidRDefault="00E96C7F" w:rsidP="00E96C7F">
      <w:pPr>
        <w:ind w:left="720"/>
        <w:rPr>
          <w:rFonts w:ascii="Century Gothic" w:hAnsi="Century Gothic" w:cstheme="minorHAnsi"/>
        </w:rPr>
      </w:pPr>
      <w:r w:rsidRPr="00C42D48">
        <w:rPr>
          <w:rFonts w:ascii="Century Gothic" w:hAnsi="Century Gothic" w:cstheme="minorHAnsi"/>
        </w:rPr>
        <w:t>T</w:t>
      </w:r>
      <w:r>
        <w:rPr>
          <w:rFonts w:ascii="Century Gothic" w:hAnsi="Century Gothic" w:cstheme="minorHAnsi"/>
        </w:rPr>
        <w:t xml:space="preserve">he procuring officer searches the electronic </w:t>
      </w:r>
      <w:hyperlink r:id="rId61" w:history="1">
        <w:r w:rsidRPr="00134C33">
          <w:rPr>
            <w:rStyle w:val="Hyperlink"/>
            <w:rFonts w:ascii="Century Gothic" w:hAnsi="Century Gothic" w:cstheme="minorHAnsi"/>
            <w:color w:val="015E8A" w:themeColor="text2" w:themeTint="E6"/>
          </w:rPr>
          <w:t>IPP interactive map</w:t>
        </w:r>
      </w:hyperlink>
      <w:r>
        <w:rPr>
          <w:rFonts w:ascii="Century Gothic" w:hAnsi="Century Gothic" w:cstheme="minorHAnsi"/>
        </w:rPr>
        <w:t xml:space="preserve"> and confirms that Byron Bay, the delivery location, is not defined as a remote location and therefore the higher MMR remote targets do not need to apply. </w:t>
      </w:r>
    </w:p>
    <w:p w14:paraId="1F8000CB" w14:textId="77777777" w:rsidR="00E96C7F" w:rsidRDefault="00E96C7F" w:rsidP="00E96C7F">
      <w:pPr>
        <w:ind w:left="720"/>
        <w:rPr>
          <w:rFonts w:ascii="Century Gothic" w:hAnsi="Century Gothic" w:cstheme="minorHAnsi"/>
        </w:rPr>
      </w:pPr>
      <w:r>
        <w:rPr>
          <w:rFonts w:ascii="Century Gothic" w:hAnsi="Century Gothic" w:cstheme="minorHAnsi"/>
        </w:rPr>
        <w:t>DLWC i</w:t>
      </w:r>
      <w:r w:rsidRPr="00C6725B">
        <w:rPr>
          <w:rFonts w:ascii="Century Gothic" w:hAnsi="Century Gothic" w:cstheme="minorHAnsi"/>
        </w:rPr>
        <w:t xml:space="preserve">ssues an approach to market </w:t>
      </w:r>
      <w:r>
        <w:rPr>
          <w:rFonts w:ascii="Century Gothic" w:hAnsi="Century Gothic" w:cstheme="minorHAnsi"/>
        </w:rPr>
        <w:t xml:space="preserve">(ATM) </w:t>
      </w:r>
      <w:r w:rsidRPr="00C6725B">
        <w:rPr>
          <w:rFonts w:ascii="Century Gothic" w:hAnsi="Century Gothic" w:cstheme="minorHAnsi"/>
        </w:rPr>
        <w:t xml:space="preserve">inviting potential suppliers to participate in </w:t>
      </w:r>
      <w:r>
        <w:rPr>
          <w:rFonts w:ascii="Century Gothic" w:hAnsi="Century Gothic" w:cstheme="minorHAnsi"/>
        </w:rPr>
        <w:t xml:space="preserve">the </w:t>
      </w:r>
      <w:r w:rsidRPr="00C6725B">
        <w:rPr>
          <w:rFonts w:ascii="Century Gothic" w:hAnsi="Century Gothic" w:cstheme="minorHAnsi"/>
        </w:rPr>
        <w:t>procurement</w:t>
      </w:r>
      <w:r>
        <w:rPr>
          <w:rFonts w:ascii="Century Gothic" w:hAnsi="Century Gothic" w:cstheme="minorHAnsi"/>
        </w:rPr>
        <w:t xml:space="preserve">. The ATM includes the MMR model clauses that require tenderers to submit an Indigenous Participation Plan. The DLWC tender documents include the requirement for the evaluation panel to consider </w:t>
      </w:r>
      <w:proofErr w:type="gramStart"/>
      <w:r>
        <w:rPr>
          <w:rFonts w:ascii="Century Gothic" w:hAnsi="Century Gothic" w:cstheme="minorHAnsi"/>
        </w:rPr>
        <w:t>tenders’</w:t>
      </w:r>
      <w:proofErr w:type="gramEnd"/>
      <w:r>
        <w:rPr>
          <w:rFonts w:ascii="Century Gothic" w:hAnsi="Century Gothic" w:cstheme="minorHAnsi"/>
        </w:rPr>
        <w:t xml:space="preserve"> past performance against the MMR and the draft contract (included in the ATM) includes MMR model clauses that require the successful tender to report quarterly against the MMR via the Commonwealth’s IPPRS. </w:t>
      </w:r>
    </w:p>
    <w:p w14:paraId="0CAB3DCC" w14:textId="77777777" w:rsidR="00E96C7F" w:rsidRPr="0028339A" w:rsidRDefault="00E96C7F" w:rsidP="00E96C7F">
      <w:pPr>
        <w:ind w:left="720"/>
        <w:rPr>
          <w:rFonts w:asciiTheme="majorHAnsi" w:hAnsiTheme="majorHAnsi" w:cstheme="minorHAnsi"/>
        </w:rPr>
      </w:pPr>
      <w:r>
        <w:rPr>
          <w:rFonts w:ascii="Century Gothic" w:hAnsi="Century Gothic" w:cstheme="minorHAnsi"/>
        </w:rPr>
        <w:t>Roberto, o</w:t>
      </w:r>
      <w:r w:rsidRPr="00C6725B">
        <w:rPr>
          <w:rFonts w:ascii="Century Gothic" w:hAnsi="Century Gothic" w:cstheme="minorHAnsi"/>
        </w:rPr>
        <w:t>wner-manager</w:t>
      </w:r>
      <w:r>
        <w:rPr>
          <w:rFonts w:ascii="Century Gothic" w:hAnsi="Century Gothic" w:cstheme="minorHAnsi"/>
        </w:rPr>
        <w:t xml:space="preserve"> of Erosion Be Gone</w:t>
      </w:r>
      <w:r w:rsidRPr="00C6725B">
        <w:rPr>
          <w:rFonts w:ascii="Century Gothic" w:hAnsi="Century Gothic" w:cstheme="minorHAnsi"/>
        </w:rPr>
        <w:t xml:space="preserve">, </w:t>
      </w:r>
      <w:r>
        <w:rPr>
          <w:rFonts w:ascii="Century Gothic" w:hAnsi="Century Gothic" w:cstheme="minorHAnsi"/>
        </w:rPr>
        <w:t xml:space="preserve">is registered to receive </w:t>
      </w:r>
      <w:proofErr w:type="spellStart"/>
      <w:r>
        <w:rPr>
          <w:rFonts w:ascii="Century Gothic" w:hAnsi="Century Gothic" w:cstheme="minorHAnsi"/>
        </w:rPr>
        <w:t>AusTender</w:t>
      </w:r>
      <w:proofErr w:type="spellEnd"/>
      <w:r>
        <w:rPr>
          <w:rFonts w:ascii="Century Gothic" w:hAnsi="Century Gothic" w:cstheme="minorHAnsi"/>
        </w:rPr>
        <w:t xml:space="preserve"> alerts. Roberto reviews the </w:t>
      </w:r>
      <w:r w:rsidRPr="0028339A">
        <w:rPr>
          <w:rFonts w:asciiTheme="majorHAnsi" w:hAnsiTheme="majorHAnsi" w:cstheme="minorHAnsi"/>
        </w:rPr>
        <w:t xml:space="preserve">ATM documentation. Roberto determines his company can meet </w:t>
      </w:r>
      <w:proofErr w:type="gramStart"/>
      <w:r w:rsidRPr="0028339A">
        <w:rPr>
          <w:rFonts w:asciiTheme="majorHAnsi" w:hAnsiTheme="majorHAnsi" w:cstheme="minorHAnsi"/>
        </w:rPr>
        <w:t>a</w:t>
      </w:r>
      <w:proofErr w:type="gramEnd"/>
      <w:r w:rsidRPr="0028339A">
        <w:rPr>
          <w:rFonts w:asciiTheme="majorHAnsi" w:hAnsiTheme="majorHAnsi" w:cstheme="minorHAnsi"/>
        </w:rPr>
        <w:t xml:space="preserve"> MMR contract-based target of 4 per cent, comprising 1 per cent employment and 3 per cent supply-use. </w:t>
      </w:r>
    </w:p>
    <w:p w14:paraId="206E6A9E" w14:textId="77777777" w:rsidR="00E96C7F" w:rsidRPr="0028339A" w:rsidRDefault="00E96C7F" w:rsidP="00E96C7F">
      <w:pPr>
        <w:ind w:left="720"/>
        <w:rPr>
          <w:rFonts w:asciiTheme="majorHAnsi" w:hAnsiTheme="majorHAnsi" w:cstheme="minorHAnsi"/>
        </w:rPr>
      </w:pPr>
      <w:r w:rsidRPr="0028339A">
        <w:rPr>
          <w:rFonts w:asciiTheme="majorHAnsi" w:hAnsiTheme="majorHAnsi" w:cstheme="minorHAnsi"/>
        </w:rPr>
        <w:t>Since Roberto plans to quote $11 million, the 3 per cent supply use target will require Roberto to use Indigenous businesses to deliver at least $330,000 of the project.</w:t>
      </w:r>
    </w:p>
    <w:p w14:paraId="46FCE905" w14:textId="0821778E" w:rsidR="00E96C7F" w:rsidRPr="0028339A" w:rsidRDefault="00E96C7F" w:rsidP="00E96C7F">
      <w:pPr>
        <w:ind w:left="720"/>
        <w:rPr>
          <w:rFonts w:asciiTheme="majorHAnsi" w:hAnsiTheme="majorHAnsi" w:cstheme="minorHAnsi"/>
        </w:rPr>
      </w:pPr>
      <w:r w:rsidRPr="0028339A">
        <w:rPr>
          <w:rFonts w:asciiTheme="majorHAnsi" w:hAnsiTheme="majorHAnsi" w:cstheme="minorHAnsi"/>
        </w:rPr>
        <w:t xml:space="preserve">Roberto has an existing relationship with a business that he knows is at least 50% Indigenous owned that he will use to supply landscaping equipment. Roberto uses the Supply Nation directory to identify two other businesses that he confirms can provide the required specialist vehicle and signage for the project. </w:t>
      </w:r>
    </w:p>
    <w:p w14:paraId="6F843271" w14:textId="618E7833" w:rsidR="00E96C7F" w:rsidRPr="0028339A" w:rsidRDefault="00E96C7F" w:rsidP="00E96C7F">
      <w:pPr>
        <w:ind w:left="720"/>
        <w:rPr>
          <w:rFonts w:asciiTheme="majorHAnsi" w:hAnsiTheme="majorHAnsi" w:cstheme="minorHAnsi"/>
        </w:rPr>
      </w:pPr>
      <w:r w:rsidRPr="0028339A">
        <w:rPr>
          <w:rFonts w:asciiTheme="majorHAnsi" w:hAnsiTheme="majorHAnsi" w:cstheme="minorHAnsi"/>
        </w:rPr>
        <w:t xml:space="preserve">Roberto calculates that he will require two additional staff to deliver on the project at Byron Bay. He searches for employment service providers on </w:t>
      </w:r>
      <w:hyperlink r:id="rId62" w:anchor="toc-find-an-employment-service-provider" w:history="1">
        <w:r w:rsidR="00222CFA" w:rsidRPr="00134C33">
          <w:rPr>
            <w:rStyle w:val="Hyperlink"/>
            <w:rFonts w:asciiTheme="majorHAnsi" w:hAnsiTheme="majorHAnsi"/>
            <w:color w:val="015E8A" w:themeColor="text2" w:themeTint="E6"/>
          </w:rPr>
          <w:t>https://www.dewr.gov.au/employment/finding-job#toc-find-an-employment-service-provider</w:t>
        </w:r>
      </w:hyperlink>
      <w:r w:rsidR="00222CFA">
        <w:rPr>
          <w:rFonts w:asciiTheme="majorHAnsi" w:hAnsiTheme="majorHAnsi"/>
        </w:rPr>
        <w:t xml:space="preserve"> </w:t>
      </w:r>
      <w:r w:rsidRPr="0028339A">
        <w:rPr>
          <w:rFonts w:asciiTheme="majorHAnsi" w:hAnsiTheme="majorHAnsi" w:cstheme="minorHAnsi"/>
        </w:rPr>
        <w:t xml:space="preserve">to identify the local employment service providers. Based on a conversation with the local provider he is confident he can recruit at least one employee that identifies as Aboriginal to work on the project. </w:t>
      </w:r>
    </w:p>
    <w:p w14:paraId="3D8FF9C9" w14:textId="77777777" w:rsidR="00E96C7F" w:rsidRPr="00C6725B" w:rsidRDefault="00E96C7F" w:rsidP="00E96C7F">
      <w:pPr>
        <w:ind w:left="720"/>
        <w:rPr>
          <w:rFonts w:ascii="Century Gothic" w:hAnsi="Century Gothic" w:cstheme="minorHAnsi"/>
        </w:rPr>
      </w:pPr>
      <w:r w:rsidRPr="0028339A">
        <w:rPr>
          <w:rFonts w:asciiTheme="majorHAnsi" w:hAnsiTheme="majorHAnsi" w:cstheme="minorHAnsi"/>
        </w:rPr>
        <w:t>Roberto includes these details in the Indigenous Participation Plan as part of the tender submission alongside the current rates of Erosion Be Gone Indigenous employm</w:t>
      </w:r>
      <w:r>
        <w:rPr>
          <w:rFonts w:ascii="Century Gothic" w:hAnsi="Century Gothic" w:cstheme="minorHAnsi"/>
        </w:rPr>
        <w:t xml:space="preserve">ent and supply use. Roberto declares that Erosion Be Gone has never been subject to the MMR before and therefore does not have any past performance information to include. </w:t>
      </w:r>
    </w:p>
    <w:p w14:paraId="576E5AAD" w14:textId="77777777" w:rsidR="00E96C7F" w:rsidRDefault="00E96C7F" w:rsidP="00E96C7F">
      <w:pPr>
        <w:ind w:left="720"/>
        <w:rPr>
          <w:rFonts w:ascii="Century Gothic" w:hAnsi="Century Gothic" w:cstheme="minorHAnsi"/>
        </w:rPr>
      </w:pPr>
      <w:r>
        <w:rPr>
          <w:rFonts w:ascii="Century Gothic" w:hAnsi="Century Gothic" w:cstheme="minorHAnsi"/>
        </w:rPr>
        <w:t xml:space="preserve">The DLWC tender evaluation panel searches the IPPRS to confirm if tenders have previously been subject to the MMR. The panel considers strategies to meet MMR targets outlined in the Indigenous Participation Plans.  It is confirmed Erosion Be Gone has not been subject to the MMR before. The panel forms the view that Erosion Be Gone’s Indigenous Participation Plan has a clear strategy to connect with Indigenous businesses and job seekers. </w:t>
      </w:r>
    </w:p>
    <w:p w14:paraId="3F9983B4" w14:textId="77777777" w:rsidR="00E96C7F" w:rsidRDefault="00E96C7F" w:rsidP="00E96C7F">
      <w:pPr>
        <w:ind w:left="720"/>
        <w:rPr>
          <w:rFonts w:ascii="Century Gothic" w:hAnsi="Century Gothic" w:cstheme="minorHAnsi"/>
        </w:rPr>
      </w:pPr>
      <w:r>
        <w:rPr>
          <w:rFonts w:ascii="Century Gothic" w:hAnsi="Century Gothic" w:cstheme="minorHAnsi"/>
        </w:rPr>
        <w:lastRenderedPageBreak/>
        <w:t xml:space="preserve">Erosion Be Gone is assessed as the preferred supplier (having regard to the tender evaluation criteria and overall value for money assessment) and </w:t>
      </w:r>
      <w:proofErr w:type="gramStart"/>
      <w:r w:rsidRPr="00C6725B">
        <w:rPr>
          <w:rFonts w:ascii="Century Gothic" w:hAnsi="Century Gothic" w:cstheme="minorHAnsi"/>
        </w:rPr>
        <w:t xml:space="preserve">enters </w:t>
      </w:r>
      <w:r>
        <w:rPr>
          <w:rFonts w:ascii="Century Gothic" w:hAnsi="Century Gothic" w:cstheme="minorHAnsi"/>
        </w:rPr>
        <w:t>into</w:t>
      </w:r>
      <w:proofErr w:type="gramEnd"/>
      <w:r>
        <w:rPr>
          <w:rFonts w:ascii="Century Gothic" w:hAnsi="Century Gothic" w:cstheme="minorHAnsi"/>
        </w:rPr>
        <w:t xml:space="preserve"> a contract. DLWC publishes a contract notice on </w:t>
      </w:r>
      <w:proofErr w:type="spellStart"/>
      <w:r>
        <w:rPr>
          <w:rFonts w:ascii="Century Gothic" w:hAnsi="Century Gothic" w:cstheme="minorHAnsi"/>
        </w:rPr>
        <w:t>AusTender</w:t>
      </w:r>
      <w:proofErr w:type="spellEnd"/>
      <w:r>
        <w:rPr>
          <w:rFonts w:ascii="Century Gothic" w:hAnsi="Century Gothic" w:cstheme="minorHAnsi"/>
        </w:rPr>
        <w:t>.</w:t>
      </w:r>
    </w:p>
    <w:p w14:paraId="7F5E5698" w14:textId="77777777" w:rsidR="00E96C7F" w:rsidRDefault="00E96C7F" w:rsidP="00E96C7F">
      <w:pPr>
        <w:ind w:left="720"/>
        <w:rPr>
          <w:rFonts w:ascii="Century Gothic" w:hAnsi="Century Gothic" w:cstheme="minorHAnsi"/>
        </w:rPr>
      </w:pPr>
      <w:r>
        <w:rPr>
          <w:rFonts w:ascii="Century Gothic" w:hAnsi="Century Gothic" w:cstheme="minorHAnsi"/>
        </w:rPr>
        <w:t xml:space="preserve">The IPPRS identifies (through data-matching with </w:t>
      </w:r>
      <w:proofErr w:type="spellStart"/>
      <w:r>
        <w:rPr>
          <w:rFonts w:ascii="Century Gothic" w:hAnsi="Century Gothic" w:cstheme="minorHAnsi"/>
        </w:rPr>
        <w:t>AusTender</w:t>
      </w:r>
      <w:proofErr w:type="spellEnd"/>
      <w:r>
        <w:rPr>
          <w:rFonts w:ascii="Century Gothic" w:hAnsi="Century Gothic" w:cstheme="minorHAnsi"/>
        </w:rPr>
        <w:t xml:space="preserve">) DLWC has awarded a contract likely subject to the MMR and emails an alert to the DLWC portfolio contact. </w:t>
      </w:r>
    </w:p>
    <w:p w14:paraId="612D0CFD" w14:textId="77777777" w:rsidR="00E96C7F" w:rsidRDefault="00E96C7F" w:rsidP="00E96C7F">
      <w:pPr>
        <w:ind w:left="720"/>
        <w:rPr>
          <w:rFonts w:ascii="Century Gothic" w:hAnsi="Century Gothic" w:cstheme="minorHAnsi"/>
        </w:rPr>
      </w:pPr>
      <w:r>
        <w:rPr>
          <w:rFonts w:ascii="Century Gothic" w:hAnsi="Century Gothic" w:cstheme="minorHAnsi"/>
        </w:rPr>
        <w:t xml:space="preserve">The portfolio contact identifies the relevant contract manager who confirms that the contract is subject to the MMR.  The contract manager enters the MMR targets included in the contract and the postcode for the delivery location into the system. The contract manager also enters the relevant email address for Erosion Be Gone – ideally the email address will allow for potential turnover or absence with the contracted </w:t>
      </w:r>
      <w:proofErr w:type="gramStart"/>
      <w:r>
        <w:rPr>
          <w:rFonts w:ascii="Century Gothic" w:hAnsi="Century Gothic" w:cstheme="minorHAnsi"/>
        </w:rPr>
        <w:t>firm</w:t>
      </w:r>
      <w:proofErr w:type="gramEnd"/>
      <w:r>
        <w:rPr>
          <w:rFonts w:ascii="Century Gothic" w:hAnsi="Century Gothic" w:cstheme="minorHAnsi"/>
        </w:rPr>
        <w:t xml:space="preserve"> so the company continues to comply. The IPPRS sends Erosion Be Gone an email to initiate quarterly reporting. </w:t>
      </w:r>
    </w:p>
    <w:p w14:paraId="185824D9" w14:textId="77777777" w:rsidR="00E96C7F" w:rsidRDefault="00E96C7F" w:rsidP="00E96C7F">
      <w:pPr>
        <w:ind w:left="720"/>
        <w:rPr>
          <w:rFonts w:ascii="Century Gothic" w:hAnsi="Century Gothic" w:cstheme="minorHAnsi"/>
        </w:rPr>
      </w:pPr>
      <w:r>
        <w:rPr>
          <w:rFonts w:ascii="Century Gothic" w:hAnsi="Century Gothic" w:cstheme="minorHAnsi"/>
        </w:rPr>
        <w:t xml:space="preserve">Each quarter Erosion Be Gone receives an email from the IPPRS reminding them to report. For each report, Roberto enters the total number of FTE working on the dune regeneration project and the total number of FTE that identify as indigenous working on the project. </w:t>
      </w:r>
    </w:p>
    <w:p w14:paraId="088A51A2" w14:textId="111E8B83" w:rsidR="00E96C7F" w:rsidRDefault="00E96C7F" w:rsidP="00E96C7F">
      <w:pPr>
        <w:ind w:left="720"/>
        <w:rPr>
          <w:rFonts w:ascii="Century Gothic" w:hAnsi="Century Gothic" w:cstheme="minorHAnsi"/>
        </w:rPr>
      </w:pPr>
      <w:r>
        <w:rPr>
          <w:rFonts w:ascii="Century Gothic" w:hAnsi="Century Gothic" w:cstheme="minorHAnsi"/>
        </w:rPr>
        <w:t xml:space="preserve">Roberto also enters the ABN of the Indigenous businesses that he as engaged in the delivery of the project alongside the value of the purchase/contract, date of purchase and a brief description of the purchase. </w:t>
      </w:r>
      <w:r w:rsidRPr="00B36E1B">
        <w:rPr>
          <w:rFonts w:ascii="Century Gothic" w:hAnsi="Century Gothic" w:cstheme="minorHAnsi"/>
        </w:rPr>
        <w:t xml:space="preserve">The IPPRS data matches the ABN with Supply Nation and ORIC to confirm these businesses </w:t>
      </w:r>
      <w:r w:rsidR="00222CFA" w:rsidRPr="00B36E1B">
        <w:rPr>
          <w:rFonts w:ascii="Century Gothic" w:hAnsi="Century Gothic" w:cstheme="minorHAnsi"/>
        </w:rPr>
        <w:t>meet the IPP eligibility criteria</w:t>
      </w:r>
      <w:r w:rsidRPr="00B36E1B">
        <w:rPr>
          <w:rFonts w:ascii="Century Gothic" w:hAnsi="Century Gothic" w:cstheme="minorHAnsi"/>
        </w:rPr>
        <w:t>. For Indigenous businesses not registered with Supply Nation or ORIC, Erosion</w:t>
      </w:r>
      <w:r>
        <w:rPr>
          <w:rFonts w:ascii="Century Gothic" w:hAnsi="Century Gothic" w:cstheme="minorHAnsi"/>
        </w:rPr>
        <w:t xml:space="preserve"> Be Gone is required to maintain documents confirming they have made appropriate checks to confirm the businesses </w:t>
      </w:r>
      <w:r w:rsidR="001510BD">
        <w:rPr>
          <w:rFonts w:ascii="Century Gothic" w:hAnsi="Century Gothic" w:cstheme="minorHAnsi"/>
        </w:rPr>
        <w:t>meets the IPP eligibility criteria</w:t>
      </w:r>
      <w:r>
        <w:rPr>
          <w:rFonts w:ascii="Century Gothic" w:hAnsi="Century Gothic" w:cstheme="minorHAnsi"/>
        </w:rPr>
        <w:t xml:space="preserve">.  </w:t>
      </w:r>
    </w:p>
    <w:p w14:paraId="3D6A5B30" w14:textId="77777777" w:rsidR="00E96C7F" w:rsidRDefault="00E96C7F" w:rsidP="00E96C7F">
      <w:pPr>
        <w:ind w:left="720"/>
        <w:rPr>
          <w:rFonts w:ascii="Century Gothic" w:hAnsi="Century Gothic" w:cstheme="minorHAnsi"/>
        </w:rPr>
      </w:pPr>
      <w:r>
        <w:rPr>
          <w:rFonts w:ascii="Century Gothic" w:hAnsi="Century Gothic" w:cstheme="minorHAnsi"/>
        </w:rPr>
        <w:t xml:space="preserve">The DLWC contract manager receives an email from the IPPRS after Roberto has submitted a quarterly report. The contract manager is required to review the report, acknowledge receipt of the report in the system and may make any comments for Erosion Be Gone’s attention. </w:t>
      </w:r>
    </w:p>
    <w:p w14:paraId="34392824" w14:textId="77777777" w:rsidR="00E96C7F" w:rsidRDefault="00E96C7F" w:rsidP="00E96C7F">
      <w:pPr>
        <w:ind w:left="720"/>
        <w:rPr>
          <w:rFonts w:ascii="Century Gothic" w:hAnsi="Century Gothic" w:cstheme="minorHAnsi"/>
        </w:rPr>
      </w:pPr>
      <w:r w:rsidRPr="00C6725B">
        <w:rPr>
          <w:rFonts w:ascii="Century Gothic" w:hAnsi="Century Gothic" w:cstheme="minorHAnsi"/>
        </w:rPr>
        <w:t xml:space="preserve">In fulfilling </w:t>
      </w:r>
      <w:r>
        <w:rPr>
          <w:rFonts w:ascii="Century Gothic" w:hAnsi="Century Gothic" w:cstheme="minorHAnsi"/>
        </w:rPr>
        <w:t xml:space="preserve">its reporting </w:t>
      </w:r>
      <w:r w:rsidRPr="00C6725B">
        <w:rPr>
          <w:rFonts w:ascii="Century Gothic" w:hAnsi="Century Gothic" w:cstheme="minorHAnsi"/>
        </w:rPr>
        <w:t>obligation</w:t>
      </w:r>
      <w:r>
        <w:rPr>
          <w:rFonts w:ascii="Century Gothic" w:hAnsi="Century Gothic" w:cstheme="minorHAnsi"/>
        </w:rPr>
        <w:t>s, Erosion Be Gone</w:t>
      </w:r>
      <w:r w:rsidRPr="00C6725B">
        <w:rPr>
          <w:rFonts w:ascii="Century Gothic" w:hAnsi="Century Gothic" w:cstheme="minorHAnsi"/>
        </w:rPr>
        <w:t xml:space="preserve"> </w:t>
      </w:r>
      <w:proofErr w:type="gramStart"/>
      <w:r w:rsidRPr="00C6725B">
        <w:rPr>
          <w:rFonts w:ascii="Century Gothic" w:hAnsi="Century Gothic" w:cstheme="minorHAnsi"/>
        </w:rPr>
        <w:t>is able to</w:t>
      </w:r>
      <w:proofErr w:type="gramEnd"/>
      <w:r w:rsidRPr="00C6725B">
        <w:rPr>
          <w:rFonts w:ascii="Century Gothic" w:hAnsi="Century Gothic" w:cstheme="minorHAnsi"/>
        </w:rPr>
        <w:t xml:space="preserve"> track progress and make early adjustments to ensure his company’s performance </w:t>
      </w:r>
      <w:r>
        <w:rPr>
          <w:rFonts w:ascii="Century Gothic" w:hAnsi="Century Gothic" w:cstheme="minorHAnsi"/>
        </w:rPr>
        <w:t xml:space="preserve">remains on track. During the life of the contract, Roberto may seek a contract variation to change the employment and supply use combination of the MMR target. In considering the request the DLWC contract manager confirm if the proposed change complies with the MMR.  </w:t>
      </w:r>
      <w:r w:rsidRPr="00C6725B">
        <w:rPr>
          <w:rFonts w:ascii="Century Gothic" w:hAnsi="Century Gothic" w:cstheme="minorHAnsi"/>
        </w:rPr>
        <w:t xml:space="preserve">At the </w:t>
      </w:r>
      <w:r>
        <w:rPr>
          <w:rFonts w:ascii="Century Gothic" w:hAnsi="Century Gothic" w:cstheme="minorHAnsi"/>
        </w:rPr>
        <w:t xml:space="preserve">end of the </w:t>
      </w:r>
      <w:r w:rsidRPr="00C6725B">
        <w:rPr>
          <w:rFonts w:ascii="Century Gothic" w:hAnsi="Century Gothic" w:cstheme="minorHAnsi"/>
        </w:rPr>
        <w:t>contract</w:t>
      </w:r>
      <w:r>
        <w:rPr>
          <w:rFonts w:ascii="Century Gothic" w:hAnsi="Century Gothic" w:cstheme="minorHAnsi"/>
        </w:rPr>
        <w:t>,</w:t>
      </w:r>
      <w:r w:rsidRPr="00C6725B">
        <w:rPr>
          <w:rFonts w:ascii="Century Gothic" w:hAnsi="Century Gothic" w:cstheme="minorHAnsi"/>
        </w:rPr>
        <w:t xml:space="preserve"> Erosion Be Gone’s final performance against its MMR target </w:t>
      </w:r>
      <w:r>
        <w:rPr>
          <w:rFonts w:ascii="Century Gothic" w:hAnsi="Century Gothic" w:cstheme="minorHAnsi"/>
        </w:rPr>
        <w:t xml:space="preserve">is </w:t>
      </w:r>
      <w:r w:rsidRPr="00C6725B">
        <w:rPr>
          <w:rFonts w:ascii="Century Gothic" w:hAnsi="Century Gothic" w:cstheme="minorHAnsi"/>
        </w:rPr>
        <w:t>calculated by the IPPRS.</w:t>
      </w:r>
      <w:r>
        <w:rPr>
          <w:rFonts w:ascii="Century Gothic" w:hAnsi="Century Gothic" w:cstheme="minorHAnsi"/>
        </w:rPr>
        <w:t xml:space="preserve"> </w:t>
      </w:r>
      <w:r w:rsidRPr="00C6725B">
        <w:rPr>
          <w:rFonts w:ascii="Century Gothic" w:hAnsi="Century Gothic" w:cstheme="minorHAnsi"/>
        </w:rPr>
        <w:t xml:space="preserve"> </w:t>
      </w:r>
    </w:p>
    <w:p w14:paraId="0FC5AF8B" w14:textId="77777777" w:rsidR="00E96C7F" w:rsidRPr="00C6725B" w:rsidRDefault="00E96C7F" w:rsidP="00E96C7F">
      <w:pPr>
        <w:ind w:left="720"/>
        <w:rPr>
          <w:rFonts w:ascii="Century Gothic" w:hAnsi="Century Gothic" w:cstheme="minorHAnsi"/>
        </w:rPr>
      </w:pPr>
      <w:r>
        <w:rPr>
          <w:rFonts w:ascii="Century Gothic" w:hAnsi="Century Gothic" w:cstheme="minorHAnsi"/>
        </w:rPr>
        <w:t xml:space="preserve">This performance history will be accessed by evaluation panels when Erosion Be Gone tenders for other contracts subject to the MMR. </w:t>
      </w:r>
    </w:p>
    <w:p w14:paraId="2DEC1F65" w14:textId="77777777" w:rsidR="00E96C7F" w:rsidRPr="00C508FA" w:rsidRDefault="00E96C7F" w:rsidP="00E96C7F">
      <w:pPr>
        <w:jc w:val="center"/>
        <w:rPr>
          <w:sz w:val="28"/>
          <w:szCs w:val="28"/>
          <w:u w:val="single"/>
        </w:rPr>
      </w:pPr>
      <w:r>
        <w:br w:type="page"/>
      </w:r>
      <w:r w:rsidRPr="00C508FA">
        <w:rPr>
          <w:sz w:val="28"/>
          <w:szCs w:val="28"/>
        </w:rPr>
        <w:lastRenderedPageBreak/>
        <w:t xml:space="preserve">Case Study Two:  Life cycle of </w:t>
      </w:r>
      <w:proofErr w:type="gramStart"/>
      <w:r w:rsidRPr="00C508FA">
        <w:rPr>
          <w:sz w:val="28"/>
          <w:szCs w:val="28"/>
        </w:rPr>
        <w:t>a</w:t>
      </w:r>
      <w:proofErr w:type="gramEnd"/>
      <w:r w:rsidRPr="00C508FA">
        <w:rPr>
          <w:sz w:val="28"/>
          <w:szCs w:val="28"/>
        </w:rPr>
        <w:t xml:space="preserve"> MMR with an </w:t>
      </w:r>
      <w:r w:rsidRPr="00C508FA">
        <w:rPr>
          <w:sz w:val="28"/>
          <w:szCs w:val="28"/>
          <w:u w:val="single"/>
        </w:rPr>
        <w:t>organisation-based target</w:t>
      </w:r>
    </w:p>
    <w:p w14:paraId="567D2C7F" w14:textId="77777777" w:rsidR="00E96C7F" w:rsidRDefault="00E96C7F" w:rsidP="00E96C7F">
      <w:pPr>
        <w:ind w:left="720"/>
        <w:rPr>
          <w:rFonts w:ascii="Century Gothic" w:hAnsi="Century Gothic" w:cstheme="minorHAnsi"/>
        </w:rPr>
      </w:pPr>
      <w:r w:rsidRPr="00C6725B">
        <w:rPr>
          <w:rFonts w:ascii="Century Gothic" w:hAnsi="Century Gothic" w:cstheme="minorHAnsi"/>
        </w:rPr>
        <w:t xml:space="preserve">The </w:t>
      </w:r>
      <w:r>
        <w:rPr>
          <w:rFonts w:ascii="Century Gothic" w:hAnsi="Century Gothic" w:cstheme="minorHAnsi"/>
        </w:rPr>
        <w:t xml:space="preserve">Department of Hydro-Energy (DHE), based in Canberra, seeks </w:t>
      </w:r>
      <w:r w:rsidRPr="00C6725B">
        <w:rPr>
          <w:rFonts w:ascii="Century Gothic" w:hAnsi="Century Gothic" w:cstheme="minorHAnsi"/>
        </w:rPr>
        <w:t xml:space="preserve">a </w:t>
      </w:r>
      <w:r>
        <w:rPr>
          <w:rFonts w:ascii="Century Gothic" w:hAnsi="Century Gothic" w:cstheme="minorHAnsi"/>
        </w:rPr>
        <w:t xml:space="preserve">feasibility study to upgrade a dam in the Cairns water catchment area. DHE estimate the procurement is valued at $20 million. </w:t>
      </w:r>
    </w:p>
    <w:p w14:paraId="1B20F6EE" w14:textId="77777777" w:rsidR="00E96C7F" w:rsidRPr="0049357C" w:rsidRDefault="00E96C7F" w:rsidP="00E96C7F">
      <w:pPr>
        <w:ind w:left="720"/>
        <w:rPr>
          <w:rFonts w:ascii="Century Gothic" w:hAnsi="Century Gothic" w:cstheme="minorHAnsi"/>
        </w:rPr>
      </w:pPr>
      <w:r w:rsidRPr="0049357C">
        <w:rPr>
          <w:rFonts w:ascii="Century Gothic" w:hAnsi="Century Gothic" w:cstheme="minorHAnsi"/>
        </w:rPr>
        <w:t xml:space="preserve">As the procurement is valued over $7.5 million and delivered wholly in Australia it is likely subject to the MMR. </w:t>
      </w:r>
    </w:p>
    <w:p w14:paraId="5AADC66D" w14:textId="77777777" w:rsidR="00E96C7F" w:rsidRPr="0049357C" w:rsidRDefault="00E96C7F" w:rsidP="00E96C7F">
      <w:pPr>
        <w:ind w:left="720"/>
        <w:rPr>
          <w:rFonts w:ascii="Century Gothic" w:hAnsi="Century Gothic" w:cstheme="minorHAnsi"/>
        </w:rPr>
      </w:pPr>
      <w:r w:rsidRPr="00D65A56">
        <w:rPr>
          <w:rFonts w:ascii="Century Gothic" w:hAnsi="Century Gothic" w:cstheme="minorHAnsi"/>
        </w:rPr>
        <w:t>A</w:t>
      </w:r>
      <w:r w:rsidRPr="00C6725B">
        <w:rPr>
          <w:rFonts w:ascii="Century Gothic" w:hAnsi="Century Gothic" w:cstheme="minorHAnsi"/>
        </w:rPr>
        <w:t xml:space="preserve"> search </w:t>
      </w:r>
      <w:r>
        <w:rPr>
          <w:rFonts w:ascii="Century Gothic" w:hAnsi="Century Gothic" w:cstheme="minorHAnsi"/>
        </w:rPr>
        <w:t xml:space="preserve">for </w:t>
      </w:r>
      <w:r w:rsidRPr="0049357C">
        <w:rPr>
          <w:rFonts w:ascii="Century Gothic" w:hAnsi="Century Gothic" w:cstheme="minorHAnsi"/>
        </w:rPr>
        <w:t>Dam Engineering</w:t>
      </w:r>
      <w:r>
        <w:rPr>
          <w:rFonts w:ascii="Century Gothic" w:hAnsi="Century Gothic" w:cstheme="minorHAnsi"/>
        </w:rPr>
        <w:t xml:space="preserve"> on the USPSC website produces a </w:t>
      </w:r>
      <w:r w:rsidRPr="00C6725B">
        <w:rPr>
          <w:rFonts w:ascii="Century Gothic" w:hAnsi="Century Gothic" w:cstheme="minorHAnsi"/>
        </w:rPr>
        <w:t xml:space="preserve">code of </w:t>
      </w:r>
      <w:r w:rsidRPr="0049357C">
        <w:rPr>
          <w:rFonts w:ascii="Century Gothic" w:hAnsi="Century Gothic" w:cstheme="minorHAnsi"/>
        </w:rPr>
        <w:t xml:space="preserve">81101507. The first two digits of that code – 81 – correspond with the broader industry category Engineering and Research and Technology Based Services, an industry sector subject to the MMR. </w:t>
      </w:r>
    </w:p>
    <w:p w14:paraId="57A225C1" w14:textId="77777777" w:rsidR="00E96C7F" w:rsidRDefault="00E96C7F" w:rsidP="00E96C7F">
      <w:pPr>
        <w:ind w:left="720"/>
        <w:rPr>
          <w:rFonts w:ascii="Century Gothic" w:hAnsi="Century Gothic" w:cstheme="minorHAnsi"/>
        </w:rPr>
      </w:pPr>
      <w:r>
        <w:rPr>
          <w:rFonts w:ascii="Century Gothic" w:hAnsi="Century Gothic" w:cstheme="minorHAnsi"/>
        </w:rPr>
        <w:t xml:space="preserve">The procuring officer searches the electronic </w:t>
      </w:r>
      <w:hyperlink r:id="rId63" w:history="1">
        <w:r w:rsidRPr="00134C33">
          <w:rPr>
            <w:rStyle w:val="Hyperlink"/>
            <w:rFonts w:ascii="Century Gothic" w:hAnsi="Century Gothic" w:cstheme="minorHAnsi"/>
            <w:color w:val="015E8A" w:themeColor="text2" w:themeTint="E6"/>
          </w:rPr>
          <w:t>IPP interactive map</w:t>
        </w:r>
      </w:hyperlink>
      <w:r>
        <w:rPr>
          <w:rFonts w:ascii="Century Gothic" w:hAnsi="Century Gothic" w:cstheme="minorHAnsi"/>
        </w:rPr>
        <w:t xml:space="preserve"> and confirms Canberra, the delivery location is not defined as a remote location and the higher remote MMR targets will not need to be applied.  </w:t>
      </w:r>
    </w:p>
    <w:p w14:paraId="028F3502" w14:textId="77777777" w:rsidR="00E96C7F" w:rsidRPr="00C6725B" w:rsidRDefault="00E96C7F" w:rsidP="00E96C7F">
      <w:pPr>
        <w:ind w:left="720"/>
        <w:rPr>
          <w:rFonts w:ascii="Century Gothic" w:hAnsi="Century Gothic" w:cstheme="minorHAnsi"/>
        </w:rPr>
      </w:pPr>
      <w:r>
        <w:rPr>
          <w:rFonts w:ascii="Century Gothic" w:hAnsi="Century Gothic" w:cstheme="minorHAnsi"/>
        </w:rPr>
        <w:t>DHE i</w:t>
      </w:r>
      <w:r w:rsidRPr="00C6725B">
        <w:rPr>
          <w:rFonts w:ascii="Century Gothic" w:hAnsi="Century Gothic" w:cstheme="minorHAnsi"/>
        </w:rPr>
        <w:t>ssues an</w:t>
      </w:r>
      <w:r>
        <w:rPr>
          <w:rFonts w:ascii="Century Gothic" w:hAnsi="Century Gothic" w:cstheme="minorHAnsi"/>
        </w:rPr>
        <w:t xml:space="preserve"> ATM</w:t>
      </w:r>
      <w:r w:rsidRPr="00C6725B">
        <w:rPr>
          <w:rFonts w:ascii="Century Gothic" w:hAnsi="Century Gothic" w:cstheme="minorHAnsi"/>
        </w:rPr>
        <w:t xml:space="preserve"> </w:t>
      </w:r>
      <w:r>
        <w:rPr>
          <w:rFonts w:ascii="Century Gothic" w:hAnsi="Century Gothic" w:cstheme="minorHAnsi"/>
        </w:rPr>
        <w:t xml:space="preserve">that includes model clauses requiring the inclusion of an Indigenous Participation Plan in the tender submission. The DHE tender evaluation document includes the requirement to consider </w:t>
      </w:r>
      <w:proofErr w:type="gramStart"/>
      <w:r>
        <w:rPr>
          <w:rFonts w:ascii="Century Gothic" w:hAnsi="Century Gothic" w:cstheme="minorHAnsi"/>
        </w:rPr>
        <w:t>tenderers’</w:t>
      </w:r>
      <w:proofErr w:type="gramEnd"/>
      <w:r>
        <w:rPr>
          <w:rFonts w:ascii="Century Gothic" w:hAnsi="Century Gothic" w:cstheme="minorHAnsi"/>
        </w:rPr>
        <w:t xml:space="preserve"> past performance against the MMR and the draft contract (included in the ATM) includes model clauses requiring quarterly reporting against the MMR targets via the IPPRS. </w:t>
      </w:r>
    </w:p>
    <w:p w14:paraId="4AF143AD" w14:textId="77777777" w:rsidR="00E96C7F" w:rsidRPr="00C6725B" w:rsidRDefault="00E96C7F" w:rsidP="00E96C7F">
      <w:pPr>
        <w:ind w:left="720"/>
        <w:rPr>
          <w:rFonts w:ascii="Century Gothic" w:hAnsi="Century Gothic" w:cstheme="minorHAnsi"/>
        </w:rPr>
      </w:pPr>
      <w:r>
        <w:rPr>
          <w:rFonts w:ascii="Century Gothic" w:hAnsi="Century Gothic" w:cstheme="minorHAnsi"/>
        </w:rPr>
        <w:t>O</w:t>
      </w:r>
      <w:r w:rsidRPr="00C6725B">
        <w:rPr>
          <w:rFonts w:ascii="Century Gothic" w:hAnsi="Century Gothic" w:cstheme="minorHAnsi"/>
        </w:rPr>
        <w:t xml:space="preserve">wner-manager, </w:t>
      </w:r>
      <w:r>
        <w:rPr>
          <w:rFonts w:ascii="Century Gothic" w:hAnsi="Century Gothic" w:cstheme="minorHAnsi"/>
        </w:rPr>
        <w:t xml:space="preserve">Sunita is registered to receive alerts via </w:t>
      </w:r>
      <w:proofErr w:type="spellStart"/>
      <w:r>
        <w:rPr>
          <w:rFonts w:ascii="Century Gothic" w:hAnsi="Century Gothic" w:cstheme="minorHAnsi"/>
        </w:rPr>
        <w:t>AusTender</w:t>
      </w:r>
      <w:proofErr w:type="spellEnd"/>
      <w:r>
        <w:rPr>
          <w:rFonts w:ascii="Century Gothic" w:hAnsi="Century Gothic" w:cstheme="minorHAnsi"/>
        </w:rPr>
        <w:t xml:space="preserve">. Sunita reviews the ATM and </w:t>
      </w:r>
      <w:r w:rsidRPr="00C6725B">
        <w:rPr>
          <w:rFonts w:ascii="Century Gothic" w:hAnsi="Century Gothic" w:cstheme="minorHAnsi"/>
        </w:rPr>
        <w:t>determines that h</w:t>
      </w:r>
      <w:r>
        <w:rPr>
          <w:rFonts w:ascii="Century Gothic" w:hAnsi="Century Gothic" w:cstheme="minorHAnsi"/>
        </w:rPr>
        <w:t xml:space="preserve">er </w:t>
      </w:r>
      <w:r w:rsidRPr="00C6725B">
        <w:rPr>
          <w:rFonts w:ascii="Century Gothic" w:hAnsi="Century Gothic" w:cstheme="minorHAnsi"/>
        </w:rPr>
        <w:t xml:space="preserve">company, </w:t>
      </w:r>
      <w:r>
        <w:rPr>
          <w:rFonts w:ascii="Century Gothic" w:hAnsi="Century Gothic" w:cstheme="minorHAnsi"/>
        </w:rPr>
        <w:t>JJ Engineering can meet an organisation-based MMR target of 3</w:t>
      </w:r>
      <w:r w:rsidRPr="00C6725B">
        <w:rPr>
          <w:rFonts w:ascii="Century Gothic" w:hAnsi="Century Gothic" w:cstheme="minorHAnsi"/>
        </w:rPr>
        <w:t xml:space="preserve"> per cent, comprising</w:t>
      </w:r>
      <w:r>
        <w:rPr>
          <w:rFonts w:ascii="Century Gothic" w:hAnsi="Century Gothic" w:cstheme="minorHAnsi"/>
        </w:rPr>
        <w:t xml:space="preserve"> 2 per cent employment and 1</w:t>
      </w:r>
      <w:r w:rsidRPr="00C6725B">
        <w:rPr>
          <w:rFonts w:ascii="Century Gothic" w:hAnsi="Century Gothic" w:cstheme="minorHAnsi"/>
        </w:rPr>
        <w:t xml:space="preserve"> per cent supply-use. </w:t>
      </w:r>
      <w:r>
        <w:rPr>
          <w:rFonts w:ascii="Century Gothic" w:hAnsi="Century Gothic" w:cstheme="minorHAnsi"/>
        </w:rPr>
        <w:t xml:space="preserve">JJ Engineering has an active contract with the </w:t>
      </w:r>
      <w:r w:rsidRPr="00C6725B">
        <w:rPr>
          <w:rFonts w:ascii="Century Gothic" w:hAnsi="Century Gothic" w:cstheme="minorHAnsi"/>
        </w:rPr>
        <w:t xml:space="preserve">Department of Land and Wildlife Conservation </w:t>
      </w:r>
      <w:r>
        <w:rPr>
          <w:rFonts w:ascii="Century Gothic" w:hAnsi="Century Gothic" w:cstheme="minorHAnsi"/>
        </w:rPr>
        <w:t xml:space="preserve">(DLWC) that also contains a 3 per cent </w:t>
      </w:r>
      <w:proofErr w:type="gramStart"/>
      <w:r>
        <w:rPr>
          <w:rFonts w:ascii="Century Gothic" w:hAnsi="Century Gothic" w:cstheme="minorHAnsi"/>
        </w:rPr>
        <w:t>organisation based</w:t>
      </w:r>
      <w:proofErr w:type="gramEnd"/>
      <w:r>
        <w:rPr>
          <w:rFonts w:ascii="Century Gothic" w:hAnsi="Century Gothic" w:cstheme="minorHAnsi"/>
        </w:rPr>
        <w:t xml:space="preserve"> MMR target. </w:t>
      </w:r>
    </w:p>
    <w:p w14:paraId="24BE154D" w14:textId="77777777" w:rsidR="00E96C7F" w:rsidRPr="00C6725B" w:rsidRDefault="00E96C7F" w:rsidP="00E96C7F">
      <w:pPr>
        <w:ind w:left="720"/>
        <w:rPr>
          <w:rFonts w:ascii="Century Gothic" w:hAnsi="Century Gothic" w:cstheme="minorHAnsi"/>
        </w:rPr>
      </w:pPr>
      <w:r>
        <w:rPr>
          <w:rFonts w:ascii="Century Gothic" w:hAnsi="Century Gothic" w:cstheme="minorHAnsi"/>
        </w:rPr>
        <w:t>Sunita includes these details in the I</w:t>
      </w:r>
      <w:r w:rsidRPr="00C6725B">
        <w:rPr>
          <w:rFonts w:ascii="Century Gothic" w:hAnsi="Century Gothic" w:cstheme="minorHAnsi"/>
        </w:rPr>
        <w:t xml:space="preserve">ndigenous Participation Plan </w:t>
      </w:r>
      <w:r>
        <w:rPr>
          <w:rFonts w:ascii="Century Gothic" w:hAnsi="Century Gothic" w:cstheme="minorHAnsi"/>
        </w:rPr>
        <w:t xml:space="preserve">in the </w:t>
      </w:r>
      <w:r w:rsidRPr="00C6725B">
        <w:rPr>
          <w:rFonts w:ascii="Century Gothic" w:hAnsi="Century Gothic" w:cstheme="minorHAnsi"/>
        </w:rPr>
        <w:t>tender submission</w:t>
      </w:r>
      <w:r>
        <w:rPr>
          <w:rFonts w:ascii="Century Gothic" w:hAnsi="Century Gothic" w:cstheme="minorHAnsi"/>
        </w:rPr>
        <w:t xml:space="preserve">, along with details of JJ Engineering’s current rate of Indigenous employment and supply use. Sunita also declares that JJ Engineering has been subject to, and complied with, the MMR in the past and is currently subject to an </w:t>
      </w:r>
      <w:proofErr w:type="gramStart"/>
      <w:r>
        <w:rPr>
          <w:rFonts w:ascii="Century Gothic" w:hAnsi="Century Gothic" w:cstheme="minorHAnsi"/>
        </w:rPr>
        <w:t>organisation based</w:t>
      </w:r>
      <w:proofErr w:type="gramEnd"/>
      <w:r>
        <w:rPr>
          <w:rFonts w:ascii="Century Gothic" w:hAnsi="Century Gothic" w:cstheme="minorHAnsi"/>
        </w:rPr>
        <w:t xml:space="preserve"> MMR target through a contract with DLWC. </w:t>
      </w:r>
    </w:p>
    <w:p w14:paraId="2B43E019" w14:textId="77777777" w:rsidR="00E96C7F" w:rsidRDefault="00E96C7F" w:rsidP="00E96C7F">
      <w:pPr>
        <w:ind w:left="720"/>
        <w:rPr>
          <w:rFonts w:ascii="Century Gothic" w:hAnsi="Century Gothic" w:cstheme="minorHAnsi"/>
        </w:rPr>
      </w:pPr>
      <w:r>
        <w:rPr>
          <w:rFonts w:ascii="Century Gothic" w:hAnsi="Century Gothic" w:cstheme="minorHAnsi"/>
        </w:rPr>
        <w:t xml:space="preserve">The DHE tender evaluation panel searches the IPPRS to confirm if tenders have previously been subject to the MMR.  DHE confirms that JJ Engineering has previously complied with the MMR and is currently reporting against an </w:t>
      </w:r>
      <w:proofErr w:type="gramStart"/>
      <w:r>
        <w:rPr>
          <w:rFonts w:ascii="Century Gothic" w:hAnsi="Century Gothic" w:cstheme="minorHAnsi"/>
        </w:rPr>
        <w:t>organisation based</w:t>
      </w:r>
      <w:proofErr w:type="gramEnd"/>
      <w:r>
        <w:rPr>
          <w:rFonts w:ascii="Century Gothic" w:hAnsi="Century Gothic" w:cstheme="minorHAnsi"/>
        </w:rPr>
        <w:t xml:space="preserve"> MMR target contained in a DLWC contract. DHE also considered </w:t>
      </w:r>
      <w:proofErr w:type="gramStart"/>
      <w:r>
        <w:rPr>
          <w:rFonts w:ascii="Century Gothic" w:hAnsi="Century Gothic" w:cstheme="minorHAnsi"/>
        </w:rPr>
        <w:t>whether or not</w:t>
      </w:r>
      <w:proofErr w:type="gramEnd"/>
      <w:r>
        <w:rPr>
          <w:rFonts w:ascii="Century Gothic" w:hAnsi="Century Gothic" w:cstheme="minorHAnsi"/>
        </w:rPr>
        <w:t xml:space="preserve"> the strategy outlined in JJ Engineering’s Indigenous Participation Plan is likely to support the achievement of the MMR over the life of the DHE contract.  </w:t>
      </w:r>
    </w:p>
    <w:p w14:paraId="65F8F09A" w14:textId="77777777" w:rsidR="00E96C7F" w:rsidRDefault="00E96C7F" w:rsidP="00E96C7F">
      <w:pPr>
        <w:tabs>
          <w:tab w:val="left" w:pos="7616"/>
        </w:tabs>
        <w:ind w:left="720"/>
        <w:rPr>
          <w:rFonts w:ascii="Century Gothic" w:hAnsi="Century Gothic" w:cstheme="minorHAnsi"/>
        </w:rPr>
      </w:pPr>
      <w:r>
        <w:rPr>
          <w:rFonts w:ascii="Century Gothic" w:hAnsi="Century Gothic" w:cstheme="minorHAnsi"/>
        </w:rPr>
        <w:t xml:space="preserve">JJ Engineering becomes the preferred supplier and enters a contract with DHE. DHE publishes a notice of this contract on </w:t>
      </w:r>
      <w:proofErr w:type="spellStart"/>
      <w:r>
        <w:rPr>
          <w:rFonts w:ascii="Century Gothic" w:hAnsi="Century Gothic" w:cstheme="minorHAnsi"/>
        </w:rPr>
        <w:t>AusTender</w:t>
      </w:r>
      <w:proofErr w:type="spellEnd"/>
      <w:r>
        <w:rPr>
          <w:rFonts w:ascii="Century Gothic" w:hAnsi="Century Gothic" w:cstheme="minorHAnsi"/>
        </w:rPr>
        <w:t xml:space="preserve">. </w:t>
      </w:r>
    </w:p>
    <w:p w14:paraId="1A3335C4" w14:textId="77777777" w:rsidR="00E96C7F" w:rsidRDefault="00E96C7F" w:rsidP="00E96C7F">
      <w:pPr>
        <w:ind w:left="720"/>
        <w:rPr>
          <w:rFonts w:ascii="Century Gothic" w:hAnsi="Century Gothic" w:cstheme="minorHAnsi"/>
        </w:rPr>
      </w:pPr>
      <w:r>
        <w:rPr>
          <w:rFonts w:ascii="Century Gothic" w:hAnsi="Century Gothic" w:cstheme="minorHAnsi"/>
        </w:rPr>
        <w:t xml:space="preserve">The IPPRS identifies (through data-matching with </w:t>
      </w:r>
      <w:proofErr w:type="spellStart"/>
      <w:r>
        <w:rPr>
          <w:rFonts w:ascii="Century Gothic" w:hAnsi="Century Gothic" w:cstheme="minorHAnsi"/>
        </w:rPr>
        <w:t>AusTender</w:t>
      </w:r>
      <w:proofErr w:type="spellEnd"/>
      <w:r>
        <w:rPr>
          <w:rFonts w:ascii="Century Gothic" w:hAnsi="Century Gothic" w:cstheme="minorHAnsi"/>
        </w:rPr>
        <w:t xml:space="preserve">) DHE has awarded a contract likely subject to the MMR and emails an alert to the Portfolio contact.  The Portfolio contact identifies the relevant contract manager. The contact manager confirms that the MMR applies to the contract and enters the </w:t>
      </w:r>
      <w:proofErr w:type="gramStart"/>
      <w:r>
        <w:rPr>
          <w:rFonts w:ascii="Century Gothic" w:hAnsi="Century Gothic" w:cstheme="minorHAnsi"/>
        </w:rPr>
        <w:t>organisation based</w:t>
      </w:r>
      <w:proofErr w:type="gramEnd"/>
      <w:r>
        <w:rPr>
          <w:rFonts w:ascii="Century Gothic" w:hAnsi="Century Gothic" w:cstheme="minorHAnsi"/>
        </w:rPr>
        <w:t xml:space="preserve"> MMR target, the delivery postcode and Sunita’s email address into the IPPRS. Sunita receives an email from the IPPRS to initiate quarterly reporting. </w:t>
      </w:r>
    </w:p>
    <w:p w14:paraId="39A2504F" w14:textId="77777777" w:rsidR="00E96C7F" w:rsidRDefault="00E96C7F" w:rsidP="00E96C7F">
      <w:pPr>
        <w:tabs>
          <w:tab w:val="left" w:pos="7616"/>
        </w:tabs>
        <w:ind w:left="720"/>
        <w:rPr>
          <w:rFonts w:ascii="Century Gothic" w:hAnsi="Century Gothic" w:cstheme="minorHAnsi"/>
        </w:rPr>
      </w:pPr>
      <w:r>
        <w:rPr>
          <w:rFonts w:ascii="Century Gothic" w:hAnsi="Century Gothic" w:cstheme="minorHAnsi"/>
        </w:rPr>
        <w:t>The contract requires Sunita</w:t>
      </w:r>
      <w:r w:rsidRPr="009137C3">
        <w:rPr>
          <w:rFonts w:ascii="Century Gothic" w:hAnsi="Century Gothic" w:cstheme="minorHAnsi"/>
        </w:rPr>
        <w:t xml:space="preserve"> </w:t>
      </w:r>
      <w:r>
        <w:rPr>
          <w:rFonts w:ascii="Century Gothic" w:hAnsi="Century Gothic" w:cstheme="minorHAnsi"/>
        </w:rPr>
        <w:t>to report JJ Engineering’s performance against the</w:t>
      </w:r>
      <w:r w:rsidRPr="009137C3">
        <w:rPr>
          <w:rFonts w:ascii="Century Gothic" w:hAnsi="Century Gothic" w:cstheme="minorHAnsi"/>
        </w:rPr>
        <w:t xml:space="preserve"> organisation-based target in the IPPRS </w:t>
      </w:r>
      <w:r w:rsidRPr="0049357C">
        <w:rPr>
          <w:rFonts w:ascii="Century Gothic" w:hAnsi="Century Gothic" w:cstheme="minorHAnsi"/>
        </w:rPr>
        <w:t>at least quarterly</w:t>
      </w:r>
      <w:r w:rsidRPr="009137C3">
        <w:rPr>
          <w:rFonts w:ascii="Century Gothic" w:hAnsi="Century Gothic" w:cstheme="minorHAnsi"/>
        </w:rPr>
        <w:t>.</w:t>
      </w:r>
      <w:r>
        <w:rPr>
          <w:rFonts w:ascii="Century Gothic" w:hAnsi="Century Gothic" w:cstheme="minorHAnsi"/>
        </w:rPr>
        <w:t xml:space="preserve"> However, suppliers </w:t>
      </w:r>
      <w:proofErr w:type="gramStart"/>
      <w:r>
        <w:rPr>
          <w:rFonts w:ascii="Century Gothic" w:hAnsi="Century Gothic" w:cstheme="minorHAnsi"/>
        </w:rPr>
        <w:t>are able to</w:t>
      </w:r>
      <w:proofErr w:type="gramEnd"/>
      <w:r>
        <w:rPr>
          <w:rFonts w:ascii="Century Gothic" w:hAnsi="Century Gothic" w:cstheme="minorHAnsi"/>
        </w:rPr>
        <w:t xml:space="preserve"> report more frequently against </w:t>
      </w:r>
      <w:r w:rsidRPr="0049357C">
        <w:rPr>
          <w:rFonts w:ascii="Century Gothic" w:hAnsi="Century Gothic" w:cstheme="minorHAnsi"/>
        </w:rPr>
        <w:t xml:space="preserve">organisation-based MMR targets. </w:t>
      </w:r>
      <w:r>
        <w:rPr>
          <w:rFonts w:ascii="Century Gothic" w:hAnsi="Century Gothic" w:cstheme="minorHAnsi"/>
        </w:rPr>
        <w:t>Sunita has previously decided to report against the DWLC contract monthly as this aligns with other reporting requirement in her organisation.</w:t>
      </w:r>
      <w:r w:rsidRPr="00C44B50">
        <w:rPr>
          <w:rFonts w:ascii="Century Gothic" w:hAnsi="Century Gothic" w:cstheme="minorHAnsi"/>
        </w:rPr>
        <w:t xml:space="preserve"> </w:t>
      </w:r>
      <w:r>
        <w:rPr>
          <w:rFonts w:ascii="Century Gothic" w:hAnsi="Century Gothic" w:cstheme="minorHAnsi"/>
        </w:rPr>
        <w:t xml:space="preserve">Sunita will only need to submit one report each month to meet the requirement of both contracts. </w:t>
      </w:r>
    </w:p>
    <w:p w14:paraId="22EFB1B4" w14:textId="77777777" w:rsidR="00E96C7F" w:rsidRDefault="00E96C7F" w:rsidP="00E96C7F">
      <w:pPr>
        <w:tabs>
          <w:tab w:val="left" w:pos="7616"/>
        </w:tabs>
        <w:ind w:left="720"/>
        <w:rPr>
          <w:rFonts w:ascii="Century Gothic" w:hAnsi="Century Gothic" w:cstheme="minorHAnsi"/>
        </w:rPr>
      </w:pPr>
      <w:r>
        <w:rPr>
          <w:rFonts w:ascii="Century Gothic" w:hAnsi="Century Gothic" w:cstheme="minorHAnsi"/>
        </w:rPr>
        <w:t xml:space="preserve">The IPPRS emails Sunita an alert when the report is due. </w:t>
      </w:r>
    </w:p>
    <w:p w14:paraId="60811969" w14:textId="77777777" w:rsidR="00E96C7F" w:rsidRDefault="00E96C7F" w:rsidP="00E96C7F">
      <w:pPr>
        <w:tabs>
          <w:tab w:val="left" w:pos="7616"/>
        </w:tabs>
        <w:ind w:left="720"/>
        <w:rPr>
          <w:rFonts w:ascii="Century Gothic" w:hAnsi="Century Gothic" w:cstheme="minorHAnsi"/>
        </w:rPr>
      </w:pPr>
      <w:r>
        <w:rPr>
          <w:rFonts w:ascii="Century Gothic" w:hAnsi="Century Gothic" w:cstheme="minorHAnsi"/>
        </w:rPr>
        <w:lastRenderedPageBreak/>
        <w:t xml:space="preserve">Sunita reports JJ Engineering’s total FTE for their Australian based operations for that month and the total Indigenous FTE employed as part of JJ Engineering’s Australian based operations for that month. </w:t>
      </w:r>
    </w:p>
    <w:p w14:paraId="53B8B4E0" w14:textId="77777777" w:rsidR="00E96C7F" w:rsidRDefault="00E96C7F" w:rsidP="00E96C7F">
      <w:pPr>
        <w:tabs>
          <w:tab w:val="left" w:pos="7616"/>
        </w:tabs>
        <w:ind w:left="720"/>
        <w:rPr>
          <w:rFonts w:ascii="Century Gothic" w:hAnsi="Century Gothic" w:cstheme="minorHAnsi"/>
        </w:rPr>
      </w:pPr>
      <w:r>
        <w:rPr>
          <w:rFonts w:ascii="Century Gothic" w:hAnsi="Century Gothic" w:cstheme="minorHAnsi"/>
        </w:rPr>
        <w:t xml:space="preserve">Sunita also reports the total Australian based supply chain spend for JJ Engineering for that month and all purchases and contracts JJ Engineering made with an Indigenous business that month.  </w:t>
      </w:r>
    </w:p>
    <w:p w14:paraId="6FFFC625" w14:textId="77777777" w:rsidR="00E96C7F" w:rsidRPr="0049357C" w:rsidRDefault="00E96C7F" w:rsidP="00E96C7F">
      <w:pPr>
        <w:tabs>
          <w:tab w:val="left" w:pos="7616"/>
        </w:tabs>
        <w:ind w:left="720"/>
        <w:rPr>
          <w:rFonts w:ascii="Century Gothic" w:hAnsi="Century Gothic" w:cstheme="minorHAnsi"/>
        </w:rPr>
      </w:pPr>
      <w:r>
        <w:rPr>
          <w:rFonts w:ascii="Century Gothic" w:hAnsi="Century Gothic" w:cstheme="minorHAnsi"/>
        </w:rPr>
        <w:t xml:space="preserve">The IPPRS uses the information to calculate performance to date against the DLWC and the DHE contracts. Sunita </w:t>
      </w:r>
      <w:proofErr w:type="gramStart"/>
      <w:r>
        <w:rPr>
          <w:rFonts w:ascii="Century Gothic" w:hAnsi="Century Gothic" w:cstheme="minorHAnsi"/>
        </w:rPr>
        <w:t>is able to</w:t>
      </w:r>
      <w:proofErr w:type="gramEnd"/>
      <w:r>
        <w:rPr>
          <w:rFonts w:ascii="Century Gothic" w:hAnsi="Century Gothic" w:cstheme="minorHAnsi"/>
        </w:rPr>
        <w:t xml:space="preserve"> </w:t>
      </w:r>
      <w:r w:rsidRPr="00C6725B">
        <w:rPr>
          <w:rFonts w:ascii="Century Gothic" w:hAnsi="Century Gothic" w:cstheme="minorHAnsi"/>
        </w:rPr>
        <w:t>track</w:t>
      </w:r>
      <w:r>
        <w:rPr>
          <w:rFonts w:ascii="Century Gothic" w:hAnsi="Century Gothic" w:cstheme="minorHAnsi"/>
        </w:rPr>
        <w:t xml:space="preserve"> her </w:t>
      </w:r>
      <w:r w:rsidRPr="00C6725B">
        <w:rPr>
          <w:rFonts w:ascii="Century Gothic" w:hAnsi="Century Gothic" w:cstheme="minorHAnsi"/>
        </w:rPr>
        <w:t xml:space="preserve">progress </w:t>
      </w:r>
      <w:r>
        <w:rPr>
          <w:rFonts w:ascii="Century Gothic" w:hAnsi="Century Gothic" w:cstheme="minorHAnsi"/>
        </w:rPr>
        <w:t xml:space="preserve">against both contacts </w:t>
      </w:r>
      <w:r w:rsidRPr="00C6725B">
        <w:rPr>
          <w:rFonts w:ascii="Century Gothic" w:hAnsi="Century Gothic" w:cstheme="minorHAnsi"/>
        </w:rPr>
        <w:t xml:space="preserve">and make early adjustments to ensure </w:t>
      </w:r>
      <w:r>
        <w:rPr>
          <w:rFonts w:ascii="Century Gothic" w:hAnsi="Century Gothic" w:cstheme="minorHAnsi"/>
        </w:rPr>
        <w:t>her</w:t>
      </w:r>
      <w:r w:rsidRPr="00C6725B">
        <w:rPr>
          <w:rFonts w:ascii="Century Gothic" w:hAnsi="Century Gothic" w:cstheme="minorHAnsi"/>
        </w:rPr>
        <w:t xml:space="preserve"> company’s performance remains on track.</w:t>
      </w:r>
      <w:r w:rsidRPr="0049357C">
        <w:rPr>
          <w:rFonts w:ascii="Century Gothic" w:hAnsi="Century Gothic" w:cstheme="minorHAnsi"/>
        </w:rPr>
        <w:t xml:space="preserve"> </w:t>
      </w:r>
    </w:p>
    <w:p w14:paraId="4261724D" w14:textId="77777777" w:rsidR="00E96C7F" w:rsidRDefault="00E96C7F" w:rsidP="00E96C7F">
      <w:pPr>
        <w:tabs>
          <w:tab w:val="left" w:pos="7616"/>
        </w:tabs>
        <w:ind w:left="720"/>
        <w:rPr>
          <w:rFonts w:ascii="Century Gothic" w:hAnsi="Century Gothic" w:cstheme="minorHAnsi"/>
        </w:rPr>
      </w:pPr>
      <w:r>
        <w:rPr>
          <w:rFonts w:ascii="Century Gothic" w:hAnsi="Century Gothic" w:cstheme="minorHAnsi"/>
        </w:rPr>
        <w:t>The DHE</w:t>
      </w:r>
      <w:r w:rsidRPr="009137C3">
        <w:rPr>
          <w:rFonts w:ascii="Century Gothic" w:hAnsi="Century Gothic" w:cstheme="minorHAnsi"/>
        </w:rPr>
        <w:t xml:space="preserve"> </w:t>
      </w:r>
      <w:r>
        <w:rPr>
          <w:rFonts w:ascii="Century Gothic" w:hAnsi="Century Gothic" w:cstheme="minorHAnsi"/>
        </w:rPr>
        <w:t xml:space="preserve">and the DLWC </w:t>
      </w:r>
      <w:r w:rsidRPr="009137C3">
        <w:rPr>
          <w:rFonts w:ascii="Century Gothic" w:hAnsi="Century Gothic" w:cstheme="minorHAnsi"/>
        </w:rPr>
        <w:t>contract</w:t>
      </w:r>
      <w:r>
        <w:rPr>
          <w:rFonts w:ascii="Century Gothic" w:hAnsi="Century Gothic" w:cstheme="minorHAnsi"/>
        </w:rPr>
        <w:t xml:space="preserve"> managers </w:t>
      </w:r>
      <w:r w:rsidRPr="009137C3">
        <w:rPr>
          <w:rFonts w:ascii="Century Gothic" w:hAnsi="Century Gothic" w:cstheme="minorHAnsi"/>
        </w:rPr>
        <w:t xml:space="preserve">receive an email </w:t>
      </w:r>
      <w:r>
        <w:rPr>
          <w:rFonts w:ascii="Century Gothic" w:hAnsi="Century Gothic" w:cstheme="minorHAnsi"/>
        </w:rPr>
        <w:t xml:space="preserve">when Sunita submits the report and </w:t>
      </w:r>
      <w:proofErr w:type="gramStart"/>
      <w:r>
        <w:rPr>
          <w:rFonts w:ascii="Century Gothic" w:hAnsi="Century Gothic" w:cstheme="minorHAnsi"/>
        </w:rPr>
        <w:t>are able to</w:t>
      </w:r>
      <w:proofErr w:type="gramEnd"/>
      <w:r>
        <w:rPr>
          <w:rFonts w:ascii="Century Gothic" w:hAnsi="Century Gothic" w:cstheme="minorHAnsi"/>
        </w:rPr>
        <w:t xml:space="preserve"> review the reports and make comments in the system. </w:t>
      </w:r>
    </w:p>
    <w:p w14:paraId="2F6ACD5D" w14:textId="77777777" w:rsidR="00E96C7F" w:rsidRPr="0049357C" w:rsidRDefault="00E96C7F" w:rsidP="00E96C7F">
      <w:pPr>
        <w:tabs>
          <w:tab w:val="left" w:pos="7616"/>
        </w:tabs>
        <w:ind w:left="720"/>
        <w:rPr>
          <w:rFonts w:ascii="Century Gothic" w:hAnsi="Century Gothic" w:cstheme="minorHAnsi"/>
        </w:rPr>
      </w:pPr>
      <w:r w:rsidRPr="00C6725B">
        <w:rPr>
          <w:rFonts w:ascii="Century Gothic" w:hAnsi="Century Gothic" w:cstheme="minorHAnsi"/>
        </w:rPr>
        <w:t>At the</w:t>
      </w:r>
      <w:r>
        <w:rPr>
          <w:rFonts w:ascii="Century Gothic" w:hAnsi="Century Gothic" w:cstheme="minorHAnsi"/>
        </w:rPr>
        <w:t xml:space="preserve"> end of the DHE contract end, JJ Engineering’s</w:t>
      </w:r>
      <w:r w:rsidRPr="00C6725B">
        <w:rPr>
          <w:rFonts w:ascii="Century Gothic" w:hAnsi="Century Gothic" w:cstheme="minorHAnsi"/>
        </w:rPr>
        <w:t xml:space="preserve"> final performance against its MMR target </w:t>
      </w:r>
      <w:r>
        <w:rPr>
          <w:rFonts w:ascii="Century Gothic" w:hAnsi="Century Gothic" w:cstheme="minorHAnsi"/>
        </w:rPr>
        <w:t xml:space="preserve">is </w:t>
      </w:r>
      <w:r w:rsidRPr="00C6725B">
        <w:rPr>
          <w:rFonts w:ascii="Century Gothic" w:hAnsi="Century Gothic" w:cstheme="minorHAnsi"/>
        </w:rPr>
        <w:t>calculated by the IPPRS. This information</w:t>
      </w:r>
      <w:r>
        <w:rPr>
          <w:rFonts w:ascii="Century Gothic" w:hAnsi="Century Gothic" w:cstheme="minorHAnsi"/>
        </w:rPr>
        <w:t xml:space="preserve"> is available to other Commonwealth officials required to consider the JJ Engineering’s past performance in tender evaluations. </w:t>
      </w:r>
      <w:r w:rsidRPr="0049357C">
        <w:rPr>
          <w:rFonts w:ascii="Century Gothic" w:hAnsi="Century Gothic" w:cstheme="minorHAnsi"/>
        </w:rPr>
        <w:t xml:space="preserve"> </w:t>
      </w:r>
    </w:p>
    <w:p w14:paraId="2F553703" w14:textId="77777777" w:rsidR="00E96C7F" w:rsidRDefault="00E96C7F" w:rsidP="00E96C7F"/>
    <w:p w14:paraId="732C39D7" w14:textId="77777777" w:rsidR="00FB2A32" w:rsidRPr="00E96C7F" w:rsidRDefault="00FB2A32" w:rsidP="00E96C7F"/>
    <w:sectPr w:rsidR="00FB2A32" w:rsidRPr="00E96C7F" w:rsidSect="003549E6">
      <w:headerReference w:type="even" r:id="rId64"/>
      <w:headerReference w:type="default" r:id="rId65"/>
      <w:footerReference w:type="even" r:id="rId66"/>
      <w:footerReference w:type="default" r:id="rId67"/>
      <w:headerReference w:type="first" r:id="rId68"/>
      <w:footerReference w:type="first" r:id="rId69"/>
      <w:pgSz w:w="11906" w:h="16838"/>
      <w:pgMar w:top="1559" w:right="851" w:bottom="1560"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A186" w14:textId="77777777" w:rsidR="00D404C6" w:rsidRDefault="00D404C6" w:rsidP="00B95533">
      <w:pPr>
        <w:spacing w:after="0" w:line="240" w:lineRule="auto"/>
      </w:pPr>
      <w:r>
        <w:separator/>
      </w:r>
    </w:p>
  </w:endnote>
  <w:endnote w:type="continuationSeparator" w:id="0">
    <w:p w14:paraId="3958E078" w14:textId="77777777" w:rsidR="00D404C6" w:rsidRDefault="00D404C6" w:rsidP="00B95533">
      <w:pPr>
        <w:spacing w:after="0" w:line="240" w:lineRule="auto"/>
      </w:pPr>
      <w:r>
        <w:continuationSeparator/>
      </w:r>
    </w:p>
  </w:endnote>
  <w:endnote w:type="continuationNotice" w:id="1">
    <w:p w14:paraId="4E1C493A" w14:textId="77777777" w:rsidR="00D404C6" w:rsidRDefault="00D40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3F97" w14:textId="7AEA454A" w:rsidR="00DF6F83" w:rsidRDefault="00755DDE">
    <w:pPr>
      <w:pStyle w:val="Footer"/>
    </w:pPr>
    <w:r>
      <w:rPr>
        <w:noProof/>
      </w:rPr>
      <mc:AlternateContent>
        <mc:Choice Requires="wps">
          <w:drawing>
            <wp:anchor distT="0" distB="0" distL="0" distR="0" simplePos="0" relativeHeight="251658246" behindDoc="0" locked="0" layoutInCell="1" allowOverlap="1" wp14:anchorId="087129AA" wp14:editId="107F44D7">
              <wp:simplePos x="635" y="635"/>
              <wp:positionH relativeFrom="page">
                <wp:align>center</wp:align>
              </wp:positionH>
              <wp:positionV relativeFrom="page">
                <wp:align>bottom</wp:align>
              </wp:positionV>
              <wp:extent cx="686435" cy="383540"/>
              <wp:effectExtent l="0" t="0" r="18415" b="0"/>
              <wp:wrapNone/>
              <wp:docPr id="14911669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3F18C870" w14:textId="34CE4D26"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129AA" id="_x0000_t202" coordsize="21600,21600" o:spt="202" path="m,l,21600r21600,l21600,xe">
              <v:stroke joinstyle="miter"/>
              <v:path gradientshapeok="t" o:connecttype="rect"/>
            </v:shapetype>
            <v:shape id="Text Box 5" o:spid="_x0000_s1031" type="#_x0000_t202" alt="OFFICIAL" style="position:absolute;margin-left:0;margin-top:0;width:54.05pt;height:30.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3F18C870" w14:textId="34CE4D26"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FEBF" w14:textId="494BF640" w:rsidR="00B037F4" w:rsidRPr="00B87E45" w:rsidRDefault="00755DDE" w:rsidP="001007B9">
    <w:pPr>
      <w:pStyle w:val="ProtectiveMarking"/>
    </w:pPr>
    <w:r>
      <mc:AlternateContent>
        <mc:Choice Requires="wps">
          <w:drawing>
            <wp:anchor distT="0" distB="0" distL="0" distR="0" simplePos="0" relativeHeight="251658247" behindDoc="0" locked="0" layoutInCell="1" allowOverlap="1" wp14:anchorId="0232D563" wp14:editId="446D93E2">
              <wp:simplePos x="542925" y="9753600"/>
              <wp:positionH relativeFrom="page">
                <wp:align>center</wp:align>
              </wp:positionH>
              <wp:positionV relativeFrom="page">
                <wp:align>bottom</wp:align>
              </wp:positionV>
              <wp:extent cx="686435" cy="383540"/>
              <wp:effectExtent l="0" t="0" r="18415" b="0"/>
              <wp:wrapNone/>
              <wp:docPr id="20975553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BF4A715" w14:textId="5E6D0154" w:rsidR="00755DDE" w:rsidRPr="00755DDE" w:rsidRDefault="00755DDE" w:rsidP="00755DDE">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2D563" id="_x0000_t202" coordsize="21600,21600" o:spt="202" path="m,l,21600r21600,l21600,xe">
              <v:stroke joinstyle="miter"/>
              <v:path gradientshapeok="t" o:connecttype="rect"/>
            </v:shapetype>
            <v:shape id="Text Box 6" o:spid="_x0000_s1032" type="#_x0000_t202" alt="OFFICIAL" style="position:absolute;left:0;text-align:left;margin-left:0;margin-top:0;width:54.05pt;height:30.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6BF4A715" w14:textId="5E6D0154" w:rsidR="00755DDE" w:rsidRPr="00755DDE" w:rsidRDefault="00755DDE" w:rsidP="00755DDE">
                    <w:pPr>
                      <w:spacing w:after="0"/>
                      <w:rPr>
                        <w:rFonts w:ascii="Arial" w:eastAsia="Arial" w:hAnsi="Arial" w:cs="Arial"/>
                        <w:noProof/>
                        <w:color w:val="FF0000"/>
                        <w:sz w:val="24"/>
                        <w:szCs w:val="24"/>
                      </w:rPr>
                    </w:pPr>
                  </w:p>
                </w:txbxContent>
              </v:textbox>
              <w10:wrap anchorx="page" anchory="page"/>
            </v:shape>
          </w:pict>
        </mc:Fallback>
      </mc:AlternateContent>
    </w:r>
  </w:p>
  <w:sdt>
    <w:sdtPr>
      <w:alias w:val="Classification"/>
      <w:tag w:val="Classification"/>
      <w:id w:val="209388759"/>
      <w:showingPlcHdr/>
      <w:dataBinding w:xpath="/root[1]/Classification[1]" w:storeItemID="{F533AE62-A212-4B26-92DA-A3B336E8AE06}"/>
      <w:text/>
    </w:sdtPr>
    <w:sdtContent>
      <w:p w14:paraId="115415BD" w14:textId="77777777" w:rsidR="00B037F4" w:rsidRPr="00B87E45" w:rsidRDefault="00B037F4" w:rsidP="001007B9">
        <w:pPr>
          <w:pStyle w:val="ProtectiveMarking"/>
        </w:pPr>
        <w:r>
          <w:t xml:space="preserve">     </w:t>
        </w:r>
      </w:p>
    </w:sdtContent>
  </w:sdt>
  <w:p w14:paraId="219DA96C" w14:textId="77777777" w:rsidR="00B037F4" w:rsidRPr="00073D52" w:rsidRDefault="00B037F4" w:rsidP="001007B9">
    <w:pPr>
      <w:pStyle w:val="Footerline"/>
    </w:pPr>
    <w:r>
      <w:rPr>
        <w:lang w:eastAsia="en-AU"/>
      </w:rPr>
      <mc:AlternateContent>
        <mc:Choice Requires="wps">
          <w:drawing>
            <wp:anchor distT="0" distB="0" distL="114300" distR="114300" simplePos="0" relativeHeight="251658241" behindDoc="0" locked="0" layoutInCell="1" allowOverlap="1" wp14:anchorId="0F2005DC" wp14:editId="5A8D7235">
              <wp:simplePos x="0" y="0"/>
              <wp:positionH relativeFrom="page">
                <wp:posOffset>537882</wp:posOffset>
              </wp:positionH>
              <wp:positionV relativeFrom="page">
                <wp:posOffset>10075769</wp:posOffset>
              </wp:positionV>
              <wp:extent cx="6480000" cy="0"/>
              <wp:effectExtent l="0" t="19050" r="35560" b="19050"/>
              <wp:wrapNone/>
              <wp:docPr id="2" name="Straight Connector 15"/>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clsh="http://schemas.microsoft.com/office/drawing/2020/classificationShape" xmlns:a="http://schemas.openxmlformats.org/drawingml/2006/main">
          <w:pict w14:anchorId="7E8F76B1">
            <v:line id="Straight Connector 15" style="position:absolute;z-index:251657216;visibility:visible;mso-wrap-style:square;mso-wrap-distance-left:9pt;mso-wrap-distance-top:0;mso-wrap-distance-right:9pt;mso-wrap-distance-bottom:0;mso-position-horizontal:absolute;mso-position-horizontal-relative:page;mso-position-vertical:absolute;mso-position-vertical-relative:page" o:spid="_x0000_s1026" strokecolor="#d1d1d1 [3214]" strokeweight="2.25pt" from="42.35pt,793.35pt" to="552.6pt,793.35pt" w14:anchorId="0F499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">
              <v:stroke joinstyle="miter"/>
              <w10:wrap anchorx="page" anchory="page"/>
            </v:line>
          </w:pict>
        </mc:Fallback>
      </mc:AlternateContent>
    </w:r>
    <w:r>
      <w:rPr>
        <w:lang w:eastAsia="en-AU"/>
      </w:rPr>
      <mc:AlternateContent>
        <mc:Choice Requires="wps">
          <w:drawing>
            <wp:anchor distT="45720" distB="45720" distL="114300" distR="114300" simplePos="0" relativeHeight="251658240" behindDoc="0" locked="1" layoutInCell="1" allowOverlap="1" wp14:anchorId="7F633850" wp14:editId="1C7445D5">
              <wp:simplePos x="0" y="0"/>
              <wp:positionH relativeFrom="margin">
                <wp:posOffset>6142355</wp:posOffset>
              </wp:positionH>
              <wp:positionV relativeFrom="page">
                <wp:posOffset>9950450</wp:posOffset>
              </wp:positionV>
              <wp:extent cx="332105" cy="726440"/>
              <wp:effectExtent l="0" t="0" r="1079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14:paraId="0F8AFF10" w14:textId="77777777" w:rsidR="00B037F4" w:rsidRPr="00825B23" w:rsidRDefault="00B037F4" w:rsidP="00F62B0B">
                          <w:pPr>
                            <w:pStyle w:val="Footer"/>
                            <w:spacing w:after="0"/>
                            <w:jc w:val="right"/>
                            <w:rPr>
                              <w:b/>
                            </w:rPr>
                          </w:pPr>
                          <w:r w:rsidRPr="00825B23">
                            <w:rPr>
                              <w:b/>
                            </w:rPr>
                            <w:fldChar w:fldCharType="begin"/>
                          </w:r>
                          <w:r w:rsidRPr="00825B23">
                            <w:instrText xml:space="preserve"> PAGE   \* MERGEFORMAT </w:instrText>
                          </w:r>
                          <w:r w:rsidRPr="00825B23">
                            <w:rPr>
                              <w:b/>
                            </w:rPr>
                            <w:fldChar w:fldCharType="separate"/>
                          </w:r>
                          <w:r w:rsidR="00E63587">
                            <w:rPr>
                              <w:noProof/>
                            </w:rPr>
                            <w:t>32</w:t>
                          </w:r>
                          <w:r w:rsidRPr="00825B23">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33850" id="_x0000_s1033" type="#_x0000_t202" style="position:absolute;margin-left:483.65pt;margin-top:783.5pt;width:26.15pt;height:5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" filled="f" stroked="f">
              <v:textbox inset="0,0,0,0">
                <w:txbxContent>
                  <w:p w14:paraId="0F8AFF10" w14:textId="77777777" w:rsidR="00B037F4" w:rsidRPr="00825B23" w:rsidRDefault="00B037F4" w:rsidP="00F62B0B">
                    <w:pPr>
                      <w:pStyle w:val="Footer"/>
                      <w:spacing w:after="0"/>
                      <w:jc w:val="right"/>
                      <w:rPr>
                        <w:b/>
                      </w:rPr>
                    </w:pPr>
                    <w:r w:rsidRPr="00825B23">
                      <w:rPr>
                        <w:b/>
                      </w:rPr>
                      <w:fldChar w:fldCharType="begin"/>
                    </w:r>
                    <w:r w:rsidRPr="00825B23">
                      <w:instrText xml:space="preserve"> PAGE   \* MERGEFORMAT </w:instrText>
                    </w:r>
                    <w:r w:rsidRPr="00825B23">
                      <w:rPr>
                        <w:b/>
                      </w:rPr>
                      <w:fldChar w:fldCharType="separate"/>
                    </w:r>
                    <w:r w:rsidR="00E63587">
                      <w:rPr>
                        <w:noProof/>
                      </w:rPr>
                      <w:t>32</w:t>
                    </w:r>
                    <w:r w:rsidRPr="00825B23">
                      <w:rPr>
                        <w:b/>
                        <w:noProof/>
                      </w:rPr>
                      <w:fldChar w:fldCharType="end"/>
                    </w:r>
                  </w:p>
                </w:txbxContent>
              </v:textbox>
              <w10:wrap anchorx="margin" anchory="page"/>
              <w10:anchorlock/>
            </v:shape>
          </w:pict>
        </mc:Fallback>
      </mc:AlternateContent>
    </w:r>
  </w:p>
  <w:p w14:paraId="38796B60" w14:textId="1BCFD59A" w:rsidR="00B037F4" w:rsidRPr="00825B23" w:rsidRDefault="00B037F4" w:rsidP="00F62B0B">
    <w:pPr>
      <w:pStyle w:val="Footer"/>
      <w:rPr>
        <w:b/>
      </w:rPr>
    </w:pPr>
    <w:r>
      <w:t>NIAA</w:t>
    </w:r>
    <w:r w:rsidRPr="00825B23">
      <w:t xml:space="preserve"> |  </w:t>
    </w:r>
    <w:sdt>
      <w:sdtPr>
        <w:rPr>
          <w:b/>
        </w:rPr>
        <w:alias w:val="Document Heading"/>
        <w:tag w:val="DH"/>
        <w:id w:val="1300027642"/>
        <w:placeholder>
          <w:docPart w:val="64ECB1877BB14627B8D594D18508B5F6"/>
        </w:placeholder>
        <w:dataBinding w:xpath="/root[1]/DH[1]" w:storeItemID="{F533AE62-A212-4B26-92DA-A3B336E8AE06}"/>
        <w:text/>
      </w:sdtPr>
      <w:sdtContent>
        <w:r w:rsidR="004C3AB7">
          <w:rPr>
            <w:b/>
          </w:rPr>
          <w:t xml:space="preserve"> MMR guide for procuring officials and contract managers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87ED" w14:textId="6E0A162C" w:rsidR="00B037F4" w:rsidRPr="00B87E45" w:rsidRDefault="00755DDE" w:rsidP="00917F95">
    <w:pPr>
      <w:pStyle w:val="ProtectiveMarking"/>
    </w:pPr>
    <w:r>
      <mc:AlternateContent>
        <mc:Choice Requires="wps">
          <w:drawing>
            <wp:anchor distT="0" distB="0" distL="0" distR="0" simplePos="0" relativeHeight="251658245" behindDoc="0" locked="0" layoutInCell="1" allowOverlap="1" wp14:anchorId="140180FC" wp14:editId="39960FDD">
              <wp:simplePos x="542925" y="10086975"/>
              <wp:positionH relativeFrom="page">
                <wp:align>center</wp:align>
              </wp:positionH>
              <wp:positionV relativeFrom="page">
                <wp:align>bottom</wp:align>
              </wp:positionV>
              <wp:extent cx="686435" cy="383540"/>
              <wp:effectExtent l="0" t="0" r="18415" b="0"/>
              <wp:wrapNone/>
              <wp:docPr id="9656086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BBE0127" w14:textId="233F2676"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180FC" id="_x0000_t202" coordsize="21600,21600" o:spt="202" path="m,l,21600r21600,l21600,xe">
              <v:stroke joinstyle="miter"/>
              <v:path gradientshapeok="t" o:connecttype="rect"/>
            </v:shapetype>
            <v:shape id="Text Box 4" o:spid="_x0000_s1035" type="#_x0000_t202" alt="OFFICIAL" style="position:absolute;left:0;text-align:left;margin-left:0;margin-top:0;width:54.05pt;height:30.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L0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4yLhLBfUZt3EwsO8t37bY&#10;esd8eGYO6cY9UMLhCQ+poCspXCxKGnDf/+aP+cgCRinpUD4lNahvStQXg+xEpY2GG40qGdOP+TzH&#10;uDnqe0BRTvF/WJ5M9LqgRlM60K8o7k1shCFmOLYraTWa92HQMX4OLjablISisizszN7yWDrCFbF8&#10;6V+ZsxfAAzL1CKO2WPEG9yE3vvR2g8Rv20RKBHkA8oI4CjJxdfk8UfG/3lPWzy++/gE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CYtRL0GQIAACoEAAAOAAAAAAAAAAAAAAAAAC4CAABkcnMvZTJvRG9jLnhtbFBLAQItABQABgAI&#10;AAAAIQBi2/Bv2wAAAAQBAAAPAAAAAAAAAAAAAAAAAHMEAABkcnMvZG93bnJldi54bWxQSwUGAAAA&#10;AAQABADzAAAAewUAAAAA&#10;" filled="f" stroked="f">
              <v:textbox style="mso-fit-shape-to-text:t" inset="0,0,0,15pt">
                <w:txbxContent>
                  <w:p w14:paraId="5BBE0127" w14:textId="233F2676"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v:textbox>
              <w10:wrap anchorx="page" anchory="page"/>
            </v:shape>
          </w:pict>
        </mc:Fallback>
      </mc:AlternateContent>
    </w:r>
  </w:p>
  <w:sdt>
    <w:sdtPr>
      <w:alias w:val="Classification"/>
      <w:tag w:val="Classification"/>
      <w:id w:val="624817226"/>
      <w:showingPlcHdr/>
      <w:dataBinding w:xpath="/root[1]/Classification[1]" w:storeItemID="{F533AE62-A212-4B26-92DA-A3B336E8AE06}"/>
      <w:text/>
    </w:sdtPr>
    <w:sdtContent>
      <w:p w14:paraId="53E5412A" w14:textId="77777777" w:rsidR="00B037F4" w:rsidRPr="00B87E45" w:rsidRDefault="00B037F4" w:rsidP="00917F95">
        <w:pPr>
          <w:pStyle w:val="ProtectiveMarking"/>
        </w:pPr>
        <w:r>
          <w:t xml:space="preserve">     </w:t>
        </w:r>
      </w:p>
    </w:sdtContent>
  </w:sdt>
  <w:p w14:paraId="4825680A" w14:textId="12EBF354" w:rsidR="00B037F4" w:rsidRPr="00195BA8" w:rsidRDefault="00B037F4" w:rsidP="00F62B0B">
    <w:pPr>
      <w:pStyle w:val="Footer"/>
    </w:pPr>
    <w:r w:rsidRPr="005A0DE7">
      <w:t xml:space="preserve"> </w:t>
    </w:r>
    <w:proofErr w:type="gramStart"/>
    <w:r w:rsidRPr="005A0DE7">
      <w:t>|  |</w:t>
    </w:r>
    <w:proofErr w:type="gramEnd"/>
    <w:r w:rsidRPr="005A0DE7">
      <w:t xml:space="preserve"> </w:t>
    </w:r>
    <w:sdt>
      <w:sdtPr>
        <w:rPr>
          <w:b/>
          <w:caps/>
        </w:rPr>
        <w:alias w:val="Document Heading"/>
        <w:tag w:val="DH"/>
        <w:id w:val="1036542736"/>
        <w:placeholder>
          <w:docPart w:val="72096C4C56D84A97AAC18B09E80B2A42"/>
        </w:placeholder>
        <w:dataBinding w:xpath="/root[1]/DH[1]" w:storeItemID="{F533AE62-A212-4B26-92DA-A3B336E8AE06}"/>
        <w:text/>
      </w:sdtPr>
      <w:sdtContent>
        <w:r w:rsidR="004C3AB7">
          <w:rPr>
            <w:b/>
            <w:caps/>
          </w:rPr>
          <w:t xml:space="preserve"> MMR guide for procuring officials and contract managers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DE4D" w14:textId="77777777" w:rsidR="00D404C6" w:rsidRPr="003A7E73" w:rsidRDefault="00D404C6" w:rsidP="00B95533">
      <w:pPr>
        <w:spacing w:after="0" w:line="240" w:lineRule="auto"/>
        <w:rPr>
          <w:color w:val="BEA887" w:themeColor="accent2"/>
        </w:rPr>
      </w:pPr>
      <w:r w:rsidRPr="003A7E73">
        <w:rPr>
          <w:color w:val="BEA887" w:themeColor="accent2"/>
        </w:rPr>
        <w:separator/>
      </w:r>
    </w:p>
  </w:footnote>
  <w:footnote w:type="continuationSeparator" w:id="0">
    <w:p w14:paraId="3B1772F9" w14:textId="77777777" w:rsidR="00D404C6" w:rsidRPr="003A7E73" w:rsidRDefault="00D404C6" w:rsidP="00B95533">
      <w:pPr>
        <w:spacing w:after="0" w:line="240" w:lineRule="auto"/>
        <w:rPr>
          <w:color w:val="BEA887" w:themeColor="accent2"/>
        </w:rPr>
      </w:pPr>
      <w:r w:rsidRPr="003A7E73">
        <w:rPr>
          <w:color w:val="BEA887" w:themeColor="accent2"/>
        </w:rPr>
        <w:continuationSeparator/>
      </w:r>
    </w:p>
  </w:footnote>
  <w:footnote w:type="continuationNotice" w:id="1">
    <w:p w14:paraId="32EBE497" w14:textId="77777777" w:rsidR="00D404C6" w:rsidRDefault="00D40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5556" w14:textId="3D549752" w:rsidR="00DF6F83" w:rsidRDefault="00755DDE">
    <w:pPr>
      <w:pStyle w:val="Header"/>
    </w:pPr>
    <w:r>
      <w:rPr>
        <w:noProof/>
      </w:rPr>
      <mc:AlternateContent>
        <mc:Choice Requires="wps">
          <w:drawing>
            <wp:anchor distT="0" distB="0" distL="0" distR="0" simplePos="0" relativeHeight="251658243" behindDoc="0" locked="0" layoutInCell="1" allowOverlap="1" wp14:anchorId="713DF03D" wp14:editId="471D4859">
              <wp:simplePos x="635" y="635"/>
              <wp:positionH relativeFrom="page">
                <wp:align>center</wp:align>
              </wp:positionH>
              <wp:positionV relativeFrom="page">
                <wp:align>top</wp:align>
              </wp:positionV>
              <wp:extent cx="686435" cy="383540"/>
              <wp:effectExtent l="0" t="0" r="18415" b="16510"/>
              <wp:wrapNone/>
              <wp:docPr id="4375824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CCD95A1" w14:textId="25F22405"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DF03D" id="_x0000_t202" coordsize="21600,21600" o:spt="202" path="m,l,21600r21600,l21600,xe">
              <v:stroke joinstyle="miter"/>
              <v:path gradientshapeok="t" o:connecttype="rect"/>
            </v:shapetype>
            <v:shape id="_x0000_s1029" type="#_x0000_t202" alt="OFFICIAL" style="position:absolute;margin-left:0;margin-top:0;width:54.05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6CCD95A1" w14:textId="25F22405"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CE7C" w14:textId="01FF0B9E" w:rsidR="00DF6F83" w:rsidRDefault="00755DDE">
    <w:pPr>
      <w:pStyle w:val="Header"/>
    </w:pPr>
    <w:r>
      <w:rPr>
        <w:noProof/>
      </w:rPr>
      <mc:AlternateContent>
        <mc:Choice Requires="wps">
          <w:drawing>
            <wp:anchor distT="0" distB="0" distL="0" distR="0" simplePos="0" relativeHeight="251658244" behindDoc="0" locked="0" layoutInCell="1" allowOverlap="1" wp14:anchorId="306D69D7" wp14:editId="66EC2646">
              <wp:simplePos x="542925" y="361950"/>
              <wp:positionH relativeFrom="page">
                <wp:align>center</wp:align>
              </wp:positionH>
              <wp:positionV relativeFrom="page">
                <wp:align>top</wp:align>
              </wp:positionV>
              <wp:extent cx="686435" cy="383540"/>
              <wp:effectExtent l="0" t="0" r="18415" b="16510"/>
              <wp:wrapNone/>
              <wp:docPr id="14646935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AEF3E50" w14:textId="7217B88A" w:rsidR="00755DDE" w:rsidRPr="00755DDE" w:rsidRDefault="00755DDE" w:rsidP="00755DDE">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D69D7" id="_x0000_t202" coordsize="21600,21600" o:spt="202" path="m,l,21600r21600,l21600,xe">
              <v:stroke joinstyle="miter"/>
              <v:path gradientshapeok="t" o:connecttype="rect"/>
            </v:shapetype>
            <v:shape id="Text Box 3" o:spid="_x0000_s1030"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7AEF3E50" w14:textId="7217B88A" w:rsidR="00755DDE" w:rsidRPr="00755DDE" w:rsidRDefault="00755DDE" w:rsidP="00755DDE">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1CBA" w14:textId="5C118527" w:rsidR="00B037F4" w:rsidRPr="00B87E45" w:rsidRDefault="00755DDE" w:rsidP="0003303C">
    <w:pPr>
      <w:pStyle w:val="ProtectiveMarking"/>
      <w:jc w:val="left"/>
    </w:pPr>
    <w:r>
      <mc:AlternateContent>
        <mc:Choice Requires="wps">
          <w:drawing>
            <wp:anchor distT="0" distB="0" distL="0" distR="0" simplePos="0" relativeHeight="251658242" behindDoc="0" locked="0" layoutInCell="1" allowOverlap="1" wp14:anchorId="272E0E66" wp14:editId="1C5695CC">
              <wp:simplePos x="542925" y="361950"/>
              <wp:positionH relativeFrom="page">
                <wp:align>center</wp:align>
              </wp:positionH>
              <wp:positionV relativeFrom="page">
                <wp:align>top</wp:align>
              </wp:positionV>
              <wp:extent cx="686435" cy="383540"/>
              <wp:effectExtent l="0" t="0" r="18415" b="16510"/>
              <wp:wrapNone/>
              <wp:docPr id="1728142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4627976" w14:textId="20DA716C"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E0E66" id="_x0000_t202" coordsize="21600,21600" o:spt="202" path="m,l,21600r21600,l21600,xe">
              <v:stroke joinstyle="miter"/>
              <v:path gradientshapeok="t" o:connecttype="rect"/>
            </v:shapetype>
            <v:shape id="Text Box 1" o:spid="_x0000_s1034" type="#_x0000_t202" alt="OFFICIAL" style="position:absolute;margin-left:0;margin-top:0;width:54.05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QG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Foyph/zeY43N7qr&#10;0TBHfQ8oyin+D8uTGfOCGk3pQL+iuDexEYaY4diupGE078OgY/wcXGw2KQlFZVnYmb3lsXSEK2L5&#10;0r8yZy+AB2TqEUZtseIN7kNufOntBonftomUCPIA5AVxFGTi6vJ5ouJ/vaesn198/Q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sbOUBhkCAAAqBAAADgAAAAAAAAAAAAAAAAAuAgAAZHJzL2Uyb0RvYy54bWxQSwECLQAUAAYACAAA&#10;ACEAU7RMVtkAAAAEAQAADwAAAAAAAAAAAAAAAABzBAAAZHJzL2Rvd25yZXYueG1sUEsFBgAAAAAE&#10;AAQA8wAAAHkFAAAAAA==&#10;" filled="f" stroked="f">
              <v:textbox style="mso-fit-shape-to-text:t" inset="0,15pt,0,0">
                <w:txbxContent>
                  <w:p w14:paraId="14627976" w14:textId="20DA716C" w:rsidR="00755DDE" w:rsidRPr="00755DDE" w:rsidRDefault="00755DDE" w:rsidP="00755DDE">
                    <w:pPr>
                      <w:spacing w:after="0"/>
                      <w:rPr>
                        <w:rFonts w:ascii="Arial" w:eastAsia="Arial" w:hAnsi="Arial" w:cs="Arial"/>
                        <w:noProof/>
                        <w:color w:val="FF0000"/>
                        <w:sz w:val="24"/>
                        <w:szCs w:val="24"/>
                      </w:rPr>
                    </w:pPr>
                    <w:r w:rsidRPr="00755DDE">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55"/>
    <w:multiLevelType w:val="hybridMultilevel"/>
    <w:tmpl w:val="2C02C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D1A18"/>
    <w:multiLevelType w:val="hybridMultilevel"/>
    <w:tmpl w:val="DDBE5298"/>
    <w:lvl w:ilvl="0" w:tplc="FD4A949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A28F7"/>
    <w:multiLevelType w:val="hybridMultilevel"/>
    <w:tmpl w:val="7520BF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4" w15:restartNumberingAfterBreak="0">
    <w:nsid w:val="13EE3D04"/>
    <w:multiLevelType w:val="hybridMultilevel"/>
    <w:tmpl w:val="90B846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4B40B9"/>
    <w:multiLevelType w:val="hybridMultilevel"/>
    <w:tmpl w:val="9746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F832E8"/>
    <w:multiLevelType w:val="hybridMultilevel"/>
    <w:tmpl w:val="6450AE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BB171B"/>
    <w:multiLevelType w:val="hybridMultilevel"/>
    <w:tmpl w:val="3B824866"/>
    <w:lvl w:ilvl="0" w:tplc="FD4A949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A777F"/>
    <w:multiLevelType w:val="hybridMultilevel"/>
    <w:tmpl w:val="4AA62B32"/>
    <w:lvl w:ilvl="0" w:tplc="6A721C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12517"/>
    <w:multiLevelType w:val="hybridMultilevel"/>
    <w:tmpl w:val="2D0A5BBA"/>
    <w:lvl w:ilvl="0" w:tplc="0C090001">
      <w:start w:val="1"/>
      <w:numFmt w:val="bullet"/>
      <w:lvlText w:val=""/>
      <w:lvlJc w:val="left"/>
      <w:pPr>
        <w:ind w:left="1487" w:hanging="360"/>
      </w:pPr>
      <w:rPr>
        <w:rFonts w:ascii="Symbol" w:hAnsi="Symbol" w:hint="default"/>
      </w:rPr>
    </w:lvl>
    <w:lvl w:ilvl="1" w:tplc="0C090003">
      <w:start w:val="1"/>
      <w:numFmt w:val="bullet"/>
      <w:lvlText w:val="o"/>
      <w:lvlJc w:val="left"/>
      <w:pPr>
        <w:ind w:left="2207" w:hanging="360"/>
      </w:pPr>
      <w:rPr>
        <w:rFonts w:ascii="Courier New" w:hAnsi="Courier New" w:cs="Courier New" w:hint="default"/>
      </w:rPr>
    </w:lvl>
    <w:lvl w:ilvl="2" w:tplc="0C090005">
      <w:start w:val="1"/>
      <w:numFmt w:val="bullet"/>
      <w:lvlText w:val=""/>
      <w:lvlJc w:val="left"/>
      <w:pPr>
        <w:ind w:left="2927" w:hanging="360"/>
      </w:pPr>
      <w:rPr>
        <w:rFonts w:ascii="Wingdings" w:hAnsi="Wingdings" w:hint="default"/>
      </w:rPr>
    </w:lvl>
    <w:lvl w:ilvl="3" w:tplc="0C090001">
      <w:start w:val="1"/>
      <w:numFmt w:val="bullet"/>
      <w:lvlText w:val=""/>
      <w:lvlJc w:val="left"/>
      <w:pPr>
        <w:ind w:left="3647" w:hanging="360"/>
      </w:pPr>
      <w:rPr>
        <w:rFonts w:ascii="Symbol" w:hAnsi="Symbol" w:hint="default"/>
      </w:rPr>
    </w:lvl>
    <w:lvl w:ilvl="4" w:tplc="0C090003">
      <w:start w:val="1"/>
      <w:numFmt w:val="bullet"/>
      <w:lvlText w:val="o"/>
      <w:lvlJc w:val="left"/>
      <w:pPr>
        <w:ind w:left="4367" w:hanging="360"/>
      </w:pPr>
      <w:rPr>
        <w:rFonts w:ascii="Courier New" w:hAnsi="Courier New" w:cs="Courier New" w:hint="default"/>
      </w:rPr>
    </w:lvl>
    <w:lvl w:ilvl="5" w:tplc="0C090005">
      <w:start w:val="1"/>
      <w:numFmt w:val="bullet"/>
      <w:lvlText w:val=""/>
      <w:lvlJc w:val="left"/>
      <w:pPr>
        <w:ind w:left="5087" w:hanging="360"/>
      </w:pPr>
      <w:rPr>
        <w:rFonts w:ascii="Wingdings" w:hAnsi="Wingdings" w:hint="default"/>
      </w:rPr>
    </w:lvl>
    <w:lvl w:ilvl="6" w:tplc="0C090001">
      <w:start w:val="1"/>
      <w:numFmt w:val="bullet"/>
      <w:lvlText w:val=""/>
      <w:lvlJc w:val="left"/>
      <w:pPr>
        <w:ind w:left="5807" w:hanging="360"/>
      </w:pPr>
      <w:rPr>
        <w:rFonts w:ascii="Symbol" w:hAnsi="Symbol" w:hint="default"/>
      </w:rPr>
    </w:lvl>
    <w:lvl w:ilvl="7" w:tplc="0C090003">
      <w:start w:val="1"/>
      <w:numFmt w:val="bullet"/>
      <w:lvlText w:val="o"/>
      <w:lvlJc w:val="left"/>
      <w:pPr>
        <w:ind w:left="6527" w:hanging="360"/>
      </w:pPr>
      <w:rPr>
        <w:rFonts w:ascii="Courier New" w:hAnsi="Courier New" w:cs="Courier New" w:hint="default"/>
      </w:rPr>
    </w:lvl>
    <w:lvl w:ilvl="8" w:tplc="0C090005">
      <w:start w:val="1"/>
      <w:numFmt w:val="bullet"/>
      <w:lvlText w:val=""/>
      <w:lvlJc w:val="left"/>
      <w:pPr>
        <w:ind w:left="7247" w:hanging="360"/>
      </w:pPr>
      <w:rPr>
        <w:rFonts w:ascii="Wingdings" w:hAnsi="Wingdings" w:hint="default"/>
      </w:rPr>
    </w:lvl>
  </w:abstractNum>
  <w:abstractNum w:abstractNumId="10" w15:restartNumberingAfterBreak="0">
    <w:nsid w:val="1B327385"/>
    <w:multiLevelType w:val="multilevel"/>
    <w:tmpl w:val="23D06FA2"/>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1" w15:restartNumberingAfterBreak="0">
    <w:nsid w:val="1B3B5FFB"/>
    <w:multiLevelType w:val="multilevel"/>
    <w:tmpl w:val="B84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C49C7"/>
    <w:multiLevelType w:val="hybridMultilevel"/>
    <w:tmpl w:val="558C5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4D247E"/>
    <w:multiLevelType w:val="hybridMultilevel"/>
    <w:tmpl w:val="66A403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F6F256F"/>
    <w:multiLevelType w:val="hybridMultilevel"/>
    <w:tmpl w:val="4A0E6994"/>
    <w:lvl w:ilvl="0" w:tplc="46E643C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62810"/>
    <w:multiLevelType w:val="hybridMultilevel"/>
    <w:tmpl w:val="43E8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0728CD"/>
    <w:multiLevelType w:val="hybridMultilevel"/>
    <w:tmpl w:val="8CF2A916"/>
    <w:lvl w:ilvl="0" w:tplc="504A93B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821502"/>
    <w:multiLevelType w:val="hybridMultilevel"/>
    <w:tmpl w:val="92AAE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07A757E"/>
    <w:multiLevelType w:val="hybridMultilevel"/>
    <w:tmpl w:val="6758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4158A6"/>
    <w:multiLevelType w:val="multilevel"/>
    <w:tmpl w:val="552E4F68"/>
    <w:lvl w:ilvl="0">
      <w:start w:val="1"/>
      <w:numFmt w:val="decimal"/>
      <w:lvlText w:val="%1.0"/>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E4E7A4D"/>
    <w:multiLevelType w:val="hybridMultilevel"/>
    <w:tmpl w:val="79FC2954"/>
    <w:lvl w:ilvl="0" w:tplc="504A93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714459"/>
    <w:multiLevelType w:val="hybridMultilevel"/>
    <w:tmpl w:val="95569A14"/>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ED64DEA"/>
    <w:multiLevelType w:val="hybridMultilevel"/>
    <w:tmpl w:val="AA981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E507D2"/>
    <w:multiLevelType w:val="hybridMultilevel"/>
    <w:tmpl w:val="635AEA98"/>
    <w:lvl w:ilvl="0" w:tplc="32E8444E">
      <w:start w:val="3"/>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B07C8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C867E4"/>
    <w:multiLevelType w:val="hybridMultilevel"/>
    <w:tmpl w:val="C7F205F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42242013"/>
    <w:multiLevelType w:val="hybridMultilevel"/>
    <w:tmpl w:val="6BB8D956"/>
    <w:lvl w:ilvl="0" w:tplc="504A93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0E1B4C"/>
    <w:multiLevelType w:val="hybridMultilevel"/>
    <w:tmpl w:val="F4DE7DB4"/>
    <w:lvl w:ilvl="0" w:tplc="D1869E0C">
      <w:start w:val="1"/>
      <w:numFmt w:val="bullet"/>
      <w:lvlText w:val="•"/>
      <w:lvlJc w:val="left"/>
      <w:pPr>
        <w:tabs>
          <w:tab w:val="num" w:pos="720"/>
        </w:tabs>
        <w:ind w:left="720" w:hanging="360"/>
      </w:pPr>
      <w:rPr>
        <w:rFonts w:ascii="Times New Roman" w:hAnsi="Times New Roman" w:hint="default"/>
      </w:rPr>
    </w:lvl>
    <w:lvl w:ilvl="1" w:tplc="A590FB70" w:tentative="1">
      <w:start w:val="1"/>
      <w:numFmt w:val="bullet"/>
      <w:lvlText w:val="•"/>
      <w:lvlJc w:val="left"/>
      <w:pPr>
        <w:tabs>
          <w:tab w:val="num" w:pos="1440"/>
        </w:tabs>
        <w:ind w:left="1440" w:hanging="360"/>
      </w:pPr>
      <w:rPr>
        <w:rFonts w:ascii="Times New Roman" w:hAnsi="Times New Roman" w:hint="default"/>
      </w:rPr>
    </w:lvl>
    <w:lvl w:ilvl="2" w:tplc="87065CE4" w:tentative="1">
      <w:start w:val="1"/>
      <w:numFmt w:val="bullet"/>
      <w:lvlText w:val="•"/>
      <w:lvlJc w:val="left"/>
      <w:pPr>
        <w:tabs>
          <w:tab w:val="num" w:pos="2160"/>
        </w:tabs>
        <w:ind w:left="2160" w:hanging="360"/>
      </w:pPr>
      <w:rPr>
        <w:rFonts w:ascii="Times New Roman" w:hAnsi="Times New Roman" w:hint="default"/>
      </w:rPr>
    </w:lvl>
    <w:lvl w:ilvl="3" w:tplc="0D445092" w:tentative="1">
      <w:start w:val="1"/>
      <w:numFmt w:val="bullet"/>
      <w:lvlText w:val="•"/>
      <w:lvlJc w:val="left"/>
      <w:pPr>
        <w:tabs>
          <w:tab w:val="num" w:pos="2880"/>
        </w:tabs>
        <w:ind w:left="2880" w:hanging="360"/>
      </w:pPr>
      <w:rPr>
        <w:rFonts w:ascii="Times New Roman" w:hAnsi="Times New Roman" w:hint="default"/>
      </w:rPr>
    </w:lvl>
    <w:lvl w:ilvl="4" w:tplc="66006D38" w:tentative="1">
      <w:start w:val="1"/>
      <w:numFmt w:val="bullet"/>
      <w:lvlText w:val="•"/>
      <w:lvlJc w:val="left"/>
      <w:pPr>
        <w:tabs>
          <w:tab w:val="num" w:pos="3600"/>
        </w:tabs>
        <w:ind w:left="3600" w:hanging="360"/>
      </w:pPr>
      <w:rPr>
        <w:rFonts w:ascii="Times New Roman" w:hAnsi="Times New Roman" w:hint="default"/>
      </w:rPr>
    </w:lvl>
    <w:lvl w:ilvl="5" w:tplc="7CAC4620" w:tentative="1">
      <w:start w:val="1"/>
      <w:numFmt w:val="bullet"/>
      <w:lvlText w:val="•"/>
      <w:lvlJc w:val="left"/>
      <w:pPr>
        <w:tabs>
          <w:tab w:val="num" w:pos="4320"/>
        </w:tabs>
        <w:ind w:left="4320" w:hanging="360"/>
      </w:pPr>
      <w:rPr>
        <w:rFonts w:ascii="Times New Roman" w:hAnsi="Times New Roman" w:hint="default"/>
      </w:rPr>
    </w:lvl>
    <w:lvl w:ilvl="6" w:tplc="B0E24F88" w:tentative="1">
      <w:start w:val="1"/>
      <w:numFmt w:val="bullet"/>
      <w:lvlText w:val="•"/>
      <w:lvlJc w:val="left"/>
      <w:pPr>
        <w:tabs>
          <w:tab w:val="num" w:pos="5040"/>
        </w:tabs>
        <w:ind w:left="5040" w:hanging="360"/>
      </w:pPr>
      <w:rPr>
        <w:rFonts w:ascii="Times New Roman" w:hAnsi="Times New Roman" w:hint="default"/>
      </w:rPr>
    </w:lvl>
    <w:lvl w:ilvl="7" w:tplc="A9D0FA36" w:tentative="1">
      <w:start w:val="1"/>
      <w:numFmt w:val="bullet"/>
      <w:lvlText w:val="•"/>
      <w:lvlJc w:val="left"/>
      <w:pPr>
        <w:tabs>
          <w:tab w:val="num" w:pos="5760"/>
        </w:tabs>
        <w:ind w:left="5760" w:hanging="360"/>
      </w:pPr>
      <w:rPr>
        <w:rFonts w:ascii="Times New Roman" w:hAnsi="Times New Roman" w:hint="default"/>
      </w:rPr>
    </w:lvl>
    <w:lvl w:ilvl="8" w:tplc="B2586BE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50514C7"/>
    <w:multiLevelType w:val="hybridMultilevel"/>
    <w:tmpl w:val="AD8E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721E32"/>
    <w:multiLevelType w:val="hybridMultilevel"/>
    <w:tmpl w:val="65C6DB62"/>
    <w:lvl w:ilvl="0" w:tplc="0C09000F">
      <w:start w:val="2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7DF6B72"/>
    <w:multiLevelType w:val="hybridMultilevel"/>
    <w:tmpl w:val="9F9E0020"/>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C632AC6"/>
    <w:multiLevelType w:val="hybridMultilevel"/>
    <w:tmpl w:val="4B402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3F47909"/>
    <w:multiLevelType w:val="hybridMultilevel"/>
    <w:tmpl w:val="04A0D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E97F44"/>
    <w:multiLevelType w:val="hybridMultilevel"/>
    <w:tmpl w:val="6754779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3A1881"/>
    <w:multiLevelType w:val="hybridMultilevel"/>
    <w:tmpl w:val="AAD8BD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5BB92421"/>
    <w:multiLevelType w:val="hybridMultilevel"/>
    <w:tmpl w:val="7CAE80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DB1581"/>
    <w:multiLevelType w:val="hybridMultilevel"/>
    <w:tmpl w:val="3FEA4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9" w15:restartNumberingAfterBreak="0">
    <w:nsid w:val="608F21F8"/>
    <w:multiLevelType w:val="multilevel"/>
    <w:tmpl w:val="0A86F6E0"/>
    <w:lvl w:ilvl="0">
      <w:start w:val="1"/>
      <w:numFmt w:val="bullet"/>
      <w:pStyle w:val="BulletedListlvl1"/>
      <w:lvlText w:val=""/>
      <w:lvlJc w:val="left"/>
      <w:pPr>
        <w:ind w:left="566" w:hanging="283"/>
      </w:pPr>
      <w:rPr>
        <w:rFonts w:ascii="Symbol" w:hAnsi="Symbol" w:hint="default"/>
        <w:color w:val="404040" w:themeColor="text1" w:themeTint="BF"/>
      </w:rPr>
    </w:lvl>
    <w:lvl w:ilvl="1">
      <w:start w:val="1"/>
      <w:numFmt w:val="bullet"/>
      <w:pStyle w:val="BulletedListlvl2"/>
      <w:lvlText w:val="‒"/>
      <w:lvlJc w:val="left"/>
      <w:pPr>
        <w:ind w:left="1133"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0" w:hanging="283"/>
      </w:pPr>
      <w:rPr>
        <w:rFonts w:ascii="Wingdings" w:hAnsi="Wingdings" w:hint="default"/>
      </w:rPr>
    </w:lvl>
    <w:lvl w:ilvl="3">
      <w:start w:val="1"/>
      <w:numFmt w:val="bullet"/>
      <w:lvlText w:val=""/>
      <w:lvlJc w:val="left"/>
      <w:pPr>
        <w:ind w:left="2267" w:hanging="283"/>
      </w:pPr>
      <w:rPr>
        <w:rFonts w:ascii="Symbol" w:hAnsi="Symbol" w:hint="default"/>
      </w:rPr>
    </w:lvl>
    <w:lvl w:ilvl="4">
      <w:start w:val="1"/>
      <w:numFmt w:val="bullet"/>
      <w:lvlText w:val="o"/>
      <w:lvlJc w:val="left"/>
      <w:pPr>
        <w:ind w:left="2834" w:hanging="283"/>
      </w:pPr>
      <w:rPr>
        <w:rFonts w:ascii="Courier New" w:hAnsi="Courier New" w:cs="Courier New" w:hint="default"/>
      </w:rPr>
    </w:lvl>
    <w:lvl w:ilvl="5">
      <w:start w:val="1"/>
      <w:numFmt w:val="bullet"/>
      <w:lvlText w:val=""/>
      <w:lvlJc w:val="left"/>
      <w:pPr>
        <w:ind w:left="3401" w:hanging="283"/>
      </w:pPr>
      <w:rPr>
        <w:rFonts w:ascii="Wingdings" w:hAnsi="Wingdings" w:hint="default"/>
      </w:rPr>
    </w:lvl>
    <w:lvl w:ilvl="6">
      <w:start w:val="1"/>
      <w:numFmt w:val="bullet"/>
      <w:lvlText w:val=""/>
      <w:lvlJc w:val="left"/>
      <w:pPr>
        <w:ind w:left="3968" w:hanging="283"/>
      </w:pPr>
      <w:rPr>
        <w:rFonts w:ascii="Symbol" w:hAnsi="Symbol" w:hint="default"/>
      </w:rPr>
    </w:lvl>
    <w:lvl w:ilvl="7">
      <w:start w:val="1"/>
      <w:numFmt w:val="bullet"/>
      <w:lvlText w:val="o"/>
      <w:lvlJc w:val="left"/>
      <w:pPr>
        <w:ind w:left="4535" w:hanging="283"/>
      </w:pPr>
      <w:rPr>
        <w:rFonts w:ascii="Courier New" w:hAnsi="Courier New" w:cs="Courier New" w:hint="default"/>
      </w:rPr>
    </w:lvl>
    <w:lvl w:ilvl="8">
      <w:start w:val="1"/>
      <w:numFmt w:val="bullet"/>
      <w:lvlText w:val=""/>
      <w:lvlJc w:val="left"/>
      <w:pPr>
        <w:ind w:left="5102" w:hanging="283"/>
      </w:pPr>
      <w:rPr>
        <w:rFonts w:ascii="Wingdings" w:hAnsi="Wingdings" w:hint="default"/>
      </w:rPr>
    </w:lvl>
  </w:abstractNum>
  <w:abstractNum w:abstractNumId="40" w15:restartNumberingAfterBreak="0">
    <w:nsid w:val="618A4227"/>
    <w:multiLevelType w:val="hybridMultilevel"/>
    <w:tmpl w:val="3C867104"/>
    <w:lvl w:ilvl="0" w:tplc="09927750">
      <w:start w:val="1"/>
      <w:numFmt w:val="bullet"/>
      <w:lvlText w:val=""/>
      <w:lvlJc w:val="left"/>
      <w:pPr>
        <w:tabs>
          <w:tab w:val="num" w:pos="720"/>
        </w:tabs>
        <w:ind w:left="720" w:hanging="360"/>
      </w:pPr>
      <w:rPr>
        <w:rFonts w:ascii="Wingdings" w:hAnsi="Wingdings" w:hint="default"/>
      </w:rPr>
    </w:lvl>
    <w:lvl w:ilvl="1" w:tplc="DCC02A16" w:tentative="1">
      <w:start w:val="1"/>
      <w:numFmt w:val="bullet"/>
      <w:lvlText w:val=""/>
      <w:lvlJc w:val="left"/>
      <w:pPr>
        <w:tabs>
          <w:tab w:val="num" w:pos="1440"/>
        </w:tabs>
        <w:ind w:left="1440" w:hanging="360"/>
      </w:pPr>
      <w:rPr>
        <w:rFonts w:ascii="Wingdings" w:hAnsi="Wingdings" w:hint="default"/>
      </w:rPr>
    </w:lvl>
    <w:lvl w:ilvl="2" w:tplc="136EB326" w:tentative="1">
      <w:start w:val="1"/>
      <w:numFmt w:val="bullet"/>
      <w:lvlText w:val=""/>
      <w:lvlJc w:val="left"/>
      <w:pPr>
        <w:tabs>
          <w:tab w:val="num" w:pos="2160"/>
        </w:tabs>
        <w:ind w:left="2160" w:hanging="360"/>
      </w:pPr>
      <w:rPr>
        <w:rFonts w:ascii="Wingdings" w:hAnsi="Wingdings" w:hint="default"/>
      </w:rPr>
    </w:lvl>
    <w:lvl w:ilvl="3" w:tplc="65525562" w:tentative="1">
      <w:start w:val="1"/>
      <w:numFmt w:val="bullet"/>
      <w:lvlText w:val=""/>
      <w:lvlJc w:val="left"/>
      <w:pPr>
        <w:tabs>
          <w:tab w:val="num" w:pos="2880"/>
        </w:tabs>
        <w:ind w:left="2880" w:hanging="360"/>
      </w:pPr>
      <w:rPr>
        <w:rFonts w:ascii="Wingdings" w:hAnsi="Wingdings" w:hint="default"/>
      </w:rPr>
    </w:lvl>
    <w:lvl w:ilvl="4" w:tplc="F7181200" w:tentative="1">
      <w:start w:val="1"/>
      <w:numFmt w:val="bullet"/>
      <w:lvlText w:val=""/>
      <w:lvlJc w:val="left"/>
      <w:pPr>
        <w:tabs>
          <w:tab w:val="num" w:pos="3600"/>
        </w:tabs>
        <w:ind w:left="3600" w:hanging="360"/>
      </w:pPr>
      <w:rPr>
        <w:rFonts w:ascii="Wingdings" w:hAnsi="Wingdings" w:hint="default"/>
      </w:rPr>
    </w:lvl>
    <w:lvl w:ilvl="5" w:tplc="D214F32C" w:tentative="1">
      <w:start w:val="1"/>
      <w:numFmt w:val="bullet"/>
      <w:lvlText w:val=""/>
      <w:lvlJc w:val="left"/>
      <w:pPr>
        <w:tabs>
          <w:tab w:val="num" w:pos="4320"/>
        </w:tabs>
        <w:ind w:left="4320" w:hanging="360"/>
      </w:pPr>
      <w:rPr>
        <w:rFonts w:ascii="Wingdings" w:hAnsi="Wingdings" w:hint="default"/>
      </w:rPr>
    </w:lvl>
    <w:lvl w:ilvl="6" w:tplc="8794CD80" w:tentative="1">
      <w:start w:val="1"/>
      <w:numFmt w:val="bullet"/>
      <w:lvlText w:val=""/>
      <w:lvlJc w:val="left"/>
      <w:pPr>
        <w:tabs>
          <w:tab w:val="num" w:pos="5040"/>
        </w:tabs>
        <w:ind w:left="5040" w:hanging="360"/>
      </w:pPr>
      <w:rPr>
        <w:rFonts w:ascii="Wingdings" w:hAnsi="Wingdings" w:hint="default"/>
      </w:rPr>
    </w:lvl>
    <w:lvl w:ilvl="7" w:tplc="659C86D4" w:tentative="1">
      <w:start w:val="1"/>
      <w:numFmt w:val="bullet"/>
      <w:lvlText w:val=""/>
      <w:lvlJc w:val="left"/>
      <w:pPr>
        <w:tabs>
          <w:tab w:val="num" w:pos="5760"/>
        </w:tabs>
        <w:ind w:left="5760" w:hanging="360"/>
      </w:pPr>
      <w:rPr>
        <w:rFonts w:ascii="Wingdings" w:hAnsi="Wingdings" w:hint="default"/>
      </w:rPr>
    </w:lvl>
    <w:lvl w:ilvl="8" w:tplc="0678ACC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7E4E76"/>
    <w:multiLevelType w:val="hybridMultilevel"/>
    <w:tmpl w:val="B2CE1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7F6306"/>
    <w:multiLevelType w:val="hybridMultilevel"/>
    <w:tmpl w:val="3CEA4EBE"/>
    <w:lvl w:ilvl="0" w:tplc="FD4A949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4B6836"/>
    <w:multiLevelType w:val="hybridMultilevel"/>
    <w:tmpl w:val="5C800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C5A7D60"/>
    <w:multiLevelType w:val="hybridMultilevel"/>
    <w:tmpl w:val="424E01E4"/>
    <w:lvl w:ilvl="0" w:tplc="FD4A949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EF1E09"/>
    <w:multiLevelType w:val="multilevel"/>
    <w:tmpl w:val="FD02C302"/>
    <w:lvl w:ilvl="0">
      <w:start w:val="1"/>
      <w:numFmt w:val="decimal"/>
      <w:pStyle w:val="NumberedListlvl1"/>
      <w:lvlText w:val="%1."/>
      <w:lvlJc w:val="left"/>
      <w:pPr>
        <w:ind w:left="567"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46"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47" w15:restartNumberingAfterBreak="0">
    <w:nsid w:val="774906FD"/>
    <w:multiLevelType w:val="hybridMultilevel"/>
    <w:tmpl w:val="2B5CF1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F">
      <w:start w:val="1"/>
      <w:numFmt w:val="decimal"/>
      <w:lvlText w:val="%3."/>
      <w:lvlJc w:val="left"/>
      <w:pPr>
        <w:ind w:left="1800" w:hanging="360"/>
      </w:p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8" w15:restartNumberingAfterBreak="0">
    <w:nsid w:val="7CAD51DF"/>
    <w:multiLevelType w:val="hybridMultilevel"/>
    <w:tmpl w:val="602CEAA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5776800">
    <w:abstractNumId w:val="38"/>
  </w:num>
  <w:num w:numId="2" w16cid:durableId="1271546527">
    <w:abstractNumId w:val="39"/>
  </w:num>
  <w:num w:numId="3" w16cid:durableId="417093077">
    <w:abstractNumId w:val="39"/>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 w16cid:durableId="2007397462">
    <w:abstractNumId w:val="19"/>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5" w16cid:durableId="1264462054">
    <w:abstractNumId w:val="3"/>
  </w:num>
  <w:num w:numId="6" w16cid:durableId="1623727818">
    <w:abstractNumId w:val="46"/>
  </w:num>
  <w:num w:numId="7" w16cid:durableId="1339500775">
    <w:abstractNumId w:val="45"/>
  </w:num>
  <w:num w:numId="8" w16cid:durableId="1749886552">
    <w:abstractNumId w:val="48"/>
  </w:num>
  <w:num w:numId="9" w16cid:durableId="545408772">
    <w:abstractNumId w:val="14"/>
  </w:num>
  <w:num w:numId="10" w16cid:durableId="1433355826">
    <w:abstractNumId w:val="4"/>
  </w:num>
  <w:num w:numId="11" w16cid:durableId="2082484404">
    <w:abstractNumId w:val="33"/>
  </w:num>
  <w:num w:numId="12" w16cid:durableId="977342423">
    <w:abstractNumId w:val="47"/>
    <w:lvlOverride w:ilvl="0"/>
    <w:lvlOverride w:ilvl="1"/>
    <w:lvlOverride w:ilvl="2">
      <w:startOverride w:val="1"/>
    </w:lvlOverride>
    <w:lvlOverride w:ilvl="3"/>
    <w:lvlOverride w:ilvl="4"/>
    <w:lvlOverride w:ilvl="5"/>
    <w:lvlOverride w:ilvl="6"/>
    <w:lvlOverride w:ilvl="7"/>
    <w:lvlOverride w:ilvl="8"/>
  </w:num>
  <w:num w:numId="13" w16cid:durableId="1135487268">
    <w:abstractNumId w:val="24"/>
  </w:num>
  <w:num w:numId="14" w16cid:durableId="173688316">
    <w:abstractNumId w:val="0"/>
  </w:num>
  <w:num w:numId="15" w16cid:durableId="246890504">
    <w:abstractNumId w:val="25"/>
  </w:num>
  <w:num w:numId="16" w16cid:durableId="25370948">
    <w:abstractNumId w:val="8"/>
  </w:num>
  <w:num w:numId="17" w16cid:durableId="782308878">
    <w:abstractNumId w:val="9"/>
  </w:num>
  <w:num w:numId="18" w16cid:durableId="1324621229">
    <w:abstractNumId w:val="39"/>
  </w:num>
  <w:num w:numId="19" w16cid:durableId="1778677539">
    <w:abstractNumId w:val="17"/>
  </w:num>
  <w:num w:numId="20" w16cid:durableId="1309364770">
    <w:abstractNumId w:val="34"/>
  </w:num>
  <w:num w:numId="21" w16cid:durableId="2133397408">
    <w:abstractNumId w:val="28"/>
  </w:num>
  <w:num w:numId="22" w16cid:durableId="1161848603">
    <w:abstractNumId w:val="20"/>
  </w:num>
  <w:num w:numId="23" w16cid:durableId="1098451871">
    <w:abstractNumId w:val="26"/>
  </w:num>
  <w:num w:numId="24" w16cid:durableId="1482498426">
    <w:abstractNumId w:val="2"/>
  </w:num>
  <w:num w:numId="25" w16cid:durableId="107748862">
    <w:abstractNumId w:val="23"/>
  </w:num>
  <w:num w:numId="26" w16cid:durableId="1452437952">
    <w:abstractNumId w:val="41"/>
  </w:num>
  <w:num w:numId="27" w16cid:durableId="1621565224">
    <w:abstractNumId w:val="15"/>
  </w:num>
  <w:num w:numId="28" w16cid:durableId="284776878">
    <w:abstractNumId w:val="39"/>
  </w:num>
  <w:num w:numId="29" w16cid:durableId="1252853448">
    <w:abstractNumId w:val="10"/>
  </w:num>
  <w:num w:numId="30" w16cid:durableId="184563973">
    <w:abstractNumId w:val="35"/>
  </w:num>
  <w:num w:numId="31" w16cid:durableId="1979261803">
    <w:abstractNumId w:val="11"/>
  </w:num>
  <w:num w:numId="32" w16cid:durableId="1394424917">
    <w:abstractNumId w:val="13"/>
  </w:num>
  <w:num w:numId="33" w16cid:durableId="1315064994">
    <w:abstractNumId w:val="32"/>
  </w:num>
  <w:num w:numId="34" w16cid:durableId="2055227346">
    <w:abstractNumId w:val="31"/>
  </w:num>
  <w:num w:numId="35" w16cid:durableId="1638878851">
    <w:abstractNumId w:val="29"/>
  </w:num>
  <w:num w:numId="36" w16cid:durableId="855965987">
    <w:abstractNumId w:val="1"/>
  </w:num>
  <w:num w:numId="37" w16cid:durableId="207953296">
    <w:abstractNumId w:val="7"/>
  </w:num>
  <w:num w:numId="38" w16cid:durableId="1306398091">
    <w:abstractNumId w:val="42"/>
  </w:num>
  <w:num w:numId="39" w16cid:durableId="2056351695">
    <w:abstractNumId w:val="44"/>
  </w:num>
  <w:num w:numId="40" w16cid:durableId="1534229723">
    <w:abstractNumId w:val="43"/>
  </w:num>
  <w:num w:numId="41" w16cid:durableId="380716202">
    <w:abstractNumId w:val="6"/>
  </w:num>
  <w:num w:numId="42" w16cid:durableId="415251563">
    <w:abstractNumId w:val="22"/>
    <w:lvlOverride w:ilvl="0">
      <w:startOverride w:val="1"/>
    </w:lvlOverride>
    <w:lvlOverride w:ilvl="1"/>
    <w:lvlOverride w:ilvl="2"/>
    <w:lvlOverride w:ilvl="3"/>
    <w:lvlOverride w:ilvl="4"/>
    <w:lvlOverride w:ilvl="5"/>
    <w:lvlOverride w:ilvl="6"/>
    <w:lvlOverride w:ilvl="7"/>
    <w:lvlOverride w:ilvl="8"/>
  </w:num>
  <w:num w:numId="43" w16cid:durableId="1203135145">
    <w:abstractNumId w:val="36"/>
  </w:num>
  <w:num w:numId="44" w16cid:durableId="766198278">
    <w:abstractNumId w:val="39"/>
  </w:num>
  <w:num w:numId="45" w16cid:durableId="681204181">
    <w:abstractNumId w:val="39"/>
  </w:num>
  <w:num w:numId="46" w16cid:durableId="1186749964">
    <w:abstractNumId w:val="18"/>
  </w:num>
  <w:num w:numId="47" w16cid:durableId="1056011190">
    <w:abstractNumId w:val="5"/>
  </w:num>
  <w:num w:numId="48" w16cid:durableId="2104183326">
    <w:abstractNumId w:val="39"/>
  </w:num>
  <w:num w:numId="49" w16cid:durableId="16466090">
    <w:abstractNumId w:val="39"/>
  </w:num>
  <w:num w:numId="50" w16cid:durableId="1551989468">
    <w:abstractNumId w:val="30"/>
  </w:num>
  <w:num w:numId="51" w16cid:durableId="239944907">
    <w:abstractNumId w:val="27"/>
  </w:num>
  <w:num w:numId="52" w16cid:durableId="948045244">
    <w:abstractNumId w:val="12"/>
  </w:num>
  <w:num w:numId="53" w16cid:durableId="1234580724">
    <w:abstractNumId w:val="16"/>
  </w:num>
  <w:num w:numId="54" w16cid:durableId="476533952">
    <w:abstractNumId w:val="40"/>
  </w:num>
  <w:num w:numId="55" w16cid:durableId="902957495">
    <w:abstractNumId w:val="21"/>
  </w:num>
  <w:num w:numId="56" w16cid:durableId="92013698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07"/>
    <w:rsid w:val="00002230"/>
    <w:rsid w:val="00002F73"/>
    <w:rsid w:val="00003357"/>
    <w:rsid w:val="00003479"/>
    <w:rsid w:val="000053C7"/>
    <w:rsid w:val="000059AE"/>
    <w:rsid w:val="00006D20"/>
    <w:rsid w:val="00011C4B"/>
    <w:rsid w:val="0001248A"/>
    <w:rsid w:val="00012597"/>
    <w:rsid w:val="000139F4"/>
    <w:rsid w:val="0001428E"/>
    <w:rsid w:val="00014D57"/>
    <w:rsid w:val="000154E3"/>
    <w:rsid w:val="0001611A"/>
    <w:rsid w:val="00016E3B"/>
    <w:rsid w:val="00017DA3"/>
    <w:rsid w:val="0002068D"/>
    <w:rsid w:val="00020CB5"/>
    <w:rsid w:val="00021282"/>
    <w:rsid w:val="00022C55"/>
    <w:rsid w:val="00022E4A"/>
    <w:rsid w:val="00023AC4"/>
    <w:rsid w:val="00023D47"/>
    <w:rsid w:val="00024EE3"/>
    <w:rsid w:val="00027143"/>
    <w:rsid w:val="000304B2"/>
    <w:rsid w:val="00030BD6"/>
    <w:rsid w:val="00031B5C"/>
    <w:rsid w:val="00031E7A"/>
    <w:rsid w:val="00032471"/>
    <w:rsid w:val="000324DE"/>
    <w:rsid w:val="0003303C"/>
    <w:rsid w:val="00033929"/>
    <w:rsid w:val="00034FEC"/>
    <w:rsid w:val="000359EB"/>
    <w:rsid w:val="000368B4"/>
    <w:rsid w:val="000405EB"/>
    <w:rsid w:val="00041666"/>
    <w:rsid w:val="00042E89"/>
    <w:rsid w:val="00044892"/>
    <w:rsid w:val="00044BF9"/>
    <w:rsid w:val="00045268"/>
    <w:rsid w:val="000503A6"/>
    <w:rsid w:val="00050751"/>
    <w:rsid w:val="00051FCE"/>
    <w:rsid w:val="00052605"/>
    <w:rsid w:val="00053CD9"/>
    <w:rsid w:val="00054EED"/>
    <w:rsid w:val="00055290"/>
    <w:rsid w:val="00057E85"/>
    <w:rsid w:val="00062A6F"/>
    <w:rsid w:val="00063034"/>
    <w:rsid w:val="000634A4"/>
    <w:rsid w:val="000643C9"/>
    <w:rsid w:val="00064E94"/>
    <w:rsid w:val="0006784B"/>
    <w:rsid w:val="000716A9"/>
    <w:rsid w:val="00071777"/>
    <w:rsid w:val="00071DD3"/>
    <w:rsid w:val="00073D52"/>
    <w:rsid w:val="000748E7"/>
    <w:rsid w:val="0007522D"/>
    <w:rsid w:val="00076856"/>
    <w:rsid w:val="00076AD1"/>
    <w:rsid w:val="00076D77"/>
    <w:rsid w:val="00077999"/>
    <w:rsid w:val="00077B35"/>
    <w:rsid w:val="000803CA"/>
    <w:rsid w:val="0008084B"/>
    <w:rsid w:val="00081450"/>
    <w:rsid w:val="00082CA6"/>
    <w:rsid w:val="00085D76"/>
    <w:rsid w:val="000868FB"/>
    <w:rsid w:val="00086FB7"/>
    <w:rsid w:val="00087FA4"/>
    <w:rsid w:val="00091BCD"/>
    <w:rsid w:val="0009265A"/>
    <w:rsid w:val="00092670"/>
    <w:rsid w:val="00092EF0"/>
    <w:rsid w:val="000932B6"/>
    <w:rsid w:val="000935D8"/>
    <w:rsid w:val="000949EC"/>
    <w:rsid w:val="00095BF3"/>
    <w:rsid w:val="00095CE3"/>
    <w:rsid w:val="000963C0"/>
    <w:rsid w:val="000969DB"/>
    <w:rsid w:val="00096FA2"/>
    <w:rsid w:val="00097AD0"/>
    <w:rsid w:val="000A08CA"/>
    <w:rsid w:val="000A0E4C"/>
    <w:rsid w:val="000A37AB"/>
    <w:rsid w:val="000A3C17"/>
    <w:rsid w:val="000A574F"/>
    <w:rsid w:val="000A5C9B"/>
    <w:rsid w:val="000A623E"/>
    <w:rsid w:val="000A624D"/>
    <w:rsid w:val="000A6481"/>
    <w:rsid w:val="000A6FB9"/>
    <w:rsid w:val="000A77E6"/>
    <w:rsid w:val="000B05D4"/>
    <w:rsid w:val="000B0F1B"/>
    <w:rsid w:val="000B16C4"/>
    <w:rsid w:val="000B1961"/>
    <w:rsid w:val="000B1D1F"/>
    <w:rsid w:val="000B414C"/>
    <w:rsid w:val="000B44AF"/>
    <w:rsid w:val="000B47B6"/>
    <w:rsid w:val="000B56B5"/>
    <w:rsid w:val="000B625A"/>
    <w:rsid w:val="000B7F6A"/>
    <w:rsid w:val="000C1962"/>
    <w:rsid w:val="000C234C"/>
    <w:rsid w:val="000C2376"/>
    <w:rsid w:val="000C5601"/>
    <w:rsid w:val="000C7024"/>
    <w:rsid w:val="000D2992"/>
    <w:rsid w:val="000D4032"/>
    <w:rsid w:val="000D4115"/>
    <w:rsid w:val="000D6E17"/>
    <w:rsid w:val="000E0204"/>
    <w:rsid w:val="000E0454"/>
    <w:rsid w:val="000E1A1D"/>
    <w:rsid w:val="000E2063"/>
    <w:rsid w:val="000E29AA"/>
    <w:rsid w:val="000E2CC0"/>
    <w:rsid w:val="000E34B7"/>
    <w:rsid w:val="000E4095"/>
    <w:rsid w:val="000E4099"/>
    <w:rsid w:val="000E60B6"/>
    <w:rsid w:val="000E699D"/>
    <w:rsid w:val="000F1377"/>
    <w:rsid w:val="000F1534"/>
    <w:rsid w:val="000F1B6F"/>
    <w:rsid w:val="000F23B0"/>
    <w:rsid w:val="000F27F2"/>
    <w:rsid w:val="000F33E9"/>
    <w:rsid w:val="000F62A8"/>
    <w:rsid w:val="000F6F12"/>
    <w:rsid w:val="001007B9"/>
    <w:rsid w:val="00101DAB"/>
    <w:rsid w:val="001048DC"/>
    <w:rsid w:val="00105ECB"/>
    <w:rsid w:val="0010623D"/>
    <w:rsid w:val="001079F2"/>
    <w:rsid w:val="00110772"/>
    <w:rsid w:val="00113CA3"/>
    <w:rsid w:val="0011488C"/>
    <w:rsid w:val="00120ED7"/>
    <w:rsid w:val="0012364C"/>
    <w:rsid w:val="00123967"/>
    <w:rsid w:val="00124F70"/>
    <w:rsid w:val="00126342"/>
    <w:rsid w:val="0012671B"/>
    <w:rsid w:val="00127F3E"/>
    <w:rsid w:val="001302B5"/>
    <w:rsid w:val="00130971"/>
    <w:rsid w:val="00131315"/>
    <w:rsid w:val="00132268"/>
    <w:rsid w:val="00132F04"/>
    <w:rsid w:val="00134C33"/>
    <w:rsid w:val="001351F3"/>
    <w:rsid w:val="00136E6D"/>
    <w:rsid w:val="001423F8"/>
    <w:rsid w:val="00147E70"/>
    <w:rsid w:val="00147F02"/>
    <w:rsid w:val="001503ED"/>
    <w:rsid w:val="00150AF4"/>
    <w:rsid w:val="001510BD"/>
    <w:rsid w:val="00154394"/>
    <w:rsid w:val="0015537B"/>
    <w:rsid w:val="00155793"/>
    <w:rsid w:val="001566A1"/>
    <w:rsid w:val="00156EF8"/>
    <w:rsid w:val="0015777B"/>
    <w:rsid w:val="001610D7"/>
    <w:rsid w:val="00161F22"/>
    <w:rsid w:val="001621ED"/>
    <w:rsid w:val="0016491C"/>
    <w:rsid w:val="00164B84"/>
    <w:rsid w:val="001653B3"/>
    <w:rsid w:val="00165D82"/>
    <w:rsid w:val="00166EC8"/>
    <w:rsid w:val="0017041B"/>
    <w:rsid w:val="00170BFC"/>
    <w:rsid w:val="00171490"/>
    <w:rsid w:val="001727AF"/>
    <w:rsid w:val="00173910"/>
    <w:rsid w:val="00173A36"/>
    <w:rsid w:val="00173E72"/>
    <w:rsid w:val="00173F19"/>
    <w:rsid w:val="001740EC"/>
    <w:rsid w:val="00174F26"/>
    <w:rsid w:val="001750E3"/>
    <w:rsid w:val="001753A8"/>
    <w:rsid w:val="001767E4"/>
    <w:rsid w:val="00176C5D"/>
    <w:rsid w:val="00176EA5"/>
    <w:rsid w:val="00177611"/>
    <w:rsid w:val="0017798C"/>
    <w:rsid w:val="0018043A"/>
    <w:rsid w:val="001809C6"/>
    <w:rsid w:val="00181B41"/>
    <w:rsid w:val="001850CB"/>
    <w:rsid w:val="00185AD3"/>
    <w:rsid w:val="001901E6"/>
    <w:rsid w:val="001902CE"/>
    <w:rsid w:val="001906B3"/>
    <w:rsid w:val="00191B19"/>
    <w:rsid w:val="0019221B"/>
    <w:rsid w:val="00192857"/>
    <w:rsid w:val="001934C9"/>
    <w:rsid w:val="00195975"/>
    <w:rsid w:val="00195BA8"/>
    <w:rsid w:val="00196B4A"/>
    <w:rsid w:val="001A0253"/>
    <w:rsid w:val="001A03F2"/>
    <w:rsid w:val="001A257B"/>
    <w:rsid w:val="001A2866"/>
    <w:rsid w:val="001A2F86"/>
    <w:rsid w:val="001A4FC1"/>
    <w:rsid w:val="001A66AD"/>
    <w:rsid w:val="001B0144"/>
    <w:rsid w:val="001B06B3"/>
    <w:rsid w:val="001B0B04"/>
    <w:rsid w:val="001B10ED"/>
    <w:rsid w:val="001B11B7"/>
    <w:rsid w:val="001B1BF0"/>
    <w:rsid w:val="001B22B6"/>
    <w:rsid w:val="001B281C"/>
    <w:rsid w:val="001B2F82"/>
    <w:rsid w:val="001B39E8"/>
    <w:rsid w:val="001B64E3"/>
    <w:rsid w:val="001B6519"/>
    <w:rsid w:val="001B7C93"/>
    <w:rsid w:val="001B7DE1"/>
    <w:rsid w:val="001C02CF"/>
    <w:rsid w:val="001C1422"/>
    <w:rsid w:val="001C18D5"/>
    <w:rsid w:val="001C1FE3"/>
    <w:rsid w:val="001C24BF"/>
    <w:rsid w:val="001C3BAA"/>
    <w:rsid w:val="001C3E3C"/>
    <w:rsid w:val="001C509E"/>
    <w:rsid w:val="001C656A"/>
    <w:rsid w:val="001C6A7A"/>
    <w:rsid w:val="001C6E22"/>
    <w:rsid w:val="001C7F69"/>
    <w:rsid w:val="001D18E4"/>
    <w:rsid w:val="001D239D"/>
    <w:rsid w:val="001D283B"/>
    <w:rsid w:val="001D3B08"/>
    <w:rsid w:val="001D4843"/>
    <w:rsid w:val="001D583E"/>
    <w:rsid w:val="001D5B84"/>
    <w:rsid w:val="001D6FE2"/>
    <w:rsid w:val="001D7264"/>
    <w:rsid w:val="001D7E47"/>
    <w:rsid w:val="001E27C5"/>
    <w:rsid w:val="001E4625"/>
    <w:rsid w:val="001E74B2"/>
    <w:rsid w:val="001F2AA6"/>
    <w:rsid w:val="001F3722"/>
    <w:rsid w:val="001F3AF8"/>
    <w:rsid w:val="001F3FF5"/>
    <w:rsid w:val="001F4BAE"/>
    <w:rsid w:val="001F4D92"/>
    <w:rsid w:val="001F511B"/>
    <w:rsid w:val="001F546A"/>
    <w:rsid w:val="001F59E7"/>
    <w:rsid w:val="001F738E"/>
    <w:rsid w:val="0020076A"/>
    <w:rsid w:val="0020248E"/>
    <w:rsid w:val="002034A1"/>
    <w:rsid w:val="00203B54"/>
    <w:rsid w:val="00203C2F"/>
    <w:rsid w:val="00204616"/>
    <w:rsid w:val="00204F16"/>
    <w:rsid w:val="0020677B"/>
    <w:rsid w:val="002070A7"/>
    <w:rsid w:val="002100B2"/>
    <w:rsid w:val="002107A2"/>
    <w:rsid w:val="00211979"/>
    <w:rsid w:val="00212455"/>
    <w:rsid w:val="0021247A"/>
    <w:rsid w:val="00214294"/>
    <w:rsid w:val="0021446A"/>
    <w:rsid w:val="00215641"/>
    <w:rsid w:val="00215A71"/>
    <w:rsid w:val="002160D3"/>
    <w:rsid w:val="00217390"/>
    <w:rsid w:val="002178CD"/>
    <w:rsid w:val="00221773"/>
    <w:rsid w:val="00221FE8"/>
    <w:rsid w:val="00222CFA"/>
    <w:rsid w:val="00223E30"/>
    <w:rsid w:val="00224E5C"/>
    <w:rsid w:val="00225E65"/>
    <w:rsid w:val="00226A29"/>
    <w:rsid w:val="00227321"/>
    <w:rsid w:val="002305D9"/>
    <w:rsid w:val="00231B22"/>
    <w:rsid w:val="0023294E"/>
    <w:rsid w:val="00233B73"/>
    <w:rsid w:val="00234147"/>
    <w:rsid w:val="00235677"/>
    <w:rsid w:val="00241A8E"/>
    <w:rsid w:val="00242D8C"/>
    <w:rsid w:val="00243D75"/>
    <w:rsid w:val="00244261"/>
    <w:rsid w:val="00244B96"/>
    <w:rsid w:val="00244F42"/>
    <w:rsid w:val="0024597B"/>
    <w:rsid w:val="00246DEE"/>
    <w:rsid w:val="0024718C"/>
    <w:rsid w:val="00250DD2"/>
    <w:rsid w:val="00250FC0"/>
    <w:rsid w:val="00252560"/>
    <w:rsid w:val="00252F38"/>
    <w:rsid w:val="0025381C"/>
    <w:rsid w:val="00253842"/>
    <w:rsid w:val="00253B11"/>
    <w:rsid w:val="00255367"/>
    <w:rsid w:val="002565DD"/>
    <w:rsid w:val="00257F92"/>
    <w:rsid w:val="00262E2E"/>
    <w:rsid w:val="0026422A"/>
    <w:rsid w:val="00264561"/>
    <w:rsid w:val="002666AE"/>
    <w:rsid w:val="002667DC"/>
    <w:rsid w:val="00266AA0"/>
    <w:rsid w:val="002671E6"/>
    <w:rsid w:val="002674C6"/>
    <w:rsid w:val="00271C35"/>
    <w:rsid w:val="0027228D"/>
    <w:rsid w:val="00276222"/>
    <w:rsid w:val="00276C17"/>
    <w:rsid w:val="0027769C"/>
    <w:rsid w:val="00277C81"/>
    <w:rsid w:val="002800C5"/>
    <w:rsid w:val="00280E0E"/>
    <w:rsid w:val="002811E7"/>
    <w:rsid w:val="00281504"/>
    <w:rsid w:val="002815B3"/>
    <w:rsid w:val="00281CEE"/>
    <w:rsid w:val="0028339A"/>
    <w:rsid w:val="00283469"/>
    <w:rsid w:val="002844D8"/>
    <w:rsid w:val="00284710"/>
    <w:rsid w:val="00284821"/>
    <w:rsid w:val="00287A4A"/>
    <w:rsid w:val="00290759"/>
    <w:rsid w:val="00292C64"/>
    <w:rsid w:val="00294D1D"/>
    <w:rsid w:val="002955DD"/>
    <w:rsid w:val="002957AC"/>
    <w:rsid w:val="00296575"/>
    <w:rsid w:val="002A0289"/>
    <w:rsid w:val="002A0ED6"/>
    <w:rsid w:val="002A2491"/>
    <w:rsid w:val="002A371E"/>
    <w:rsid w:val="002A3A5B"/>
    <w:rsid w:val="002A6F2D"/>
    <w:rsid w:val="002A7401"/>
    <w:rsid w:val="002A7B46"/>
    <w:rsid w:val="002B05D9"/>
    <w:rsid w:val="002B15C4"/>
    <w:rsid w:val="002B1B42"/>
    <w:rsid w:val="002B2C79"/>
    <w:rsid w:val="002B397F"/>
    <w:rsid w:val="002B4B0A"/>
    <w:rsid w:val="002B5797"/>
    <w:rsid w:val="002B5CEE"/>
    <w:rsid w:val="002B6344"/>
    <w:rsid w:val="002B6ABC"/>
    <w:rsid w:val="002C1F76"/>
    <w:rsid w:val="002C248B"/>
    <w:rsid w:val="002C38D8"/>
    <w:rsid w:val="002C5125"/>
    <w:rsid w:val="002C5F5B"/>
    <w:rsid w:val="002C6DCC"/>
    <w:rsid w:val="002C777D"/>
    <w:rsid w:val="002D10CE"/>
    <w:rsid w:val="002D11E4"/>
    <w:rsid w:val="002D407E"/>
    <w:rsid w:val="002D40B1"/>
    <w:rsid w:val="002D45CD"/>
    <w:rsid w:val="002D4677"/>
    <w:rsid w:val="002D49E4"/>
    <w:rsid w:val="002D55E4"/>
    <w:rsid w:val="002D571B"/>
    <w:rsid w:val="002D723B"/>
    <w:rsid w:val="002D75F9"/>
    <w:rsid w:val="002E07AC"/>
    <w:rsid w:val="002E0C68"/>
    <w:rsid w:val="002E1AAC"/>
    <w:rsid w:val="002E1F53"/>
    <w:rsid w:val="002E398E"/>
    <w:rsid w:val="002E3BD1"/>
    <w:rsid w:val="002E433A"/>
    <w:rsid w:val="002E4E52"/>
    <w:rsid w:val="002E6AA1"/>
    <w:rsid w:val="002F00C1"/>
    <w:rsid w:val="002F06C3"/>
    <w:rsid w:val="002F1006"/>
    <w:rsid w:val="002F17CF"/>
    <w:rsid w:val="002F47D3"/>
    <w:rsid w:val="002F4EDD"/>
    <w:rsid w:val="002F57C6"/>
    <w:rsid w:val="002F5DC9"/>
    <w:rsid w:val="002F7358"/>
    <w:rsid w:val="003022D4"/>
    <w:rsid w:val="003023B3"/>
    <w:rsid w:val="0030539E"/>
    <w:rsid w:val="00305CBB"/>
    <w:rsid w:val="0030667A"/>
    <w:rsid w:val="00306AE6"/>
    <w:rsid w:val="00307A69"/>
    <w:rsid w:val="00307BDF"/>
    <w:rsid w:val="0031058D"/>
    <w:rsid w:val="0031150F"/>
    <w:rsid w:val="003121D1"/>
    <w:rsid w:val="00312216"/>
    <w:rsid w:val="00312B11"/>
    <w:rsid w:val="00312E4A"/>
    <w:rsid w:val="003146C5"/>
    <w:rsid w:val="0031546F"/>
    <w:rsid w:val="00316022"/>
    <w:rsid w:val="00316B0D"/>
    <w:rsid w:val="0031735B"/>
    <w:rsid w:val="00317970"/>
    <w:rsid w:val="00320C4C"/>
    <w:rsid w:val="00321133"/>
    <w:rsid w:val="00322305"/>
    <w:rsid w:val="00324ED4"/>
    <w:rsid w:val="003256A7"/>
    <w:rsid w:val="00326BD3"/>
    <w:rsid w:val="0032757B"/>
    <w:rsid w:val="003300DB"/>
    <w:rsid w:val="0033088D"/>
    <w:rsid w:val="0033088F"/>
    <w:rsid w:val="0033178F"/>
    <w:rsid w:val="003318B6"/>
    <w:rsid w:val="0033386F"/>
    <w:rsid w:val="00333CEB"/>
    <w:rsid w:val="003343CE"/>
    <w:rsid w:val="003352F9"/>
    <w:rsid w:val="00335425"/>
    <w:rsid w:val="00335BA8"/>
    <w:rsid w:val="00335E8C"/>
    <w:rsid w:val="00336316"/>
    <w:rsid w:val="00337286"/>
    <w:rsid w:val="003425B2"/>
    <w:rsid w:val="0034333D"/>
    <w:rsid w:val="00343B84"/>
    <w:rsid w:val="00343D35"/>
    <w:rsid w:val="00344235"/>
    <w:rsid w:val="003500C6"/>
    <w:rsid w:val="0035427C"/>
    <w:rsid w:val="003549E6"/>
    <w:rsid w:val="00354FEE"/>
    <w:rsid w:val="003550D3"/>
    <w:rsid w:val="003606C1"/>
    <w:rsid w:val="00363AE5"/>
    <w:rsid w:val="00363C8E"/>
    <w:rsid w:val="00364355"/>
    <w:rsid w:val="00364756"/>
    <w:rsid w:val="003663BE"/>
    <w:rsid w:val="00367D88"/>
    <w:rsid w:val="0037160A"/>
    <w:rsid w:val="00371889"/>
    <w:rsid w:val="00373B5B"/>
    <w:rsid w:val="00374F7E"/>
    <w:rsid w:val="003775C1"/>
    <w:rsid w:val="0038074F"/>
    <w:rsid w:val="00381B53"/>
    <w:rsid w:val="00382794"/>
    <w:rsid w:val="0038309D"/>
    <w:rsid w:val="003848EF"/>
    <w:rsid w:val="00385B65"/>
    <w:rsid w:val="00390647"/>
    <w:rsid w:val="00391929"/>
    <w:rsid w:val="00391EE1"/>
    <w:rsid w:val="003928AF"/>
    <w:rsid w:val="00393B8A"/>
    <w:rsid w:val="00393F43"/>
    <w:rsid w:val="00393FBE"/>
    <w:rsid w:val="00394C39"/>
    <w:rsid w:val="00395B37"/>
    <w:rsid w:val="0039672D"/>
    <w:rsid w:val="00396F0F"/>
    <w:rsid w:val="003A1107"/>
    <w:rsid w:val="003A121C"/>
    <w:rsid w:val="003A13FE"/>
    <w:rsid w:val="003A246E"/>
    <w:rsid w:val="003A2526"/>
    <w:rsid w:val="003A2ADF"/>
    <w:rsid w:val="003A363B"/>
    <w:rsid w:val="003A3E57"/>
    <w:rsid w:val="003A5312"/>
    <w:rsid w:val="003A715B"/>
    <w:rsid w:val="003A79FB"/>
    <w:rsid w:val="003A7E73"/>
    <w:rsid w:val="003B3C6D"/>
    <w:rsid w:val="003B3F15"/>
    <w:rsid w:val="003B4E8F"/>
    <w:rsid w:val="003B707D"/>
    <w:rsid w:val="003C1562"/>
    <w:rsid w:val="003C3870"/>
    <w:rsid w:val="003C5314"/>
    <w:rsid w:val="003C563B"/>
    <w:rsid w:val="003C6961"/>
    <w:rsid w:val="003C6F83"/>
    <w:rsid w:val="003D08BE"/>
    <w:rsid w:val="003D1A97"/>
    <w:rsid w:val="003D21A3"/>
    <w:rsid w:val="003D2A17"/>
    <w:rsid w:val="003D32C6"/>
    <w:rsid w:val="003D37AC"/>
    <w:rsid w:val="003D47E0"/>
    <w:rsid w:val="003D6333"/>
    <w:rsid w:val="003E1005"/>
    <w:rsid w:val="003E291D"/>
    <w:rsid w:val="003E2EBF"/>
    <w:rsid w:val="003E53C7"/>
    <w:rsid w:val="003E6AC5"/>
    <w:rsid w:val="003E6B8B"/>
    <w:rsid w:val="003E6BD2"/>
    <w:rsid w:val="003E721B"/>
    <w:rsid w:val="003F017E"/>
    <w:rsid w:val="003F0BAA"/>
    <w:rsid w:val="003F141A"/>
    <w:rsid w:val="003F17BC"/>
    <w:rsid w:val="003F1A1E"/>
    <w:rsid w:val="003F1AA7"/>
    <w:rsid w:val="003F1ADB"/>
    <w:rsid w:val="003F20C7"/>
    <w:rsid w:val="003F23C7"/>
    <w:rsid w:val="003F3E55"/>
    <w:rsid w:val="003F4399"/>
    <w:rsid w:val="003F485F"/>
    <w:rsid w:val="003F4ED2"/>
    <w:rsid w:val="003F521B"/>
    <w:rsid w:val="003F5261"/>
    <w:rsid w:val="003F5B9A"/>
    <w:rsid w:val="003F60B9"/>
    <w:rsid w:val="003F6723"/>
    <w:rsid w:val="003F6D16"/>
    <w:rsid w:val="003F7E70"/>
    <w:rsid w:val="004051D8"/>
    <w:rsid w:val="0040546D"/>
    <w:rsid w:val="0040589A"/>
    <w:rsid w:val="00405EEA"/>
    <w:rsid w:val="00407855"/>
    <w:rsid w:val="00410B1D"/>
    <w:rsid w:val="00410F19"/>
    <w:rsid w:val="00411DE4"/>
    <w:rsid w:val="00413F92"/>
    <w:rsid w:val="00415C20"/>
    <w:rsid w:val="00417967"/>
    <w:rsid w:val="004209ED"/>
    <w:rsid w:val="004223A0"/>
    <w:rsid w:val="004234FA"/>
    <w:rsid w:val="004238FB"/>
    <w:rsid w:val="00423E92"/>
    <w:rsid w:val="0042575B"/>
    <w:rsid w:val="004269C0"/>
    <w:rsid w:val="00427A3E"/>
    <w:rsid w:val="00427EEE"/>
    <w:rsid w:val="004300B9"/>
    <w:rsid w:val="004305BD"/>
    <w:rsid w:val="004313A4"/>
    <w:rsid w:val="00432141"/>
    <w:rsid w:val="00435448"/>
    <w:rsid w:val="004366AE"/>
    <w:rsid w:val="0043707F"/>
    <w:rsid w:val="00437225"/>
    <w:rsid w:val="00437B07"/>
    <w:rsid w:val="00437D06"/>
    <w:rsid w:val="004409A8"/>
    <w:rsid w:val="004414A1"/>
    <w:rsid w:val="00441F54"/>
    <w:rsid w:val="004423D9"/>
    <w:rsid w:val="0044317E"/>
    <w:rsid w:val="0044371A"/>
    <w:rsid w:val="004438B1"/>
    <w:rsid w:val="00446BE8"/>
    <w:rsid w:val="00446E2C"/>
    <w:rsid w:val="00452CAA"/>
    <w:rsid w:val="00454696"/>
    <w:rsid w:val="00454C85"/>
    <w:rsid w:val="00455E70"/>
    <w:rsid w:val="004560F8"/>
    <w:rsid w:val="004611F6"/>
    <w:rsid w:val="004615B5"/>
    <w:rsid w:val="004616FF"/>
    <w:rsid w:val="0046304C"/>
    <w:rsid w:val="0047196B"/>
    <w:rsid w:val="00471EB9"/>
    <w:rsid w:val="0047257C"/>
    <w:rsid w:val="00472D1D"/>
    <w:rsid w:val="004759ED"/>
    <w:rsid w:val="004761F5"/>
    <w:rsid w:val="004764E1"/>
    <w:rsid w:val="0047742A"/>
    <w:rsid w:val="00477FF1"/>
    <w:rsid w:val="00480238"/>
    <w:rsid w:val="004821C6"/>
    <w:rsid w:val="00482D49"/>
    <w:rsid w:val="00483609"/>
    <w:rsid w:val="004856CE"/>
    <w:rsid w:val="00485C00"/>
    <w:rsid w:val="00486B0F"/>
    <w:rsid w:val="0048719B"/>
    <w:rsid w:val="00487277"/>
    <w:rsid w:val="0048782C"/>
    <w:rsid w:val="004879C5"/>
    <w:rsid w:val="00490EB4"/>
    <w:rsid w:val="00491328"/>
    <w:rsid w:val="00491AE2"/>
    <w:rsid w:val="00491FC7"/>
    <w:rsid w:val="004930B2"/>
    <w:rsid w:val="004957BB"/>
    <w:rsid w:val="00495944"/>
    <w:rsid w:val="00496229"/>
    <w:rsid w:val="004A052D"/>
    <w:rsid w:val="004A0780"/>
    <w:rsid w:val="004A25C3"/>
    <w:rsid w:val="004A304B"/>
    <w:rsid w:val="004A4775"/>
    <w:rsid w:val="004A5957"/>
    <w:rsid w:val="004A651C"/>
    <w:rsid w:val="004A677E"/>
    <w:rsid w:val="004A6B2F"/>
    <w:rsid w:val="004A73A0"/>
    <w:rsid w:val="004B10A0"/>
    <w:rsid w:val="004B2A01"/>
    <w:rsid w:val="004B2CB0"/>
    <w:rsid w:val="004B313C"/>
    <w:rsid w:val="004B3195"/>
    <w:rsid w:val="004B596B"/>
    <w:rsid w:val="004B5CC6"/>
    <w:rsid w:val="004B5D26"/>
    <w:rsid w:val="004B7B8B"/>
    <w:rsid w:val="004C0926"/>
    <w:rsid w:val="004C151C"/>
    <w:rsid w:val="004C16B1"/>
    <w:rsid w:val="004C2D79"/>
    <w:rsid w:val="004C36A2"/>
    <w:rsid w:val="004C3712"/>
    <w:rsid w:val="004C3AB7"/>
    <w:rsid w:val="004C4200"/>
    <w:rsid w:val="004C489B"/>
    <w:rsid w:val="004C63C4"/>
    <w:rsid w:val="004C6518"/>
    <w:rsid w:val="004D040D"/>
    <w:rsid w:val="004D1347"/>
    <w:rsid w:val="004D24EB"/>
    <w:rsid w:val="004D3DE9"/>
    <w:rsid w:val="004D4380"/>
    <w:rsid w:val="004D6C45"/>
    <w:rsid w:val="004D6E94"/>
    <w:rsid w:val="004E139A"/>
    <w:rsid w:val="004E2950"/>
    <w:rsid w:val="004E3167"/>
    <w:rsid w:val="004E322D"/>
    <w:rsid w:val="004E4940"/>
    <w:rsid w:val="004E4A54"/>
    <w:rsid w:val="004E4DB4"/>
    <w:rsid w:val="004E540E"/>
    <w:rsid w:val="004E69D0"/>
    <w:rsid w:val="004E7515"/>
    <w:rsid w:val="004E7FBD"/>
    <w:rsid w:val="004F0E22"/>
    <w:rsid w:val="004F247D"/>
    <w:rsid w:val="004F2C4D"/>
    <w:rsid w:val="004F2DEE"/>
    <w:rsid w:val="004F3067"/>
    <w:rsid w:val="004F5953"/>
    <w:rsid w:val="004F73E8"/>
    <w:rsid w:val="004F7C54"/>
    <w:rsid w:val="00500EB9"/>
    <w:rsid w:val="005021F8"/>
    <w:rsid w:val="005045CB"/>
    <w:rsid w:val="00507023"/>
    <w:rsid w:val="005108E3"/>
    <w:rsid w:val="005121FE"/>
    <w:rsid w:val="005128C5"/>
    <w:rsid w:val="00512B7D"/>
    <w:rsid w:val="00512C11"/>
    <w:rsid w:val="00515331"/>
    <w:rsid w:val="00516327"/>
    <w:rsid w:val="00516926"/>
    <w:rsid w:val="005200C6"/>
    <w:rsid w:val="00520DEB"/>
    <w:rsid w:val="00520F22"/>
    <w:rsid w:val="00523958"/>
    <w:rsid w:val="00523A6E"/>
    <w:rsid w:val="00523BBA"/>
    <w:rsid w:val="005242EE"/>
    <w:rsid w:val="005244B9"/>
    <w:rsid w:val="0052589A"/>
    <w:rsid w:val="005262BB"/>
    <w:rsid w:val="00526715"/>
    <w:rsid w:val="00527346"/>
    <w:rsid w:val="0052772F"/>
    <w:rsid w:val="00530A4D"/>
    <w:rsid w:val="00530D85"/>
    <w:rsid w:val="00530E5B"/>
    <w:rsid w:val="005347D2"/>
    <w:rsid w:val="00534FDB"/>
    <w:rsid w:val="005352DD"/>
    <w:rsid w:val="0053687E"/>
    <w:rsid w:val="0053734A"/>
    <w:rsid w:val="00537A16"/>
    <w:rsid w:val="005400C8"/>
    <w:rsid w:val="0054073F"/>
    <w:rsid w:val="00540F28"/>
    <w:rsid w:val="00541655"/>
    <w:rsid w:val="005424AA"/>
    <w:rsid w:val="0054286D"/>
    <w:rsid w:val="005433E9"/>
    <w:rsid w:val="00543E44"/>
    <w:rsid w:val="00543EBD"/>
    <w:rsid w:val="00543FDE"/>
    <w:rsid w:val="005448D2"/>
    <w:rsid w:val="00545882"/>
    <w:rsid w:val="005458C1"/>
    <w:rsid w:val="00545FCA"/>
    <w:rsid w:val="00546B12"/>
    <w:rsid w:val="00546B85"/>
    <w:rsid w:val="00547895"/>
    <w:rsid w:val="005505B6"/>
    <w:rsid w:val="00550646"/>
    <w:rsid w:val="005511E8"/>
    <w:rsid w:val="005518B0"/>
    <w:rsid w:val="00552627"/>
    <w:rsid w:val="005532F4"/>
    <w:rsid w:val="005537B4"/>
    <w:rsid w:val="00555C9E"/>
    <w:rsid w:val="0055777F"/>
    <w:rsid w:val="00561141"/>
    <w:rsid w:val="00563EDB"/>
    <w:rsid w:val="00565134"/>
    <w:rsid w:val="005651EA"/>
    <w:rsid w:val="00565E3D"/>
    <w:rsid w:val="0056753D"/>
    <w:rsid w:val="00570271"/>
    <w:rsid w:val="0057075E"/>
    <w:rsid w:val="0057365A"/>
    <w:rsid w:val="00573AE4"/>
    <w:rsid w:val="00574F28"/>
    <w:rsid w:val="00575591"/>
    <w:rsid w:val="00576275"/>
    <w:rsid w:val="0057681A"/>
    <w:rsid w:val="005773C2"/>
    <w:rsid w:val="00577493"/>
    <w:rsid w:val="00580469"/>
    <w:rsid w:val="0058070C"/>
    <w:rsid w:val="0058262C"/>
    <w:rsid w:val="00583503"/>
    <w:rsid w:val="00583D27"/>
    <w:rsid w:val="00583E6B"/>
    <w:rsid w:val="00586317"/>
    <w:rsid w:val="00587572"/>
    <w:rsid w:val="0058774D"/>
    <w:rsid w:val="0058793B"/>
    <w:rsid w:val="0059024E"/>
    <w:rsid w:val="005903BA"/>
    <w:rsid w:val="00590796"/>
    <w:rsid w:val="005920EF"/>
    <w:rsid w:val="0059228E"/>
    <w:rsid w:val="005940AC"/>
    <w:rsid w:val="005948C9"/>
    <w:rsid w:val="00594F36"/>
    <w:rsid w:val="00595F38"/>
    <w:rsid w:val="0059720F"/>
    <w:rsid w:val="00597593"/>
    <w:rsid w:val="005A0101"/>
    <w:rsid w:val="005A0DE7"/>
    <w:rsid w:val="005A1E03"/>
    <w:rsid w:val="005A276D"/>
    <w:rsid w:val="005A43C7"/>
    <w:rsid w:val="005A674B"/>
    <w:rsid w:val="005A6C4C"/>
    <w:rsid w:val="005A7389"/>
    <w:rsid w:val="005B0480"/>
    <w:rsid w:val="005B241C"/>
    <w:rsid w:val="005B27D0"/>
    <w:rsid w:val="005B2D83"/>
    <w:rsid w:val="005B37BB"/>
    <w:rsid w:val="005B43E4"/>
    <w:rsid w:val="005B47E3"/>
    <w:rsid w:val="005B5814"/>
    <w:rsid w:val="005B6A6E"/>
    <w:rsid w:val="005C28ED"/>
    <w:rsid w:val="005C2E37"/>
    <w:rsid w:val="005C4381"/>
    <w:rsid w:val="005C4B9A"/>
    <w:rsid w:val="005C528F"/>
    <w:rsid w:val="005C7655"/>
    <w:rsid w:val="005C7C79"/>
    <w:rsid w:val="005D03D9"/>
    <w:rsid w:val="005D159E"/>
    <w:rsid w:val="005D2206"/>
    <w:rsid w:val="005D2D7A"/>
    <w:rsid w:val="005D323C"/>
    <w:rsid w:val="005D3E6E"/>
    <w:rsid w:val="005D4ACB"/>
    <w:rsid w:val="005D4E3B"/>
    <w:rsid w:val="005D5504"/>
    <w:rsid w:val="005D57A4"/>
    <w:rsid w:val="005E014D"/>
    <w:rsid w:val="005E2215"/>
    <w:rsid w:val="005E29E0"/>
    <w:rsid w:val="005E37E4"/>
    <w:rsid w:val="005E41DD"/>
    <w:rsid w:val="005E423F"/>
    <w:rsid w:val="005E4AC9"/>
    <w:rsid w:val="005E546D"/>
    <w:rsid w:val="005E77DF"/>
    <w:rsid w:val="005F0FA0"/>
    <w:rsid w:val="005F1049"/>
    <w:rsid w:val="005F1E30"/>
    <w:rsid w:val="005F3D48"/>
    <w:rsid w:val="005F40EF"/>
    <w:rsid w:val="005F44FE"/>
    <w:rsid w:val="005F694C"/>
    <w:rsid w:val="005F783C"/>
    <w:rsid w:val="005F79CC"/>
    <w:rsid w:val="00600502"/>
    <w:rsid w:val="00601FB5"/>
    <w:rsid w:val="00602CBF"/>
    <w:rsid w:val="00602FF8"/>
    <w:rsid w:val="00603658"/>
    <w:rsid w:val="00603FC1"/>
    <w:rsid w:val="0060515D"/>
    <w:rsid w:val="006057B6"/>
    <w:rsid w:val="00606689"/>
    <w:rsid w:val="0061150F"/>
    <w:rsid w:val="0061381E"/>
    <w:rsid w:val="006141B5"/>
    <w:rsid w:val="006142C6"/>
    <w:rsid w:val="00614983"/>
    <w:rsid w:val="006150F1"/>
    <w:rsid w:val="006159CC"/>
    <w:rsid w:val="006164B6"/>
    <w:rsid w:val="006173B7"/>
    <w:rsid w:val="006173D0"/>
    <w:rsid w:val="00617AD6"/>
    <w:rsid w:val="006201BE"/>
    <w:rsid w:val="006201D7"/>
    <w:rsid w:val="00620B1D"/>
    <w:rsid w:val="00622071"/>
    <w:rsid w:val="00623FB8"/>
    <w:rsid w:val="00624ABE"/>
    <w:rsid w:val="00624BBE"/>
    <w:rsid w:val="0062542C"/>
    <w:rsid w:val="006254DA"/>
    <w:rsid w:val="00625A05"/>
    <w:rsid w:val="00625A62"/>
    <w:rsid w:val="00625C67"/>
    <w:rsid w:val="0062665F"/>
    <w:rsid w:val="0062699A"/>
    <w:rsid w:val="00626CA4"/>
    <w:rsid w:val="00630034"/>
    <w:rsid w:val="006320DA"/>
    <w:rsid w:val="0063478D"/>
    <w:rsid w:val="00634DBB"/>
    <w:rsid w:val="00634E9C"/>
    <w:rsid w:val="006401FD"/>
    <w:rsid w:val="0064147A"/>
    <w:rsid w:val="00641764"/>
    <w:rsid w:val="00641822"/>
    <w:rsid w:val="006423C4"/>
    <w:rsid w:val="006427AA"/>
    <w:rsid w:val="006429D7"/>
    <w:rsid w:val="00643ACA"/>
    <w:rsid w:val="00643E92"/>
    <w:rsid w:val="0064742B"/>
    <w:rsid w:val="00651B63"/>
    <w:rsid w:val="00653F3F"/>
    <w:rsid w:val="0065444A"/>
    <w:rsid w:val="00657D2D"/>
    <w:rsid w:val="00662BFE"/>
    <w:rsid w:val="00663B3A"/>
    <w:rsid w:val="00663EAD"/>
    <w:rsid w:val="006644C0"/>
    <w:rsid w:val="006651DD"/>
    <w:rsid w:val="00666ED0"/>
    <w:rsid w:val="00667920"/>
    <w:rsid w:val="00670816"/>
    <w:rsid w:val="006719C9"/>
    <w:rsid w:val="006739A9"/>
    <w:rsid w:val="006746D5"/>
    <w:rsid w:val="00675B34"/>
    <w:rsid w:val="00676851"/>
    <w:rsid w:val="00677139"/>
    <w:rsid w:val="00681633"/>
    <w:rsid w:val="00682576"/>
    <w:rsid w:val="00682698"/>
    <w:rsid w:val="00683B23"/>
    <w:rsid w:val="00685BF1"/>
    <w:rsid w:val="00687587"/>
    <w:rsid w:val="006877D2"/>
    <w:rsid w:val="00687E7A"/>
    <w:rsid w:val="00690D1F"/>
    <w:rsid w:val="006926F8"/>
    <w:rsid w:val="0069349F"/>
    <w:rsid w:val="006944D4"/>
    <w:rsid w:val="00694C70"/>
    <w:rsid w:val="00697893"/>
    <w:rsid w:val="006A131D"/>
    <w:rsid w:val="006A16BB"/>
    <w:rsid w:val="006A220B"/>
    <w:rsid w:val="006A2795"/>
    <w:rsid w:val="006A2ECA"/>
    <w:rsid w:val="006A3210"/>
    <w:rsid w:val="006A3D58"/>
    <w:rsid w:val="006A49F4"/>
    <w:rsid w:val="006A7609"/>
    <w:rsid w:val="006A7B38"/>
    <w:rsid w:val="006B089B"/>
    <w:rsid w:val="006B1B2B"/>
    <w:rsid w:val="006B1D4F"/>
    <w:rsid w:val="006B2393"/>
    <w:rsid w:val="006B3301"/>
    <w:rsid w:val="006B3DF6"/>
    <w:rsid w:val="006B4092"/>
    <w:rsid w:val="006B47F5"/>
    <w:rsid w:val="006B49FA"/>
    <w:rsid w:val="006B56FC"/>
    <w:rsid w:val="006B7651"/>
    <w:rsid w:val="006C0483"/>
    <w:rsid w:val="006C0869"/>
    <w:rsid w:val="006C08A5"/>
    <w:rsid w:val="006C0FD5"/>
    <w:rsid w:val="006C11A5"/>
    <w:rsid w:val="006C3776"/>
    <w:rsid w:val="006C4C9E"/>
    <w:rsid w:val="006C4E82"/>
    <w:rsid w:val="006C6252"/>
    <w:rsid w:val="006C7B63"/>
    <w:rsid w:val="006C7FC3"/>
    <w:rsid w:val="006C7FDD"/>
    <w:rsid w:val="006D1139"/>
    <w:rsid w:val="006D1CD9"/>
    <w:rsid w:val="006D1E20"/>
    <w:rsid w:val="006D236A"/>
    <w:rsid w:val="006D420C"/>
    <w:rsid w:val="006D728E"/>
    <w:rsid w:val="006D79D9"/>
    <w:rsid w:val="006D7B8A"/>
    <w:rsid w:val="006D7EF0"/>
    <w:rsid w:val="006E086B"/>
    <w:rsid w:val="006E0C9A"/>
    <w:rsid w:val="006E240C"/>
    <w:rsid w:val="006E350F"/>
    <w:rsid w:val="006E38C8"/>
    <w:rsid w:val="006E3C20"/>
    <w:rsid w:val="006E58C4"/>
    <w:rsid w:val="006E60D6"/>
    <w:rsid w:val="006E669B"/>
    <w:rsid w:val="006E67E4"/>
    <w:rsid w:val="006E6BE4"/>
    <w:rsid w:val="006F0AD7"/>
    <w:rsid w:val="006F22BC"/>
    <w:rsid w:val="006F2761"/>
    <w:rsid w:val="006F3969"/>
    <w:rsid w:val="006F3C04"/>
    <w:rsid w:val="006F4F50"/>
    <w:rsid w:val="006F6032"/>
    <w:rsid w:val="006F76C7"/>
    <w:rsid w:val="006F79D6"/>
    <w:rsid w:val="007006D1"/>
    <w:rsid w:val="0070086D"/>
    <w:rsid w:val="00700AA4"/>
    <w:rsid w:val="0070165C"/>
    <w:rsid w:val="00702219"/>
    <w:rsid w:val="00710B18"/>
    <w:rsid w:val="00710FC2"/>
    <w:rsid w:val="00711B7B"/>
    <w:rsid w:val="0071436E"/>
    <w:rsid w:val="00714493"/>
    <w:rsid w:val="00714C42"/>
    <w:rsid w:val="00714D19"/>
    <w:rsid w:val="00714E79"/>
    <w:rsid w:val="00715D8C"/>
    <w:rsid w:val="00716929"/>
    <w:rsid w:val="00716E3A"/>
    <w:rsid w:val="00717936"/>
    <w:rsid w:val="00720A8F"/>
    <w:rsid w:val="007223D8"/>
    <w:rsid w:val="00723182"/>
    <w:rsid w:val="00723431"/>
    <w:rsid w:val="007239F8"/>
    <w:rsid w:val="00727686"/>
    <w:rsid w:val="007316D1"/>
    <w:rsid w:val="00732CB5"/>
    <w:rsid w:val="007333A5"/>
    <w:rsid w:val="0073347B"/>
    <w:rsid w:val="007338C0"/>
    <w:rsid w:val="00733BCC"/>
    <w:rsid w:val="00733EA2"/>
    <w:rsid w:val="00734254"/>
    <w:rsid w:val="007346FD"/>
    <w:rsid w:val="007347C4"/>
    <w:rsid w:val="0074135F"/>
    <w:rsid w:val="00741B03"/>
    <w:rsid w:val="0074288F"/>
    <w:rsid w:val="0075118F"/>
    <w:rsid w:val="00751F39"/>
    <w:rsid w:val="007527BA"/>
    <w:rsid w:val="00753174"/>
    <w:rsid w:val="007531F3"/>
    <w:rsid w:val="00753B4D"/>
    <w:rsid w:val="007548E7"/>
    <w:rsid w:val="00754949"/>
    <w:rsid w:val="00754B22"/>
    <w:rsid w:val="00755DDE"/>
    <w:rsid w:val="007563FF"/>
    <w:rsid w:val="00760038"/>
    <w:rsid w:val="00761D6A"/>
    <w:rsid w:val="007632B7"/>
    <w:rsid w:val="0076393B"/>
    <w:rsid w:val="007654F5"/>
    <w:rsid w:val="007660B9"/>
    <w:rsid w:val="00767923"/>
    <w:rsid w:val="00771310"/>
    <w:rsid w:val="0077148F"/>
    <w:rsid w:val="00773AC7"/>
    <w:rsid w:val="0077443C"/>
    <w:rsid w:val="00774631"/>
    <w:rsid w:val="0077598F"/>
    <w:rsid w:val="007770A7"/>
    <w:rsid w:val="00777395"/>
    <w:rsid w:val="00777EAE"/>
    <w:rsid w:val="00780AC4"/>
    <w:rsid w:val="00781335"/>
    <w:rsid w:val="0078172B"/>
    <w:rsid w:val="00781797"/>
    <w:rsid w:val="00782915"/>
    <w:rsid w:val="00783361"/>
    <w:rsid w:val="0078442D"/>
    <w:rsid w:val="00784B69"/>
    <w:rsid w:val="00787C61"/>
    <w:rsid w:val="007900DC"/>
    <w:rsid w:val="007901EE"/>
    <w:rsid w:val="0079110A"/>
    <w:rsid w:val="007929B0"/>
    <w:rsid w:val="0079322F"/>
    <w:rsid w:val="0079362E"/>
    <w:rsid w:val="00794339"/>
    <w:rsid w:val="0079526E"/>
    <w:rsid w:val="007956C4"/>
    <w:rsid w:val="0079638B"/>
    <w:rsid w:val="00796580"/>
    <w:rsid w:val="007971C7"/>
    <w:rsid w:val="0079762F"/>
    <w:rsid w:val="007A02C2"/>
    <w:rsid w:val="007A1F95"/>
    <w:rsid w:val="007A230F"/>
    <w:rsid w:val="007A27C5"/>
    <w:rsid w:val="007A3BEC"/>
    <w:rsid w:val="007A51BA"/>
    <w:rsid w:val="007A52E1"/>
    <w:rsid w:val="007A7C7E"/>
    <w:rsid w:val="007A7FF6"/>
    <w:rsid w:val="007B0B4E"/>
    <w:rsid w:val="007B1311"/>
    <w:rsid w:val="007B24CC"/>
    <w:rsid w:val="007B3034"/>
    <w:rsid w:val="007B35DD"/>
    <w:rsid w:val="007B3A85"/>
    <w:rsid w:val="007B7B99"/>
    <w:rsid w:val="007C1608"/>
    <w:rsid w:val="007C1A19"/>
    <w:rsid w:val="007C238E"/>
    <w:rsid w:val="007C2470"/>
    <w:rsid w:val="007C24DE"/>
    <w:rsid w:val="007C25B4"/>
    <w:rsid w:val="007C2F5B"/>
    <w:rsid w:val="007C3025"/>
    <w:rsid w:val="007C3CFB"/>
    <w:rsid w:val="007C3F60"/>
    <w:rsid w:val="007D0B8A"/>
    <w:rsid w:val="007D680C"/>
    <w:rsid w:val="007D6CDC"/>
    <w:rsid w:val="007D6D93"/>
    <w:rsid w:val="007E06B4"/>
    <w:rsid w:val="007E0969"/>
    <w:rsid w:val="007E109E"/>
    <w:rsid w:val="007E2560"/>
    <w:rsid w:val="007E28D2"/>
    <w:rsid w:val="007E3545"/>
    <w:rsid w:val="007E3E6D"/>
    <w:rsid w:val="007E4E2E"/>
    <w:rsid w:val="007E5391"/>
    <w:rsid w:val="007E62C9"/>
    <w:rsid w:val="007E7DDC"/>
    <w:rsid w:val="007F0B4A"/>
    <w:rsid w:val="007F15F7"/>
    <w:rsid w:val="007F2558"/>
    <w:rsid w:val="007F281F"/>
    <w:rsid w:val="007F2BE0"/>
    <w:rsid w:val="007F2F89"/>
    <w:rsid w:val="007F3225"/>
    <w:rsid w:val="007F370F"/>
    <w:rsid w:val="007F5C4C"/>
    <w:rsid w:val="007F5D33"/>
    <w:rsid w:val="007F68FC"/>
    <w:rsid w:val="007F6AF8"/>
    <w:rsid w:val="007F6FC0"/>
    <w:rsid w:val="007F7BB0"/>
    <w:rsid w:val="007F7EB6"/>
    <w:rsid w:val="007F7FED"/>
    <w:rsid w:val="008007B1"/>
    <w:rsid w:val="00800F6F"/>
    <w:rsid w:val="00801450"/>
    <w:rsid w:val="00803806"/>
    <w:rsid w:val="00804B6E"/>
    <w:rsid w:val="00804DED"/>
    <w:rsid w:val="008051C4"/>
    <w:rsid w:val="00805687"/>
    <w:rsid w:val="00805B42"/>
    <w:rsid w:val="00806393"/>
    <w:rsid w:val="008064ED"/>
    <w:rsid w:val="00810668"/>
    <w:rsid w:val="008114A4"/>
    <w:rsid w:val="008122B8"/>
    <w:rsid w:val="0081241C"/>
    <w:rsid w:val="00813164"/>
    <w:rsid w:val="0081512D"/>
    <w:rsid w:val="00816F5A"/>
    <w:rsid w:val="008175D9"/>
    <w:rsid w:val="008177D9"/>
    <w:rsid w:val="00820E0F"/>
    <w:rsid w:val="00821457"/>
    <w:rsid w:val="00821B6C"/>
    <w:rsid w:val="00821CF5"/>
    <w:rsid w:val="00821DCD"/>
    <w:rsid w:val="00821F4E"/>
    <w:rsid w:val="0082213F"/>
    <w:rsid w:val="00823CEC"/>
    <w:rsid w:val="008244B2"/>
    <w:rsid w:val="008244F4"/>
    <w:rsid w:val="00825B23"/>
    <w:rsid w:val="00825DFF"/>
    <w:rsid w:val="00826FB3"/>
    <w:rsid w:val="008275B9"/>
    <w:rsid w:val="00830AA7"/>
    <w:rsid w:val="0083261D"/>
    <w:rsid w:val="008329C1"/>
    <w:rsid w:val="00832D89"/>
    <w:rsid w:val="0083347B"/>
    <w:rsid w:val="00837EF9"/>
    <w:rsid w:val="00840865"/>
    <w:rsid w:val="00840DBC"/>
    <w:rsid w:val="00841D41"/>
    <w:rsid w:val="0084306B"/>
    <w:rsid w:val="008431D3"/>
    <w:rsid w:val="008436AB"/>
    <w:rsid w:val="00844739"/>
    <w:rsid w:val="0084486B"/>
    <w:rsid w:val="00845665"/>
    <w:rsid w:val="00850CFF"/>
    <w:rsid w:val="00852EA4"/>
    <w:rsid w:val="00855383"/>
    <w:rsid w:val="00855C67"/>
    <w:rsid w:val="008561BC"/>
    <w:rsid w:val="00857C81"/>
    <w:rsid w:val="008606BC"/>
    <w:rsid w:val="0086151D"/>
    <w:rsid w:val="00861BF1"/>
    <w:rsid w:val="0086257D"/>
    <w:rsid w:val="00864D08"/>
    <w:rsid w:val="00864DA4"/>
    <w:rsid w:val="008678C1"/>
    <w:rsid w:val="0087061B"/>
    <w:rsid w:val="0087128E"/>
    <w:rsid w:val="00871448"/>
    <w:rsid w:val="008715C2"/>
    <w:rsid w:val="00872A6B"/>
    <w:rsid w:val="00873DED"/>
    <w:rsid w:val="00874D58"/>
    <w:rsid w:val="008756ED"/>
    <w:rsid w:val="0087648E"/>
    <w:rsid w:val="00877425"/>
    <w:rsid w:val="008777F4"/>
    <w:rsid w:val="0088054F"/>
    <w:rsid w:val="00880786"/>
    <w:rsid w:val="0088081A"/>
    <w:rsid w:val="00881ED8"/>
    <w:rsid w:val="008825AD"/>
    <w:rsid w:val="0088269B"/>
    <w:rsid w:val="00883D2F"/>
    <w:rsid w:val="00883FF5"/>
    <w:rsid w:val="0088415D"/>
    <w:rsid w:val="0088437F"/>
    <w:rsid w:val="0088493C"/>
    <w:rsid w:val="00884A76"/>
    <w:rsid w:val="00886689"/>
    <w:rsid w:val="00886B11"/>
    <w:rsid w:val="008873F0"/>
    <w:rsid w:val="00893AC2"/>
    <w:rsid w:val="00894E32"/>
    <w:rsid w:val="00894E87"/>
    <w:rsid w:val="0089502B"/>
    <w:rsid w:val="00895812"/>
    <w:rsid w:val="00895838"/>
    <w:rsid w:val="00895BE2"/>
    <w:rsid w:val="008A1D47"/>
    <w:rsid w:val="008A3FA9"/>
    <w:rsid w:val="008A444A"/>
    <w:rsid w:val="008A4F1F"/>
    <w:rsid w:val="008A548B"/>
    <w:rsid w:val="008A649D"/>
    <w:rsid w:val="008A7EEC"/>
    <w:rsid w:val="008B0992"/>
    <w:rsid w:val="008B2C38"/>
    <w:rsid w:val="008B3A3C"/>
    <w:rsid w:val="008B493F"/>
    <w:rsid w:val="008B5BD5"/>
    <w:rsid w:val="008C0F70"/>
    <w:rsid w:val="008C115E"/>
    <w:rsid w:val="008C3C4A"/>
    <w:rsid w:val="008C418A"/>
    <w:rsid w:val="008C54A1"/>
    <w:rsid w:val="008C6895"/>
    <w:rsid w:val="008C7E68"/>
    <w:rsid w:val="008C7F5F"/>
    <w:rsid w:val="008D0504"/>
    <w:rsid w:val="008D1256"/>
    <w:rsid w:val="008D1CE0"/>
    <w:rsid w:val="008D1DB4"/>
    <w:rsid w:val="008D275A"/>
    <w:rsid w:val="008D41D4"/>
    <w:rsid w:val="008D5EA4"/>
    <w:rsid w:val="008D6273"/>
    <w:rsid w:val="008D6490"/>
    <w:rsid w:val="008D6A42"/>
    <w:rsid w:val="008D6C37"/>
    <w:rsid w:val="008E01B1"/>
    <w:rsid w:val="008E04E5"/>
    <w:rsid w:val="008E0FA0"/>
    <w:rsid w:val="008E3BBC"/>
    <w:rsid w:val="008E53C6"/>
    <w:rsid w:val="008E6B23"/>
    <w:rsid w:val="008E71F4"/>
    <w:rsid w:val="008E7B4B"/>
    <w:rsid w:val="008E7B58"/>
    <w:rsid w:val="008F0269"/>
    <w:rsid w:val="008F2C53"/>
    <w:rsid w:val="008F2E83"/>
    <w:rsid w:val="008F5F39"/>
    <w:rsid w:val="008F6747"/>
    <w:rsid w:val="008F773B"/>
    <w:rsid w:val="008F78F2"/>
    <w:rsid w:val="008F7E50"/>
    <w:rsid w:val="00900A13"/>
    <w:rsid w:val="00900CDB"/>
    <w:rsid w:val="00902C21"/>
    <w:rsid w:val="00902CAC"/>
    <w:rsid w:val="009036CA"/>
    <w:rsid w:val="00903CB2"/>
    <w:rsid w:val="00904C28"/>
    <w:rsid w:val="00904CF1"/>
    <w:rsid w:val="009052B4"/>
    <w:rsid w:val="009059BC"/>
    <w:rsid w:val="009061DD"/>
    <w:rsid w:val="0091087A"/>
    <w:rsid w:val="00911A7C"/>
    <w:rsid w:val="00912676"/>
    <w:rsid w:val="00912BE9"/>
    <w:rsid w:val="00912C17"/>
    <w:rsid w:val="00913EEE"/>
    <w:rsid w:val="009151EE"/>
    <w:rsid w:val="009157EF"/>
    <w:rsid w:val="0091673E"/>
    <w:rsid w:val="0091799C"/>
    <w:rsid w:val="00917F95"/>
    <w:rsid w:val="00920BC2"/>
    <w:rsid w:val="00920F52"/>
    <w:rsid w:val="00922E9E"/>
    <w:rsid w:val="00922F08"/>
    <w:rsid w:val="00923EDF"/>
    <w:rsid w:val="00924520"/>
    <w:rsid w:val="009247E3"/>
    <w:rsid w:val="00927458"/>
    <w:rsid w:val="00927A45"/>
    <w:rsid w:val="00931B4A"/>
    <w:rsid w:val="009321BD"/>
    <w:rsid w:val="00934C01"/>
    <w:rsid w:val="009420C9"/>
    <w:rsid w:val="00943A00"/>
    <w:rsid w:val="00943C35"/>
    <w:rsid w:val="00943D1C"/>
    <w:rsid w:val="009458FE"/>
    <w:rsid w:val="00946766"/>
    <w:rsid w:val="0094688C"/>
    <w:rsid w:val="0094735D"/>
    <w:rsid w:val="00953719"/>
    <w:rsid w:val="0095540E"/>
    <w:rsid w:val="009554BB"/>
    <w:rsid w:val="009558A3"/>
    <w:rsid w:val="0095616D"/>
    <w:rsid w:val="00960386"/>
    <w:rsid w:val="00962841"/>
    <w:rsid w:val="00962DB6"/>
    <w:rsid w:val="00963FB3"/>
    <w:rsid w:val="00964BF0"/>
    <w:rsid w:val="00965EE2"/>
    <w:rsid w:val="00966BE2"/>
    <w:rsid w:val="00970D03"/>
    <w:rsid w:val="00971823"/>
    <w:rsid w:val="00971D86"/>
    <w:rsid w:val="00972906"/>
    <w:rsid w:val="00973BE2"/>
    <w:rsid w:val="00975666"/>
    <w:rsid w:val="00975E46"/>
    <w:rsid w:val="0097609F"/>
    <w:rsid w:val="00977C95"/>
    <w:rsid w:val="0098004D"/>
    <w:rsid w:val="0098318E"/>
    <w:rsid w:val="00983595"/>
    <w:rsid w:val="00984B00"/>
    <w:rsid w:val="00987625"/>
    <w:rsid w:val="009900E7"/>
    <w:rsid w:val="0099185E"/>
    <w:rsid w:val="009919A8"/>
    <w:rsid w:val="00993925"/>
    <w:rsid w:val="00993B67"/>
    <w:rsid w:val="00994825"/>
    <w:rsid w:val="009959E0"/>
    <w:rsid w:val="00996483"/>
    <w:rsid w:val="00996825"/>
    <w:rsid w:val="00996919"/>
    <w:rsid w:val="00996BEA"/>
    <w:rsid w:val="00997DAC"/>
    <w:rsid w:val="009A0947"/>
    <w:rsid w:val="009A120B"/>
    <w:rsid w:val="009A18E7"/>
    <w:rsid w:val="009A2E2A"/>
    <w:rsid w:val="009A33FB"/>
    <w:rsid w:val="009A36F2"/>
    <w:rsid w:val="009A3D0B"/>
    <w:rsid w:val="009A5B4C"/>
    <w:rsid w:val="009A6D65"/>
    <w:rsid w:val="009A7207"/>
    <w:rsid w:val="009A788A"/>
    <w:rsid w:val="009B0525"/>
    <w:rsid w:val="009B111F"/>
    <w:rsid w:val="009B1A44"/>
    <w:rsid w:val="009B4379"/>
    <w:rsid w:val="009B46FE"/>
    <w:rsid w:val="009B4BF6"/>
    <w:rsid w:val="009B5E88"/>
    <w:rsid w:val="009C02A9"/>
    <w:rsid w:val="009C2B6F"/>
    <w:rsid w:val="009C336D"/>
    <w:rsid w:val="009C48FC"/>
    <w:rsid w:val="009C52D1"/>
    <w:rsid w:val="009C76BF"/>
    <w:rsid w:val="009D28F1"/>
    <w:rsid w:val="009D442E"/>
    <w:rsid w:val="009D4C9A"/>
    <w:rsid w:val="009D508F"/>
    <w:rsid w:val="009D604F"/>
    <w:rsid w:val="009D7E83"/>
    <w:rsid w:val="009E1352"/>
    <w:rsid w:val="009E323F"/>
    <w:rsid w:val="009E423B"/>
    <w:rsid w:val="009E59C7"/>
    <w:rsid w:val="009E62A0"/>
    <w:rsid w:val="009E7E6B"/>
    <w:rsid w:val="009F0110"/>
    <w:rsid w:val="009F3C57"/>
    <w:rsid w:val="009F3D44"/>
    <w:rsid w:val="009F43AC"/>
    <w:rsid w:val="009F751D"/>
    <w:rsid w:val="009F7FBD"/>
    <w:rsid w:val="00A00EF2"/>
    <w:rsid w:val="00A01101"/>
    <w:rsid w:val="00A02059"/>
    <w:rsid w:val="00A04CBA"/>
    <w:rsid w:val="00A05188"/>
    <w:rsid w:val="00A051E9"/>
    <w:rsid w:val="00A06091"/>
    <w:rsid w:val="00A069F9"/>
    <w:rsid w:val="00A07676"/>
    <w:rsid w:val="00A10469"/>
    <w:rsid w:val="00A10B1E"/>
    <w:rsid w:val="00A1180C"/>
    <w:rsid w:val="00A15986"/>
    <w:rsid w:val="00A16628"/>
    <w:rsid w:val="00A1688E"/>
    <w:rsid w:val="00A168E6"/>
    <w:rsid w:val="00A173EC"/>
    <w:rsid w:val="00A17BEB"/>
    <w:rsid w:val="00A17FD0"/>
    <w:rsid w:val="00A205EF"/>
    <w:rsid w:val="00A217E6"/>
    <w:rsid w:val="00A237B8"/>
    <w:rsid w:val="00A240FD"/>
    <w:rsid w:val="00A24185"/>
    <w:rsid w:val="00A247B4"/>
    <w:rsid w:val="00A247D4"/>
    <w:rsid w:val="00A253D9"/>
    <w:rsid w:val="00A25770"/>
    <w:rsid w:val="00A267DB"/>
    <w:rsid w:val="00A26E51"/>
    <w:rsid w:val="00A30CC1"/>
    <w:rsid w:val="00A313CC"/>
    <w:rsid w:val="00A3193E"/>
    <w:rsid w:val="00A32502"/>
    <w:rsid w:val="00A335C5"/>
    <w:rsid w:val="00A35436"/>
    <w:rsid w:val="00A3576B"/>
    <w:rsid w:val="00A372B9"/>
    <w:rsid w:val="00A4016E"/>
    <w:rsid w:val="00A40C8E"/>
    <w:rsid w:val="00A41A1A"/>
    <w:rsid w:val="00A4503B"/>
    <w:rsid w:val="00A465EE"/>
    <w:rsid w:val="00A477E6"/>
    <w:rsid w:val="00A47BBC"/>
    <w:rsid w:val="00A47C07"/>
    <w:rsid w:val="00A47C62"/>
    <w:rsid w:val="00A5060C"/>
    <w:rsid w:val="00A509C9"/>
    <w:rsid w:val="00A50FFD"/>
    <w:rsid w:val="00A5262B"/>
    <w:rsid w:val="00A5281D"/>
    <w:rsid w:val="00A52C17"/>
    <w:rsid w:val="00A53574"/>
    <w:rsid w:val="00A53B73"/>
    <w:rsid w:val="00A569A5"/>
    <w:rsid w:val="00A5736B"/>
    <w:rsid w:val="00A575B4"/>
    <w:rsid w:val="00A57CFB"/>
    <w:rsid w:val="00A602DB"/>
    <w:rsid w:val="00A60EEF"/>
    <w:rsid w:val="00A60F01"/>
    <w:rsid w:val="00A61711"/>
    <w:rsid w:val="00A61CE8"/>
    <w:rsid w:val="00A62F19"/>
    <w:rsid w:val="00A63A16"/>
    <w:rsid w:val="00A648D6"/>
    <w:rsid w:val="00A6585D"/>
    <w:rsid w:val="00A75129"/>
    <w:rsid w:val="00A7667C"/>
    <w:rsid w:val="00A77B46"/>
    <w:rsid w:val="00A80863"/>
    <w:rsid w:val="00A8134C"/>
    <w:rsid w:val="00A81616"/>
    <w:rsid w:val="00A82FD7"/>
    <w:rsid w:val="00A8327A"/>
    <w:rsid w:val="00A8365E"/>
    <w:rsid w:val="00A85615"/>
    <w:rsid w:val="00A858AB"/>
    <w:rsid w:val="00A867EB"/>
    <w:rsid w:val="00A9031C"/>
    <w:rsid w:val="00A91C9F"/>
    <w:rsid w:val="00A92239"/>
    <w:rsid w:val="00A93544"/>
    <w:rsid w:val="00A9488D"/>
    <w:rsid w:val="00A94AF4"/>
    <w:rsid w:val="00A970C0"/>
    <w:rsid w:val="00AA1C65"/>
    <w:rsid w:val="00AA1E5F"/>
    <w:rsid w:val="00AA2631"/>
    <w:rsid w:val="00AA2C24"/>
    <w:rsid w:val="00AA316C"/>
    <w:rsid w:val="00AA4F8F"/>
    <w:rsid w:val="00AA5BB2"/>
    <w:rsid w:val="00AA75B9"/>
    <w:rsid w:val="00AB0405"/>
    <w:rsid w:val="00AB0850"/>
    <w:rsid w:val="00AB0D10"/>
    <w:rsid w:val="00AB0EBF"/>
    <w:rsid w:val="00AB19D6"/>
    <w:rsid w:val="00AB350C"/>
    <w:rsid w:val="00AB3C78"/>
    <w:rsid w:val="00AB4AD2"/>
    <w:rsid w:val="00AB63CD"/>
    <w:rsid w:val="00AB7DD9"/>
    <w:rsid w:val="00AC07B5"/>
    <w:rsid w:val="00AC0C02"/>
    <w:rsid w:val="00AC1AA3"/>
    <w:rsid w:val="00AC1DAC"/>
    <w:rsid w:val="00AC21B8"/>
    <w:rsid w:val="00AC2F34"/>
    <w:rsid w:val="00AC37D1"/>
    <w:rsid w:val="00AC47D2"/>
    <w:rsid w:val="00AC68EC"/>
    <w:rsid w:val="00AC7234"/>
    <w:rsid w:val="00AD00D3"/>
    <w:rsid w:val="00AD0B71"/>
    <w:rsid w:val="00AD208E"/>
    <w:rsid w:val="00AD386B"/>
    <w:rsid w:val="00AD6857"/>
    <w:rsid w:val="00AD7E1D"/>
    <w:rsid w:val="00AE0E38"/>
    <w:rsid w:val="00AE14B0"/>
    <w:rsid w:val="00AE1FF0"/>
    <w:rsid w:val="00AE2920"/>
    <w:rsid w:val="00AE297B"/>
    <w:rsid w:val="00AE4FFC"/>
    <w:rsid w:val="00AE58A4"/>
    <w:rsid w:val="00AE58D5"/>
    <w:rsid w:val="00AE6686"/>
    <w:rsid w:val="00AE6E8A"/>
    <w:rsid w:val="00AF2198"/>
    <w:rsid w:val="00AF353C"/>
    <w:rsid w:val="00AF49E5"/>
    <w:rsid w:val="00AF4B8B"/>
    <w:rsid w:val="00AF6630"/>
    <w:rsid w:val="00B01935"/>
    <w:rsid w:val="00B023A2"/>
    <w:rsid w:val="00B037F4"/>
    <w:rsid w:val="00B03BA9"/>
    <w:rsid w:val="00B054AE"/>
    <w:rsid w:val="00B05A1A"/>
    <w:rsid w:val="00B06546"/>
    <w:rsid w:val="00B0693D"/>
    <w:rsid w:val="00B070DE"/>
    <w:rsid w:val="00B075CE"/>
    <w:rsid w:val="00B11E8E"/>
    <w:rsid w:val="00B1469D"/>
    <w:rsid w:val="00B167B0"/>
    <w:rsid w:val="00B17CD5"/>
    <w:rsid w:val="00B21271"/>
    <w:rsid w:val="00B2427C"/>
    <w:rsid w:val="00B2491E"/>
    <w:rsid w:val="00B24A53"/>
    <w:rsid w:val="00B24D0A"/>
    <w:rsid w:val="00B259A6"/>
    <w:rsid w:val="00B26D67"/>
    <w:rsid w:val="00B321F9"/>
    <w:rsid w:val="00B3317D"/>
    <w:rsid w:val="00B34D2C"/>
    <w:rsid w:val="00B3505A"/>
    <w:rsid w:val="00B36118"/>
    <w:rsid w:val="00B36415"/>
    <w:rsid w:val="00B36583"/>
    <w:rsid w:val="00B36E1B"/>
    <w:rsid w:val="00B41734"/>
    <w:rsid w:val="00B421A7"/>
    <w:rsid w:val="00B423B8"/>
    <w:rsid w:val="00B42D16"/>
    <w:rsid w:val="00B42DC5"/>
    <w:rsid w:val="00B43268"/>
    <w:rsid w:val="00B44F3B"/>
    <w:rsid w:val="00B455B8"/>
    <w:rsid w:val="00B455C1"/>
    <w:rsid w:val="00B461F5"/>
    <w:rsid w:val="00B464EB"/>
    <w:rsid w:val="00B46B0C"/>
    <w:rsid w:val="00B53058"/>
    <w:rsid w:val="00B55DFD"/>
    <w:rsid w:val="00B5687B"/>
    <w:rsid w:val="00B60ACD"/>
    <w:rsid w:val="00B60EBD"/>
    <w:rsid w:val="00B6121B"/>
    <w:rsid w:val="00B62104"/>
    <w:rsid w:val="00B62EBC"/>
    <w:rsid w:val="00B63421"/>
    <w:rsid w:val="00B64382"/>
    <w:rsid w:val="00B64784"/>
    <w:rsid w:val="00B65A90"/>
    <w:rsid w:val="00B679CB"/>
    <w:rsid w:val="00B701ED"/>
    <w:rsid w:val="00B704CB"/>
    <w:rsid w:val="00B70A37"/>
    <w:rsid w:val="00B70FD0"/>
    <w:rsid w:val="00B71B62"/>
    <w:rsid w:val="00B72DF6"/>
    <w:rsid w:val="00B740AF"/>
    <w:rsid w:val="00B748CA"/>
    <w:rsid w:val="00B75485"/>
    <w:rsid w:val="00B7565E"/>
    <w:rsid w:val="00B76C6E"/>
    <w:rsid w:val="00B7799D"/>
    <w:rsid w:val="00B802B4"/>
    <w:rsid w:val="00B80395"/>
    <w:rsid w:val="00B818C7"/>
    <w:rsid w:val="00B8275F"/>
    <w:rsid w:val="00B83A2B"/>
    <w:rsid w:val="00B8407A"/>
    <w:rsid w:val="00B842F1"/>
    <w:rsid w:val="00B845C7"/>
    <w:rsid w:val="00B8477A"/>
    <w:rsid w:val="00B87303"/>
    <w:rsid w:val="00B87E45"/>
    <w:rsid w:val="00B87F0E"/>
    <w:rsid w:val="00B914ED"/>
    <w:rsid w:val="00B94419"/>
    <w:rsid w:val="00B948DD"/>
    <w:rsid w:val="00B94DB2"/>
    <w:rsid w:val="00B94F71"/>
    <w:rsid w:val="00B95533"/>
    <w:rsid w:val="00B959CE"/>
    <w:rsid w:val="00B96200"/>
    <w:rsid w:val="00B96A30"/>
    <w:rsid w:val="00BA0412"/>
    <w:rsid w:val="00BA0860"/>
    <w:rsid w:val="00BA0D2F"/>
    <w:rsid w:val="00BA0F5A"/>
    <w:rsid w:val="00BA14CB"/>
    <w:rsid w:val="00BA2A7D"/>
    <w:rsid w:val="00BA3868"/>
    <w:rsid w:val="00BA3B78"/>
    <w:rsid w:val="00BA47AF"/>
    <w:rsid w:val="00BB02BE"/>
    <w:rsid w:val="00BB02D1"/>
    <w:rsid w:val="00BB048E"/>
    <w:rsid w:val="00BB0FEE"/>
    <w:rsid w:val="00BB1FFF"/>
    <w:rsid w:val="00BB3F5B"/>
    <w:rsid w:val="00BB4361"/>
    <w:rsid w:val="00BB47CA"/>
    <w:rsid w:val="00BC0369"/>
    <w:rsid w:val="00BC1068"/>
    <w:rsid w:val="00BC1972"/>
    <w:rsid w:val="00BC24CA"/>
    <w:rsid w:val="00BC3AE2"/>
    <w:rsid w:val="00BC5D0C"/>
    <w:rsid w:val="00BC6A72"/>
    <w:rsid w:val="00BD0477"/>
    <w:rsid w:val="00BD0630"/>
    <w:rsid w:val="00BD0861"/>
    <w:rsid w:val="00BD113A"/>
    <w:rsid w:val="00BD259F"/>
    <w:rsid w:val="00BD2AC3"/>
    <w:rsid w:val="00BD3D84"/>
    <w:rsid w:val="00BD3DA8"/>
    <w:rsid w:val="00BD402D"/>
    <w:rsid w:val="00BD45D5"/>
    <w:rsid w:val="00BD7327"/>
    <w:rsid w:val="00BD732F"/>
    <w:rsid w:val="00BD7FBD"/>
    <w:rsid w:val="00BE0334"/>
    <w:rsid w:val="00BE06DA"/>
    <w:rsid w:val="00BE0A28"/>
    <w:rsid w:val="00BE0E9A"/>
    <w:rsid w:val="00BE2460"/>
    <w:rsid w:val="00BE51C0"/>
    <w:rsid w:val="00BE7BB6"/>
    <w:rsid w:val="00BF06C2"/>
    <w:rsid w:val="00BF06C4"/>
    <w:rsid w:val="00BF083E"/>
    <w:rsid w:val="00BF1F22"/>
    <w:rsid w:val="00BF3BE8"/>
    <w:rsid w:val="00BF41A6"/>
    <w:rsid w:val="00BF7D5A"/>
    <w:rsid w:val="00C00697"/>
    <w:rsid w:val="00C0095A"/>
    <w:rsid w:val="00C01A54"/>
    <w:rsid w:val="00C02230"/>
    <w:rsid w:val="00C04932"/>
    <w:rsid w:val="00C0603C"/>
    <w:rsid w:val="00C066EE"/>
    <w:rsid w:val="00C107B4"/>
    <w:rsid w:val="00C10B0A"/>
    <w:rsid w:val="00C11BED"/>
    <w:rsid w:val="00C1339D"/>
    <w:rsid w:val="00C13C3C"/>
    <w:rsid w:val="00C1428A"/>
    <w:rsid w:val="00C15BFB"/>
    <w:rsid w:val="00C15C1E"/>
    <w:rsid w:val="00C17596"/>
    <w:rsid w:val="00C2056A"/>
    <w:rsid w:val="00C20809"/>
    <w:rsid w:val="00C21D04"/>
    <w:rsid w:val="00C222FE"/>
    <w:rsid w:val="00C226B2"/>
    <w:rsid w:val="00C2482B"/>
    <w:rsid w:val="00C24DBF"/>
    <w:rsid w:val="00C26C98"/>
    <w:rsid w:val="00C277B6"/>
    <w:rsid w:val="00C27EDF"/>
    <w:rsid w:val="00C27FB0"/>
    <w:rsid w:val="00C311F6"/>
    <w:rsid w:val="00C3200E"/>
    <w:rsid w:val="00C34384"/>
    <w:rsid w:val="00C36217"/>
    <w:rsid w:val="00C376DD"/>
    <w:rsid w:val="00C40D8D"/>
    <w:rsid w:val="00C40D96"/>
    <w:rsid w:val="00C43577"/>
    <w:rsid w:val="00C43F9B"/>
    <w:rsid w:val="00C45CF0"/>
    <w:rsid w:val="00C45F1B"/>
    <w:rsid w:val="00C469D9"/>
    <w:rsid w:val="00C47002"/>
    <w:rsid w:val="00C47BD3"/>
    <w:rsid w:val="00C51C42"/>
    <w:rsid w:val="00C525A0"/>
    <w:rsid w:val="00C56B65"/>
    <w:rsid w:val="00C56C9F"/>
    <w:rsid w:val="00C57C28"/>
    <w:rsid w:val="00C62678"/>
    <w:rsid w:val="00C62879"/>
    <w:rsid w:val="00C62A90"/>
    <w:rsid w:val="00C631AD"/>
    <w:rsid w:val="00C6379B"/>
    <w:rsid w:val="00C65645"/>
    <w:rsid w:val="00C66A73"/>
    <w:rsid w:val="00C66C42"/>
    <w:rsid w:val="00C67AA6"/>
    <w:rsid w:val="00C713D8"/>
    <w:rsid w:val="00C71A03"/>
    <w:rsid w:val="00C73422"/>
    <w:rsid w:val="00C7436C"/>
    <w:rsid w:val="00C7518A"/>
    <w:rsid w:val="00C80CAE"/>
    <w:rsid w:val="00C848E5"/>
    <w:rsid w:val="00C86F22"/>
    <w:rsid w:val="00C874F4"/>
    <w:rsid w:val="00C87F8D"/>
    <w:rsid w:val="00C90C17"/>
    <w:rsid w:val="00C9182A"/>
    <w:rsid w:val="00C933C9"/>
    <w:rsid w:val="00C9650F"/>
    <w:rsid w:val="00C9741E"/>
    <w:rsid w:val="00C979D0"/>
    <w:rsid w:val="00CA1EB3"/>
    <w:rsid w:val="00CA271B"/>
    <w:rsid w:val="00CA33C7"/>
    <w:rsid w:val="00CA436D"/>
    <w:rsid w:val="00CA47B2"/>
    <w:rsid w:val="00CA54AD"/>
    <w:rsid w:val="00CA5A73"/>
    <w:rsid w:val="00CA6454"/>
    <w:rsid w:val="00CA6A3C"/>
    <w:rsid w:val="00CA6B04"/>
    <w:rsid w:val="00CB0831"/>
    <w:rsid w:val="00CB221F"/>
    <w:rsid w:val="00CB2270"/>
    <w:rsid w:val="00CB298C"/>
    <w:rsid w:val="00CB2C58"/>
    <w:rsid w:val="00CB38A3"/>
    <w:rsid w:val="00CB4308"/>
    <w:rsid w:val="00CB4B3C"/>
    <w:rsid w:val="00CB5B98"/>
    <w:rsid w:val="00CB772C"/>
    <w:rsid w:val="00CC0DAD"/>
    <w:rsid w:val="00CC7953"/>
    <w:rsid w:val="00CC7E26"/>
    <w:rsid w:val="00CD31B5"/>
    <w:rsid w:val="00CD641F"/>
    <w:rsid w:val="00CD730D"/>
    <w:rsid w:val="00CE0226"/>
    <w:rsid w:val="00CE13AF"/>
    <w:rsid w:val="00CE1635"/>
    <w:rsid w:val="00CE22C4"/>
    <w:rsid w:val="00CE27D7"/>
    <w:rsid w:val="00CE4488"/>
    <w:rsid w:val="00CE61DB"/>
    <w:rsid w:val="00CE7510"/>
    <w:rsid w:val="00CF0D33"/>
    <w:rsid w:val="00CF0E0A"/>
    <w:rsid w:val="00CF0E1F"/>
    <w:rsid w:val="00CF27C8"/>
    <w:rsid w:val="00CF7819"/>
    <w:rsid w:val="00D0101C"/>
    <w:rsid w:val="00D01BA3"/>
    <w:rsid w:val="00D0369B"/>
    <w:rsid w:val="00D03766"/>
    <w:rsid w:val="00D03A26"/>
    <w:rsid w:val="00D03BB5"/>
    <w:rsid w:val="00D04313"/>
    <w:rsid w:val="00D05736"/>
    <w:rsid w:val="00D0579E"/>
    <w:rsid w:val="00D064B2"/>
    <w:rsid w:val="00D067A7"/>
    <w:rsid w:val="00D06F63"/>
    <w:rsid w:val="00D11B66"/>
    <w:rsid w:val="00D13843"/>
    <w:rsid w:val="00D1387C"/>
    <w:rsid w:val="00D13C34"/>
    <w:rsid w:val="00D13C4D"/>
    <w:rsid w:val="00D1477A"/>
    <w:rsid w:val="00D149BC"/>
    <w:rsid w:val="00D14B44"/>
    <w:rsid w:val="00D15363"/>
    <w:rsid w:val="00D1584C"/>
    <w:rsid w:val="00D15EDE"/>
    <w:rsid w:val="00D163A6"/>
    <w:rsid w:val="00D202AA"/>
    <w:rsid w:val="00D2233A"/>
    <w:rsid w:val="00D23D67"/>
    <w:rsid w:val="00D2478A"/>
    <w:rsid w:val="00D26C2F"/>
    <w:rsid w:val="00D274EF"/>
    <w:rsid w:val="00D34908"/>
    <w:rsid w:val="00D35B27"/>
    <w:rsid w:val="00D36095"/>
    <w:rsid w:val="00D36900"/>
    <w:rsid w:val="00D37F6F"/>
    <w:rsid w:val="00D404C6"/>
    <w:rsid w:val="00D40BE9"/>
    <w:rsid w:val="00D4195E"/>
    <w:rsid w:val="00D41A49"/>
    <w:rsid w:val="00D42F44"/>
    <w:rsid w:val="00D434E7"/>
    <w:rsid w:val="00D43C32"/>
    <w:rsid w:val="00D440EA"/>
    <w:rsid w:val="00D45C29"/>
    <w:rsid w:val="00D4602A"/>
    <w:rsid w:val="00D461DB"/>
    <w:rsid w:val="00D4643A"/>
    <w:rsid w:val="00D46F07"/>
    <w:rsid w:val="00D52159"/>
    <w:rsid w:val="00D52805"/>
    <w:rsid w:val="00D54CE5"/>
    <w:rsid w:val="00D54E91"/>
    <w:rsid w:val="00D55B6A"/>
    <w:rsid w:val="00D55BB0"/>
    <w:rsid w:val="00D60C45"/>
    <w:rsid w:val="00D611A9"/>
    <w:rsid w:val="00D61D35"/>
    <w:rsid w:val="00D621F3"/>
    <w:rsid w:val="00D648CD"/>
    <w:rsid w:val="00D656F7"/>
    <w:rsid w:val="00D7363B"/>
    <w:rsid w:val="00D74F32"/>
    <w:rsid w:val="00D753D3"/>
    <w:rsid w:val="00D75A39"/>
    <w:rsid w:val="00D765A6"/>
    <w:rsid w:val="00D8105F"/>
    <w:rsid w:val="00D83FA9"/>
    <w:rsid w:val="00D85CAF"/>
    <w:rsid w:val="00D9012E"/>
    <w:rsid w:val="00D90488"/>
    <w:rsid w:val="00D90642"/>
    <w:rsid w:val="00D90897"/>
    <w:rsid w:val="00D90A42"/>
    <w:rsid w:val="00D9257B"/>
    <w:rsid w:val="00D93710"/>
    <w:rsid w:val="00D962A5"/>
    <w:rsid w:val="00D96564"/>
    <w:rsid w:val="00DA2336"/>
    <w:rsid w:val="00DA2A95"/>
    <w:rsid w:val="00DA3036"/>
    <w:rsid w:val="00DA3941"/>
    <w:rsid w:val="00DA5F0B"/>
    <w:rsid w:val="00DA7580"/>
    <w:rsid w:val="00DA7C27"/>
    <w:rsid w:val="00DA7DE9"/>
    <w:rsid w:val="00DB015B"/>
    <w:rsid w:val="00DB1CEC"/>
    <w:rsid w:val="00DB33F2"/>
    <w:rsid w:val="00DB58D2"/>
    <w:rsid w:val="00DB5E67"/>
    <w:rsid w:val="00DB6F16"/>
    <w:rsid w:val="00DC15AF"/>
    <w:rsid w:val="00DC4823"/>
    <w:rsid w:val="00DC4D56"/>
    <w:rsid w:val="00DC55A3"/>
    <w:rsid w:val="00DC6273"/>
    <w:rsid w:val="00DD0587"/>
    <w:rsid w:val="00DD1C21"/>
    <w:rsid w:val="00DD36A4"/>
    <w:rsid w:val="00DD4729"/>
    <w:rsid w:val="00DD5BBB"/>
    <w:rsid w:val="00DD66F8"/>
    <w:rsid w:val="00DD71D2"/>
    <w:rsid w:val="00DE1827"/>
    <w:rsid w:val="00DE193D"/>
    <w:rsid w:val="00DE22C5"/>
    <w:rsid w:val="00DE311D"/>
    <w:rsid w:val="00DE38F0"/>
    <w:rsid w:val="00DE5580"/>
    <w:rsid w:val="00DE70E0"/>
    <w:rsid w:val="00DE710F"/>
    <w:rsid w:val="00DE7EED"/>
    <w:rsid w:val="00DF1A57"/>
    <w:rsid w:val="00DF2221"/>
    <w:rsid w:val="00DF2308"/>
    <w:rsid w:val="00DF31CE"/>
    <w:rsid w:val="00DF3DDA"/>
    <w:rsid w:val="00DF4D43"/>
    <w:rsid w:val="00DF55DE"/>
    <w:rsid w:val="00DF5623"/>
    <w:rsid w:val="00DF5A62"/>
    <w:rsid w:val="00DF628B"/>
    <w:rsid w:val="00DF6F83"/>
    <w:rsid w:val="00DF7E11"/>
    <w:rsid w:val="00E029AF"/>
    <w:rsid w:val="00E02E5D"/>
    <w:rsid w:val="00E04EE8"/>
    <w:rsid w:val="00E05427"/>
    <w:rsid w:val="00E05E85"/>
    <w:rsid w:val="00E10883"/>
    <w:rsid w:val="00E11790"/>
    <w:rsid w:val="00E11A18"/>
    <w:rsid w:val="00E142C2"/>
    <w:rsid w:val="00E149F4"/>
    <w:rsid w:val="00E14B90"/>
    <w:rsid w:val="00E1613E"/>
    <w:rsid w:val="00E17C7A"/>
    <w:rsid w:val="00E20707"/>
    <w:rsid w:val="00E20A39"/>
    <w:rsid w:val="00E21540"/>
    <w:rsid w:val="00E21A4A"/>
    <w:rsid w:val="00E23B18"/>
    <w:rsid w:val="00E25940"/>
    <w:rsid w:val="00E27212"/>
    <w:rsid w:val="00E31163"/>
    <w:rsid w:val="00E33F9D"/>
    <w:rsid w:val="00E342A4"/>
    <w:rsid w:val="00E34BD0"/>
    <w:rsid w:val="00E34D24"/>
    <w:rsid w:val="00E401B3"/>
    <w:rsid w:val="00E40206"/>
    <w:rsid w:val="00E41170"/>
    <w:rsid w:val="00E43360"/>
    <w:rsid w:val="00E43F59"/>
    <w:rsid w:val="00E45975"/>
    <w:rsid w:val="00E46526"/>
    <w:rsid w:val="00E50B81"/>
    <w:rsid w:val="00E51168"/>
    <w:rsid w:val="00E51255"/>
    <w:rsid w:val="00E52383"/>
    <w:rsid w:val="00E5503E"/>
    <w:rsid w:val="00E55E57"/>
    <w:rsid w:val="00E565F3"/>
    <w:rsid w:val="00E578B7"/>
    <w:rsid w:val="00E57A52"/>
    <w:rsid w:val="00E62819"/>
    <w:rsid w:val="00E63587"/>
    <w:rsid w:val="00E63595"/>
    <w:rsid w:val="00E65A6C"/>
    <w:rsid w:val="00E66F73"/>
    <w:rsid w:val="00E67C4E"/>
    <w:rsid w:val="00E707CA"/>
    <w:rsid w:val="00E70DE9"/>
    <w:rsid w:val="00E72119"/>
    <w:rsid w:val="00E72D51"/>
    <w:rsid w:val="00E7329A"/>
    <w:rsid w:val="00E75929"/>
    <w:rsid w:val="00E76451"/>
    <w:rsid w:val="00E8016F"/>
    <w:rsid w:val="00E80B6D"/>
    <w:rsid w:val="00E80E52"/>
    <w:rsid w:val="00E810DD"/>
    <w:rsid w:val="00E814EE"/>
    <w:rsid w:val="00E816CE"/>
    <w:rsid w:val="00E81885"/>
    <w:rsid w:val="00E830BD"/>
    <w:rsid w:val="00E83B3E"/>
    <w:rsid w:val="00E84701"/>
    <w:rsid w:val="00E85099"/>
    <w:rsid w:val="00E85229"/>
    <w:rsid w:val="00E861C3"/>
    <w:rsid w:val="00E86580"/>
    <w:rsid w:val="00E86D88"/>
    <w:rsid w:val="00E90FB5"/>
    <w:rsid w:val="00E90FE6"/>
    <w:rsid w:val="00E921C4"/>
    <w:rsid w:val="00E947A9"/>
    <w:rsid w:val="00E96B96"/>
    <w:rsid w:val="00E96C7F"/>
    <w:rsid w:val="00EA0688"/>
    <w:rsid w:val="00EA16A1"/>
    <w:rsid w:val="00EA2236"/>
    <w:rsid w:val="00EA247D"/>
    <w:rsid w:val="00EA30A9"/>
    <w:rsid w:val="00EA3705"/>
    <w:rsid w:val="00EA48F2"/>
    <w:rsid w:val="00EA6064"/>
    <w:rsid w:val="00EA6142"/>
    <w:rsid w:val="00EA665D"/>
    <w:rsid w:val="00EA7516"/>
    <w:rsid w:val="00EA773E"/>
    <w:rsid w:val="00EB06C0"/>
    <w:rsid w:val="00EB19C4"/>
    <w:rsid w:val="00EB1C07"/>
    <w:rsid w:val="00EB3F11"/>
    <w:rsid w:val="00EB6E33"/>
    <w:rsid w:val="00EB723B"/>
    <w:rsid w:val="00EB7E44"/>
    <w:rsid w:val="00EC0059"/>
    <w:rsid w:val="00EC0305"/>
    <w:rsid w:val="00EC37D9"/>
    <w:rsid w:val="00EC387E"/>
    <w:rsid w:val="00EC5D1B"/>
    <w:rsid w:val="00ED0CB2"/>
    <w:rsid w:val="00ED21BF"/>
    <w:rsid w:val="00ED334F"/>
    <w:rsid w:val="00ED3834"/>
    <w:rsid w:val="00ED43E7"/>
    <w:rsid w:val="00ED4404"/>
    <w:rsid w:val="00ED5C98"/>
    <w:rsid w:val="00ED63AD"/>
    <w:rsid w:val="00ED7C87"/>
    <w:rsid w:val="00EE075E"/>
    <w:rsid w:val="00EE1DD7"/>
    <w:rsid w:val="00EE293E"/>
    <w:rsid w:val="00EE5A9B"/>
    <w:rsid w:val="00EE6151"/>
    <w:rsid w:val="00EE61A3"/>
    <w:rsid w:val="00EF125F"/>
    <w:rsid w:val="00EF3091"/>
    <w:rsid w:val="00EF53DD"/>
    <w:rsid w:val="00EF5818"/>
    <w:rsid w:val="00F017E0"/>
    <w:rsid w:val="00F0272E"/>
    <w:rsid w:val="00F03B20"/>
    <w:rsid w:val="00F040B7"/>
    <w:rsid w:val="00F04F69"/>
    <w:rsid w:val="00F065A0"/>
    <w:rsid w:val="00F0735C"/>
    <w:rsid w:val="00F106D7"/>
    <w:rsid w:val="00F110EC"/>
    <w:rsid w:val="00F1293B"/>
    <w:rsid w:val="00F12CBC"/>
    <w:rsid w:val="00F13261"/>
    <w:rsid w:val="00F13BC1"/>
    <w:rsid w:val="00F13D19"/>
    <w:rsid w:val="00F14A73"/>
    <w:rsid w:val="00F16665"/>
    <w:rsid w:val="00F20019"/>
    <w:rsid w:val="00F20EBA"/>
    <w:rsid w:val="00F20ECD"/>
    <w:rsid w:val="00F20ED1"/>
    <w:rsid w:val="00F21C70"/>
    <w:rsid w:val="00F226AB"/>
    <w:rsid w:val="00F22B8E"/>
    <w:rsid w:val="00F2492D"/>
    <w:rsid w:val="00F25BA4"/>
    <w:rsid w:val="00F27CBE"/>
    <w:rsid w:val="00F321D1"/>
    <w:rsid w:val="00F329D0"/>
    <w:rsid w:val="00F33F40"/>
    <w:rsid w:val="00F343F5"/>
    <w:rsid w:val="00F34589"/>
    <w:rsid w:val="00F360EC"/>
    <w:rsid w:val="00F37DC9"/>
    <w:rsid w:val="00F4092C"/>
    <w:rsid w:val="00F4121E"/>
    <w:rsid w:val="00F438D6"/>
    <w:rsid w:val="00F44C7F"/>
    <w:rsid w:val="00F46D66"/>
    <w:rsid w:val="00F4704F"/>
    <w:rsid w:val="00F47217"/>
    <w:rsid w:val="00F47D46"/>
    <w:rsid w:val="00F51461"/>
    <w:rsid w:val="00F5243B"/>
    <w:rsid w:val="00F54BAC"/>
    <w:rsid w:val="00F54D84"/>
    <w:rsid w:val="00F56D27"/>
    <w:rsid w:val="00F57EC9"/>
    <w:rsid w:val="00F60394"/>
    <w:rsid w:val="00F62B0B"/>
    <w:rsid w:val="00F62EF8"/>
    <w:rsid w:val="00F64BA3"/>
    <w:rsid w:val="00F66A09"/>
    <w:rsid w:val="00F6756B"/>
    <w:rsid w:val="00F700F9"/>
    <w:rsid w:val="00F701E2"/>
    <w:rsid w:val="00F713EF"/>
    <w:rsid w:val="00F72086"/>
    <w:rsid w:val="00F7247B"/>
    <w:rsid w:val="00F72965"/>
    <w:rsid w:val="00F73EF5"/>
    <w:rsid w:val="00F75A8B"/>
    <w:rsid w:val="00F7677E"/>
    <w:rsid w:val="00F7682E"/>
    <w:rsid w:val="00F77BD3"/>
    <w:rsid w:val="00F77F86"/>
    <w:rsid w:val="00F819DF"/>
    <w:rsid w:val="00F829A0"/>
    <w:rsid w:val="00F82B83"/>
    <w:rsid w:val="00F82D48"/>
    <w:rsid w:val="00F82FBB"/>
    <w:rsid w:val="00F840B6"/>
    <w:rsid w:val="00F85411"/>
    <w:rsid w:val="00F85AB2"/>
    <w:rsid w:val="00F85CA1"/>
    <w:rsid w:val="00F8774F"/>
    <w:rsid w:val="00F87E1C"/>
    <w:rsid w:val="00F9001A"/>
    <w:rsid w:val="00F918F2"/>
    <w:rsid w:val="00F92FA3"/>
    <w:rsid w:val="00F93243"/>
    <w:rsid w:val="00F933B3"/>
    <w:rsid w:val="00F9344F"/>
    <w:rsid w:val="00F96081"/>
    <w:rsid w:val="00F97AC3"/>
    <w:rsid w:val="00FA32CC"/>
    <w:rsid w:val="00FA426D"/>
    <w:rsid w:val="00FA4662"/>
    <w:rsid w:val="00FA523F"/>
    <w:rsid w:val="00FA5E01"/>
    <w:rsid w:val="00FA7186"/>
    <w:rsid w:val="00FA7425"/>
    <w:rsid w:val="00FA74B1"/>
    <w:rsid w:val="00FA7D1D"/>
    <w:rsid w:val="00FB0268"/>
    <w:rsid w:val="00FB0286"/>
    <w:rsid w:val="00FB0308"/>
    <w:rsid w:val="00FB0ABF"/>
    <w:rsid w:val="00FB101B"/>
    <w:rsid w:val="00FB26D0"/>
    <w:rsid w:val="00FB2A32"/>
    <w:rsid w:val="00FB3C96"/>
    <w:rsid w:val="00FB46A3"/>
    <w:rsid w:val="00FB4DC2"/>
    <w:rsid w:val="00FB587D"/>
    <w:rsid w:val="00FB6941"/>
    <w:rsid w:val="00FB6B53"/>
    <w:rsid w:val="00FB6C6E"/>
    <w:rsid w:val="00FB6E0A"/>
    <w:rsid w:val="00FC1819"/>
    <w:rsid w:val="00FC19FC"/>
    <w:rsid w:val="00FC2213"/>
    <w:rsid w:val="00FC2324"/>
    <w:rsid w:val="00FC2871"/>
    <w:rsid w:val="00FC44EE"/>
    <w:rsid w:val="00FC5756"/>
    <w:rsid w:val="00FC5B26"/>
    <w:rsid w:val="00FC6197"/>
    <w:rsid w:val="00FC6D94"/>
    <w:rsid w:val="00FC6DEC"/>
    <w:rsid w:val="00FD07E2"/>
    <w:rsid w:val="00FD227C"/>
    <w:rsid w:val="00FD24C4"/>
    <w:rsid w:val="00FD694C"/>
    <w:rsid w:val="00FE09D3"/>
    <w:rsid w:val="00FE3B0A"/>
    <w:rsid w:val="00FE4F32"/>
    <w:rsid w:val="00FE515B"/>
    <w:rsid w:val="00FE6A0D"/>
    <w:rsid w:val="00FE7253"/>
    <w:rsid w:val="00FF0B10"/>
    <w:rsid w:val="00FF0F14"/>
    <w:rsid w:val="00FF22A2"/>
    <w:rsid w:val="00FF2409"/>
    <w:rsid w:val="00FF2A84"/>
    <w:rsid w:val="00FF2E4D"/>
    <w:rsid w:val="00FF4C74"/>
    <w:rsid w:val="00FF55CA"/>
    <w:rsid w:val="00FF6000"/>
    <w:rsid w:val="00FF6161"/>
    <w:rsid w:val="00FF7104"/>
    <w:rsid w:val="0458F00B"/>
    <w:rsid w:val="0F965778"/>
    <w:rsid w:val="173C16C6"/>
    <w:rsid w:val="209F2F13"/>
    <w:rsid w:val="4CD1C992"/>
    <w:rsid w:val="60B73062"/>
    <w:rsid w:val="67722AE7"/>
    <w:rsid w:val="714F8D2A"/>
    <w:rsid w:val="73F388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E590"/>
  <w14:discardImageEditingData/>
  <w15:chartTrackingRefBased/>
  <w15:docId w15:val="{BA493767-E871-4308-B99C-B292716A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BC1972"/>
  </w:style>
  <w:style w:type="paragraph" w:styleId="Heading1">
    <w:name w:val="heading 1"/>
    <w:basedOn w:val="Normal"/>
    <w:next w:val="BodyText"/>
    <w:link w:val="Heading1Char"/>
    <w:uiPriority w:val="9"/>
    <w:qFormat/>
    <w:rsid w:val="00017DA3"/>
    <w:pPr>
      <w:keepNext/>
      <w:keepLines/>
      <w:spacing w:after="460"/>
      <w:outlineLvl w:val="0"/>
    </w:pPr>
    <w:rPr>
      <w:rFonts w:asciiTheme="majorHAnsi" w:hAnsiTheme="majorHAnsi"/>
      <w:b/>
      <w:color w:val="DD7500" w:themeColor="accent4"/>
      <w:sz w:val="60"/>
      <w:szCs w:val="60"/>
    </w:rPr>
  </w:style>
  <w:style w:type="paragraph" w:styleId="Heading2">
    <w:name w:val="heading 2"/>
    <w:basedOn w:val="Normal"/>
    <w:next w:val="BodyText"/>
    <w:link w:val="Heading2Char"/>
    <w:uiPriority w:val="9"/>
    <w:unhideWhenUsed/>
    <w:qFormat/>
    <w:rsid w:val="00017DA3"/>
    <w:pPr>
      <w:keepNext/>
      <w:keepLines/>
      <w:spacing w:before="480" w:after="240"/>
      <w:outlineLvl w:val="1"/>
    </w:pPr>
    <w:rPr>
      <w:rFonts w:asciiTheme="majorHAnsi" w:eastAsiaTheme="majorEastAsia" w:hAnsiTheme="majorHAnsi" w:cstheme="majorBidi"/>
      <w:b/>
      <w:color w:val="DD7500" w:themeColor="accent4"/>
      <w:sz w:val="40"/>
      <w:szCs w:val="40"/>
    </w:rPr>
  </w:style>
  <w:style w:type="paragraph" w:styleId="Heading3">
    <w:name w:val="heading 3"/>
    <w:basedOn w:val="Normal"/>
    <w:next w:val="BodyText"/>
    <w:link w:val="Heading3Char"/>
    <w:uiPriority w:val="9"/>
    <w:unhideWhenUsed/>
    <w:qFormat/>
    <w:rsid w:val="00017DA3"/>
    <w:pPr>
      <w:keepNext/>
      <w:keepLines/>
      <w:spacing w:before="240" w:after="160" w:line="240" w:lineRule="auto"/>
      <w:outlineLvl w:val="2"/>
    </w:pPr>
    <w:rPr>
      <w:rFonts w:asciiTheme="majorHAnsi" w:eastAsiaTheme="majorEastAsia" w:hAnsiTheme="majorHAnsi" w:cstheme="majorBidi"/>
      <w:color w:val="DD7500" w:themeColor="accent4"/>
      <w:sz w:val="30"/>
      <w:szCs w:val="30"/>
    </w:rPr>
  </w:style>
  <w:style w:type="paragraph" w:styleId="Heading4">
    <w:name w:val="heading 4"/>
    <w:basedOn w:val="BodyText"/>
    <w:next w:val="BodyText"/>
    <w:link w:val="Heading4Char"/>
    <w:uiPriority w:val="9"/>
    <w:qFormat/>
    <w:rsid w:val="00017DA3"/>
    <w:pPr>
      <w:spacing w:before="240"/>
      <w:outlineLvl w:val="3"/>
    </w:pPr>
    <w:rPr>
      <w:rFonts w:asciiTheme="majorHAnsi" w:hAnsiTheme="majorHAnsi"/>
      <w:color w:val="DD7500" w:themeColor="accent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393F43"/>
    <w:pPr>
      <w:tabs>
        <w:tab w:val="center" w:pos="4513"/>
        <w:tab w:val="right" w:pos="9026"/>
      </w:tabs>
      <w:spacing w:after="500" w:line="240" w:lineRule="auto"/>
      <w:contextualSpacing/>
    </w:pPr>
    <w:rPr>
      <w:rFonts w:asciiTheme="majorHAnsi" w:hAnsiTheme="majorHAnsi"/>
      <w:bCs/>
      <w:color w:val="25303B" w:themeColor="accent1"/>
      <w:sz w:val="16"/>
      <w:szCs w:val="16"/>
    </w:rPr>
  </w:style>
  <w:style w:type="character" w:customStyle="1" w:styleId="FooterChar">
    <w:name w:val="Footer Char"/>
    <w:basedOn w:val="DefaultParagraphFont"/>
    <w:link w:val="Footer"/>
    <w:uiPriority w:val="99"/>
    <w:rsid w:val="00393F43"/>
    <w:rPr>
      <w:rFonts w:asciiTheme="majorHAnsi" w:hAnsiTheme="majorHAnsi"/>
      <w:bCs/>
      <w:color w:val="25303B" w:themeColor="accent1"/>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BF3"/>
    <w:rPr>
      <w:color w:val="808080"/>
    </w:rPr>
  </w:style>
  <w:style w:type="character" w:customStyle="1" w:styleId="Heading1Char">
    <w:name w:val="Heading 1 Char"/>
    <w:basedOn w:val="DefaultParagraphFont"/>
    <w:link w:val="Heading1"/>
    <w:uiPriority w:val="9"/>
    <w:rsid w:val="00017DA3"/>
    <w:rPr>
      <w:rFonts w:asciiTheme="majorHAnsi" w:hAnsiTheme="majorHAnsi"/>
      <w:b/>
      <w:color w:val="DD7500" w:themeColor="accent4"/>
      <w:sz w:val="60"/>
      <w:szCs w:val="60"/>
    </w:rPr>
  </w:style>
  <w:style w:type="table" w:customStyle="1" w:styleId="NIAADefaultTableStyle">
    <w:name w:val="NIAA Default Table Style"/>
    <w:basedOn w:val="TableNormal"/>
    <w:uiPriority w:val="99"/>
    <w:rsid w:val="00FC6197"/>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Recommendation,List Paragraph1,List Paragraph11,Bullet point,List Paragraph Number,Bulleted Para,NFP GP Bulleted List,bullet point list,L,Bullet points,Content descriptions,Bullet Point,List Paragraph2,List Paragraph111,F5 List Paragraph"/>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840865"/>
    <w:pPr>
      <w:numPr>
        <w:numId w:val="1"/>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017DA3"/>
    <w:rPr>
      <w:rFonts w:asciiTheme="majorHAnsi" w:eastAsiaTheme="majorEastAsia" w:hAnsiTheme="majorHAnsi" w:cstheme="majorBidi"/>
      <w:b/>
      <w:color w:val="DD7500" w:themeColor="accent4"/>
      <w:sz w:val="40"/>
      <w:szCs w:val="40"/>
    </w:rPr>
  </w:style>
  <w:style w:type="paragraph" w:customStyle="1" w:styleId="NumberedListlvl1">
    <w:name w:val="Numbered List lvl1"/>
    <w:basedOn w:val="ListParagraph"/>
    <w:uiPriority w:val="9"/>
    <w:qFormat/>
    <w:rsid w:val="00FE7253"/>
    <w:pPr>
      <w:numPr>
        <w:numId w:val="7"/>
      </w:numPr>
      <w:spacing w:after="0"/>
      <w:contextualSpacing w:val="0"/>
    </w:pPr>
  </w:style>
  <w:style w:type="paragraph" w:customStyle="1" w:styleId="BulletedListlvl1">
    <w:name w:val="Bulleted List lvl1"/>
    <w:uiPriority w:val="10"/>
    <w:qFormat/>
    <w:rsid w:val="0086151D"/>
    <w:pPr>
      <w:numPr>
        <w:numId w:val="2"/>
      </w:numPr>
      <w:spacing w:after="0"/>
    </w:pPr>
  </w:style>
  <w:style w:type="paragraph" w:customStyle="1" w:styleId="NumberedListlvl2">
    <w:name w:val="Numbered List lvl2"/>
    <w:basedOn w:val="NumberedListlvl1"/>
    <w:uiPriority w:val="9"/>
    <w:rsid w:val="00E7329A"/>
    <w:pPr>
      <w:numPr>
        <w:ilvl w:val="1"/>
      </w:numPr>
    </w:pPr>
  </w:style>
  <w:style w:type="paragraph" w:styleId="BodyText">
    <w:name w:val="Body Text"/>
    <w:basedOn w:val="Normal"/>
    <w:link w:val="BodyTextChar"/>
    <w:qFormat/>
    <w:rsid w:val="004A4775"/>
  </w:style>
  <w:style w:type="character" w:customStyle="1" w:styleId="BodyTextChar">
    <w:name w:val="Body Text Char"/>
    <w:basedOn w:val="DefaultParagraphFont"/>
    <w:link w:val="BodyText"/>
    <w:rsid w:val="004A4775"/>
    <w:rPr>
      <w:color w:val="262626" w:themeColor="text1" w:themeTint="D9"/>
    </w:rPr>
  </w:style>
  <w:style w:type="paragraph" w:customStyle="1" w:styleId="BulletedListlvl2">
    <w:name w:val="Bulleted List lvl2"/>
    <w:basedOn w:val="BulletedListlvl1"/>
    <w:uiPriority w:val="10"/>
    <w:rsid w:val="00E7329A"/>
    <w:pPr>
      <w:numPr>
        <w:ilvl w:val="1"/>
      </w:numPr>
    </w:pPr>
  </w:style>
  <w:style w:type="paragraph" w:customStyle="1" w:styleId="TableBody">
    <w:name w:val="Table Body"/>
    <w:basedOn w:val="Normal"/>
    <w:uiPriority w:val="11"/>
    <w:qFormat/>
    <w:rsid w:val="00840865"/>
    <w:pPr>
      <w:spacing w:before="40" w:after="40"/>
    </w:pPr>
    <w:rPr>
      <w:color w:val="000000" w:themeColor="text1"/>
      <w:sz w:val="18"/>
    </w:rPr>
  </w:style>
  <w:style w:type="character" w:customStyle="1" w:styleId="Heading3Char">
    <w:name w:val="Heading 3 Char"/>
    <w:basedOn w:val="DefaultParagraphFont"/>
    <w:link w:val="Heading3"/>
    <w:uiPriority w:val="9"/>
    <w:rsid w:val="00017DA3"/>
    <w:rPr>
      <w:rFonts w:asciiTheme="majorHAnsi" w:eastAsiaTheme="majorEastAsia" w:hAnsiTheme="majorHAnsi" w:cstheme="majorBidi"/>
      <w:color w:val="DD7500" w:themeColor="accent4"/>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017DA3"/>
    <w:rPr>
      <w:rFonts w:asciiTheme="majorHAnsi" w:hAnsiTheme="majorHAnsi"/>
      <w:color w:val="DD7500" w:themeColor="accent4"/>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qFormat/>
    <w:rsid w:val="00825B23"/>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017DA3"/>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15777B"/>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FE09D3"/>
  </w:style>
  <w:style w:type="paragraph" w:customStyle="1" w:styleId="CoverTitle">
    <w:name w:val="Cover Title"/>
    <w:basedOn w:val="NoSpacing"/>
    <w:uiPriority w:val="11"/>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01611A"/>
    <w:pPr>
      <w:spacing w:after="60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01611A"/>
    <w:pPr>
      <w:spacing w:after="240"/>
    </w:pPr>
    <w:rPr>
      <w:color w:val="FFFFFF" w:themeColor="background1"/>
      <w:szCs w:val="28"/>
    </w:rPr>
  </w:style>
  <w:style w:type="paragraph" w:customStyle="1" w:styleId="Footerline">
    <w:name w:val="Footer line"/>
    <w:uiPriority w:val="11"/>
    <w:qFormat/>
    <w:rsid w:val="00753174"/>
    <w:pPr>
      <w:spacing w:before="20" w:after="240"/>
    </w:pPr>
    <w:rPr>
      <w:caps/>
      <w:noProof/>
      <w:color w:val="25303B" w:themeColor="accent1"/>
    </w:rPr>
  </w:style>
  <w:style w:type="paragraph" w:customStyle="1" w:styleId="TableNumbering">
    <w:name w:val="Table Numbering"/>
    <w:uiPriority w:val="11"/>
    <w:qFormat/>
    <w:rsid w:val="004409A8"/>
    <w:pPr>
      <w:numPr>
        <w:numId w:val="4"/>
      </w:numPr>
      <w:spacing w:before="40" w:after="40"/>
    </w:pPr>
    <w:rPr>
      <w:color w:val="000000" w:themeColor="text1"/>
      <w:sz w:val="18"/>
    </w:rPr>
  </w:style>
  <w:style w:type="paragraph" w:styleId="Caption">
    <w:name w:val="caption"/>
    <w:basedOn w:val="Normal"/>
    <w:next w:val="Normal"/>
    <w:uiPriority w:val="35"/>
    <w:unhideWhenUsed/>
    <w:qFormat/>
    <w:rsid w:val="00017DA3"/>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5"/>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F85411"/>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DD7500" w:themeColor="accent4"/>
      <w:sz w:val="24"/>
      <w:szCs w:val="24"/>
      <w:lang w:val="en-US"/>
    </w:rPr>
  </w:style>
  <w:style w:type="paragraph" w:customStyle="1" w:styleId="EmphasisPanelBody">
    <w:name w:val="Emphasis Panel Body"/>
    <w:basedOn w:val="Normal"/>
    <w:uiPriority w:val="11"/>
    <w:qFormat/>
    <w:rsid w:val="00F85411"/>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lang w:val="en-US"/>
    </w:rPr>
  </w:style>
  <w:style w:type="paragraph" w:customStyle="1" w:styleId="EmphasisPanelBullet">
    <w:name w:val="Emphasis Panel Bullet"/>
    <w:uiPriority w:val="11"/>
    <w:qFormat/>
    <w:rsid w:val="00F85411"/>
    <w:pPr>
      <w:keepLines/>
      <w:numPr>
        <w:numId w:val="6"/>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15777B"/>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6C7FC3"/>
    <w:pPr>
      <w:numPr>
        <w:ilvl w:val="2"/>
      </w:numPr>
    </w:pPr>
    <w:rPr>
      <w:sz w:val="19"/>
      <w:szCs w:val="19"/>
    </w:rPr>
  </w:style>
  <w:style w:type="table" w:customStyle="1" w:styleId="Clear">
    <w:name w:val="Clear"/>
    <w:basedOn w:val="TableNormal"/>
    <w:uiPriority w:val="99"/>
    <w:rsid w:val="00773AC7"/>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3A7E73"/>
    <w:pPr>
      <w:spacing w:after="0" w:line="240" w:lineRule="auto"/>
    </w:pPr>
  </w:style>
  <w:style w:type="character" w:customStyle="1" w:styleId="FootnoteTextChar">
    <w:name w:val="Footnote Text Char"/>
    <w:basedOn w:val="DefaultParagraphFont"/>
    <w:link w:val="FootnoteText"/>
    <w:uiPriority w:val="99"/>
    <w:semiHidden/>
    <w:rsid w:val="003A7E73"/>
  </w:style>
  <w:style w:type="character" w:styleId="FootnoteReference">
    <w:name w:val="footnote reference"/>
    <w:basedOn w:val="DefaultParagraphFont"/>
    <w:uiPriority w:val="99"/>
    <w:semiHidden/>
    <w:rsid w:val="003A7E73"/>
    <w:rPr>
      <w:vertAlign w:val="superscript"/>
    </w:rPr>
  </w:style>
  <w:style w:type="paragraph" w:styleId="Title">
    <w:name w:val="Title"/>
    <w:basedOn w:val="Heading1"/>
    <w:next w:val="Normal"/>
    <w:link w:val="TitleChar"/>
    <w:qFormat/>
    <w:rsid w:val="00017DA3"/>
    <w:pPr>
      <w:spacing w:after="120"/>
    </w:pPr>
  </w:style>
  <w:style w:type="character" w:customStyle="1" w:styleId="TitleChar">
    <w:name w:val="Title Char"/>
    <w:basedOn w:val="DefaultParagraphFont"/>
    <w:link w:val="Title"/>
    <w:rsid w:val="00017DA3"/>
    <w:rPr>
      <w:rFonts w:asciiTheme="majorHAnsi" w:hAnsiTheme="majorHAnsi"/>
      <w:b/>
      <w:color w:val="DD7500" w:themeColor="accent4"/>
      <w:sz w:val="60"/>
      <w:szCs w:val="60"/>
    </w:rPr>
  </w:style>
  <w:style w:type="paragraph" w:styleId="Subtitle">
    <w:name w:val="Subtitle"/>
    <w:basedOn w:val="Heading4"/>
    <w:next w:val="Normal"/>
    <w:link w:val="SubtitleChar"/>
    <w:uiPriority w:val="1"/>
    <w:qFormat/>
    <w:rsid w:val="00017DA3"/>
    <w:pPr>
      <w:spacing w:before="120" w:after="360"/>
    </w:pPr>
  </w:style>
  <w:style w:type="character" w:customStyle="1" w:styleId="SubtitleChar">
    <w:name w:val="Subtitle Char"/>
    <w:basedOn w:val="DefaultParagraphFont"/>
    <w:link w:val="Subtitle"/>
    <w:uiPriority w:val="1"/>
    <w:rsid w:val="00017DA3"/>
    <w:rPr>
      <w:rFonts w:asciiTheme="majorHAnsi" w:hAnsiTheme="majorHAnsi"/>
      <w:color w:val="DD7500" w:themeColor="accent4"/>
      <w:sz w:val="24"/>
      <w:szCs w:val="24"/>
    </w:rPr>
  </w:style>
  <w:style w:type="character" w:styleId="Hyperlink">
    <w:name w:val="Hyperlink"/>
    <w:basedOn w:val="DefaultParagraphFont"/>
    <w:uiPriority w:val="99"/>
    <w:unhideWhenUsed/>
    <w:rsid w:val="004E7FBD"/>
    <w:rPr>
      <w:color w:val="0289C8" w:themeColor="hyperlink"/>
      <w:u w:val="single"/>
    </w:rPr>
  </w:style>
  <w:style w:type="character" w:customStyle="1" w:styleId="ListParagraphChar">
    <w:name w:val="List Paragraph Char"/>
    <w:aliases w:val="Recommendation Char,List Paragraph1 Char,List Paragraph11 Char,Bullet point Char,List Paragraph Number Char,Bulleted Para Char,NFP GP Bulleted List Char,bullet point list Char,L Char,Bullet points Char,Content descriptions Char"/>
    <w:basedOn w:val="DefaultParagraphFont"/>
    <w:link w:val="ListParagraph"/>
    <w:uiPriority w:val="34"/>
    <w:qFormat/>
    <w:locked/>
    <w:rsid w:val="00002230"/>
  </w:style>
  <w:style w:type="character" w:styleId="CommentReference">
    <w:name w:val="annotation reference"/>
    <w:basedOn w:val="DefaultParagraphFont"/>
    <w:uiPriority w:val="99"/>
    <w:semiHidden/>
    <w:unhideWhenUsed/>
    <w:rsid w:val="00595F38"/>
    <w:rPr>
      <w:sz w:val="16"/>
      <w:szCs w:val="16"/>
    </w:rPr>
  </w:style>
  <w:style w:type="paragraph" w:styleId="CommentText">
    <w:name w:val="annotation text"/>
    <w:basedOn w:val="Normal"/>
    <w:link w:val="CommentTextChar"/>
    <w:uiPriority w:val="99"/>
    <w:unhideWhenUsed/>
    <w:rsid w:val="00595F38"/>
    <w:pPr>
      <w:spacing w:line="240" w:lineRule="auto"/>
    </w:pPr>
  </w:style>
  <w:style w:type="character" w:customStyle="1" w:styleId="CommentTextChar">
    <w:name w:val="Comment Text Char"/>
    <w:basedOn w:val="DefaultParagraphFont"/>
    <w:link w:val="CommentText"/>
    <w:uiPriority w:val="99"/>
    <w:rsid w:val="00595F38"/>
  </w:style>
  <w:style w:type="paragraph" w:styleId="CommentSubject">
    <w:name w:val="annotation subject"/>
    <w:basedOn w:val="CommentText"/>
    <w:next w:val="CommentText"/>
    <w:link w:val="CommentSubjectChar"/>
    <w:uiPriority w:val="99"/>
    <w:semiHidden/>
    <w:unhideWhenUsed/>
    <w:rsid w:val="00595F38"/>
    <w:rPr>
      <w:b/>
      <w:bCs/>
    </w:rPr>
  </w:style>
  <w:style w:type="character" w:customStyle="1" w:styleId="CommentSubjectChar">
    <w:name w:val="Comment Subject Char"/>
    <w:basedOn w:val="CommentTextChar"/>
    <w:link w:val="CommentSubject"/>
    <w:uiPriority w:val="99"/>
    <w:semiHidden/>
    <w:rsid w:val="00595F38"/>
    <w:rPr>
      <w:b/>
      <w:bCs/>
    </w:rPr>
  </w:style>
  <w:style w:type="table" w:styleId="MediumShading1-Accent5">
    <w:name w:val="Medium Shading 1 Accent 5"/>
    <w:basedOn w:val="TableNormal"/>
    <w:uiPriority w:val="63"/>
    <w:rsid w:val="004F2C4D"/>
    <w:pPr>
      <w:spacing w:after="0" w:line="240" w:lineRule="auto"/>
    </w:pPr>
    <w:rPr>
      <w:color w:val="auto"/>
      <w:sz w:val="22"/>
      <w:szCs w:val="22"/>
    </w:rPr>
    <w:tblPr>
      <w:tblStyleRowBandSize w:val="1"/>
      <w:tblStyleColBandSize w:val="1"/>
      <w:tbl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single" w:sz="8" w:space="0" w:color="FFBE3A" w:themeColor="accent5" w:themeTint="BF"/>
      </w:tblBorders>
    </w:tblPr>
    <w:tblStylePr w:type="firstRow">
      <w:pPr>
        <w:spacing w:before="0" w:after="0" w:line="240" w:lineRule="auto"/>
      </w:pPr>
      <w:rPr>
        <w:b/>
        <w:bCs/>
        <w:color w:val="FFFFFF" w:themeColor="background1"/>
      </w:rPr>
      <w:tblPr/>
      <w:tcPr>
        <w:tc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nil"/>
          <w:insideV w:val="nil"/>
        </w:tcBorders>
        <w:shd w:val="clear" w:color="auto" w:fill="F7A600" w:themeFill="accent5"/>
      </w:tcPr>
    </w:tblStylePr>
    <w:tblStylePr w:type="lastRow">
      <w:pPr>
        <w:spacing w:before="0" w:after="0" w:line="240" w:lineRule="auto"/>
      </w:pPr>
      <w:rPr>
        <w:b/>
        <w:bCs/>
      </w:rPr>
      <w:tblPr/>
      <w:tcPr>
        <w:tcBorders>
          <w:top w:val="double" w:sz="6"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5" w:themeFillTint="3F"/>
      </w:tcPr>
    </w:tblStylePr>
    <w:tblStylePr w:type="band1Horz">
      <w:tblPr/>
      <w:tcPr>
        <w:tcBorders>
          <w:insideH w:val="nil"/>
          <w:insideV w:val="nil"/>
        </w:tcBorders>
        <w:shd w:val="clear" w:color="auto" w:fill="FFE9BE" w:themeFill="accent5" w:themeFillTint="3F"/>
      </w:tcPr>
    </w:tblStylePr>
    <w:tblStylePr w:type="band2Horz">
      <w:tblPr/>
      <w:tcPr>
        <w:tcBorders>
          <w:insideH w:val="nil"/>
          <w:insideV w:val="nil"/>
        </w:tcBorders>
      </w:tcPr>
    </w:tblStylePr>
  </w:style>
  <w:style w:type="paragraph" w:styleId="Revision">
    <w:name w:val="Revision"/>
    <w:hidden/>
    <w:uiPriority w:val="99"/>
    <w:semiHidden/>
    <w:rsid w:val="00C107B4"/>
    <w:pPr>
      <w:spacing w:after="0" w:line="240" w:lineRule="auto"/>
    </w:pPr>
  </w:style>
  <w:style w:type="character" w:styleId="Strong">
    <w:name w:val="Strong"/>
    <w:basedOn w:val="DefaultParagraphFont"/>
    <w:uiPriority w:val="22"/>
    <w:qFormat/>
    <w:rsid w:val="00BE0A28"/>
    <w:rPr>
      <w:b/>
      <w:bCs/>
      <w:sz w:val="24"/>
      <w:szCs w:val="24"/>
      <w:bdr w:val="none" w:sz="0" w:space="0" w:color="auto" w:frame="1"/>
      <w:vertAlign w:val="baseline"/>
    </w:rPr>
  </w:style>
  <w:style w:type="paragraph" w:styleId="NormalWeb">
    <w:name w:val="Normal (Web)"/>
    <w:basedOn w:val="Normal"/>
    <w:uiPriority w:val="99"/>
    <w:semiHidden/>
    <w:unhideWhenUsed/>
    <w:rsid w:val="00BE0A28"/>
    <w:pPr>
      <w:spacing w:after="0" w:line="240" w:lineRule="auto"/>
      <w:textAlignment w:val="baseline"/>
    </w:pPr>
    <w:rPr>
      <w:rFonts w:ascii="Times New Roman" w:eastAsia="Times New Roman" w:hAnsi="Times New Roman" w:cs="Times New Roman"/>
      <w:color w:val="auto"/>
      <w:sz w:val="24"/>
      <w:szCs w:val="24"/>
      <w:lang w:eastAsia="en-AU"/>
    </w:rPr>
  </w:style>
  <w:style w:type="paragraph" w:styleId="TOCHeading">
    <w:name w:val="TOC Heading"/>
    <w:basedOn w:val="Heading1"/>
    <w:next w:val="Normal"/>
    <w:uiPriority w:val="39"/>
    <w:unhideWhenUsed/>
    <w:qFormat/>
    <w:rsid w:val="005B43E4"/>
    <w:pPr>
      <w:spacing w:before="240" w:after="0" w:line="259" w:lineRule="auto"/>
      <w:outlineLvl w:val="9"/>
    </w:pPr>
    <w:rPr>
      <w:rFonts w:eastAsiaTheme="majorEastAsia" w:cstheme="majorBidi"/>
      <w:b w:val="0"/>
      <w:color w:val="1B232C" w:themeColor="accent1" w:themeShade="BF"/>
      <w:sz w:val="32"/>
      <w:szCs w:val="32"/>
      <w:lang w:val="en-US"/>
    </w:rPr>
  </w:style>
  <w:style w:type="paragraph" w:styleId="TOC1">
    <w:name w:val="toc 1"/>
    <w:basedOn w:val="Normal"/>
    <w:next w:val="Normal"/>
    <w:autoRedefine/>
    <w:uiPriority w:val="39"/>
    <w:unhideWhenUsed/>
    <w:rsid w:val="00C10B0A"/>
    <w:pPr>
      <w:tabs>
        <w:tab w:val="right" w:leader="dot" w:pos="10194"/>
      </w:tabs>
      <w:spacing w:after="100"/>
    </w:pPr>
  </w:style>
  <w:style w:type="paragraph" w:styleId="TOC3">
    <w:name w:val="toc 3"/>
    <w:basedOn w:val="Normal"/>
    <w:next w:val="Normal"/>
    <w:autoRedefine/>
    <w:uiPriority w:val="39"/>
    <w:unhideWhenUsed/>
    <w:rsid w:val="00C10B0A"/>
    <w:pPr>
      <w:tabs>
        <w:tab w:val="right" w:leader="dot" w:pos="10194"/>
      </w:tabs>
      <w:spacing w:after="100"/>
      <w:ind w:left="400"/>
    </w:pPr>
  </w:style>
  <w:style w:type="paragraph" w:styleId="TOC2">
    <w:name w:val="toc 2"/>
    <w:basedOn w:val="Normal"/>
    <w:next w:val="Normal"/>
    <w:autoRedefine/>
    <w:uiPriority w:val="39"/>
    <w:unhideWhenUsed/>
    <w:rsid w:val="00C10B0A"/>
    <w:pPr>
      <w:tabs>
        <w:tab w:val="right" w:leader="dot" w:pos="10194"/>
      </w:tabs>
      <w:spacing w:after="100"/>
      <w:ind w:left="200"/>
    </w:pPr>
  </w:style>
  <w:style w:type="table" w:customStyle="1" w:styleId="NIAADefaultTableStyle1">
    <w:name w:val="NIAA Default Table Style1"/>
    <w:basedOn w:val="TableNormal"/>
    <w:uiPriority w:val="99"/>
    <w:rsid w:val="00AC1DAC"/>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character" w:styleId="FollowedHyperlink">
    <w:name w:val="FollowedHyperlink"/>
    <w:basedOn w:val="DefaultParagraphFont"/>
    <w:uiPriority w:val="99"/>
    <w:semiHidden/>
    <w:unhideWhenUsed/>
    <w:rsid w:val="00E921C4"/>
    <w:rPr>
      <w:color w:val="0289C8" w:themeColor="followedHyperlink"/>
      <w:u w:val="single"/>
    </w:rPr>
  </w:style>
  <w:style w:type="table" w:styleId="GridTable5Dark-Accent5">
    <w:name w:val="Grid Table 5 Dark Accent 5"/>
    <w:basedOn w:val="TableNormal"/>
    <w:uiPriority w:val="50"/>
    <w:rsid w:val="003F20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A6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A6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A6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A600" w:themeFill="accent5"/>
      </w:tcPr>
    </w:tblStylePr>
    <w:tblStylePr w:type="band1Vert">
      <w:tblPr/>
      <w:tcPr>
        <w:shd w:val="clear" w:color="auto" w:fill="FFDC95" w:themeFill="accent5" w:themeFillTint="66"/>
      </w:tcPr>
    </w:tblStylePr>
    <w:tblStylePr w:type="band1Horz">
      <w:tblPr/>
      <w:tcPr>
        <w:shd w:val="clear" w:color="auto" w:fill="FFDC95" w:themeFill="accent5" w:themeFillTint="66"/>
      </w:tcPr>
    </w:tblStylePr>
  </w:style>
  <w:style w:type="table" w:styleId="GridTable4-Accent4">
    <w:name w:val="Grid Table 4 Accent 4"/>
    <w:basedOn w:val="TableNormal"/>
    <w:uiPriority w:val="49"/>
    <w:rsid w:val="00590796"/>
    <w:pPr>
      <w:spacing w:after="0" w:line="240" w:lineRule="auto"/>
    </w:pPr>
    <w:tblPr>
      <w:tblStyleRowBandSize w:val="1"/>
      <w:tblStyleColBandSize w:val="1"/>
      <w:tblBorders>
        <w:top w:val="single" w:sz="4" w:space="0" w:color="FFAD51" w:themeColor="accent4" w:themeTint="99"/>
        <w:left w:val="single" w:sz="4" w:space="0" w:color="FFAD51" w:themeColor="accent4" w:themeTint="99"/>
        <w:bottom w:val="single" w:sz="4" w:space="0" w:color="FFAD51" w:themeColor="accent4" w:themeTint="99"/>
        <w:right w:val="single" w:sz="4" w:space="0" w:color="FFAD51" w:themeColor="accent4" w:themeTint="99"/>
        <w:insideH w:val="single" w:sz="4" w:space="0" w:color="FFAD51" w:themeColor="accent4" w:themeTint="99"/>
        <w:insideV w:val="single" w:sz="4" w:space="0" w:color="FFAD51" w:themeColor="accent4" w:themeTint="99"/>
      </w:tblBorders>
    </w:tblPr>
    <w:tblStylePr w:type="firstRow">
      <w:rPr>
        <w:b/>
        <w:bCs/>
        <w:color w:val="FFFFFF" w:themeColor="background1"/>
      </w:rPr>
      <w:tblPr/>
      <w:tcPr>
        <w:tcBorders>
          <w:top w:val="single" w:sz="4" w:space="0" w:color="DD7500" w:themeColor="accent4"/>
          <w:left w:val="single" w:sz="4" w:space="0" w:color="DD7500" w:themeColor="accent4"/>
          <w:bottom w:val="single" w:sz="4" w:space="0" w:color="DD7500" w:themeColor="accent4"/>
          <w:right w:val="single" w:sz="4" w:space="0" w:color="DD7500" w:themeColor="accent4"/>
          <w:insideH w:val="nil"/>
          <w:insideV w:val="nil"/>
        </w:tcBorders>
        <w:shd w:val="clear" w:color="auto" w:fill="DD7500" w:themeFill="accent4"/>
      </w:tcPr>
    </w:tblStylePr>
    <w:tblStylePr w:type="lastRow">
      <w:rPr>
        <w:b/>
        <w:bCs/>
      </w:rPr>
      <w:tblPr/>
      <w:tcPr>
        <w:tcBorders>
          <w:top w:val="double" w:sz="4" w:space="0" w:color="DD7500" w:themeColor="accent4"/>
        </w:tcBorders>
      </w:tcPr>
    </w:tblStylePr>
    <w:tblStylePr w:type="firstCol">
      <w:rPr>
        <w:b/>
        <w:bCs/>
      </w:rPr>
    </w:tblStylePr>
    <w:tblStylePr w:type="lastCol">
      <w:rPr>
        <w:b/>
        <w:bCs/>
      </w:rPr>
    </w:tblStylePr>
    <w:tblStylePr w:type="band1Vert">
      <w:tblPr/>
      <w:tcPr>
        <w:shd w:val="clear" w:color="auto" w:fill="FFE3C5" w:themeFill="accent4" w:themeFillTint="33"/>
      </w:tcPr>
    </w:tblStylePr>
    <w:tblStylePr w:type="band1Horz">
      <w:tblPr/>
      <w:tcPr>
        <w:shd w:val="clear" w:color="auto" w:fill="FFE3C5" w:themeFill="accent4" w:themeFillTint="33"/>
      </w:tcPr>
    </w:tblStylePr>
  </w:style>
  <w:style w:type="paragraph" w:customStyle="1" w:styleId="Guide">
    <w:name w:val="Guide"/>
    <w:basedOn w:val="Subtitle"/>
    <w:uiPriority w:val="11"/>
    <w:qFormat/>
    <w:rsid w:val="00852EA4"/>
    <w:rPr>
      <w:b/>
      <w:color w:val="25303B" w:themeColor="accent1"/>
      <w:lang w:val="en-US"/>
    </w:rPr>
  </w:style>
  <w:style w:type="paragraph" w:customStyle="1" w:styleId="Audience">
    <w:name w:val="Audience"/>
    <w:basedOn w:val="Subtitle"/>
    <w:uiPriority w:val="11"/>
    <w:qFormat/>
    <w:rsid w:val="00852EA4"/>
    <w:rPr>
      <w:b/>
      <w:color w:val="00948D" w:themeColor="accent3"/>
      <w:lang w:val="en-US"/>
    </w:rPr>
  </w:style>
  <w:style w:type="character" w:styleId="UnresolvedMention">
    <w:name w:val="Unresolved Mention"/>
    <w:basedOn w:val="DefaultParagraphFont"/>
    <w:uiPriority w:val="99"/>
    <w:semiHidden/>
    <w:unhideWhenUsed/>
    <w:rsid w:val="003A246E"/>
    <w:rPr>
      <w:color w:val="605E5C"/>
      <w:shd w:val="clear" w:color="auto" w:fill="E1DFDD"/>
    </w:rPr>
  </w:style>
  <w:style w:type="character" w:styleId="Mention">
    <w:name w:val="Mention"/>
    <w:basedOn w:val="DefaultParagraphFont"/>
    <w:uiPriority w:val="99"/>
    <w:unhideWhenUsed/>
    <w:rsid w:val="00DF7E11"/>
    <w:rPr>
      <w:color w:val="2B579A"/>
      <w:shd w:val="clear" w:color="auto" w:fill="E1DFDD"/>
    </w:rPr>
  </w:style>
  <w:style w:type="table" w:styleId="GridTable2-Accent2">
    <w:name w:val="Grid Table 2 Accent 2"/>
    <w:basedOn w:val="TableNormal"/>
    <w:uiPriority w:val="47"/>
    <w:rsid w:val="00DE311D"/>
    <w:pPr>
      <w:spacing w:after="0" w:line="240" w:lineRule="auto"/>
    </w:pPr>
    <w:tblPr>
      <w:tblStyleRowBandSize w:val="1"/>
      <w:tblStyleColBandSize w:val="1"/>
      <w:tblBorders>
        <w:top w:val="single" w:sz="2" w:space="0" w:color="D8CAB7" w:themeColor="accent2" w:themeTint="99"/>
        <w:bottom w:val="single" w:sz="2" w:space="0" w:color="D8CAB7" w:themeColor="accent2" w:themeTint="99"/>
        <w:insideH w:val="single" w:sz="2" w:space="0" w:color="D8CAB7" w:themeColor="accent2" w:themeTint="99"/>
        <w:insideV w:val="single" w:sz="2" w:space="0" w:color="D8CAB7" w:themeColor="accent2" w:themeTint="99"/>
      </w:tblBorders>
    </w:tblPr>
    <w:tblStylePr w:type="firstRow">
      <w:rPr>
        <w:b/>
        <w:bCs/>
      </w:rPr>
      <w:tblPr/>
      <w:tcPr>
        <w:tcBorders>
          <w:top w:val="nil"/>
          <w:bottom w:val="single" w:sz="12" w:space="0" w:color="D8CAB7" w:themeColor="accent2" w:themeTint="99"/>
          <w:insideH w:val="nil"/>
          <w:insideV w:val="nil"/>
        </w:tcBorders>
        <w:shd w:val="clear" w:color="auto" w:fill="FFFFFF" w:themeFill="background1"/>
      </w:tcPr>
    </w:tblStylePr>
    <w:tblStylePr w:type="lastRow">
      <w:rPr>
        <w:b/>
        <w:bCs/>
      </w:rPr>
      <w:tblPr/>
      <w:tcPr>
        <w:tcBorders>
          <w:top w:val="double" w:sz="2" w:space="0" w:color="D8CA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DE7" w:themeFill="accent2" w:themeFillTint="33"/>
      </w:tcPr>
    </w:tblStylePr>
    <w:tblStylePr w:type="band1Horz">
      <w:tblPr/>
      <w:tcPr>
        <w:shd w:val="clear" w:color="auto" w:fill="F2EDE7"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5639">
      <w:bodyDiv w:val="1"/>
      <w:marLeft w:val="0"/>
      <w:marRight w:val="0"/>
      <w:marTop w:val="0"/>
      <w:marBottom w:val="0"/>
      <w:divBdr>
        <w:top w:val="none" w:sz="0" w:space="0" w:color="auto"/>
        <w:left w:val="none" w:sz="0" w:space="0" w:color="auto"/>
        <w:bottom w:val="none" w:sz="0" w:space="0" w:color="auto"/>
        <w:right w:val="none" w:sz="0" w:space="0" w:color="auto"/>
      </w:divBdr>
    </w:div>
    <w:div w:id="386879137">
      <w:bodyDiv w:val="1"/>
      <w:marLeft w:val="0"/>
      <w:marRight w:val="0"/>
      <w:marTop w:val="0"/>
      <w:marBottom w:val="0"/>
      <w:divBdr>
        <w:top w:val="none" w:sz="0" w:space="0" w:color="auto"/>
        <w:left w:val="none" w:sz="0" w:space="0" w:color="auto"/>
        <w:bottom w:val="none" w:sz="0" w:space="0" w:color="auto"/>
        <w:right w:val="none" w:sz="0" w:space="0" w:color="auto"/>
      </w:divBdr>
      <w:divsChild>
        <w:div w:id="524488662">
          <w:marLeft w:val="0"/>
          <w:marRight w:val="0"/>
          <w:marTop w:val="0"/>
          <w:marBottom w:val="0"/>
          <w:divBdr>
            <w:top w:val="none" w:sz="0" w:space="0" w:color="auto"/>
            <w:left w:val="none" w:sz="0" w:space="0" w:color="auto"/>
            <w:bottom w:val="none" w:sz="0" w:space="0" w:color="auto"/>
            <w:right w:val="none" w:sz="0" w:space="0" w:color="auto"/>
          </w:divBdr>
          <w:divsChild>
            <w:div w:id="835463055">
              <w:marLeft w:val="0"/>
              <w:marRight w:val="0"/>
              <w:marTop w:val="0"/>
              <w:marBottom w:val="0"/>
              <w:divBdr>
                <w:top w:val="none" w:sz="0" w:space="0" w:color="auto"/>
                <w:left w:val="none" w:sz="0" w:space="0" w:color="auto"/>
                <w:bottom w:val="none" w:sz="0" w:space="0" w:color="auto"/>
                <w:right w:val="none" w:sz="0" w:space="0" w:color="auto"/>
              </w:divBdr>
              <w:divsChild>
                <w:div w:id="1033457754">
                  <w:marLeft w:val="0"/>
                  <w:marRight w:val="0"/>
                  <w:marTop w:val="0"/>
                  <w:marBottom w:val="0"/>
                  <w:divBdr>
                    <w:top w:val="none" w:sz="0" w:space="0" w:color="auto"/>
                    <w:left w:val="none" w:sz="0" w:space="0" w:color="auto"/>
                    <w:bottom w:val="none" w:sz="0" w:space="0" w:color="auto"/>
                    <w:right w:val="none" w:sz="0" w:space="0" w:color="auto"/>
                  </w:divBdr>
                  <w:divsChild>
                    <w:div w:id="154493260">
                      <w:marLeft w:val="150"/>
                      <w:marRight w:val="150"/>
                      <w:marTop w:val="0"/>
                      <w:marBottom w:val="0"/>
                      <w:divBdr>
                        <w:top w:val="none" w:sz="0" w:space="0" w:color="auto"/>
                        <w:left w:val="none" w:sz="0" w:space="0" w:color="auto"/>
                        <w:bottom w:val="none" w:sz="0" w:space="0" w:color="auto"/>
                        <w:right w:val="none" w:sz="0" w:space="0" w:color="auto"/>
                      </w:divBdr>
                      <w:divsChild>
                        <w:div w:id="366373725">
                          <w:marLeft w:val="0"/>
                          <w:marRight w:val="0"/>
                          <w:marTop w:val="0"/>
                          <w:marBottom w:val="0"/>
                          <w:divBdr>
                            <w:top w:val="none" w:sz="0" w:space="0" w:color="auto"/>
                            <w:left w:val="none" w:sz="0" w:space="0" w:color="auto"/>
                            <w:bottom w:val="none" w:sz="0" w:space="0" w:color="auto"/>
                            <w:right w:val="none" w:sz="0" w:space="0" w:color="auto"/>
                          </w:divBdr>
                          <w:divsChild>
                            <w:div w:id="1481144292">
                              <w:marLeft w:val="0"/>
                              <w:marRight w:val="0"/>
                              <w:marTop w:val="0"/>
                              <w:marBottom w:val="0"/>
                              <w:divBdr>
                                <w:top w:val="none" w:sz="0" w:space="0" w:color="auto"/>
                                <w:left w:val="none" w:sz="0" w:space="0" w:color="auto"/>
                                <w:bottom w:val="none" w:sz="0" w:space="0" w:color="auto"/>
                                <w:right w:val="none" w:sz="0" w:space="0" w:color="auto"/>
                              </w:divBdr>
                              <w:divsChild>
                                <w:div w:id="1480532887">
                                  <w:marLeft w:val="0"/>
                                  <w:marRight w:val="0"/>
                                  <w:marTop w:val="0"/>
                                  <w:marBottom w:val="0"/>
                                  <w:divBdr>
                                    <w:top w:val="none" w:sz="0" w:space="0" w:color="auto"/>
                                    <w:left w:val="none" w:sz="0" w:space="0" w:color="auto"/>
                                    <w:bottom w:val="none" w:sz="0" w:space="0" w:color="auto"/>
                                    <w:right w:val="none" w:sz="0" w:space="0" w:color="auto"/>
                                  </w:divBdr>
                                  <w:divsChild>
                                    <w:div w:id="1892232291">
                                      <w:marLeft w:val="0"/>
                                      <w:marRight w:val="0"/>
                                      <w:marTop w:val="0"/>
                                      <w:marBottom w:val="0"/>
                                      <w:divBdr>
                                        <w:top w:val="none" w:sz="0" w:space="0" w:color="auto"/>
                                        <w:left w:val="none" w:sz="0" w:space="0" w:color="auto"/>
                                        <w:bottom w:val="none" w:sz="0" w:space="0" w:color="auto"/>
                                        <w:right w:val="none" w:sz="0" w:space="0" w:color="auto"/>
                                      </w:divBdr>
                                      <w:divsChild>
                                        <w:div w:id="134567194">
                                          <w:marLeft w:val="0"/>
                                          <w:marRight w:val="0"/>
                                          <w:marTop w:val="0"/>
                                          <w:marBottom w:val="0"/>
                                          <w:divBdr>
                                            <w:top w:val="none" w:sz="0" w:space="0" w:color="auto"/>
                                            <w:left w:val="none" w:sz="0" w:space="0" w:color="auto"/>
                                            <w:bottom w:val="none" w:sz="0" w:space="0" w:color="auto"/>
                                            <w:right w:val="none" w:sz="0" w:space="0" w:color="auto"/>
                                          </w:divBdr>
                                          <w:divsChild>
                                            <w:div w:id="601037933">
                                              <w:marLeft w:val="0"/>
                                              <w:marRight w:val="0"/>
                                              <w:marTop w:val="0"/>
                                              <w:marBottom w:val="0"/>
                                              <w:divBdr>
                                                <w:top w:val="none" w:sz="0" w:space="0" w:color="auto"/>
                                                <w:left w:val="none" w:sz="0" w:space="0" w:color="auto"/>
                                                <w:bottom w:val="none" w:sz="0" w:space="0" w:color="auto"/>
                                                <w:right w:val="none" w:sz="0" w:space="0" w:color="auto"/>
                                              </w:divBdr>
                                              <w:divsChild>
                                                <w:div w:id="416098468">
                                                  <w:marLeft w:val="0"/>
                                                  <w:marRight w:val="0"/>
                                                  <w:marTop w:val="0"/>
                                                  <w:marBottom w:val="0"/>
                                                  <w:divBdr>
                                                    <w:top w:val="none" w:sz="0" w:space="0" w:color="auto"/>
                                                    <w:left w:val="none" w:sz="0" w:space="0" w:color="auto"/>
                                                    <w:bottom w:val="none" w:sz="0" w:space="0" w:color="auto"/>
                                                    <w:right w:val="none" w:sz="0" w:space="0" w:color="auto"/>
                                                  </w:divBdr>
                                                  <w:divsChild>
                                                    <w:div w:id="12034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905150">
      <w:bodyDiv w:val="1"/>
      <w:marLeft w:val="0"/>
      <w:marRight w:val="0"/>
      <w:marTop w:val="0"/>
      <w:marBottom w:val="0"/>
      <w:divBdr>
        <w:top w:val="none" w:sz="0" w:space="0" w:color="auto"/>
        <w:left w:val="none" w:sz="0" w:space="0" w:color="auto"/>
        <w:bottom w:val="none" w:sz="0" w:space="0" w:color="auto"/>
        <w:right w:val="none" w:sz="0" w:space="0" w:color="auto"/>
      </w:divBdr>
      <w:divsChild>
        <w:div w:id="509029343">
          <w:marLeft w:val="0"/>
          <w:marRight w:val="0"/>
          <w:marTop w:val="0"/>
          <w:marBottom w:val="0"/>
          <w:divBdr>
            <w:top w:val="none" w:sz="0" w:space="0" w:color="auto"/>
            <w:left w:val="none" w:sz="0" w:space="0" w:color="auto"/>
            <w:bottom w:val="none" w:sz="0" w:space="0" w:color="auto"/>
            <w:right w:val="none" w:sz="0" w:space="0" w:color="auto"/>
          </w:divBdr>
          <w:divsChild>
            <w:div w:id="104008158">
              <w:marLeft w:val="0"/>
              <w:marRight w:val="0"/>
              <w:marTop w:val="0"/>
              <w:marBottom w:val="0"/>
              <w:divBdr>
                <w:top w:val="none" w:sz="0" w:space="0" w:color="auto"/>
                <w:left w:val="none" w:sz="0" w:space="0" w:color="auto"/>
                <w:bottom w:val="none" w:sz="0" w:space="0" w:color="auto"/>
                <w:right w:val="none" w:sz="0" w:space="0" w:color="auto"/>
              </w:divBdr>
              <w:divsChild>
                <w:div w:id="1687947622">
                  <w:marLeft w:val="0"/>
                  <w:marRight w:val="0"/>
                  <w:marTop w:val="0"/>
                  <w:marBottom w:val="0"/>
                  <w:divBdr>
                    <w:top w:val="none" w:sz="0" w:space="0" w:color="auto"/>
                    <w:left w:val="none" w:sz="0" w:space="0" w:color="auto"/>
                    <w:bottom w:val="none" w:sz="0" w:space="0" w:color="auto"/>
                    <w:right w:val="none" w:sz="0" w:space="0" w:color="auto"/>
                  </w:divBdr>
                  <w:divsChild>
                    <w:div w:id="1914510744">
                      <w:marLeft w:val="150"/>
                      <w:marRight w:val="150"/>
                      <w:marTop w:val="0"/>
                      <w:marBottom w:val="0"/>
                      <w:divBdr>
                        <w:top w:val="none" w:sz="0" w:space="0" w:color="auto"/>
                        <w:left w:val="none" w:sz="0" w:space="0" w:color="auto"/>
                        <w:bottom w:val="none" w:sz="0" w:space="0" w:color="auto"/>
                        <w:right w:val="none" w:sz="0" w:space="0" w:color="auto"/>
                      </w:divBdr>
                      <w:divsChild>
                        <w:div w:id="138349014">
                          <w:marLeft w:val="0"/>
                          <w:marRight w:val="0"/>
                          <w:marTop w:val="0"/>
                          <w:marBottom w:val="0"/>
                          <w:divBdr>
                            <w:top w:val="none" w:sz="0" w:space="0" w:color="auto"/>
                            <w:left w:val="none" w:sz="0" w:space="0" w:color="auto"/>
                            <w:bottom w:val="none" w:sz="0" w:space="0" w:color="auto"/>
                            <w:right w:val="none" w:sz="0" w:space="0" w:color="auto"/>
                          </w:divBdr>
                          <w:divsChild>
                            <w:div w:id="931400581">
                              <w:marLeft w:val="0"/>
                              <w:marRight w:val="0"/>
                              <w:marTop w:val="0"/>
                              <w:marBottom w:val="0"/>
                              <w:divBdr>
                                <w:top w:val="none" w:sz="0" w:space="0" w:color="auto"/>
                                <w:left w:val="none" w:sz="0" w:space="0" w:color="auto"/>
                                <w:bottom w:val="none" w:sz="0" w:space="0" w:color="auto"/>
                                <w:right w:val="none" w:sz="0" w:space="0" w:color="auto"/>
                              </w:divBdr>
                              <w:divsChild>
                                <w:div w:id="1588613314">
                                  <w:marLeft w:val="0"/>
                                  <w:marRight w:val="0"/>
                                  <w:marTop w:val="0"/>
                                  <w:marBottom w:val="0"/>
                                  <w:divBdr>
                                    <w:top w:val="none" w:sz="0" w:space="0" w:color="auto"/>
                                    <w:left w:val="none" w:sz="0" w:space="0" w:color="auto"/>
                                    <w:bottom w:val="none" w:sz="0" w:space="0" w:color="auto"/>
                                    <w:right w:val="none" w:sz="0" w:space="0" w:color="auto"/>
                                  </w:divBdr>
                                  <w:divsChild>
                                    <w:div w:id="1132081">
                                      <w:marLeft w:val="0"/>
                                      <w:marRight w:val="0"/>
                                      <w:marTop w:val="0"/>
                                      <w:marBottom w:val="0"/>
                                      <w:divBdr>
                                        <w:top w:val="none" w:sz="0" w:space="0" w:color="auto"/>
                                        <w:left w:val="none" w:sz="0" w:space="0" w:color="auto"/>
                                        <w:bottom w:val="none" w:sz="0" w:space="0" w:color="auto"/>
                                        <w:right w:val="none" w:sz="0" w:space="0" w:color="auto"/>
                                      </w:divBdr>
                                      <w:divsChild>
                                        <w:div w:id="481848074">
                                          <w:marLeft w:val="0"/>
                                          <w:marRight w:val="0"/>
                                          <w:marTop w:val="0"/>
                                          <w:marBottom w:val="0"/>
                                          <w:divBdr>
                                            <w:top w:val="none" w:sz="0" w:space="0" w:color="auto"/>
                                            <w:left w:val="none" w:sz="0" w:space="0" w:color="auto"/>
                                            <w:bottom w:val="none" w:sz="0" w:space="0" w:color="auto"/>
                                            <w:right w:val="none" w:sz="0" w:space="0" w:color="auto"/>
                                          </w:divBdr>
                                          <w:divsChild>
                                            <w:div w:id="1640450901">
                                              <w:marLeft w:val="0"/>
                                              <w:marRight w:val="0"/>
                                              <w:marTop w:val="0"/>
                                              <w:marBottom w:val="0"/>
                                              <w:divBdr>
                                                <w:top w:val="none" w:sz="0" w:space="0" w:color="auto"/>
                                                <w:left w:val="none" w:sz="0" w:space="0" w:color="auto"/>
                                                <w:bottom w:val="none" w:sz="0" w:space="0" w:color="auto"/>
                                                <w:right w:val="none" w:sz="0" w:space="0" w:color="auto"/>
                                              </w:divBdr>
                                              <w:divsChild>
                                                <w:div w:id="1807893288">
                                                  <w:marLeft w:val="0"/>
                                                  <w:marRight w:val="0"/>
                                                  <w:marTop w:val="0"/>
                                                  <w:marBottom w:val="0"/>
                                                  <w:divBdr>
                                                    <w:top w:val="none" w:sz="0" w:space="0" w:color="auto"/>
                                                    <w:left w:val="none" w:sz="0" w:space="0" w:color="auto"/>
                                                    <w:bottom w:val="none" w:sz="0" w:space="0" w:color="auto"/>
                                                    <w:right w:val="none" w:sz="0" w:space="0" w:color="auto"/>
                                                  </w:divBdr>
                                                  <w:divsChild>
                                                    <w:div w:id="1955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923397">
      <w:bodyDiv w:val="1"/>
      <w:marLeft w:val="0"/>
      <w:marRight w:val="0"/>
      <w:marTop w:val="0"/>
      <w:marBottom w:val="0"/>
      <w:divBdr>
        <w:top w:val="none" w:sz="0" w:space="0" w:color="auto"/>
        <w:left w:val="none" w:sz="0" w:space="0" w:color="auto"/>
        <w:bottom w:val="none" w:sz="0" w:space="0" w:color="auto"/>
        <w:right w:val="none" w:sz="0" w:space="0" w:color="auto"/>
      </w:divBdr>
    </w:div>
    <w:div w:id="1014842359">
      <w:bodyDiv w:val="1"/>
      <w:marLeft w:val="0"/>
      <w:marRight w:val="0"/>
      <w:marTop w:val="0"/>
      <w:marBottom w:val="0"/>
      <w:divBdr>
        <w:top w:val="none" w:sz="0" w:space="0" w:color="auto"/>
        <w:left w:val="none" w:sz="0" w:space="0" w:color="auto"/>
        <w:bottom w:val="none" w:sz="0" w:space="0" w:color="auto"/>
        <w:right w:val="none" w:sz="0" w:space="0" w:color="auto"/>
      </w:divBdr>
    </w:div>
    <w:div w:id="1314333701">
      <w:bodyDiv w:val="1"/>
      <w:marLeft w:val="0"/>
      <w:marRight w:val="0"/>
      <w:marTop w:val="0"/>
      <w:marBottom w:val="0"/>
      <w:divBdr>
        <w:top w:val="none" w:sz="0" w:space="0" w:color="auto"/>
        <w:left w:val="none" w:sz="0" w:space="0" w:color="auto"/>
        <w:bottom w:val="none" w:sz="0" w:space="0" w:color="auto"/>
        <w:right w:val="none" w:sz="0" w:space="0" w:color="auto"/>
      </w:divBdr>
    </w:div>
    <w:div w:id="1557929145">
      <w:bodyDiv w:val="1"/>
      <w:marLeft w:val="0"/>
      <w:marRight w:val="0"/>
      <w:marTop w:val="0"/>
      <w:marBottom w:val="0"/>
      <w:divBdr>
        <w:top w:val="none" w:sz="0" w:space="0" w:color="auto"/>
        <w:left w:val="none" w:sz="0" w:space="0" w:color="auto"/>
        <w:bottom w:val="none" w:sz="0" w:space="0" w:color="auto"/>
        <w:right w:val="none" w:sz="0" w:space="0" w:color="auto"/>
      </w:divBdr>
    </w:div>
    <w:div w:id="1699818672">
      <w:bodyDiv w:val="1"/>
      <w:marLeft w:val="0"/>
      <w:marRight w:val="0"/>
      <w:marTop w:val="0"/>
      <w:marBottom w:val="0"/>
      <w:divBdr>
        <w:top w:val="none" w:sz="0" w:space="0" w:color="auto"/>
        <w:left w:val="none" w:sz="0" w:space="0" w:color="auto"/>
        <w:bottom w:val="none" w:sz="0" w:space="0" w:color="auto"/>
        <w:right w:val="none" w:sz="0" w:space="0" w:color="auto"/>
      </w:divBdr>
      <w:divsChild>
        <w:div w:id="530192805">
          <w:marLeft w:val="547"/>
          <w:marRight w:val="0"/>
          <w:marTop w:val="0"/>
          <w:marBottom w:val="0"/>
          <w:divBdr>
            <w:top w:val="none" w:sz="0" w:space="0" w:color="auto"/>
            <w:left w:val="none" w:sz="0" w:space="0" w:color="auto"/>
            <w:bottom w:val="none" w:sz="0" w:space="0" w:color="auto"/>
            <w:right w:val="none" w:sz="0" w:space="0" w:color="auto"/>
          </w:divBdr>
        </w:div>
      </w:divsChild>
    </w:div>
    <w:div w:id="1777166188">
      <w:bodyDiv w:val="1"/>
      <w:marLeft w:val="0"/>
      <w:marRight w:val="0"/>
      <w:marTop w:val="0"/>
      <w:marBottom w:val="0"/>
      <w:divBdr>
        <w:top w:val="none" w:sz="0" w:space="0" w:color="auto"/>
        <w:left w:val="none" w:sz="0" w:space="0" w:color="auto"/>
        <w:bottom w:val="none" w:sz="0" w:space="0" w:color="auto"/>
        <w:right w:val="none" w:sz="0" w:space="0" w:color="auto"/>
      </w:divBdr>
    </w:div>
    <w:div w:id="1979187946">
      <w:bodyDiv w:val="1"/>
      <w:marLeft w:val="0"/>
      <w:marRight w:val="0"/>
      <w:marTop w:val="0"/>
      <w:marBottom w:val="0"/>
      <w:divBdr>
        <w:top w:val="none" w:sz="0" w:space="0" w:color="auto"/>
        <w:left w:val="none" w:sz="0" w:space="0" w:color="auto"/>
        <w:bottom w:val="none" w:sz="0" w:space="0" w:color="auto"/>
        <w:right w:val="none" w:sz="0" w:space="0" w:color="auto"/>
      </w:divBdr>
    </w:div>
    <w:div w:id="198627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bsearch.gov.au/serviceproviders" TargetMode="External"/><Relationship Id="rId21" Type="http://schemas.openxmlformats.org/officeDocument/2006/relationships/hyperlink" Target="https://www.niaa.gov.au/resource-centre/indigenous-affairs/indigenous-procurement-policy-model-clauses" TargetMode="External"/><Relationship Id="rId42" Type="http://schemas.openxmlformats.org/officeDocument/2006/relationships/hyperlink" Target="https://www.niaa.gov.au/ippcp" TargetMode="External"/><Relationship Id="rId47" Type="http://schemas.openxmlformats.org/officeDocument/2006/relationships/hyperlink" Target="https://www.oric.gov.au/" TargetMode="External"/><Relationship Id="rId63" Type="http://schemas.openxmlformats.org/officeDocument/2006/relationships/hyperlink" Target="https://www.niaa.gov.au/resource-centre/indigenous-affairs/ripp-map-data" TargetMode="External"/><Relationship Id="rId6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finance.gov.au/government/procurement/whole-australian-government-procurement" TargetMode="External"/><Relationship Id="rId29" Type="http://schemas.openxmlformats.org/officeDocument/2006/relationships/hyperlink" Target="https://www.creativespirits.info/aboriginalculture/selfdetermination/aboriginal-land-councils" TargetMode="External"/><Relationship Id="rId11" Type="http://schemas.openxmlformats.org/officeDocument/2006/relationships/diagramData" Target="diagrams/data1.xml"/><Relationship Id="rId24" Type="http://schemas.openxmlformats.org/officeDocument/2006/relationships/image" Target="media/image2.png"/><Relationship Id="rId32" Type="http://schemas.openxmlformats.org/officeDocument/2006/relationships/hyperlink" Target="mailto:indigenousprocurement@niaa.gov.au" TargetMode="External"/><Relationship Id="rId37" Type="http://schemas.openxmlformats.org/officeDocument/2006/relationships/hyperlink" Target="https://www.abs.gov.au/websitedbs/D3310114.nsf/Home/2016%20search%20by%20geography" TargetMode="External"/><Relationship Id="rId40" Type="http://schemas.openxmlformats.org/officeDocument/2006/relationships/hyperlink" Target="https://www.niaa.gov.au/resource-centre/indigenous-affairs/indigenous-procurement-policy-model-clauses" TargetMode="External"/><Relationship Id="rId45" Type="http://schemas.openxmlformats.org/officeDocument/2006/relationships/hyperlink" Target="https://www.finance.gov.au/government/procurement/commonwealth-procurement-rules" TargetMode="External"/><Relationship Id="rId53" Type="http://schemas.openxmlformats.org/officeDocument/2006/relationships/hyperlink" Target="https://www.creativespirits.info/resources/newspapers-magazines" TargetMode="External"/><Relationship Id="rId58" Type="http://schemas.openxmlformats.org/officeDocument/2006/relationships/hyperlink" Target="https://kinaway.com.au/" TargetMode="External"/><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niaa.gov.au/resource-centre/indigenous-affairs/ripp-map-data" TargetMode="External"/><Relationship Id="rId19" Type="http://schemas.openxmlformats.org/officeDocument/2006/relationships/hyperlink" Target="http://www.niaa.gov.au/resource-centre/indigenous-affairs/united-nations-standard-products-and-service-codes" TargetMode="External"/><Relationship Id="rId14" Type="http://schemas.openxmlformats.org/officeDocument/2006/relationships/diagramColors" Target="diagrams/colors1.xml"/><Relationship Id="rId22" Type="http://schemas.openxmlformats.org/officeDocument/2006/relationships/hyperlink" Target="https://www.finance.gov.au/government/procurement/clausebank" TargetMode="External"/><Relationship Id="rId27" Type="http://schemas.openxmlformats.org/officeDocument/2006/relationships/hyperlink" Target="https://register.oric.gov.au/PrintCorporationSearch.aspx?state=SA" TargetMode="External"/><Relationship Id="rId30" Type="http://schemas.openxmlformats.org/officeDocument/2006/relationships/hyperlink" Target="https://www.abs.gov.au/websitedbs/D3310114.nsf/Home/2016%20search%20by%20geography" TargetMode="External"/><Relationship Id="rId35" Type="http://schemas.openxmlformats.org/officeDocument/2006/relationships/hyperlink" Target="mailto:indigenousprocurement@niaa.gov.au" TargetMode="External"/><Relationship Id="rId43" Type="http://schemas.openxmlformats.org/officeDocument/2006/relationships/hyperlink" Target="https://www.niaa.gov.au/resource-centre/indigenous-affairs/ripp-map-data" TargetMode="External"/><Relationship Id="rId48" Type="http://schemas.openxmlformats.org/officeDocument/2006/relationships/hyperlink" Target="https://register.oric.gov.au/PrintCorporationSearch.aspx?state=SA" TargetMode="External"/><Relationship Id="rId56" Type="http://schemas.openxmlformats.org/officeDocument/2006/relationships/hyperlink" Target="https://nswicc.com.au/"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supplynation.org.au/"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diagramLayout" Target="diagrams/layout1.xml"/><Relationship Id="rId17" Type="http://schemas.openxmlformats.org/officeDocument/2006/relationships/hyperlink" Target="https://www.directory.gov.au/portfolios" TargetMode="External"/><Relationship Id="rId25" Type="http://schemas.openxmlformats.org/officeDocument/2006/relationships/hyperlink" Target="https://www.niaa.gov.au/resource-centre/indigenous-affairs/indigenous-procurement-policy-model-clauses" TargetMode="External"/><Relationship Id="rId33" Type="http://schemas.openxmlformats.org/officeDocument/2006/relationships/hyperlink" Target="https://www.niaa.gov.au/resource-centre/indigenous-affairs/indigenous-procurement-policy-model-clauses" TargetMode="External"/><Relationship Id="rId38" Type="http://schemas.openxmlformats.org/officeDocument/2006/relationships/hyperlink" Target="https://www.niaa.gov.au/contact-us/regional-network-addresses" TargetMode="External"/><Relationship Id="rId46" Type="http://schemas.openxmlformats.org/officeDocument/2006/relationships/hyperlink" Target="https://www.niaa.gov.au/news-and-media/raes-new-employment-service-now-available-remote-communities" TargetMode="External"/><Relationship Id="rId59" Type="http://schemas.openxmlformats.org/officeDocument/2006/relationships/hyperlink" Target="https://abicsa.org.au/" TargetMode="External"/><Relationship Id="rId67" Type="http://schemas.openxmlformats.org/officeDocument/2006/relationships/footer" Target="footer2.xml"/><Relationship Id="rId20" Type="http://schemas.openxmlformats.org/officeDocument/2006/relationships/hyperlink" Target="https://www.ungm.org/Public/UNSPSC" TargetMode="External"/><Relationship Id="rId41" Type="http://schemas.openxmlformats.org/officeDocument/2006/relationships/hyperlink" Target="https://www.niaa.gov.au/ipprs" TargetMode="External"/><Relationship Id="rId54" Type="http://schemas.openxmlformats.org/officeDocument/2006/relationships/hyperlink" Target="https://www.nibca.com.au/" TargetMode="External"/><Relationship Id="rId62" Type="http://schemas.openxmlformats.org/officeDocument/2006/relationships/hyperlink" Target="https://www.dewr.gov.au/employment/finding-job"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niaa.gov.au/resource-centre/indigenous-affairs/ripp-map-data" TargetMode="External"/><Relationship Id="rId28" Type="http://schemas.openxmlformats.org/officeDocument/2006/relationships/hyperlink" Target="https://www.niaa.gov.au/news-and-media/raes-new-employment-service-now-available-remote-communities" TargetMode="External"/><Relationship Id="rId36" Type="http://schemas.openxmlformats.org/officeDocument/2006/relationships/hyperlink" Target="mailto:ipprs@niaa.gov.au" TargetMode="External"/><Relationship Id="rId49" Type="http://schemas.openxmlformats.org/officeDocument/2006/relationships/hyperlink" Target="https://www.ilsc.gov.au/" TargetMode="External"/><Relationship Id="rId57" Type="http://schemas.openxmlformats.org/officeDocument/2006/relationships/hyperlink" Target="http://seqicc.com.au/" TargetMode="External"/><Relationship Id="rId10" Type="http://schemas.openxmlformats.org/officeDocument/2006/relationships/hyperlink" Target="https://www.niaa.gov.au/resource-centre/indigenous-affairs/commonwealth-indigenous-procurement-policy" TargetMode="External"/><Relationship Id="rId31" Type="http://schemas.openxmlformats.org/officeDocument/2006/relationships/hyperlink" Target="https://business.gov.au/expertise-and-advice/indigenous-business-and-employment-hubs" TargetMode="External"/><Relationship Id="rId44" Type="http://schemas.openxmlformats.org/officeDocument/2006/relationships/hyperlink" Target="https://www.finance.gov.au/government/procurement/buying-australian-government" TargetMode="External"/><Relationship Id="rId52" Type="http://schemas.openxmlformats.org/officeDocument/2006/relationships/hyperlink" Target="https://www.dewr.gov.au/employment/employment-services-providers" TargetMode="External"/><Relationship Id="rId60" Type="http://schemas.openxmlformats.org/officeDocument/2006/relationships/hyperlink" Target="https://abdwa.icn.org.au/" TargetMode="External"/><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s://www.finance.gov.au/government/procurement/buying-australian-government/policy-framework" TargetMode="External"/><Relationship Id="rId39" Type="http://schemas.openxmlformats.org/officeDocument/2006/relationships/hyperlink" Target="https://www.niaa.gov.au/resource-centre/indigenous-affairs/commonwealth-indigenous-procurement-policy" TargetMode="External"/><Relationship Id="rId34" Type="http://schemas.openxmlformats.org/officeDocument/2006/relationships/hyperlink" Target="https://www.niaa.gov.au/ipprs" TargetMode="External"/><Relationship Id="rId50" Type="http://schemas.openxmlformats.org/officeDocument/2006/relationships/hyperlink" Target="https://www.creativespirits.info/aboriginalculture/selfdetermination/aboriginal-land-councils" TargetMode="External"/><Relationship Id="rId55" Type="http://schemas.openxmlformats.org/officeDocument/2006/relationships/hyperlink" Target="https://www.reconciliation.org.au/" TargetMode="External"/></Relationships>
</file>

<file path=word/diagrams/_rels/data1.xml.rels><?xml version="1.0" encoding="UTF-8" standalone="yes"?>
<Relationships xmlns="http://schemas.openxmlformats.org/package/2006/relationships"><Relationship Id="rId1" Type="http://schemas.openxmlformats.org/officeDocument/2006/relationships/hyperlink" Target="https://www.niaa.gov.au/resource-centre/indigenous-affairs/welcome-pack-commonwealth-agenci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89805A-938C-4326-976C-888ACD4D5DDD}"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D98D5215-AD39-471A-BAA7-127F51D23B73}">
      <dgm:prSet phldrT="[Text]" custT="1"/>
      <dgm:spPr>
        <a:xfrm>
          <a:off x="3577931" y="862130"/>
          <a:ext cx="1460003" cy="730001"/>
        </a:xfrm>
        <a:solidFill>
          <a:schemeClr val="accent2"/>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chemeClr val="tx1"/>
              </a:solidFill>
              <a:latin typeface="Calibri"/>
              <a:ea typeface="+mn-ea"/>
              <a:cs typeface="+mn-cs"/>
            </a:rPr>
            <a:t>Guide for Procuring officials and contract managers</a:t>
          </a:r>
        </a:p>
      </dgm:t>
    </dgm:pt>
    <dgm:pt modelId="{4A4B4A48-61FB-4467-91FF-C888CC7BEFA0}" type="parTrans" cxnId="{935E1EBC-5040-4096-A33B-A874E97198ED}">
      <dgm:prSet/>
      <dgm:spPr/>
      <dgm:t>
        <a:bodyPr/>
        <a:lstStyle/>
        <a:p>
          <a:endParaRPr lang="en-US" sz="1000"/>
        </a:p>
      </dgm:t>
    </dgm:pt>
    <dgm:pt modelId="{1D6B628E-8BB5-41CD-84FE-736D20D4A2E6}" type="sibTrans" cxnId="{935E1EBC-5040-4096-A33B-A874E97198ED}">
      <dgm:prSet/>
      <dgm:spPr/>
      <dgm:t>
        <a:bodyPr/>
        <a:lstStyle/>
        <a:p>
          <a:endParaRPr lang="en-US" sz="1000"/>
        </a:p>
      </dgm:t>
    </dgm:pt>
    <dgm:pt modelId="{10CB5D49-A460-47B0-A66F-268CB07A9DCD}">
      <dgm:prSet phldrT="[Text]" custT="1"/>
      <dgm:spPr>
        <a:xfrm>
          <a:off x="998692" y="2235662"/>
          <a:ext cx="1460003" cy="730001"/>
        </a:xfrm>
        <a:prstGeom prst="roundRect">
          <a:avLst/>
        </a:prstGeom>
        <a:solidFill>
          <a:srgbClr val="25303B">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Guide for Potential Suppliers</a:t>
          </a:r>
        </a:p>
      </dgm:t>
    </dgm:pt>
    <dgm:pt modelId="{27F94A79-C59A-47F8-86D4-AFF8A2269D8A}" type="parTrans" cxnId="{610E4769-800D-4348-AE53-CF44661735EE}">
      <dgm:prSet/>
      <dgm:spPr/>
      <dgm:t>
        <a:bodyPr/>
        <a:lstStyle/>
        <a:p>
          <a:endParaRPr lang="en-US" sz="1000"/>
        </a:p>
      </dgm:t>
    </dgm:pt>
    <dgm:pt modelId="{2914F1B8-B784-4C94-B9AA-36EFFE6DFA89}" type="sibTrans" cxnId="{610E4769-800D-4348-AE53-CF44661735EE}">
      <dgm:prSet/>
      <dgm:spPr/>
      <dgm:t>
        <a:bodyPr/>
        <a:lstStyle/>
        <a:p>
          <a:endParaRPr lang="en-US" sz="1000"/>
        </a:p>
      </dgm:t>
    </dgm:pt>
    <dgm:pt modelId="{120B663E-CAF4-4C05-A360-FB0A5ECAD80C}">
      <dgm:prSet phldrT="[Text]" custT="1"/>
      <dgm:spPr>
        <a:xfrm>
          <a:off x="715159" y="943771"/>
          <a:ext cx="1460003" cy="730001"/>
        </a:xfrm>
        <a:prstGeom prst="roundRect">
          <a:avLst/>
        </a:prstGeom>
        <a:solidFill>
          <a:srgbClr val="25303B">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Guide to the Model Clauses</a:t>
          </a:r>
        </a:p>
      </dgm:t>
      <dgm:extLst>
        <a:ext uri="{E40237B7-FDA0-4F09-8148-C483321AD2D9}">
          <dgm14:cNvPr xmlns:dgm14="http://schemas.microsoft.com/office/drawing/2010/diagram" id="0" name="">
            <a:hlinkClick xmlns:r="http://schemas.openxmlformats.org/officeDocument/2006/relationships" r:id="rId1"/>
          </dgm14:cNvPr>
        </a:ext>
      </dgm:extLst>
    </dgm:pt>
    <dgm:pt modelId="{50BFA100-75FB-4BC2-95A9-B91056121207}" type="parTrans" cxnId="{68B3999D-FA90-43B7-B30D-17617DF45957}">
      <dgm:prSet/>
      <dgm:spPr/>
      <dgm:t>
        <a:bodyPr/>
        <a:lstStyle/>
        <a:p>
          <a:endParaRPr lang="en-US" sz="1000"/>
        </a:p>
      </dgm:t>
    </dgm:pt>
    <dgm:pt modelId="{86CAA13E-556D-4C53-A296-959E0E28194A}" type="sibTrans" cxnId="{68B3999D-FA90-43B7-B30D-17617DF45957}">
      <dgm:prSet/>
      <dgm:spPr/>
      <dgm:t>
        <a:bodyPr/>
        <a:lstStyle/>
        <a:p>
          <a:endParaRPr lang="en-US" sz="1000"/>
        </a:p>
      </dgm:t>
    </dgm:pt>
    <dgm:pt modelId="{477CC252-677E-4676-9246-B031039987CD}">
      <dgm:prSet phldrT="[Text]" custT="1"/>
      <dgm:spPr>
        <a:xfrm>
          <a:off x="715159" y="943771"/>
          <a:ext cx="1460003" cy="730001"/>
        </a:xfrm>
        <a:solidFill>
          <a:srgbClr val="25303B">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 Guide to use the IPP Reporting Solution</a:t>
          </a:r>
        </a:p>
      </dgm:t>
      <dgm:extLst>
        <a:ext uri="{E40237B7-FDA0-4F09-8148-C483321AD2D9}">
          <dgm14:cNvPr xmlns:dgm14="http://schemas.microsoft.com/office/drawing/2010/diagram" id="0" name="">
            <a:hlinkClick xmlns:r="http://schemas.openxmlformats.org/officeDocument/2006/relationships" r:id="rId1"/>
          </dgm14:cNvPr>
        </a:ext>
      </dgm:extLst>
    </dgm:pt>
    <dgm:pt modelId="{76FDD29B-6AB3-40CA-8211-E1804F6CAAAB}" type="parTrans" cxnId="{14279BC4-EFB6-4907-B0DE-1A104E1D6527}">
      <dgm:prSet/>
      <dgm:spPr/>
      <dgm:t>
        <a:bodyPr/>
        <a:lstStyle/>
        <a:p>
          <a:endParaRPr lang="en-US" sz="1000"/>
        </a:p>
      </dgm:t>
    </dgm:pt>
    <dgm:pt modelId="{5E18F799-8774-4CD6-A856-6114AC627AFA}" type="sibTrans" cxnId="{14279BC4-EFB6-4907-B0DE-1A104E1D6527}">
      <dgm:prSet/>
      <dgm:spPr/>
      <dgm:t>
        <a:bodyPr/>
        <a:lstStyle/>
        <a:p>
          <a:endParaRPr lang="en-US" sz="1000"/>
        </a:p>
      </dgm:t>
    </dgm:pt>
    <dgm:pt modelId="{59D4B4E1-2B52-494D-8FE5-11814291173E}" type="pres">
      <dgm:prSet presAssocID="{0689805A-938C-4326-976C-888ACD4D5DDD}" presName="Name0" presStyleCnt="0">
        <dgm:presLayoutVars>
          <dgm:dir/>
          <dgm:resizeHandles val="exact"/>
        </dgm:presLayoutVars>
      </dgm:prSet>
      <dgm:spPr/>
    </dgm:pt>
    <dgm:pt modelId="{E30F4276-C982-4C4F-B20A-11F6D4D45A7B}" type="pres">
      <dgm:prSet presAssocID="{0689805A-938C-4326-976C-888ACD4D5DDD}" presName="cycle" presStyleCnt="0"/>
      <dgm:spPr/>
    </dgm:pt>
    <dgm:pt modelId="{397BEDA2-3085-433E-B7F7-3E6E67FFC9E4}" type="pres">
      <dgm:prSet presAssocID="{D98D5215-AD39-471A-BAA7-127F51D23B73}" presName="nodeFirstNode" presStyleLbl="node1" presStyleIdx="0" presStyleCnt="4" custScaleX="113027" custScaleY="95202">
        <dgm:presLayoutVars>
          <dgm:bulletEnabled val="1"/>
        </dgm:presLayoutVars>
      </dgm:prSet>
      <dgm:spPr>
        <a:prstGeom prst="roundRect">
          <a:avLst/>
        </a:prstGeom>
      </dgm:spPr>
    </dgm:pt>
    <dgm:pt modelId="{8A718670-6B99-47B7-8B0D-8AD5ADB4078B}" type="pres">
      <dgm:prSet presAssocID="{1D6B628E-8BB5-41CD-84FE-736D20D4A2E6}" presName="sibTransFirstNode" presStyleLbl="bgShp" presStyleIdx="0" presStyleCnt="1"/>
      <dgm:spPr/>
    </dgm:pt>
    <dgm:pt modelId="{87F5EE49-1FCB-4A1E-9068-35E09B06017F}" type="pres">
      <dgm:prSet presAssocID="{477CC252-677E-4676-9246-B031039987CD}" presName="nodeFollowingNodes" presStyleLbl="node1" presStyleIdx="1" presStyleCnt="4" custScaleX="106395" custScaleY="98035" custRadScaleRad="106032" custRadScaleInc="-244341">
        <dgm:presLayoutVars>
          <dgm:bulletEnabled val="1"/>
        </dgm:presLayoutVars>
      </dgm:prSet>
      <dgm:spPr>
        <a:prstGeom prst="roundRect">
          <a:avLst/>
        </a:prstGeom>
      </dgm:spPr>
    </dgm:pt>
    <dgm:pt modelId="{48CA1E23-70A2-46BA-8B32-6002D93C323C}" type="pres">
      <dgm:prSet presAssocID="{10CB5D49-A460-47B0-A66F-268CB07A9DCD}" presName="nodeFollowingNodes" presStyleLbl="node1" presStyleIdx="2" presStyleCnt="4" custScaleX="108471" custScaleY="102819" custRadScaleRad="90572" custRadScaleInc="-129641">
        <dgm:presLayoutVars>
          <dgm:bulletEnabled val="1"/>
        </dgm:presLayoutVars>
      </dgm:prSet>
      <dgm:spPr/>
    </dgm:pt>
    <dgm:pt modelId="{8EEC7D07-4029-4A1C-BA29-A3D114DEFA6A}" type="pres">
      <dgm:prSet presAssocID="{120B663E-CAF4-4C05-A360-FB0A5ECAD80C}" presName="nodeFollowingNodes" presStyleLbl="node1" presStyleIdx="3" presStyleCnt="4" custScaleX="100887" custScaleY="102584" custRadScaleRad="84137" custRadScaleInc="-124142">
        <dgm:presLayoutVars>
          <dgm:bulletEnabled val="1"/>
        </dgm:presLayoutVars>
      </dgm:prSet>
      <dgm:spPr/>
    </dgm:pt>
  </dgm:ptLst>
  <dgm:cxnLst>
    <dgm:cxn modelId="{2F1FE40C-F9C5-470D-B5E9-FC851C0DAC1E}" type="presOf" srcId="{120B663E-CAF4-4C05-A360-FB0A5ECAD80C}" destId="{8EEC7D07-4029-4A1C-BA29-A3D114DEFA6A}" srcOrd="0" destOrd="0" presId="urn:microsoft.com/office/officeart/2005/8/layout/cycle3"/>
    <dgm:cxn modelId="{ACD30226-653B-4BF3-8FB1-89EF7EF886EE}" type="presOf" srcId="{0689805A-938C-4326-976C-888ACD4D5DDD}" destId="{59D4B4E1-2B52-494D-8FE5-11814291173E}" srcOrd="0" destOrd="0" presId="urn:microsoft.com/office/officeart/2005/8/layout/cycle3"/>
    <dgm:cxn modelId="{610E4769-800D-4348-AE53-CF44661735EE}" srcId="{0689805A-938C-4326-976C-888ACD4D5DDD}" destId="{10CB5D49-A460-47B0-A66F-268CB07A9DCD}" srcOrd="2" destOrd="0" parTransId="{27F94A79-C59A-47F8-86D4-AFF8A2269D8A}" sibTransId="{2914F1B8-B784-4C94-B9AA-36EFFE6DFA89}"/>
    <dgm:cxn modelId="{6414B575-C505-4C79-8237-2CA2FF0D39DF}" type="presOf" srcId="{D98D5215-AD39-471A-BAA7-127F51D23B73}" destId="{397BEDA2-3085-433E-B7F7-3E6E67FFC9E4}" srcOrd="0" destOrd="0" presId="urn:microsoft.com/office/officeart/2005/8/layout/cycle3"/>
    <dgm:cxn modelId="{3E89048B-6DB7-4304-B5FA-C41EB7E97D27}" type="presOf" srcId="{1D6B628E-8BB5-41CD-84FE-736D20D4A2E6}" destId="{8A718670-6B99-47B7-8B0D-8AD5ADB4078B}" srcOrd="0" destOrd="0" presId="urn:microsoft.com/office/officeart/2005/8/layout/cycle3"/>
    <dgm:cxn modelId="{ECE4518C-EE8A-4F8C-9D9D-9402C7A3284E}" type="presOf" srcId="{10CB5D49-A460-47B0-A66F-268CB07A9DCD}" destId="{48CA1E23-70A2-46BA-8B32-6002D93C323C}" srcOrd="0" destOrd="0" presId="urn:microsoft.com/office/officeart/2005/8/layout/cycle3"/>
    <dgm:cxn modelId="{68B3999D-FA90-43B7-B30D-17617DF45957}" srcId="{0689805A-938C-4326-976C-888ACD4D5DDD}" destId="{120B663E-CAF4-4C05-A360-FB0A5ECAD80C}" srcOrd="3" destOrd="0" parTransId="{50BFA100-75FB-4BC2-95A9-B91056121207}" sibTransId="{86CAA13E-556D-4C53-A296-959E0E28194A}"/>
    <dgm:cxn modelId="{935E1EBC-5040-4096-A33B-A874E97198ED}" srcId="{0689805A-938C-4326-976C-888ACD4D5DDD}" destId="{D98D5215-AD39-471A-BAA7-127F51D23B73}" srcOrd="0" destOrd="0" parTransId="{4A4B4A48-61FB-4467-91FF-C888CC7BEFA0}" sibTransId="{1D6B628E-8BB5-41CD-84FE-736D20D4A2E6}"/>
    <dgm:cxn modelId="{14279BC4-EFB6-4907-B0DE-1A104E1D6527}" srcId="{0689805A-938C-4326-976C-888ACD4D5DDD}" destId="{477CC252-677E-4676-9246-B031039987CD}" srcOrd="1" destOrd="0" parTransId="{76FDD29B-6AB3-40CA-8211-E1804F6CAAAB}" sibTransId="{5E18F799-8774-4CD6-A856-6114AC627AFA}"/>
    <dgm:cxn modelId="{67E1DAFC-84D3-4995-9045-8D1B28CA2F02}" type="presOf" srcId="{477CC252-677E-4676-9246-B031039987CD}" destId="{87F5EE49-1FCB-4A1E-9068-35E09B06017F}" srcOrd="0" destOrd="0" presId="urn:microsoft.com/office/officeart/2005/8/layout/cycle3"/>
    <dgm:cxn modelId="{84C4EF3B-9D5B-4B23-8E86-4E21E3738723}" type="presParOf" srcId="{59D4B4E1-2B52-494D-8FE5-11814291173E}" destId="{E30F4276-C982-4C4F-B20A-11F6D4D45A7B}" srcOrd="0" destOrd="0" presId="urn:microsoft.com/office/officeart/2005/8/layout/cycle3"/>
    <dgm:cxn modelId="{DC32685C-1D1B-4D6F-9670-EB4AD2F300B0}" type="presParOf" srcId="{E30F4276-C982-4C4F-B20A-11F6D4D45A7B}" destId="{397BEDA2-3085-433E-B7F7-3E6E67FFC9E4}" srcOrd="0" destOrd="0" presId="urn:microsoft.com/office/officeart/2005/8/layout/cycle3"/>
    <dgm:cxn modelId="{E6EF6566-9C41-443A-92C9-F25FB7C0A3A6}" type="presParOf" srcId="{E30F4276-C982-4C4F-B20A-11F6D4D45A7B}" destId="{8A718670-6B99-47B7-8B0D-8AD5ADB4078B}" srcOrd="1" destOrd="0" presId="urn:microsoft.com/office/officeart/2005/8/layout/cycle3"/>
    <dgm:cxn modelId="{F4A45F3D-D619-4296-A495-1C9AF1587824}" type="presParOf" srcId="{E30F4276-C982-4C4F-B20A-11F6D4D45A7B}" destId="{87F5EE49-1FCB-4A1E-9068-35E09B06017F}" srcOrd="2" destOrd="0" presId="urn:microsoft.com/office/officeart/2005/8/layout/cycle3"/>
    <dgm:cxn modelId="{6B3ED46F-245B-4A63-8639-AC1B4AA88AE1}" type="presParOf" srcId="{E30F4276-C982-4C4F-B20A-11F6D4D45A7B}" destId="{48CA1E23-70A2-46BA-8B32-6002D93C323C}" srcOrd="3" destOrd="0" presId="urn:microsoft.com/office/officeart/2005/8/layout/cycle3"/>
    <dgm:cxn modelId="{249864D7-6118-4867-9FBF-AF3DDDDEB79B}" type="presParOf" srcId="{E30F4276-C982-4C4F-B20A-11F6D4D45A7B}" destId="{8EEC7D07-4029-4A1C-BA29-A3D114DEFA6A}" srcOrd="4"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18670-6B99-47B7-8B0D-8AD5ADB4078B}">
      <dsp:nvSpPr>
        <dsp:cNvPr id="0" name=""/>
        <dsp:cNvSpPr/>
      </dsp:nvSpPr>
      <dsp:spPr>
        <a:xfrm>
          <a:off x="1168229" y="-213640"/>
          <a:ext cx="3096231" cy="3096231"/>
        </a:xfrm>
        <a:prstGeom prst="circularArrow">
          <a:avLst>
            <a:gd name="adj1" fmla="val 4668"/>
            <a:gd name="adj2" fmla="val 272909"/>
            <a:gd name="adj3" fmla="val 12543383"/>
            <a:gd name="adj4" fmla="val 18231305"/>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97BEDA2-3085-433E-B7F7-3E6E67FFC9E4}">
      <dsp:nvSpPr>
        <dsp:cNvPr id="0" name=""/>
        <dsp:cNvSpPr/>
      </dsp:nvSpPr>
      <dsp:spPr>
        <a:xfrm>
          <a:off x="1614194" y="5710"/>
          <a:ext cx="2204302" cy="928335"/>
        </a:xfrm>
        <a:prstGeom prst="roundRect">
          <a:avLst/>
        </a:prstGeom>
        <a:solidFill>
          <a:schemeClr val="accent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solidFill>
              <a:latin typeface="Calibri"/>
              <a:ea typeface="+mn-ea"/>
              <a:cs typeface="+mn-cs"/>
            </a:rPr>
            <a:t>Guide for Procuring officials and contract managers</a:t>
          </a:r>
        </a:p>
      </dsp:txBody>
      <dsp:txXfrm>
        <a:off x="1659512" y="51028"/>
        <a:ext cx="2113666" cy="837699"/>
      </dsp:txXfrm>
    </dsp:sp>
    <dsp:sp modelId="{87F5EE49-1FCB-4A1E-9068-35E09B06017F}">
      <dsp:nvSpPr>
        <dsp:cNvPr id="0" name=""/>
        <dsp:cNvSpPr/>
      </dsp:nvSpPr>
      <dsp:spPr>
        <a:xfrm>
          <a:off x="503030" y="1019892"/>
          <a:ext cx="2074961" cy="955960"/>
        </a:xfrm>
        <a:prstGeom prst="roundRect">
          <a:avLst/>
        </a:prstGeom>
        <a:solidFill>
          <a:srgbClr val="25303B">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 Guide to use the IPP Reporting Solution</a:t>
          </a:r>
        </a:p>
      </dsp:txBody>
      <dsp:txXfrm>
        <a:off x="549696" y="1066558"/>
        <a:ext cx="1981629" cy="862628"/>
      </dsp:txXfrm>
    </dsp:sp>
    <dsp:sp modelId="{48CA1E23-70A2-46BA-8B32-6002D93C323C}">
      <dsp:nvSpPr>
        <dsp:cNvPr id="0" name=""/>
        <dsp:cNvSpPr/>
      </dsp:nvSpPr>
      <dsp:spPr>
        <a:xfrm>
          <a:off x="2663845" y="1021634"/>
          <a:ext cx="2115448" cy="1002610"/>
        </a:xfrm>
        <a:prstGeom prst="roundRect">
          <a:avLst/>
        </a:prstGeom>
        <a:solidFill>
          <a:srgbClr val="25303B">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Guide for Potential Suppliers</a:t>
          </a:r>
        </a:p>
      </dsp:txBody>
      <dsp:txXfrm>
        <a:off x="2712788" y="1070577"/>
        <a:ext cx="2017562" cy="904724"/>
      </dsp:txXfrm>
    </dsp:sp>
    <dsp:sp modelId="{8EEC7D07-4029-4A1C-BA29-A3D114DEFA6A}">
      <dsp:nvSpPr>
        <dsp:cNvPr id="0" name=""/>
        <dsp:cNvSpPr/>
      </dsp:nvSpPr>
      <dsp:spPr>
        <a:xfrm>
          <a:off x="1722488" y="2016812"/>
          <a:ext cx="1967542" cy="1000319"/>
        </a:xfrm>
        <a:prstGeom prst="roundRect">
          <a:avLst/>
        </a:prstGeom>
        <a:solidFill>
          <a:srgbClr val="25303B">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Guide to the Model Clauses</a:t>
          </a:r>
        </a:p>
      </dsp:txBody>
      <dsp:txXfrm>
        <a:off x="1771320" y="2065644"/>
        <a:ext cx="1869878" cy="902655"/>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CB1877BB14627B8D594D18508B5F6"/>
        <w:category>
          <w:name w:val="General"/>
          <w:gallery w:val="placeholder"/>
        </w:category>
        <w:types>
          <w:type w:val="bbPlcHdr"/>
        </w:types>
        <w:behaviors>
          <w:behavior w:val="content"/>
        </w:behaviors>
        <w:guid w:val="{3A37897A-C6BC-430D-A810-DA6B464643CE}"/>
      </w:docPartPr>
      <w:docPartBody>
        <w:p w:rsidR="0068385F" w:rsidRDefault="00354FEE">
          <w:pPr>
            <w:pStyle w:val="64ECB1877BB14627B8D594D18508B5F6"/>
          </w:pPr>
          <w:r w:rsidRPr="00825B23">
            <w:rPr>
              <w:bCs/>
              <w:sz w:val="16"/>
              <w:szCs w:val="16"/>
            </w:rPr>
            <w:t>[Document Heading]</w:t>
          </w:r>
        </w:p>
      </w:docPartBody>
    </w:docPart>
    <w:docPart>
      <w:docPartPr>
        <w:name w:val="72096C4C56D84A97AAC18B09E80B2A42"/>
        <w:category>
          <w:name w:val="General"/>
          <w:gallery w:val="placeholder"/>
        </w:category>
        <w:types>
          <w:type w:val="bbPlcHdr"/>
        </w:types>
        <w:behaviors>
          <w:behavior w:val="content"/>
        </w:behaviors>
        <w:guid w:val="{0921157C-DFE1-46FC-A5B1-5F1F6C873426}"/>
      </w:docPartPr>
      <w:docPartBody>
        <w:p w:rsidR="0068385F" w:rsidRDefault="00354FEE">
          <w:pPr>
            <w:pStyle w:val="72096C4C56D84A97AAC18B09E80B2A42"/>
          </w:pPr>
          <w:r w:rsidRPr="005A0DE7">
            <w:rPr>
              <w:bCs/>
              <w:color w:val="156082" w:themeColor="accent1"/>
              <w:sz w:val="16"/>
              <w:szCs w:val="16"/>
            </w:rPr>
            <w:t>[Document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EE"/>
    <w:rsid w:val="000036AA"/>
    <w:rsid w:val="00003C1D"/>
    <w:rsid w:val="00036EAE"/>
    <w:rsid w:val="00041666"/>
    <w:rsid w:val="0007021B"/>
    <w:rsid w:val="000716A9"/>
    <w:rsid w:val="000A4E06"/>
    <w:rsid w:val="00125719"/>
    <w:rsid w:val="00126342"/>
    <w:rsid w:val="00132F52"/>
    <w:rsid w:val="00134425"/>
    <w:rsid w:val="00172CB4"/>
    <w:rsid w:val="001934C9"/>
    <w:rsid w:val="001B17CA"/>
    <w:rsid w:val="001D6FE2"/>
    <w:rsid w:val="00241D30"/>
    <w:rsid w:val="00273401"/>
    <w:rsid w:val="0027514D"/>
    <w:rsid w:val="00277226"/>
    <w:rsid w:val="002E5A14"/>
    <w:rsid w:val="00354FEE"/>
    <w:rsid w:val="00396F0F"/>
    <w:rsid w:val="00425867"/>
    <w:rsid w:val="004C348C"/>
    <w:rsid w:val="004E21CC"/>
    <w:rsid w:val="00512237"/>
    <w:rsid w:val="00515639"/>
    <w:rsid w:val="0052066A"/>
    <w:rsid w:val="0054593C"/>
    <w:rsid w:val="005943A4"/>
    <w:rsid w:val="00594F36"/>
    <w:rsid w:val="005A0AF4"/>
    <w:rsid w:val="005E4AA6"/>
    <w:rsid w:val="00603738"/>
    <w:rsid w:val="00677B7D"/>
    <w:rsid w:val="0068385F"/>
    <w:rsid w:val="00683B23"/>
    <w:rsid w:val="006C2A2E"/>
    <w:rsid w:val="006D6A1C"/>
    <w:rsid w:val="0071103E"/>
    <w:rsid w:val="007223D8"/>
    <w:rsid w:val="00780F68"/>
    <w:rsid w:val="007E3545"/>
    <w:rsid w:val="00803CAD"/>
    <w:rsid w:val="008042E8"/>
    <w:rsid w:val="00812A0F"/>
    <w:rsid w:val="0086098E"/>
    <w:rsid w:val="00867323"/>
    <w:rsid w:val="00893894"/>
    <w:rsid w:val="008A4A0E"/>
    <w:rsid w:val="009629DC"/>
    <w:rsid w:val="00A07465"/>
    <w:rsid w:val="00A3576B"/>
    <w:rsid w:val="00A3605B"/>
    <w:rsid w:val="00A56DE8"/>
    <w:rsid w:val="00A74CA0"/>
    <w:rsid w:val="00AE29BC"/>
    <w:rsid w:val="00AF3AC3"/>
    <w:rsid w:val="00B638FC"/>
    <w:rsid w:val="00B845C7"/>
    <w:rsid w:val="00BA1F6C"/>
    <w:rsid w:val="00BA402F"/>
    <w:rsid w:val="00BA6A24"/>
    <w:rsid w:val="00BA7474"/>
    <w:rsid w:val="00C33245"/>
    <w:rsid w:val="00C37611"/>
    <w:rsid w:val="00C44B78"/>
    <w:rsid w:val="00CB707A"/>
    <w:rsid w:val="00CD6870"/>
    <w:rsid w:val="00CE72CF"/>
    <w:rsid w:val="00CF146F"/>
    <w:rsid w:val="00CF220A"/>
    <w:rsid w:val="00D54ADB"/>
    <w:rsid w:val="00DF77BE"/>
    <w:rsid w:val="00E30243"/>
    <w:rsid w:val="00EF5612"/>
    <w:rsid w:val="00F23EB0"/>
    <w:rsid w:val="00F400E9"/>
    <w:rsid w:val="00F91C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ECB1877BB14627B8D594D18508B5F6">
    <w:name w:val="64ECB1877BB14627B8D594D18508B5F6"/>
  </w:style>
  <w:style w:type="paragraph" w:customStyle="1" w:styleId="72096C4C56D84A97AAC18B09E80B2A42">
    <w:name w:val="72096C4C56D84A97AAC18B09E80B2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Name/>
  <Classification/>
  <DLM/>
  <SectionName>Guide 1 </SectionName>
  <DH> MMR guide for procuring officials and contract managers </DH>
  <Byline>A guide for Commonwealth buyers</Byline>
</root>
</file>

<file path=customXml/itemProps1.xml><?xml version="1.0" encoding="utf-8"?>
<ds:datastoreItem xmlns:ds="http://schemas.openxmlformats.org/officeDocument/2006/customXml" ds:itemID="{31314A6D-9A8D-4E6F-AC9B-2BAA5388922A}">
  <ds:schemaRefs>
    <ds:schemaRef ds:uri="http://schemas.openxmlformats.org/officeDocument/2006/bibliography"/>
  </ds:schemaRefs>
</ds:datastoreItem>
</file>

<file path=customXml/itemProps2.xml><?xml version="1.0" encoding="utf-8"?>
<ds:datastoreItem xmlns:ds="http://schemas.openxmlformats.org/officeDocument/2006/customXml" ds:itemID="{F533AE62-A212-4B26-92DA-A3B336E8AE06}">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37</Pages>
  <Words>12514</Words>
  <Characters>71269</Characters>
  <Application>Microsoft Office Word</Application>
  <DocSecurity>0</DocSecurity>
  <Lines>1454</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83638</CharactersWithSpaces>
  <SharedDoc>false</SharedDoc>
  <HLinks>
    <vt:vector size="576" baseType="variant">
      <vt:variant>
        <vt:i4>5373961</vt:i4>
      </vt:variant>
      <vt:variant>
        <vt:i4>432</vt:i4>
      </vt:variant>
      <vt:variant>
        <vt:i4>0</vt:i4>
      </vt:variant>
      <vt:variant>
        <vt:i4>5</vt:i4>
      </vt:variant>
      <vt:variant>
        <vt:lpwstr>https://www.niaa.gov.au/resource-centre/indigenous-affairs/ripp-map-data</vt:lpwstr>
      </vt:variant>
      <vt:variant>
        <vt:lpwstr/>
      </vt:variant>
      <vt:variant>
        <vt:i4>1245195</vt:i4>
      </vt:variant>
      <vt:variant>
        <vt:i4>426</vt:i4>
      </vt:variant>
      <vt:variant>
        <vt:i4>0</vt:i4>
      </vt:variant>
      <vt:variant>
        <vt:i4>5</vt:i4>
      </vt:variant>
      <vt:variant>
        <vt:lpwstr>https://www.dewr.gov.au/employment/finding-job</vt:lpwstr>
      </vt:variant>
      <vt:variant>
        <vt:lpwstr>toc-find-an-employment-service-provider</vt:lpwstr>
      </vt:variant>
      <vt:variant>
        <vt:i4>5373961</vt:i4>
      </vt:variant>
      <vt:variant>
        <vt:i4>423</vt:i4>
      </vt:variant>
      <vt:variant>
        <vt:i4>0</vt:i4>
      </vt:variant>
      <vt:variant>
        <vt:i4>5</vt:i4>
      </vt:variant>
      <vt:variant>
        <vt:lpwstr>https://www.niaa.gov.au/resource-centre/indigenous-affairs/ripp-map-data</vt:lpwstr>
      </vt:variant>
      <vt:variant>
        <vt:lpwstr/>
      </vt:variant>
      <vt:variant>
        <vt:i4>5111882</vt:i4>
      </vt:variant>
      <vt:variant>
        <vt:i4>420</vt:i4>
      </vt:variant>
      <vt:variant>
        <vt:i4>0</vt:i4>
      </vt:variant>
      <vt:variant>
        <vt:i4>5</vt:i4>
      </vt:variant>
      <vt:variant>
        <vt:lpwstr>https://abdwa.icn.org.au/</vt:lpwstr>
      </vt:variant>
      <vt:variant>
        <vt:lpwstr/>
      </vt:variant>
      <vt:variant>
        <vt:i4>3604540</vt:i4>
      </vt:variant>
      <vt:variant>
        <vt:i4>411</vt:i4>
      </vt:variant>
      <vt:variant>
        <vt:i4>0</vt:i4>
      </vt:variant>
      <vt:variant>
        <vt:i4>5</vt:i4>
      </vt:variant>
      <vt:variant>
        <vt:lpwstr>https://abicsa.org.au/</vt:lpwstr>
      </vt:variant>
      <vt:variant>
        <vt:lpwstr/>
      </vt:variant>
      <vt:variant>
        <vt:i4>6422564</vt:i4>
      </vt:variant>
      <vt:variant>
        <vt:i4>408</vt:i4>
      </vt:variant>
      <vt:variant>
        <vt:i4>0</vt:i4>
      </vt:variant>
      <vt:variant>
        <vt:i4>5</vt:i4>
      </vt:variant>
      <vt:variant>
        <vt:lpwstr>https://kinaway.com.au/</vt:lpwstr>
      </vt:variant>
      <vt:variant>
        <vt:lpwstr/>
      </vt:variant>
      <vt:variant>
        <vt:i4>5242889</vt:i4>
      </vt:variant>
      <vt:variant>
        <vt:i4>405</vt:i4>
      </vt:variant>
      <vt:variant>
        <vt:i4>0</vt:i4>
      </vt:variant>
      <vt:variant>
        <vt:i4>5</vt:i4>
      </vt:variant>
      <vt:variant>
        <vt:lpwstr>http://seqicc.com.au/</vt:lpwstr>
      </vt:variant>
      <vt:variant>
        <vt:lpwstr/>
      </vt:variant>
      <vt:variant>
        <vt:i4>2621472</vt:i4>
      </vt:variant>
      <vt:variant>
        <vt:i4>402</vt:i4>
      </vt:variant>
      <vt:variant>
        <vt:i4>0</vt:i4>
      </vt:variant>
      <vt:variant>
        <vt:i4>5</vt:i4>
      </vt:variant>
      <vt:variant>
        <vt:lpwstr>https://nswicc.com.au/</vt:lpwstr>
      </vt:variant>
      <vt:variant>
        <vt:lpwstr/>
      </vt:variant>
      <vt:variant>
        <vt:i4>7143459</vt:i4>
      </vt:variant>
      <vt:variant>
        <vt:i4>399</vt:i4>
      </vt:variant>
      <vt:variant>
        <vt:i4>0</vt:i4>
      </vt:variant>
      <vt:variant>
        <vt:i4>5</vt:i4>
      </vt:variant>
      <vt:variant>
        <vt:lpwstr>https://www.reconciliation.org.au/</vt:lpwstr>
      </vt:variant>
      <vt:variant>
        <vt:lpwstr/>
      </vt:variant>
      <vt:variant>
        <vt:i4>5767234</vt:i4>
      </vt:variant>
      <vt:variant>
        <vt:i4>396</vt:i4>
      </vt:variant>
      <vt:variant>
        <vt:i4>0</vt:i4>
      </vt:variant>
      <vt:variant>
        <vt:i4>5</vt:i4>
      </vt:variant>
      <vt:variant>
        <vt:lpwstr>https://www.nibca.com.au/</vt:lpwstr>
      </vt:variant>
      <vt:variant>
        <vt:lpwstr/>
      </vt:variant>
      <vt:variant>
        <vt:i4>2097193</vt:i4>
      </vt:variant>
      <vt:variant>
        <vt:i4>393</vt:i4>
      </vt:variant>
      <vt:variant>
        <vt:i4>0</vt:i4>
      </vt:variant>
      <vt:variant>
        <vt:i4>5</vt:i4>
      </vt:variant>
      <vt:variant>
        <vt:lpwstr>https://www.creativespirits.info/resources/newspapers-magazines</vt:lpwstr>
      </vt:variant>
      <vt:variant>
        <vt:lpwstr/>
      </vt:variant>
      <vt:variant>
        <vt:i4>6160452</vt:i4>
      </vt:variant>
      <vt:variant>
        <vt:i4>387</vt:i4>
      </vt:variant>
      <vt:variant>
        <vt:i4>0</vt:i4>
      </vt:variant>
      <vt:variant>
        <vt:i4>5</vt:i4>
      </vt:variant>
      <vt:variant>
        <vt:lpwstr>https://www.dewr.gov.au/employment/employment-services-providers</vt:lpwstr>
      </vt:variant>
      <vt:variant>
        <vt:lpwstr/>
      </vt:variant>
      <vt:variant>
        <vt:i4>5046365</vt:i4>
      </vt:variant>
      <vt:variant>
        <vt:i4>384</vt:i4>
      </vt:variant>
      <vt:variant>
        <vt:i4>0</vt:i4>
      </vt:variant>
      <vt:variant>
        <vt:i4>5</vt:i4>
      </vt:variant>
      <vt:variant>
        <vt:lpwstr>https://supplynation.org.au/</vt:lpwstr>
      </vt:variant>
      <vt:variant>
        <vt:lpwstr/>
      </vt:variant>
      <vt:variant>
        <vt:i4>5374027</vt:i4>
      </vt:variant>
      <vt:variant>
        <vt:i4>381</vt:i4>
      </vt:variant>
      <vt:variant>
        <vt:i4>0</vt:i4>
      </vt:variant>
      <vt:variant>
        <vt:i4>5</vt:i4>
      </vt:variant>
      <vt:variant>
        <vt:lpwstr>https://www.creativespirits.info/aboriginalculture/selfdetermination/aboriginal-land-councils</vt:lpwstr>
      </vt:variant>
      <vt:variant>
        <vt:lpwstr/>
      </vt:variant>
      <vt:variant>
        <vt:i4>1572928</vt:i4>
      </vt:variant>
      <vt:variant>
        <vt:i4>378</vt:i4>
      </vt:variant>
      <vt:variant>
        <vt:i4>0</vt:i4>
      </vt:variant>
      <vt:variant>
        <vt:i4>5</vt:i4>
      </vt:variant>
      <vt:variant>
        <vt:lpwstr>https://www.ilsc.gov.au/</vt:lpwstr>
      </vt:variant>
      <vt:variant>
        <vt:lpwstr/>
      </vt:variant>
      <vt:variant>
        <vt:i4>4980811</vt:i4>
      </vt:variant>
      <vt:variant>
        <vt:i4>375</vt:i4>
      </vt:variant>
      <vt:variant>
        <vt:i4>0</vt:i4>
      </vt:variant>
      <vt:variant>
        <vt:i4>5</vt:i4>
      </vt:variant>
      <vt:variant>
        <vt:lpwstr>https://register.oric.gov.au/PrintCorporationSearch.aspx?state=SA</vt:lpwstr>
      </vt:variant>
      <vt:variant>
        <vt:lpwstr/>
      </vt:variant>
      <vt:variant>
        <vt:i4>393308</vt:i4>
      </vt:variant>
      <vt:variant>
        <vt:i4>372</vt:i4>
      </vt:variant>
      <vt:variant>
        <vt:i4>0</vt:i4>
      </vt:variant>
      <vt:variant>
        <vt:i4>5</vt:i4>
      </vt:variant>
      <vt:variant>
        <vt:lpwstr>https://www.oric.gov.au/</vt:lpwstr>
      </vt:variant>
      <vt:variant>
        <vt:lpwstr/>
      </vt:variant>
      <vt:variant>
        <vt:i4>3866730</vt:i4>
      </vt:variant>
      <vt:variant>
        <vt:i4>369</vt:i4>
      </vt:variant>
      <vt:variant>
        <vt:i4>0</vt:i4>
      </vt:variant>
      <vt:variant>
        <vt:i4>5</vt:i4>
      </vt:variant>
      <vt:variant>
        <vt:lpwstr>https://www.niaa.gov.au/news-and-media/raes-new-employment-service-now-available-remote-communities</vt:lpwstr>
      </vt:variant>
      <vt:variant>
        <vt:lpwstr/>
      </vt:variant>
      <vt:variant>
        <vt:i4>4653060</vt:i4>
      </vt:variant>
      <vt:variant>
        <vt:i4>366</vt:i4>
      </vt:variant>
      <vt:variant>
        <vt:i4>0</vt:i4>
      </vt:variant>
      <vt:variant>
        <vt:i4>5</vt:i4>
      </vt:variant>
      <vt:variant>
        <vt:lpwstr>https://www.finance.gov.au/government/procurement/commonwealth-procurement-rules</vt:lpwstr>
      </vt:variant>
      <vt:variant>
        <vt:lpwstr/>
      </vt:variant>
      <vt:variant>
        <vt:i4>7798824</vt:i4>
      </vt:variant>
      <vt:variant>
        <vt:i4>363</vt:i4>
      </vt:variant>
      <vt:variant>
        <vt:i4>0</vt:i4>
      </vt:variant>
      <vt:variant>
        <vt:i4>5</vt:i4>
      </vt:variant>
      <vt:variant>
        <vt:lpwstr>https://www.finance.gov.au/government/procurement/buying-australian-government</vt:lpwstr>
      </vt:variant>
      <vt:variant>
        <vt:lpwstr/>
      </vt:variant>
      <vt:variant>
        <vt:i4>5373961</vt:i4>
      </vt:variant>
      <vt:variant>
        <vt:i4>360</vt:i4>
      </vt:variant>
      <vt:variant>
        <vt:i4>0</vt:i4>
      </vt:variant>
      <vt:variant>
        <vt:i4>5</vt:i4>
      </vt:variant>
      <vt:variant>
        <vt:lpwstr>https://www.niaa.gov.au/resource-centre/indigenous-affairs/ripp-map-data</vt:lpwstr>
      </vt:variant>
      <vt:variant>
        <vt:lpwstr/>
      </vt:variant>
      <vt:variant>
        <vt:i4>786508</vt:i4>
      </vt:variant>
      <vt:variant>
        <vt:i4>357</vt:i4>
      </vt:variant>
      <vt:variant>
        <vt:i4>0</vt:i4>
      </vt:variant>
      <vt:variant>
        <vt:i4>5</vt:i4>
      </vt:variant>
      <vt:variant>
        <vt:lpwstr>https://www.niaa.gov.au/ippcp</vt:lpwstr>
      </vt:variant>
      <vt:variant>
        <vt:lpwstr/>
      </vt:variant>
      <vt:variant>
        <vt:i4>1900620</vt:i4>
      </vt:variant>
      <vt:variant>
        <vt:i4>354</vt:i4>
      </vt:variant>
      <vt:variant>
        <vt:i4>0</vt:i4>
      </vt:variant>
      <vt:variant>
        <vt:i4>5</vt:i4>
      </vt:variant>
      <vt:variant>
        <vt:lpwstr>https://www.niaa.gov.au/ipprs</vt:lpwstr>
      </vt:variant>
      <vt:variant>
        <vt:lpwstr/>
      </vt:variant>
      <vt:variant>
        <vt:i4>3670132</vt:i4>
      </vt:variant>
      <vt:variant>
        <vt:i4>351</vt:i4>
      </vt:variant>
      <vt:variant>
        <vt:i4>0</vt:i4>
      </vt:variant>
      <vt:variant>
        <vt:i4>5</vt:i4>
      </vt:variant>
      <vt:variant>
        <vt:lpwstr>https://www.niaa.gov.au/resource-centre/indigenous-affairs/indigenous-procurement-policy-model-clauses</vt:lpwstr>
      </vt:variant>
      <vt:variant>
        <vt:lpwstr/>
      </vt:variant>
      <vt:variant>
        <vt:i4>7</vt:i4>
      </vt:variant>
      <vt:variant>
        <vt:i4>348</vt:i4>
      </vt:variant>
      <vt:variant>
        <vt:i4>0</vt:i4>
      </vt:variant>
      <vt:variant>
        <vt:i4>5</vt:i4>
      </vt:variant>
      <vt:variant>
        <vt:lpwstr>https://www.niaa.gov.au/resource-centre/indigenous-affairs/commonwealth-indigenous-procurement-policy</vt:lpwstr>
      </vt:variant>
      <vt:variant>
        <vt:lpwstr/>
      </vt:variant>
      <vt:variant>
        <vt:i4>4325396</vt:i4>
      </vt:variant>
      <vt:variant>
        <vt:i4>345</vt:i4>
      </vt:variant>
      <vt:variant>
        <vt:i4>0</vt:i4>
      </vt:variant>
      <vt:variant>
        <vt:i4>5</vt:i4>
      </vt:variant>
      <vt:variant>
        <vt:lpwstr>https://www.niaa.gov.au/contact-us/regional-network-addresses</vt:lpwstr>
      </vt:variant>
      <vt:variant>
        <vt:lpwstr/>
      </vt:variant>
      <vt:variant>
        <vt:i4>1835075</vt:i4>
      </vt:variant>
      <vt:variant>
        <vt:i4>342</vt:i4>
      </vt:variant>
      <vt:variant>
        <vt:i4>0</vt:i4>
      </vt:variant>
      <vt:variant>
        <vt:i4>5</vt:i4>
      </vt:variant>
      <vt:variant>
        <vt:lpwstr>https://www.abs.gov.au/websitedbs/D3310114.nsf/Home/2016 search by geography</vt:lpwstr>
      </vt:variant>
      <vt:variant>
        <vt:lpwstr/>
      </vt:variant>
      <vt:variant>
        <vt:i4>1900656</vt:i4>
      </vt:variant>
      <vt:variant>
        <vt:i4>339</vt:i4>
      </vt:variant>
      <vt:variant>
        <vt:i4>0</vt:i4>
      </vt:variant>
      <vt:variant>
        <vt:i4>5</vt:i4>
      </vt:variant>
      <vt:variant>
        <vt:lpwstr>mailto:ipprs@niaa.gov.au</vt:lpwstr>
      </vt:variant>
      <vt:variant>
        <vt:lpwstr/>
      </vt:variant>
      <vt:variant>
        <vt:i4>1572972</vt:i4>
      </vt:variant>
      <vt:variant>
        <vt:i4>336</vt:i4>
      </vt:variant>
      <vt:variant>
        <vt:i4>0</vt:i4>
      </vt:variant>
      <vt:variant>
        <vt:i4>5</vt:i4>
      </vt:variant>
      <vt:variant>
        <vt:lpwstr>mailto:indigenousprocurement@niaa.gov.au</vt:lpwstr>
      </vt:variant>
      <vt:variant>
        <vt:lpwstr/>
      </vt:variant>
      <vt:variant>
        <vt:i4>1900620</vt:i4>
      </vt:variant>
      <vt:variant>
        <vt:i4>333</vt:i4>
      </vt:variant>
      <vt:variant>
        <vt:i4>0</vt:i4>
      </vt:variant>
      <vt:variant>
        <vt:i4>5</vt:i4>
      </vt:variant>
      <vt:variant>
        <vt:lpwstr>https://www.niaa.gov.au/ipprs</vt:lpwstr>
      </vt:variant>
      <vt:variant>
        <vt:lpwstr/>
      </vt:variant>
      <vt:variant>
        <vt:i4>3670132</vt:i4>
      </vt:variant>
      <vt:variant>
        <vt:i4>330</vt:i4>
      </vt:variant>
      <vt:variant>
        <vt:i4>0</vt:i4>
      </vt:variant>
      <vt:variant>
        <vt:i4>5</vt:i4>
      </vt:variant>
      <vt:variant>
        <vt:lpwstr>https://www.niaa.gov.au/resource-centre/indigenous-affairs/indigenous-procurement-policy-model-clauses</vt:lpwstr>
      </vt:variant>
      <vt:variant>
        <vt:lpwstr/>
      </vt:variant>
      <vt:variant>
        <vt:i4>1572972</vt:i4>
      </vt:variant>
      <vt:variant>
        <vt:i4>327</vt:i4>
      </vt:variant>
      <vt:variant>
        <vt:i4>0</vt:i4>
      </vt:variant>
      <vt:variant>
        <vt:i4>5</vt:i4>
      </vt:variant>
      <vt:variant>
        <vt:lpwstr>mailto:indigenousprocurement@niaa.gov.au</vt:lpwstr>
      </vt:variant>
      <vt:variant>
        <vt:lpwstr/>
      </vt:variant>
      <vt:variant>
        <vt:i4>5832732</vt:i4>
      </vt:variant>
      <vt:variant>
        <vt:i4>324</vt:i4>
      </vt:variant>
      <vt:variant>
        <vt:i4>0</vt:i4>
      </vt:variant>
      <vt:variant>
        <vt:i4>5</vt:i4>
      </vt:variant>
      <vt:variant>
        <vt:lpwstr>https://business.gov.au/expertise-and-advice/indigenous-business-and-employment-hubs</vt:lpwstr>
      </vt:variant>
      <vt:variant>
        <vt:lpwstr/>
      </vt:variant>
      <vt:variant>
        <vt:i4>1835075</vt:i4>
      </vt:variant>
      <vt:variant>
        <vt:i4>321</vt:i4>
      </vt:variant>
      <vt:variant>
        <vt:i4>0</vt:i4>
      </vt:variant>
      <vt:variant>
        <vt:i4>5</vt:i4>
      </vt:variant>
      <vt:variant>
        <vt:lpwstr>https://www.abs.gov.au/websitedbs/D3310114.nsf/Home/2016 search by geography</vt:lpwstr>
      </vt:variant>
      <vt:variant>
        <vt:lpwstr/>
      </vt:variant>
      <vt:variant>
        <vt:i4>5374027</vt:i4>
      </vt:variant>
      <vt:variant>
        <vt:i4>318</vt:i4>
      </vt:variant>
      <vt:variant>
        <vt:i4>0</vt:i4>
      </vt:variant>
      <vt:variant>
        <vt:i4>5</vt:i4>
      </vt:variant>
      <vt:variant>
        <vt:lpwstr>https://www.creativespirits.info/aboriginalculture/selfdetermination/aboriginal-land-councils</vt:lpwstr>
      </vt:variant>
      <vt:variant>
        <vt:lpwstr/>
      </vt:variant>
      <vt:variant>
        <vt:i4>3866730</vt:i4>
      </vt:variant>
      <vt:variant>
        <vt:i4>315</vt:i4>
      </vt:variant>
      <vt:variant>
        <vt:i4>0</vt:i4>
      </vt:variant>
      <vt:variant>
        <vt:i4>5</vt:i4>
      </vt:variant>
      <vt:variant>
        <vt:lpwstr>https://www.niaa.gov.au/news-and-media/raes-new-employment-service-now-available-remote-communities</vt:lpwstr>
      </vt:variant>
      <vt:variant>
        <vt:lpwstr/>
      </vt:variant>
      <vt:variant>
        <vt:i4>4980811</vt:i4>
      </vt:variant>
      <vt:variant>
        <vt:i4>312</vt:i4>
      </vt:variant>
      <vt:variant>
        <vt:i4>0</vt:i4>
      </vt:variant>
      <vt:variant>
        <vt:i4>5</vt:i4>
      </vt:variant>
      <vt:variant>
        <vt:lpwstr>https://register.oric.gov.au/PrintCorporationSearch.aspx?state=SA</vt:lpwstr>
      </vt:variant>
      <vt:variant>
        <vt:lpwstr/>
      </vt:variant>
      <vt:variant>
        <vt:i4>655371</vt:i4>
      </vt:variant>
      <vt:variant>
        <vt:i4>309</vt:i4>
      </vt:variant>
      <vt:variant>
        <vt:i4>0</vt:i4>
      </vt:variant>
      <vt:variant>
        <vt:i4>5</vt:i4>
      </vt:variant>
      <vt:variant>
        <vt:lpwstr>https://jobsearch.gov.au/serviceproviders</vt:lpwstr>
      </vt:variant>
      <vt:variant>
        <vt:lpwstr/>
      </vt:variant>
      <vt:variant>
        <vt:i4>3670132</vt:i4>
      </vt:variant>
      <vt:variant>
        <vt:i4>306</vt:i4>
      </vt:variant>
      <vt:variant>
        <vt:i4>0</vt:i4>
      </vt:variant>
      <vt:variant>
        <vt:i4>5</vt:i4>
      </vt:variant>
      <vt:variant>
        <vt:lpwstr>https://www.niaa.gov.au/resource-centre/indigenous-affairs/indigenous-procurement-policy-model-clauses</vt:lpwstr>
      </vt:variant>
      <vt:variant>
        <vt:lpwstr/>
      </vt:variant>
      <vt:variant>
        <vt:i4>6422571</vt:i4>
      </vt:variant>
      <vt:variant>
        <vt:i4>303</vt:i4>
      </vt:variant>
      <vt:variant>
        <vt:i4>0</vt:i4>
      </vt:variant>
      <vt:variant>
        <vt:i4>5</vt:i4>
      </vt:variant>
      <vt:variant>
        <vt:lpwstr>http://www.niaa.gov.au/resource-centre/indigenous-affairs/ripp-map-data</vt:lpwstr>
      </vt:variant>
      <vt:variant>
        <vt:lpwstr/>
      </vt:variant>
      <vt:variant>
        <vt:i4>5177354</vt:i4>
      </vt:variant>
      <vt:variant>
        <vt:i4>300</vt:i4>
      </vt:variant>
      <vt:variant>
        <vt:i4>0</vt:i4>
      </vt:variant>
      <vt:variant>
        <vt:i4>5</vt:i4>
      </vt:variant>
      <vt:variant>
        <vt:lpwstr>https://www.finance.gov.au/government/procurement/clausebank</vt:lpwstr>
      </vt:variant>
      <vt:variant>
        <vt:lpwstr/>
      </vt:variant>
      <vt:variant>
        <vt:i4>3670132</vt:i4>
      </vt:variant>
      <vt:variant>
        <vt:i4>297</vt:i4>
      </vt:variant>
      <vt:variant>
        <vt:i4>0</vt:i4>
      </vt:variant>
      <vt:variant>
        <vt:i4>5</vt:i4>
      </vt:variant>
      <vt:variant>
        <vt:lpwstr>https://www.niaa.gov.au/resource-centre/indigenous-affairs/indigenous-procurement-policy-model-clauses</vt:lpwstr>
      </vt:variant>
      <vt:variant>
        <vt:lpwstr/>
      </vt:variant>
      <vt:variant>
        <vt:i4>6946862</vt:i4>
      </vt:variant>
      <vt:variant>
        <vt:i4>294</vt:i4>
      </vt:variant>
      <vt:variant>
        <vt:i4>0</vt:i4>
      </vt:variant>
      <vt:variant>
        <vt:i4>5</vt:i4>
      </vt:variant>
      <vt:variant>
        <vt:lpwstr>https://www.ungm.org/Public/UNSPSC</vt:lpwstr>
      </vt:variant>
      <vt:variant>
        <vt:lpwstr/>
      </vt:variant>
      <vt:variant>
        <vt:i4>6094862</vt:i4>
      </vt:variant>
      <vt:variant>
        <vt:i4>285</vt:i4>
      </vt:variant>
      <vt:variant>
        <vt:i4>0</vt:i4>
      </vt:variant>
      <vt:variant>
        <vt:i4>5</vt:i4>
      </vt:variant>
      <vt:variant>
        <vt:lpwstr>http://www.niaa.gov.au/resource-centre/indigenous-affairs/united-nations-standard-products-and-service-codes</vt:lpwstr>
      </vt:variant>
      <vt:variant>
        <vt:lpwstr/>
      </vt:variant>
      <vt:variant>
        <vt:i4>4128885</vt:i4>
      </vt:variant>
      <vt:variant>
        <vt:i4>282</vt:i4>
      </vt:variant>
      <vt:variant>
        <vt:i4>0</vt:i4>
      </vt:variant>
      <vt:variant>
        <vt:i4>5</vt:i4>
      </vt:variant>
      <vt:variant>
        <vt:lpwstr>https://www.finance.gov.au/government/procurement/buying-australian-government/policy-framework</vt:lpwstr>
      </vt:variant>
      <vt:variant>
        <vt:lpwstr/>
      </vt:variant>
      <vt:variant>
        <vt:i4>4128865</vt:i4>
      </vt:variant>
      <vt:variant>
        <vt:i4>279</vt:i4>
      </vt:variant>
      <vt:variant>
        <vt:i4>0</vt:i4>
      </vt:variant>
      <vt:variant>
        <vt:i4>5</vt:i4>
      </vt:variant>
      <vt:variant>
        <vt:lpwstr>https://www.directory.gov.au/portfolios</vt:lpwstr>
      </vt:variant>
      <vt:variant>
        <vt:lpwstr/>
      </vt:variant>
      <vt:variant>
        <vt:i4>5898325</vt:i4>
      </vt:variant>
      <vt:variant>
        <vt:i4>276</vt:i4>
      </vt:variant>
      <vt:variant>
        <vt:i4>0</vt:i4>
      </vt:variant>
      <vt:variant>
        <vt:i4>5</vt:i4>
      </vt:variant>
      <vt:variant>
        <vt:lpwstr>https://www.finance.gov.au/government/procurement/whole-australian-government-procurement</vt:lpwstr>
      </vt:variant>
      <vt:variant>
        <vt:lpwstr/>
      </vt:variant>
      <vt:variant>
        <vt:i4>1966134</vt:i4>
      </vt:variant>
      <vt:variant>
        <vt:i4>269</vt:i4>
      </vt:variant>
      <vt:variant>
        <vt:i4>0</vt:i4>
      </vt:variant>
      <vt:variant>
        <vt:i4>5</vt:i4>
      </vt:variant>
      <vt:variant>
        <vt:lpwstr/>
      </vt:variant>
      <vt:variant>
        <vt:lpwstr>_Toc223528565</vt:lpwstr>
      </vt:variant>
      <vt:variant>
        <vt:i4>1966134</vt:i4>
      </vt:variant>
      <vt:variant>
        <vt:i4>263</vt:i4>
      </vt:variant>
      <vt:variant>
        <vt:i4>0</vt:i4>
      </vt:variant>
      <vt:variant>
        <vt:i4>5</vt:i4>
      </vt:variant>
      <vt:variant>
        <vt:lpwstr/>
      </vt:variant>
      <vt:variant>
        <vt:lpwstr>_Toc223528564</vt:lpwstr>
      </vt:variant>
      <vt:variant>
        <vt:i4>1966134</vt:i4>
      </vt:variant>
      <vt:variant>
        <vt:i4>257</vt:i4>
      </vt:variant>
      <vt:variant>
        <vt:i4>0</vt:i4>
      </vt:variant>
      <vt:variant>
        <vt:i4>5</vt:i4>
      </vt:variant>
      <vt:variant>
        <vt:lpwstr/>
      </vt:variant>
      <vt:variant>
        <vt:lpwstr>_Toc223528563</vt:lpwstr>
      </vt:variant>
      <vt:variant>
        <vt:i4>1966134</vt:i4>
      </vt:variant>
      <vt:variant>
        <vt:i4>251</vt:i4>
      </vt:variant>
      <vt:variant>
        <vt:i4>0</vt:i4>
      </vt:variant>
      <vt:variant>
        <vt:i4>5</vt:i4>
      </vt:variant>
      <vt:variant>
        <vt:lpwstr/>
      </vt:variant>
      <vt:variant>
        <vt:lpwstr>_Toc223528562</vt:lpwstr>
      </vt:variant>
      <vt:variant>
        <vt:i4>1966134</vt:i4>
      </vt:variant>
      <vt:variant>
        <vt:i4>245</vt:i4>
      </vt:variant>
      <vt:variant>
        <vt:i4>0</vt:i4>
      </vt:variant>
      <vt:variant>
        <vt:i4>5</vt:i4>
      </vt:variant>
      <vt:variant>
        <vt:lpwstr/>
      </vt:variant>
      <vt:variant>
        <vt:lpwstr>_Toc223528561</vt:lpwstr>
      </vt:variant>
      <vt:variant>
        <vt:i4>1966134</vt:i4>
      </vt:variant>
      <vt:variant>
        <vt:i4>239</vt:i4>
      </vt:variant>
      <vt:variant>
        <vt:i4>0</vt:i4>
      </vt:variant>
      <vt:variant>
        <vt:i4>5</vt:i4>
      </vt:variant>
      <vt:variant>
        <vt:lpwstr/>
      </vt:variant>
      <vt:variant>
        <vt:lpwstr>_Toc223528560</vt:lpwstr>
      </vt:variant>
      <vt:variant>
        <vt:i4>1900598</vt:i4>
      </vt:variant>
      <vt:variant>
        <vt:i4>233</vt:i4>
      </vt:variant>
      <vt:variant>
        <vt:i4>0</vt:i4>
      </vt:variant>
      <vt:variant>
        <vt:i4>5</vt:i4>
      </vt:variant>
      <vt:variant>
        <vt:lpwstr/>
      </vt:variant>
      <vt:variant>
        <vt:lpwstr>_Toc223528559</vt:lpwstr>
      </vt:variant>
      <vt:variant>
        <vt:i4>1900598</vt:i4>
      </vt:variant>
      <vt:variant>
        <vt:i4>227</vt:i4>
      </vt:variant>
      <vt:variant>
        <vt:i4>0</vt:i4>
      </vt:variant>
      <vt:variant>
        <vt:i4>5</vt:i4>
      </vt:variant>
      <vt:variant>
        <vt:lpwstr/>
      </vt:variant>
      <vt:variant>
        <vt:lpwstr>_Toc223528558</vt:lpwstr>
      </vt:variant>
      <vt:variant>
        <vt:i4>1900598</vt:i4>
      </vt:variant>
      <vt:variant>
        <vt:i4>221</vt:i4>
      </vt:variant>
      <vt:variant>
        <vt:i4>0</vt:i4>
      </vt:variant>
      <vt:variant>
        <vt:i4>5</vt:i4>
      </vt:variant>
      <vt:variant>
        <vt:lpwstr/>
      </vt:variant>
      <vt:variant>
        <vt:lpwstr>_Toc223528557</vt:lpwstr>
      </vt:variant>
      <vt:variant>
        <vt:i4>1900598</vt:i4>
      </vt:variant>
      <vt:variant>
        <vt:i4>215</vt:i4>
      </vt:variant>
      <vt:variant>
        <vt:i4>0</vt:i4>
      </vt:variant>
      <vt:variant>
        <vt:i4>5</vt:i4>
      </vt:variant>
      <vt:variant>
        <vt:lpwstr/>
      </vt:variant>
      <vt:variant>
        <vt:lpwstr>_Toc223528556</vt:lpwstr>
      </vt:variant>
      <vt:variant>
        <vt:i4>1900598</vt:i4>
      </vt:variant>
      <vt:variant>
        <vt:i4>209</vt:i4>
      </vt:variant>
      <vt:variant>
        <vt:i4>0</vt:i4>
      </vt:variant>
      <vt:variant>
        <vt:i4>5</vt:i4>
      </vt:variant>
      <vt:variant>
        <vt:lpwstr/>
      </vt:variant>
      <vt:variant>
        <vt:lpwstr>_Toc223528555</vt:lpwstr>
      </vt:variant>
      <vt:variant>
        <vt:i4>1900598</vt:i4>
      </vt:variant>
      <vt:variant>
        <vt:i4>203</vt:i4>
      </vt:variant>
      <vt:variant>
        <vt:i4>0</vt:i4>
      </vt:variant>
      <vt:variant>
        <vt:i4>5</vt:i4>
      </vt:variant>
      <vt:variant>
        <vt:lpwstr/>
      </vt:variant>
      <vt:variant>
        <vt:lpwstr>_Toc223528554</vt:lpwstr>
      </vt:variant>
      <vt:variant>
        <vt:i4>1900598</vt:i4>
      </vt:variant>
      <vt:variant>
        <vt:i4>197</vt:i4>
      </vt:variant>
      <vt:variant>
        <vt:i4>0</vt:i4>
      </vt:variant>
      <vt:variant>
        <vt:i4>5</vt:i4>
      </vt:variant>
      <vt:variant>
        <vt:lpwstr/>
      </vt:variant>
      <vt:variant>
        <vt:lpwstr>_Toc223528553</vt:lpwstr>
      </vt:variant>
      <vt:variant>
        <vt:i4>1900598</vt:i4>
      </vt:variant>
      <vt:variant>
        <vt:i4>191</vt:i4>
      </vt:variant>
      <vt:variant>
        <vt:i4>0</vt:i4>
      </vt:variant>
      <vt:variant>
        <vt:i4>5</vt:i4>
      </vt:variant>
      <vt:variant>
        <vt:lpwstr/>
      </vt:variant>
      <vt:variant>
        <vt:lpwstr>_Toc223528552</vt:lpwstr>
      </vt:variant>
      <vt:variant>
        <vt:i4>1900598</vt:i4>
      </vt:variant>
      <vt:variant>
        <vt:i4>185</vt:i4>
      </vt:variant>
      <vt:variant>
        <vt:i4>0</vt:i4>
      </vt:variant>
      <vt:variant>
        <vt:i4>5</vt:i4>
      </vt:variant>
      <vt:variant>
        <vt:lpwstr/>
      </vt:variant>
      <vt:variant>
        <vt:lpwstr>_Toc223528551</vt:lpwstr>
      </vt:variant>
      <vt:variant>
        <vt:i4>1900598</vt:i4>
      </vt:variant>
      <vt:variant>
        <vt:i4>179</vt:i4>
      </vt:variant>
      <vt:variant>
        <vt:i4>0</vt:i4>
      </vt:variant>
      <vt:variant>
        <vt:i4>5</vt:i4>
      </vt:variant>
      <vt:variant>
        <vt:lpwstr/>
      </vt:variant>
      <vt:variant>
        <vt:lpwstr>_Toc223528550</vt:lpwstr>
      </vt:variant>
      <vt:variant>
        <vt:i4>1835062</vt:i4>
      </vt:variant>
      <vt:variant>
        <vt:i4>173</vt:i4>
      </vt:variant>
      <vt:variant>
        <vt:i4>0</vt:i4>
      </vt:variant>
      <vt:variant>
        <vt:i4>5</vt:i4>
      </vt:variant>
      <vt:variant>
        <vt:lpwstr/>
      </vt:variant>
      <vt:variant>
        <vt:lpwstr>_Toc223528549</vt:lpwstr>
      </vt:variant>
      <vt:variant>
        <vt:i4>1835062</vt:i4>
      </vt:variant>
      <vt:variant>
        <vt:i4>167</vt:i4>
      </vt:variant>
      <vt:variant>
        <vt:i4>0</vt:i4>
      </vt:variant>
      <vt:variant>
        <vt:i4>5</vt:i4>
      </vt:variant>
      <vt:variant>
        <vt:lpwstr/>
      </vt:variant>
      <vt:variant>
        <vt:lpwstr>_Toc223528548</vt:lpwstr>
      </vt:variant>
      <vt:variant>
        <vt:i4>1835062</vt:i4>
      </vt:variant>
      <vt:variant>
        <vt:i4>161</vt:i4>
      </vt:variant>
      <vt:variant>
        <vt:i4>0</vt:i4>
      </vt:variant>
      <vt:variant>
        <vt:i4>5</vt:i4>
      </vt:variant>
      <vt:variant>
        <vt:lpwstr/>
      </vt:variant>
      <vt:variant>
        <vt:lpwstr>_Toc223528547</vt:lpwstr>
      </vt:variant>
      <vt:variant>
        <vt:i4>1835062</vt:i4>
      </vt:variant>
      <vt:variant>
        <vt:i4>155</vt:i4>
      </vt:variant>
      <vt:variant>
        <vt:i4>0</vt:i4>
      </vt:variant>
      <vt:variant>
        <vt:i4>5</vt:i4>
      </vt:variant>
      <vt:variant>
        <vt:lpwstr/>
      </vt:variant>
      <vt:variant>
        <vt:lpwstr>_Toc223528546</vt:lpwstr>
      </vt:variant>
      <vt:variant>
        <vt:i4>1835062</vt:i4>
      </vt:variant>
      <vt:variant>
        <vt:i4>149</vt:i4>
      </vt:variant>
      <vt:variant>
        <vt:i4>0</vt:i4>
      </vt:variant>
      <vt:variant>
        <vt:i4>5</vt:i4>
      </vt:variant>
      <vt:variant>
        <vt:lpwstr/>
      </vt:variant>
      <vt:variant>
        <vt:lpwstr>_Toc223528545</vt:lpwstr>
      </vt:variant>
      <vt:variant>
        <vt:i4>1835062</vt:i4>
      </vt:variant>
      <vt:variant>
        <vt:i4>143</vt:i4>
      </vt:variant>
      <vt:variant>
        <vt:i4>0</vt:i4>
      </vt:variant>
      <vt:variant>
        <vt:i4>5</vt:i4>
      </vt:variant>
      <vt:variant>
        <vt:lpwstr/>
      </vt:variant>
      <vt:variant>
        <vt:lpwstr>_Toc223528544</vt:lpwstr>
      </vt:variant>
      <vt:variant>
        <vt:i4>1835062</vt:i4>
      </vt:variant>
      <vt:variant>
        <vt:i4>137</vt:i4>
      </vt:variant>
      <vt:variant>
        <vt:i4>0</vt:i4>
      </vt:variant>
      <vt:variant>
        <vt:i4>5</vt:i4>
      </vt:variant>
      <vt:variant>
        <vt:lpwstr/>
      </vt:variant>
      <vt:variant>
        <vt:lpwstr>_Toc223528543</vt:lpwstr>
      </vt:variant>
      <vt:variant>
        <vt:i4>1835062</vt:i4>
      </vt:variant>
      <vt:variant>
        <vt:i4>131</vt:i4>
      </vt:variant>
      <vt:variant>
        <vt:i4>0</vt:i4>
      </vt:variant>
      <vt:variant>
        <vt:i4>5</vt:i4>
      </vt:variant>
      <vt:variant>
        <vt:lpwstr/>
      </vt:variant>
      <vt:variant>
        <vt:lpwstr>_Toc223528542</vt:lpwstr>
      </vt:variant>
      <vt:variant>
        <vt:i4>1835062</vt:i4>
      </vt:variant>
      <vt:variant>
        <vt:i4>125</vt:i4>
      </vt:variant>
      <vt:variant>
        <vt:i4>0</vt:i4>
      </vt:variant>
      <vt:variant>
        <vt:i4>5</vt:i4>
      </vt:variant>
      <vt:variant>
        <vt:lpwstr/>
      </vt:variant>
      <vt:variant>
        <vt:lpwstr>_Toc223528541</vt:lpwstr>
      </vt:variant>
      <vt:variant>
        <vt:i4>1835062</vt:i4>
      </vt:variant>
      <vt:variant>
        <vt:i4>119</vt:i4>
      </vt:variant>
      <vt:variant>
        <vt:i4>0</vt:i4>
      </vt:variant>
      <vt:variant>
        <vt:i4>5</vt:i4>
      </vt:variant>
      <vt:variant>
        <vt:lpwstr/>
      </vt:variant>
      <vt:variant>
        <vt:lpwstr>_Toc223528540</vt:lpwstr>
      </vt:variant>
      <vt:variant>
        <vt:i4>1769526</vt:i4>
      </vt:variant>
      <vt:variant>
        <vt:i4>113</vt:i4>
      </vt:variant>
      <vt:variant>
        <vt:i4>0</vt:i4>
      </vt:variant>
      <vt:variant>
        <vt:i4>5</vt:i4>
      </vt:variant>
      <vt:variant>
        <vt:lpwstr/>
      </vt:variant>
      <vt:variant>
        <vt:lpwstr>_Toc223528539</vt:lpwstr>
      </vt:variant>
      <vt:variant>
        <vt:i4>1769526</vt:i4>
      </vt:variant>
      <vt:variant>
        <vt:i4>107</vt:i4>
      </vt:variant>
      <vt:variant>
        <vt:i4>0</vt:i4>
      </vt:variant>
      <vt:variant>
        <vt:i4>5</vt:i4>
      </vt:variant>
      <vt:variant>
        <vt:lpwstr/>
      </vt:variant>
      <vt:variant>
        <vt:lpwstr>_Toc223528538</vt:lpwstr>
      </vt:variant>
      <vt:variant>
        <vt:i4>1769526</vt:i4>
      </vt:variant>
      <vt:variant>
        <vt:i4>101</vt:i4>
      </vt:variant>
      <vt:variant>
        <vt:i4>0</vt:i4>
      </vt:variant>
      <vt:variant>
        <vt:i4>5</vt:i4>
      </vt:variant>
      <vt:variant>
        <vt:lpwstr/>
      </vt:variant>
      <vt:variant>
        <vt:lpwstr>_Toc223528537</vt:lpwstr>
      </vt:variant>
      <vt:variant>
        <vt:i4>1769526</vt:i4>
      </vt:variant>
      <vt:variant>
        <vt:i4>95</vt:i4>
      </vt:variant>
      <vt:variant>
        <vt:i4>0</vt:i4>
      </vt:variant>
      <vt:variant>
        <vt:i4>5</vt:i4>
      </vt:variant>
      <vt:variant>
        <vt:lpwstr/>
      </vt:variant>
      <vt:variant>
        <vt:lpwstr>_Toc223528536</vt:lpwstr>
      </vt:variant>
      <vt:variant>
        <vt:i4>1769526</vt:i4>
      </vt:variant>
      <vt:variant>
        <vt:i4>89</vt:i4>
      </vt:variant>
      <vt:variant>
        <vt:i4>0</vt:i4>
      </vt:variant>
      <vt:variant>
        <vt:i4>5</vt:i4>
      </vt:variant>
      <vt:variant>
        <vt:lpwstr/>
      </vt:variant>
      <vt:variant>
        <vt:lpwstr>_Toc223528535</vt:lpwstr>
      </vt:variant>
      <vt:variant>
        <vt:i4>1769526</vt:i4>
      </vt:variant>
      <vt:variant>
        <vt:i4>83</vt:i4>
      </vt:variant>
      <vt:variant>
        <vt:i4>0</vt:i4>
      </vt:variant>
      <vt:variant>
        <vt:i4>5</vt:i4>
      </vt:variant>
      <vt:variant>
        <vt:lpwstr/>
      </vt:variant>
      <vt:variant>
        <vt:lpwstr>_Toc223528534</vt:lpwstr>
      </vt:variant>
      <vt:variant>
        <vt:i4>1769526</vt:i4>
      </vt:variant>
      <vt:variant>
        <vt:i4>77</vt:i4>
      </vt:variant>
      <vt:variant>
        <vt:i4>0</vt:i4>
      </vt:variant>
      <vt:variant>
        <vt:i4>5</vt:i4>
      </vt:variant>
      <vt:variant>
        <vt:lpwstr/>
      </vt:variant>
      <vt:variant>
        <vt:lpwstr>_Toc223528533</vt:lpwstr>
      </vt:variant>
      <vt:variant>
        <vt:i4>1769526</vt:i4>
      </vt:variant>
      <vt:variant>
        <vt:i4>71</vt:i4>
      </vt:variant>
      <vt:variant>
        <vt:i4>0</vt:i4>
      </vt:variant>
      <vt:variant>
        <vt:i4>5</vt:i4>
      </vt:variant>
      <vt:variant>
        <vt:lpwstr/>
      </vt:variant>
      <vt:variant>
        <vt:lpwstr>_Toc223528532</vt:lpwstr>
      </vt:variant>
      <vt:variant>
        <vt:i4>1769526</vt:i4>
      </vt:variant>
      <vt:variant>
        <vt:i4>65</vt:i4>
      </vt:variant>
      <vt:variant>
        <vt:i4>0</vt:i4>
      </vt:variant>
      <vt:variant>
        <vt:i4>5</vt:i4>
      </vt:variant>
      <vt:variant>
        <vt:lpwstr/>
      </vt:variant>
      <vt:variant>
        <vt:lpwstr>_Toc223528531</vt:lpwstr>
      </vt:variant>
      <vt:variant>
        <vt:i4>1769526</vt:i4>
      </vt:variant>
      <vt:variant>
        <vt:i4>59</vt:i4>
      </vt:variant>
      <vt:variant>
        <vt:i4>0</vt:i4>
      </vt:variant>
      <vt:variant>
        <vt:i4>5</vt:i4>
      </vt:variant>
      <vt:variant>
        <vt:lpwstr/>
      </vt:variant>
      <vt:variant>
        <vt:lpwstr>_Toc223528530</vt:lpwstr>
      </vt:variant>
      <vt:variant>
        <vt:i4>1703990</vt:i4>
      </vt:variant>
      <vt:variant>
        <vt:i4>53</vt:i4>
      </vt:variant>
      <vt:variant>
        <vt:i4>0</vt:i4>
      </vt:variant>
      <vt:variant>
        <vt:i4>5</vt:i4>
      </vt:variant>
      <vt:variant>
        <vt:lpwstr/>
      </vt:variant>
      <vt:variant>
        <vt:lpwstr>_Toc223528529</vt:lpwstr>
      </vt:variant>
      <vt:variant>
        <vt:i4>1703990</vt:i4>
      </vt:variant>
      <vt:variant>
        <vt:i4>47</vt:i4>
      </vt:variant>
      <vt:variant>
        <vt:i4>0</vt:i4>
      </vt:variant>
      <vt:variant>
        <vt:i4>5</vt:i4>
      </vt:variant>
      <vt:variant>
        <vt:lpwstr/>
      </vt:variant>
      <vt:variant>
        <vt:lpwstr>_Toc223528528</vt:lpwstr>
      </vt:variant>
      <vt:variant>
        <vt:i4>1703990</vt:i4>
      </vt:variant>
      <vt:variant>
        <vt:i4>41</vt:i4>
      </vt:variant>
      <vt:variant>
        <vt:i4>0</vt:i4>
      </vt:variant>
      <vt:variant>
        <vt:i4>5</vt:i4>
      </vt:variant>
      <vt:variant>
        <vt:lpwstr/>
      </vt:variant>
      <vt:variant>
        <vt:lpwstr>_Toc223528527</vt:lpwstr>
      </vt:variant>
      <vt:variant>
        <vt:i4>1703990</vt:i4>
      </vt:variant>
      <vt:variant>
        <vt:i4>35</vt:i4>
      </vt:variant>
      <vt:variant>
        <vt:i4>0</vt:i4>
      </vt:variant>
      <vt:variant>
        <vt:i4>5</vt:i4>
      </vt:variant>
      <vt:variant>
        <vt:lpwstr/>
      </vt:variant>
      <vt:variant>
        <vt:lpwstr>_Toc223528526</vt:lpwstr>
      </vt:variant>
      <vt:variant>
        <vt:i4>1703990</vt:i4>
      </vt:variant>
      <vt:variant>
        <vt:i4>29</vt:i4>
      </vt:variant>
      <vt:variant>
        <vt:i4>0</vt:i4>
      </vt:variant>
      <vt:variant>
        <vt:i4>5</vt:i4>
      </vt:variant>
      <vt:variant>
        <vt:lpwstr/>
      </vt:variant>
      <vt:variant>
        <vt:lpwstr>_Toc223528525</vt:lpwstr>
      </vt:variant>
      <vt:variant>
        <vt:i4>1703990</vt:i4>
      </vt:variant>
      <vt:variant>
        <vt:i4>23</vt:i4>
      </vt:variant>
      <vt:variant>
        <vt:i4>0</vt:i4>
      </vt:variant>
      <vt:variant>
        <vt:i4>5</vt:i4>
      </vt:variant>
      <vt:variant>
        <vt:lpwstr/>
      </vt:variant>
      <vt:variant>
        <vt:lpwstr>_Toc223528524</vt:lpwstr>
      </vt:variant>
      <vt:variant>
        <vt:i4>1703990</vt:i4>
      </vt:variant>
      <vt:variant>
        <vt:i4>17</vt:i4>
      </vt:variant>
      <vt:variant>
        <vt:i4>0</vt:i4>
      </vt:variant>
      <vt:variant>
        <vt:i4>5</vt:i4>
      </vt:variant>
      <vt:variant>
        <vt:lpwstr/>
      </vt:variant>
      <vt:variant>
        <vt:lpwstr>_Toc223528523</vt:lpwstr>
      </vt:variant>
      <vt:variant>
        <vt:i4>1703990</vt:i4>
      </vt:variant>
      <vt:variant>
        <vt:i4>11</vt:i4>
      </vt:variant>
      <vt:variant>
        <vt:i4>0</vt:i4>
      </vt:variant>
      <vt:variant>
        <vt:i4>5</vt:i4>
      </vt:variant>
      <vt:variant>
        <vt:lpwstr/>
      </vt:variant>
      <vt:variant>
        <vt:lpwstr>_Toc223528522</vt:lpwstr>
      </vt:variant>
      <vt:variant>
        <vt:i4>1703990</vt:i4>
      </vt:variant>
      <vt:variant>
        <vt:i4>5</vt:i4>
      </vt:variant>
      <vt:variant>
        <vt:i4>0</vt:i4>
      </vt:variant>
      <vt:variant>
        <vt:i4>5</vt:i4>
      </vt:variant>
      <vt:variant>
        <vt:lpwstr/>
      </vt:variant>
      <vt:variant>
        <vt:lpwstr>_Toc223528521</vt:lpwstr>
      </vt:variant>
      <vt:variant>
        <vt:i4>7</vt:i4>
      </vt:variant>
      <vt:variant>
        <vt:i4>0</vt:i4>
      </vt:variant>
      <vt:variant>
        <vt:i4>0</vt:i4>
      </vt:variant>
      <vt:variant>
        <vt:i4>5</vt:i4>
      </vt:variant>
      <vt:variant>
        <vt:lpwstr>https://www.niaa.gov.au/resource-centre/indigenous-affairs/commonwealth-indigenous-procurement-policy</vt:lpwstr>
      </vt:variant>
      <vt:variant>
        <vt:lpwstr/>
      </vt:variant>
      <vt:variant>
        <vt:i4>3866730</vt:i4>
      </vt:variant>
      <vt:variant>
        <vt:i4>6</vt:i4>
      </vt:variant>
      <vt:variant>
        <vt:i4>0</vt:i4>
      </vt:variant>
      <vt:variant>
        <vt:i4>5</vt:i4>
      </vt:variant>
      <vt:variant>
        <vt:lpwstr>https://www.niaa.gov.au/news-and-media/raes-new-employment-service-now-available-remote-communities</vt:lpwstr>
      </vt:variant>
      <vt:variant>
        <vt:lpwstr/>
      </vt:variant>
      <vt:variant>
        <vt:i4>6946862</vt:i4>
      </vt:variant>
      <vt:variant>
        <vt:i4>3</vt:i4>
      </vt:variant>
      <vt:variant>
        <vt:i4>0</vt:i4>
      </vt:variant>
      <vt:variant>
        <vt:i4>5</vt:i4>
      </vt:variant>
      <vt:variant>
        <vt:lpwstr>https://www.ungm.org/Public/UNSPSC</vt:lpwstr>
      </vt:variant>
      <vt:variant>
        <vt:lpwstr/>
      </vt:variant>
      <vt:variant>
        <vt:i4>4128865</vt:i4>
      </vt:variant>
      <vt:variant>
        <vt:i4>0</vt:i4>
      </vt:variant>
      <vt:variant>
        <vt:i4>0</vt:i4>
      </vt:variant>
      <vt:variant>
        <vt:i4>5</vt:i4>
      </vt:variant>
      <vt:variant>
        <vt:lpwstr>https://www.directory.gov.au/portfolios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MILANJA</dc:creator>
  <cp:keywords/>
  <dc:description/>
  <cp:lastModifiedBy>Jelena MILANJA</cp:lastModifiedBy>
  <cp:revision>3</cp:revision>
  <dcterms:created xsi:type="dcterms:W3CDTF">2026-04-14T05:02:00Z</dcterms:created>
  <dcterms:modified xsi:type="dcterms:W3CDTF">2026-04-14T06:35:00Z</dcterms:modified>
</cp:coreProperties>
</file>